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DD556" w14:textId="48EF271C" w:rsidR="00EE0981" w:rsidRPr="00003636" w:rsidRDefault="00EE0981" w:rsidP="00EE0981">
      <w:pPr>
        <w:spacing w:line="480" w:lineRule="auto"/>
        <w:rPr>
          <w:rFonts w:eastAsia="Arial" w:cs="Arial"/>
          <w:b/>
          <w:sz w:val="22"/>
          <w:szCs w:val="22"/>
        </w:rPr>
      </w:pPr>
      <w:r w:rsidRPr="00003636">
        <w:rPr>
          <w:rFonts w:eastAsia="Arial" w:cs="Arial"/>
          <w:b/>
          <w:sz w:val="22"/>
          <w:szCs w:val="22"/>
        </w:rPr>
        <w:t>In</w:t>
      </w:r>
      <w:r w:rsidRPr="00003636">
        <w:rPr>
          <w:rFonts w:eastAsia="Arial" w:cs="Arial"/>
          <w:b/>
          <w:spacing w:val="-2"/>
          <w:sz w:val="22"/>
          <w:szCs w:val="22"/>
        </w:rPr>
        <w:t>f</w:t>
      </w:r>
      <w:r w:rsidRPr="00003636">
        <w:rPr>
          <w:rFonts w:eastAsia="Arial" w:cs="Arial"/>
          <w:b/>
          <w:sz w:val="22"/>
          <w:szCs w:val="22"/>
        </w:rPr>
        <w:t>ectio</w:t>
      </w:r>
      <w:r w:rsidRPr="00003636">
        <w:rPr>
          <w:rFonts w:eastAsia="Arial" w:cs="Arial"/>
          <w:b/>
          <w:spacing w:val="-1"/>
          <w:sz w:val="22"/>
          <w:szCs w:val="22"/>
        </w:rPr>
        <w:t>u</w:t>
      </w:r>
      <w:r w:rsidRPr="00003636">
        <w:rPr>
          <w:rFonts w:eastAsia="Arial" w:cs="Arial"/>
          <w:b/>
          <w:sz w:val="22"/>
          <w:szCs w:val="22"/>
        </w:rPr>
        <w:t>s mo</w:t>
      </w:r>
      <w:r w:rsidRPr="00003636">
        <w:rPr>
          <w:rFonts w:eastAsia="Arial" w:cs="Arial"/>
          <w:b/>
          <w:spacing w:val="-1"/>
          <w:sz w:val="22"/>
          <w:szCs w:val="22"/>
        </w:rPr>
        <w:t>no</w:t>
      </w:r>
      <w:r w:rsidRPr="00003636">
        <w:rPr>
          <w:rFonts w:eastAsia="Arial" w:cs="Arial"/>
          <w:b/>
          <w:sz w:val="22"/>
          <w:szCs w:val="22"/>
        </w:rPr>
        <w:t>nuc</w:t>
      </w:r>
      <w:r w:rsidRPr="00003636">
        <w:rPr>
          <w:rFonts w:eastAsia="Arial" w:cs="Arial"/>
          <w:b/>
          <w:spacing w:val="-1"/>
          <w:sz w:val="22"/>
          <w:szCs w:val="22"/>
        </w:rPr>
        <w:t>l</w:t>
      </w:r>
      <w:r w:rsidRPr="00003636">
        <w:rPr>
          <w:rFonts w:eastAsia="Arial" w:cs="Arial"/>
          <w:b/>
          <w:sz w:val="22"/>
          <w:szCs w:val="22"/>
        </w:rPr>
        <w:t>e</w:t>
      </w:r>
      <w:r w:rsidRPr="00003636">
        <w:rPr>
          <w:rFonts w:eastAsia="Arial" w:cs="Arial"/>
          <w:b/>
          <w:spacing w:val="-1"/>
          <w:sz w:val="22"/>
          <w:szCs w:val="22"/>
        </w:rPr>
        <w:t>o</w:t>
      </w:r>
      <w:r w:rsidRPr="00003636">
        <w:rPr>
          <w:rFonts w:eastAsia="Arial" w:cs="Arial"/>
          <w:b/>
          <w:spacing w:val="1"/>
          <w:sz w:val="22"/>
          <w:szCs w:val="22"/>
        </w:rPr>
        <w:t>s</w:t>
      </w:r>
      <w:r w:rsidRPr="00003636">
        <w:rPr>
          <w:rFonts w:eastAsia="Arial" w:cs="Arial"/>
          <w:b/>
          <w:sz w:val="22"/>
          <w:szCs w:val="22"/>
        </w:rPr>
        <w:t xml:space="preserve">is, </w:t>
      </w:r>
      <w:r w:rsidRPr="00003636">
        <w:rPr>
          <w:rFonts w:eastAsia="Arial" w:cs="Arial"/>
          <w:b/>
          <w:spacing w:val="-1"/>
          <w:sz w:val="22"/>
          <w:szCs w:val="22"/>
        </w:rPr>
        <w:t>immune genotypes</w:t>
      </w:r>
      <w:r w:rsidR="00E334D9">
        <w:rPr>
          <w:rFonts w:eastAsia="Arial" w:cs="Arial"/>
          <w:b/>
          <w:spacing w:val="-1"/>
          <w:sz w:val="22"/>
          <w:szCs w:val="22"/>
        </w:rPr>
        <w:t>,</w:t>
      </w:r>
      <w:r w:rsidRPr="00003636">
        <w:rPr>
          <w:rFonts w:eastAsia="Arial" w:cs="Arial"/>
          <w:b/>
          <w:spacing w:val="-1"/>
          <w:sz w:val="22"/>
          <w:szCs w:val="22"/>
        </w:rPr>
        <w:t xml:space="preserve"> and </w:t>
      </w:r>
      <w:r w:rsidRPr="00003636">
        <w:rPr>
          <w:rFonts w:eastAsia="Arial" w:cs="Arial"/>
          <w:b/>
          <w:sz w:val="22"/>
          <w:szCs w:val="22"/>
        </w:rPr>
        <w:t>non-Hod</w:t>
      </w:r>
      <w:r w:rsidRPr="00003636">
        <w:rPr>
          <w:rFonts w:eastAsia="Arial" w:cs="Arial"/>
          <w:b/>
          <w:spacing w:val="-1"/>
          <w:sz w:val="22"/>
          <w:szCs w:val="22"/>
        </w:rPr>
        <w:t>g</w:t>
      </w:r>
      <w:r w:rsidRPr="00003636">
        <w:rPr>
          <w:rFonts w:eastAsia="Arial" w:cs="Arial"/>
          <w:b/>
          <w:sz w:val="22"/>
          <w:szCs w:val="22"/>
        </w:rPr>
        <w:t>kin lymp</w:t>
      </w:r>
      <w:r w:rsidRPr="00003636">
        <w:rPr>
          <w:rFonts w:eastAsia="Arial" w:cs="Arial"/>
          <w:b/>
          <w:spacing w:val="-1"/>
          <w:sz w:val="22"/>
          <w:szCs w:val="22"/>
        </w:rPr>
        <w:t>h</w:t>
      </w:r>
      <w:r w:rsidRPr="00003636">
        <w:rPr>
          <w:rFonts w:eastAsia="Arial" w:cs="Arial"/>
          <w:b/>
          <w:sz w:val="22"/>
          <w:szCs w:val="22"/>
        </w:rPr>
        <w:t>oma (NHL):</w:t>
      </w:r>
    </w:p>
    <w:p w14:paraId="238E3696" w14:textId="77777777" w:rsidR="00EE0981" w:rsidRPr="00003636" w:rsidRDefault="000551FA" w:rsidP="00EE0981">
      <w:pPr>
        <w:spacing w:line="480" w:lineRule="auto"/>
        <w:rPr>
          <w:b/>
          <w:sz w:val="22"/>
          <w:szCs w:val="22"/>
          <w:u w:val="single"/>
        </w:rPr>
      </w:pPr>
      <w:r w:rsidRPr="00003636">
        <w:rPr>
          <w:rFonts w:eastAsia="Arial" w:cs="Arial"/>
          <w:b/>
          <w:sz w:val="22"/>
          <w:szCs w:val="22"/>
        </w:rPr>
        <w:t>a</w:t>
      </w:r>
      <w:r w:rsidR="00EE0981" w:rsidRPr="00003636">
        <w:rPr>
          <w:rFonts w:eastAsia="Arial" w:cs="Arial"/>
          <w:b/>
          <w:sz w:val="22"/>
          <w:szCs w:val="22"/>
        </w:rPr>
        <w:t>n InterLymph Consortium study.</w:t>
      </w:r>
    </w:p>
    <w:p w14:paraId="21D0D303" w14:textId="65B3A0A1" w:rsidR="00EE0981" w:rsidRPr="00696B26" w:rsidRDefault="00A345EF" w:rsidP="00106CB1">
      <w:pPr>
        <w:spacing w:line="480" w:lineRule="auto"/>
        <w:rPr>
          <w:b/>
        </w:rPr>
      </w:pPr>
      <w:r w:rsidRPr="00696B26">
        <w:rPr>
          <w:sz w:val="22"/>
          <w:szCs w:val="22"/>
        </w:rPr>
        <w:t>Niquelle Brown Wad</w:t>
      </w:r>
      <w:r w:rsidR="00815C6E" w:rsidRPr="00696B26">
        <w:rPr>
          <w:sz w:val="22"/>
          <w:szCs w:val="22"/>
        </w:rPr>
        <w:t>é</w:t>
      </w:r>
      <w:r w:rsidR="00E15ABA" w:rsidRPr="00696B26">
        <w:rPr>
          <w:sz w:val="22"/>
          <w:szCs w:val="22"/>
          <w:vertAlign w:val="superscript"/>
        </w:rPr>
        <w:fldChar w:fldCharType="begin"/>
      </w:r>
      <w:r w:rsidR="00E15ABA" w:rsidRPr="00696B26">
        <w:rPr>
          <w:sz w:val="22"/>
          <w:szCs w:val="22"/>
        </w:rPr>
        <w:instrText xml:space="preserve"> REF _Ref535059418 </w:instrText>
      </w:r>
      <w:r w:rsidR="00815C6E">
        <w:rPr>
          <w:sz w:val="22"/>
          <w:szCs w:val="22"/>
        </w:rPr>
        <w:instrText xml:space="preserve"> \* MERGEFORMAT </w:instrText>
      </w:r>
      <w:r w:rsidR="00E15ABA" w:rsidRPr="00696B26">
        <w:rPr>
          <w:sz w:val="22"/>
          <w:szCs w:val="22"/>
          <w:vertAlign w:val="superscript"/>
        </w:rPr>
        <w:fldChar w:fldCharType="separate"/>
      </w:r>
      <w:r w:rsidR="00E15ABA" w:rsidRPr="005B315E">
        <w:rPr>
          <w:noProof/>
          <w:sz w:val="22"/>
          <w:szCs w:val="22"/>
          <w:vertAlign w:val="superscript"/>
        </w:rPr>
        <w:t>1</w:t>
      </w:r>
      <w:r w:rsidR="00E15ABA" w:rsidRPr="00696B26">
        <w:rPr>
          <w:sz w:val="22"/>
          <w:szCs w:val="22"/>
          <w:vertAlign w:val="superscript"/>
        </w:rPr>
        <w:fldChar w:fldCharType="end"/>
      </w:r>
      <w:r w:rsidRPr="00696B26">
        <w:rPr>
          <w:sz w:val="22"/>
          <w:szCs w:val="22"/>
        </w:rPr>
        <w:t xml:space="preserve">, Cindy </w:t>
      </w:r>
      <w:r w:rsidR="00003636" w:rsidRPr="00696B26">
        <w:rPr>
          <w:sz w:val="22"/>
          <w:szCs w:val="22"/>
        </w:rPr>
        <w:t xml:space="preserve">M. </w:t>
      </w:r>
      <w:r w:rsidRPr="00696B26">
        <w:rPr>
          <w:sz w:val="22"/>
          <w:szCs w:val="22"/>
        </w:rPr>
        <w:t>Chang</w:t>
      </w:r>
      <w:r w:rsidR="00082A9A" w:rsidRPr="00696B26">
        <w:rPr>
          <w:sz w:val="22"/>
          <w:szCs w:val="22"/>
          <w:vertAlign w:val="superscript"/>
        </w:rPr>
        <w:fldChar w:fldCharType="begin"/>
      </w:r>
      <w:r w:rsidR="00082A9A" w:rsidRPr="00696B26">
        <w:rPr>
          <w:sz w:val="22"/>
          <w:szCs w:val="22"/>
        </w:rPr>
        <w:instrText xml:space="preserve"> REF _Ref535059571 </w:instrText>
      </w:r>
      <w:r w:rsidR="00815C6E">
        <w:rPr>
          <w:sz w:val="22"/>
          <w:szCs w:val="22"/>
        </w:rPr>
        <w:instrText xml:space="preserve"> \* MERGEFORMAT </w:instrText>
      </w:r>
      <w:r w:rsidR="00082A9A" w:rsidRPr="00696B26">
        <w:rPr>
          <w:sz w:val="22"/>
          <w:szCs w:val="22"/>
          <w:vertAlign w:val="superscript"/>
        </w:rPr>
        <w:fldChar w:fldCharType="separate"/>
      </w:r>
      <w:r w:rsidR="00082A9A" w:rsidRPr="005B315E">
        <w:rPr>
          <w:noProof/>
          <w:sz w:val="22"/>
          <w:szCs w:val="22"/>
          <w:vertAlign w:val="superscript"/>
        </w:rPr>
        <w:t>2</w:t>
      </w:r>
      <w:r w:rsidR="00082A9A" w:rsidRPr="00696B26">
        <w:rPr>
          <w:sz w:val="22"/>
          <w:szCs w:val="22"/>
          <w:vertAlign w:val="superscript"/>
        </w:rPr>
        <w:fldChar w:fldCharType="end"/>
      </w:r>
      <w:r w:rsidRPr="00696B26">
        <w:rPr>
          <w:sz w:val="22"/>
          <w:szCs w:val="22"/>
        </w:rPr>
        <w:t>, David Conti</w:t>
      </w:r>
      <w:r w:rsidR="00082A9A" w:rsidRPr="00696B26">
        <w:rPr>
          <w:sz w:val="22"/>
          <w:szCs w:val="22"/>
          <w:vertAlign w:val="superscript"/>
        </w:rPr>
        <w:fldChar w:fldCharType="begin"/>
      </w:r>
      <w:r w:rsidR="00082A9A" w:rsidRPr="00696B26">
        <w:rPr>
          <w:sz w:val="22"/>
          <w:szCs w:val="22"/>
        </w:rPr>
        <w:instrText xml:space="preserve"> REF _Ref535059418 </w:instrText>
      </w:r>
      <w:r w:rsidR="00815C6E">
        <w:rPr>
          <w:sz w:val="22"/>
          <w:szCs w:val="22"/>
        </w:rPr>
        <w:instrText xml:space="preserve"> \* MERGEFORMAT </w:instrText>
      </w:r>
      <w:r w:rsidR="00082A9A" w:rsidRPr="00696B26">
        <w:rPr>
          <w:sz w:val="22"/>
          <w:szCs w:val="22"/>
          <w:vertAlign w:val="superscript"/>
        </w:rPr>
        <w:fldChar w:fldCharType="separate"/>
      </w:r>
      <w:r w:rsidR="00082A9A" w:rsidRPr="005B315E">
        <w:rPr>
          <w:noProof/>
          <w:sz w:val="22"/>
          <w:szCs w:val="22"/>
          <w:vertAlign w:val="superscript"/>
        </w:rPr>
        <w:t>1</w:t>
      </w:r>
      <w:r w:rsidR="00082A9A" w:rsidRPr="00696B26">
        <w:rPr>
          <w:sz w:val="22"/>
          <w:szCs w:val="22"/>
          <w:vertAlign w:val="superscript"/>
        </w:rPr>
        <w:fldChar w:fldCharType="end"/>
      </w:r>
      <w:r w:rsidR="00082A9A" w:rsidRPr="00696B26">
        <w:rPr>
          <w:sz w:val="22"/>
          <w:szCs w:val="22"/>
          <w:vertAlign w:val="superscript"/>
        </w:rPr>
        <w:t>,</w:t>
      </w:r>
      <w:r w:rsidR="00082A9A" w:rsidRPr="00696B26">
        <w:rPr>
          <w:sz w:val="22"/>
          <w:szCs w:val="22"/>
          <w:vertAlign w:val="superscript"/>
        </w:rPr>
        <w:fldChar w:fldCharType="begin"/>
      </w:r>
      <w:r w:rsidR="00082A9A" w:rsidRPr="00696B26">
        <w:rPr>
          <w:sz w:val="22"/>
          <w:szCs w:val="22"/>
          <w:vertAlign w:val="superscript"/>
        </w:rPr>
        <w:instrText xml:space="preserve"> REF _Ref535059937 </w:instrText>
      </w:r>
      <w:r w:rsidR="00815C6E">
        <w:rPr>
          <w:sz w:val="22"/>
          <w:szCs w:val="22"/>
          <w:vertAlign w:val="superscript"/>
        </w:rPr>
        <w:instrText xml:space="preserve"> \* MERGEFORMAT </w:instrText>
      </w:r>
      <w:r w:rsidR="00082A9A" w:rsidRPr="00696B26">
        <w:rPr>
          <w:sz w:val="22"/>
          <w:szCs w:val="22"/>
          <w:vertAlign w:val="superscript"/>
        </w:rPr>
        <w:fldChar w:fldCharType="separate"/>
      </w:r>
      <w:r w:rsidR="00082A9A" w:rsidRPr="005B315E">
        <w:rPr>
          <w:noProof/>
          <w:sz w:val="22"/>
          <w:szCs w:val="22"/>
          <w:vertAlign w:val="superscript"/>
        </w:rPr>
        <w:t>3</w:t>
      </w:r>
      <w:r w:rsidR="00082A9A" w:rsidRPr="00696B26">
        <w:rPr>
          <w:sz w:val="22"/>
          <w:szCs w:val="22"/>
          <w:vertAlign w:val="superscript"/>
        </w:rPr>
        <w:fldChar w:fldCharType="end"/>
      </w:r>
      <w:r w:rsidRPr="00696B26">
        <w:rPr>
          <w:sz w:val="22"/>
          <w:szCs w:val="22"/>
        </w:rPr>
        <w:t xml:space="preserve">, </w:t>
      </w:r>
      <w:r w:rsidR="008779BF" w:rsidRPr="00696B26">
        <w:rPr>
          <w:sz w:val="22"/>
          <w:szCs w:val="22"/>
        </w:rPr>
        <w:t>Joshua Millstein</w:t>
      </w:r>
      <w:r w:rsidR="00082A9A" w:rsidRPr="00696B26">
        <w:rPr>
          <w:sz w:val="22"/>
          <w:szCs w:val="22"/>
          <w:vertAlign w:val="superscript"/>
        </w:rPr>
        <w:fldChar w:fldCharType="begin"/>
      </w:r>
      <w:r w:rsidR="00082A9A" w:rsidRPr="00696B26">
        <w:rPr>
          <w:sz w:val="22"/>
          <w:szCs w:val="22"/>
        </w:rPr>
        <w:instrText xml:space="preserve"> REF _Ref535059418 </w:instrText>
      </w:r>
      <w:r w:rsidR="00815C6E">
        <w:rPr>
          <w:sz w:val="22"/>
          <w:szCs w:val="22"/>
        </w:rPr>
        <w:instrText xml:space="preserve"> \* MERGEFORMAT </w:instrText>
      </w:r>
      <w:r w:rsidR="00082A9A" w:rsidRPr="00696B26">
        <w:rPr>
          <w:sz w:val="22"/>
          <w:szCs w:val="22"/>
          <w:vertAlign w:val="superscript"/>
        </w:rPr>
        <w:fldChar w:fldCharType="separate"/>
      </w:r>
      <w:r w:rsidR="00082A9A" w:rsidRPr="005B315E">
        <w:rPr>
          <w:noProof/>
          <w:sz w:val="22"/>
          <w:szCs w:val="22"/>
          <w:vertAlign w:val="superscript"/>
        </w:rPr>
        <w:t>1</w:t>
      </w:r>
      <w:r w:rsidR="00082A9A" w:rsidRPr="00696B26">
        <w:rPr>
          <w:sz w:val="22"/>
          <w:szCs w:val="22"/>
          <w:vertAlign w:val="superscript"/>
        </w:rPr>
        <w:fldChar w:fldCharType="end"/>
      </w:r>
      <w:r w:rsidR="00082A9A" w:rsidRPr="00696B26">
        <w:rPr>
          <w:sz w:val="22"/>
          <w:szCs w:val="22"/>
          <w:vertAlign w:val="superscript"/>
        </w:rPr>
        <w:t>,</w:t>
      </w:r>
      <w:r w:rsidR="00082A9A" w:rsidRPr="00696B26">
        <w:rPr>
          <w:sz w:val="22"/>
          <w:szCs w:val="22"/>
          <w:vertAlign w:val="superscript"/>
        </w:rPr>
        <w:fldChar w:fldCharType="begin"/>
      </w:r>
      <w:r w:rsidR="00082A9A" w:rsidRPr="00696B26">
        <w:rPr>
          <w:sz w:val="22"/>
          <w:szCs w:val="22"/>
          <w:vertAlign w:val="superscript"/>
        </w:rPr>
        <w:instrText xml:space="preserve"> REF _Ref535059937 </w:instrText>
      </w:r>
      <w:r w:rsidR="00815C6E">
        <w:rPr>
          <w:sz w:val="22"/>
          <w:szCs w:val="22"/>
          <w:vertAlign w:val="superscript"/>
        </w:rPr>
        <w:instrText xml:space="preserve"> \* MERGEFORMAT </w:instrText>
      </w:r>
      <w:r w:rsidR="00082A9A" w:rsidRPr="00696B26">
        <w:rPr>
          <w:sz w:val="22"/>
          <w:szCs w:val="22"/>
          <w:vertAlign w:val="superscript"/>
        </w:rPr>
        <w:fldChar w:fldCharType="separate"/>
      </w:r>
      <w:r w:rsidR="00082A9A" w:rsidRPr="005B315E">
        <w:rPr>
          <w:noProof/>
          <w:sz w:val="22"/>
          <w:szCs w:val="22"/>
          <w:vertAlign w:val="superscript"/>
        </w:rPr>
        <w:t>3</w:t>
      </w:r>
      <w:r w:rsidR="00082A9A" w:rsidRPr="00696B26">
        <w:rPr>
          <w:sz w:val="22"/>
          <w:szCs w:val="22"/>
          <w:vertAlign w:val="superscript"/>
        </w:rPr>
        <w:fldChar w:fldCharType="end"/>
      </w:r>
      <w:r w:rsidR="008779BF" w:rsidRPr="00696B26">
        <w:rPr>
          <w:sz w:val="22"/>
          <w:szCs w:val="22"/>
        </w:rPr>
        <w:t xml:space="preserve">, </w:t>
      </w:r>
      <w:r w:rsidRPr="00696B26">
        <w:rPr>
          <w:sz w:val="22"/>
          <w:szCs w:val="22"/>
        </w:rPr>
        <w:t>Christine Skibola</w:t>
      </w:r>
      <w:r w:rsidR="00082A9A" w:rsidRPr="00696B26">
        <w:rPr>
          <w:sz w:val="22"/>
          <w:szCs w:val="22"/>
          <w:vertAlign w:val="superscript"/>
        </w:rPr>
        <w:fldChar w:fldCharType="begin"/>
      </w:r>
      <w:r w:rsidR="00082A9A" w:rsidRPr="00696B26">
        <w:rPr>
          <w:sz w:val="22"/>
          <w:szCs w:val="22"/>
        </w:rPr>
        <w:instrText xml:space="preserve"> REF _Ref535059966 </w:instrText>
      </w:r>
      <w:r w:rsidR="00815C6E">
        <w:rPr>
          <w:sz w:val="22"/>
          <w:szCs w:val="22"/>
        </w:rPr>
        <w:instrText xml:space="preserve"> \* MERGEFORMAT </w:instrText>
      </w:r>
      <w:r w:rsidR="00082A9A" w:rsidRPr="00696B26">
        <w:rPr>
          <w:sz w:val="22"/>
          <w:szCs w:val="22"/>
          <w:vertAlign w:val="superscript"/>
        </w:rPr>
        <w:fldChar w:fldCharType="separate"/>
      </w:r>
      <w:r w:rsidR="00082A9A" w:rsidRPr="005B315E">
        <w:rPr>
          <w:noProof/>
          <w:sz w:val="22"/>
          <w:szCs w:val="22"/>
          <w:vertAlign w:val="superscript"/>
        </w:rPr>
        <w:t>4</w:t>
      </w:r>
      <w:r w:rsidR="00082A9A" w:rsidRPr="00696B26">
        <w:rPr>
          <w:sz w:val="22"/>
          <w:szCs w:val="22"/>
          <w:vertAlign w:val="superscript"/>
        </w:rPr>
        <w:fldChar w:fldCharType="end"/>
      </w:r>
      <w:r w:rsidRPr="00696B26">
        <w:rPr>
          <w:sz w:val="22"/>
          <w:szCs w:val="22"/>
        </w:rPr>
        <w:t>, Alexandra Nieters</w:t>
      </w:r>
      <w:r w:rsidR="00082A9A" w:rsidRPr="00696B26">
        <w:rPr>
          <w:sz w:val="22"/>
          <w:szCs w:val="22"/>
          <w:vertAlign w:val="superscript"/>
        </w:rPr>
        <w:fldChar w:fldCharType="begin"/>
      </w:r>
      <w:r w:rsidR="00082A9A" w:rsidRPr="00696B26">
        <w:rPr>
          <w:sz w:val="22"/>
          <w:szCs w:val="22"/>
        </w:rPr>
        <w:instrText xml:space="preserve"> REF _Ref535060034 </w:instrText>
      </w:r>
      <w:r w:rsidR="00815C6E">
        <w:rPr>
          <w:sz w:val="22"/>
          <w:szCs w:val="22"/>
        </w:rPr>
        <w:instrText xml:space="preserve"> \* MERGEFORMAT </w:instrText>
      </w:r>
      <w:r w:rsidR="00082A9A" w:rsidRPr="00696B26">
        <w:rPr>
          <w:sz w:val="22"/>
          <w:szCs w:val="22"/>
          <w:vertAlign w:val="superscript"/>
        </w:rPr>
        <w:fldChar w:fldCharType="separate"/>
      </w:r>
      <w:r w:rsidR="00082A9A" w:rsidRPr="005B315E">
        <w:rPr>
          <w:noProof/>
          <w:sz w:val="22"/>
          <w:szCs w:val="22"/>
          <w:vertAlign w:val="superscript"/>
        </w:rPr>
        <w:t>5</w:t>
      </w:r>
      <w:r w:rsidR="00082A9A" w:rsidRPr="00696B26">
        <w:rPr>
          <w:sz w:val="22"/>
          <w:szCs w:val="22"/>
          <w:vertAlign w:val="superscript"/>
        </w:rPr>
        <w:fldChar w:fldCharType="end"/>
      </w:r>
      <w:r w:rsidRPr="00696B26">
        <w:rPr>
          <w:sz w:val="22"/>
          <w:szCs w:val="22"/>
        </w:rPr>
        <w:t>, Sophia Wang</w:t>
      </w:r>
      <w:r w:rsidR="00082A9A" w:rsidRPr="00696B26">
        <w:rPr>
          <w:sz w:val="22"/>
          <w:szCs w:val="22"/>
          <w:vertAlign w:val="superscript"/>
        </w:rPr>
        <w:fldChar w:fldCharType="begin"/>
      </w:r>
      <w:r w:rsidR="00082A9A" w:rsidRPr="00696B26">
        <w:rPr>
          <w:sz w:val="22"/>
          <w:szCs w:val="22"/>
        </w:rPr>
        <w:instrText xml:space="preserve"> REF _Ref535060044 </w:instrText>
      </w:r>
      <w:r w:rsidR="00815C6E">
        <w:rPr>
          <w:sz w:val="22"/>
          <w:szCs w:val="22"/>
        </w:rPr>
        <w:instrText xml:space="preserve"> \* MERGEFORMAT </w:instrText>
      </w:r>
      <w:r w:rsidR="00082A9A" w:rsidRPr="00696B26">
        <w:rPr>
          <w:sz w:val="22"/>
          <w:szCs w:val="22"/>
          <w:vertAlign w:val="superscript"/>
        </w:rPr>
        <w:fldChar w:fldCharType="separate"/>
      </w:r>
      <w:r w:rsidR="00082A9A" w:rsidRPr="005B315E">
        <w:rPr>
          <w:noProof/>
          <w:sz w:val="22"/>
          <w:szCs w:val="22"/>
          <w:vertAlign w:val="superscript"/>
        </w:rPr>
        <w:t>6</w:t>
      </w:r>
      <w:r w:rsidR="00082A9A" w:rsidRPr="00696B26">
        <w:rPr>
          <w:sz w:val="22"/>
          <w:szCs w:val="22"/>
          <w:vertAlign w:val="superscript"/>
        </w:rPr>
        <w:fldChar w:fldCharType="end"/>
      </w:r>
      <w:r w:rsidRPr="00696B26">
        <w:rPr>
          <w:sz w:val="22"/>
          <w:szCs w:val="22"/>
        </w:rPr>
        <w:t xml:space="preserve">, </w:t>
      </w:r>
      <w:r w:rsidR="00495E42" w:rsidRPr="00696B26">
        <w:rPr>
          <w:sz w:val="22"/>
          <w:szCs w:val="22"/>
        </w:rPr>
        <w:t>Silvia De Sanjose</w:t>
      </w:r>
      <w:r w:rsidR="000711E2" w:rsidRPr="00696B26">
        <w:rPr>
          <w:sz w:val="22"/>
          <w:szCs w:val="22"/>
        </w:rPr>
        <w:fldChar w:fldCharType="begin"/>
      </w:r>
      <w:r w:rsidR="000711E2" w:rsidRPr="00696B26">
        <w:rPr>
          <w:sz w:val="22"/>
          <w:szCs w:val="22"/>
        </w:rPr>
        <w:instrText xml:space="preserve"> REF _Ref535089034 </w:instrText>
      </w:r>
      <w:r w:rsidR="00815C6E">
        <w:rPr>
          <w:sz w:val="22"/>
          <w:szCs w:val="22"/>
        </w:rPr>
        <w:instrText xml:space="preserve"> \* MERGEFORMAT </w:instrText>
      </w:r>
      <w:r w:rsidR="000711E2" w:rsidRPr="00696B26">
        <w:rPr>
          <w:sz w:val="22"/>
          <w:szCs w:val="22"/>
        </w:rPr>
        <w:fldChar w:fldCharType="separate"/>
      </w:r>
      <w:r w:rsidR="000711E2" w:rsidRPr="005B315E">
        <w:rPr>
          <w:noProof/>
          <w:sz w:val="22"/>
          <w:szCs w:val="22"/>
          <w:vertAlign w:val="superscript"/>
        </w:rPr>
        <w:t>7</w:t>
      </w:r>
      <w:r w:rsidR="000711E2" w:rsidRPr="00696B26">
        <w:rPr>
          <w:sz w:val="22"/>
          <w:szCs w:val="22"/>
        </w:rPr>
        <w:fldChar w:fldCharType="end"/>
      </w:r>
      <w:r w:rsidR="000711E2" w:rsidRPr="00696B26">
        <w:rPr>
          <w:sz w:val="22"/>
          <w:szCs w:val="22"/>
          <w:vertAlign w:val="superscript"/>
        </w:rPr>
        <w:t>,</w:t>
      </w:r>
      <w:r w:rsidR="000711E2" w:rsidRPr="00696B26">
        <w:rPr>
          <w:sz w:val="22"/>
          <w:szCs w:val="22"/>
        </w:rPr>
        <w:fldChar w:fldCharType="begin"/>
      </w:r>
      <w:r w:rsidR="000711E2" w:rsidRPr="00696B26">
        <w:rPr>
          <w:sz w:val="22"/>
          <w:szCs w:val="22"/>
        </w:rPr>
        <w:instrText xml:space="preserve"> REF _Ref535089035 </w:instrText>
      </w:r>
      <w:r w:rsidR="00815C6E">
        <w:rPr>
          <w:sz w:val="22"/>
          <w:szCs w:val="22"/>
        </w:rPr>
        <w:instrText xml:space="preserve"> \* MERGEFORMAT </w:instrText>
      </w:r>
      <w:r w:rsidR="000711E2" w:rsidRPr="00696B26">
        <w:rPr>
          <w:sz w:val="22"/>
          <w:szCs w:val="22"/>
        </w:rPr>
        <w:fldChar w:fldCharType="separate"/>
      </w:r>
      <w:r w:rsidR="001555A5" w:rsidRPr="005B315E">
        <w:rPr>
          <w:noProof/>
          <w:sz w:val="22"/>
          <w:szCs w:val="22"/>
          <w:vertAlign w:val="superscript"/>
        </w:rPr>
        <w:t>8</w:t>
      </w:r>
      <w:r w:rsidR="000711E2" w:rsidRPr="00696B26">
        <w:rPr>
          <w:sz w:val="22"/>
          <w:szCs w:val="22"/>
        </w:rPr>
        <w:fldChar w:fldCharType="end"/>
      </w:r>
      <w:r w:rsidR="00495E42" w:rsidRPr="00696B26">
        <w:rPr>
          <w:sz w:val="22"/>
          <w:szCs w:val="22"/>
        </w:rPr>
        <w:t xml:space="preserve">, </w:t>
      </w:r>
      <w:r w:rsidRPr="00696B26">
        <w:rPr>
          <w:sz w:val="22"/>
          <w:szCs w:val="22"/>
        </w:rPr>
        <w:t>Eleanor Kane</w:t>
      </w:r>
      <w:r w:rsidR="00082A9A" w:rsidRPr="00696B26">
        <w:rPr>
          <w:sz w:val="22"/>
          <w:szCs w:val="22"/>
          <w:vertAlign w:val="superscript"/>
        </w:rPr>
        <w:fldChar w:fldCharType="begin"/>
      </w:r>
      <w:r w:rsidR="00082A9A" w:rsidRPr="00696B26">
        <w:rPr>
          <w:sz w:val="22"/>
          <w:szCs w:val="22"/>
        </w:rPr>
        <w:instrText xml:space="preserve"> REF _Ref535060078 </w:instrText>
      </w:r>
      <w:r w:rsidR="00815C6E">
        <w:rPr>
          <w:sz w:val="22"/>
          <w:szCs w:val="22"/>
        </w:rPr>
        <w:instrText xml:space="preserve"> \* MERGEFORMAT </w:instrText>
      </w:r>
      <w:r w:rsidR="00082A9A" w:rsidRPr="00696B26">
        <w:rPr>
          <w:sz w:val="22"/>
          <w:szCs w:val="22"/>
          <w:vertAlign w:val="superscript"/>
        </w:rPr>
        <w:fldChar w:fldCharType="separate"/>
      </w:r>
      <w:r w:rsidR="001555A5" w:rsidRPr="005B315E">
        <w:rPr>
          <w:noProof/>
          <w:sz w:val="22"/>
          <w:szCs w:val="22"/>
          <w:vertAlign w:val="superscript"/>
        </w:rPr>
        <w:t>9</w:t>
      </w:r>
      <w:r w:rsidR="00082A9A" w:rsidRPr="00696B26">
        <w:rPr>
          <w:sz w:val="22"/>
          <w:szCs w:val="22"/>
          <w:vertAlign w:val="superscript"/>
        </w:rPr>
        <w:fldChar w:fldCharType="end"/>
      </w:r>
      <w:r w:rsidRPr="00696B26">
        <w:rPr>
          <w:sz w:val="22"/>
          <w:szCs w:val="22"/>
        </w:rPr>
        <w:t>,</w:t>
      </w:r>
      <w:r w:rsidR="0037245F" w:rsidRPr="00696B26">
        <w:rPr>
          <w:sz w:val="22"/>
          <w:szCs w:val="22"/>
        </w:rPr>
        <w:t xml:space="preserve"> John Spinelli</w:t>
      </w:r>
      <w:r w:rsidR="0037245F" w:rsidRPr="00696B26">
        <w:rPr>
          <w:sz w:val="22"/>
          <w:szCs w:val="22"/>
          <w:vertAlign w:val="superscript"/>
        </w:rPr>
        <w:t>10</w:t>
      </w:r>
      <w:r w:rsidR="0037245F" w:rsidRPr="00696B26">
        <w:rPr>
          <w:sz w:val="22"/>
          <w:szCs w:val="22"/>
        </w:rPr>
        <w:t>, Paige Bracci</w:t>
      </w:r>
      <w:r w:rsidR="0037245F" w:rsidRPr="00696B26">
        <w:rPr>
          <w:sz w:val="22"/>
          <w:szCs w:val="22"/>
          <w:vertAlign w:val="superscript"/>
        </w:rPr>
        <w:t>11</w:t>
      </w:r>
      <w:r w:rsidR="0037245F" w:rsidRPr="00696B26">
        <w:rPr>
          <w:sz w:val="22"/>
          <w:szCs w:val="22"/>
        </w:rPr>
        <w:t>, Yawei Zhang</w:t>
      </w:r>
      <w:r w:rsidR="0037245F" w:rsidRPr="00696B26">
        <w:rPr>
          <w:sz w:val="22"/>
          <w:szCs w:val="22"/>
          <w:vertAlign w:val="superscript"/>
        </w:rPr>
        <w:t>12</w:t>
      </w:r>
      <w:r w:rsidR="0037245F" w:rsidRPr="00696B26">
        <w:rPr>
          <w:sz w:val="22"/>
          <w:szCs w:val="22"/>
        </w:rPr>
        <w:t xml:space="preserve">, </w:t>
      </w:r>
      <w:r w:rsidRPr="00696B26">
        <w:rPr>
          <w:sz w:val="22"/>
          <w:szCs w:val="22"/>
        </w:rPr>
        <w:t xml:space="preserve"> </w:t>
      </w:r>
      <w:r w:rsidR="008779BF" w:rsidRPr="00696B26">
        <w:rPr>
          <w:sz w:val="22"/>
          <w:szCs w:val="22"/>
        </w:rPr>
        <w:t>Susan Slager</w:t>
      </w:r>
      <w:r w:rsidR="00082A9A" w:rsidRPr="00696B26">
        <w:rPr>
          <w:sz w:val="22"/>
          <w:szCs w:val="22"/>
          <w:vertAlign w:val="superscript"/>
        </w:rPr>
        <w:fldChar w:fldCharType="begin"/>
      </w:r>
      <w:r w:rsidR="00082A9A" w:rsidRPr="00696B26">
        <w:rPr>
          <w:sz w:val="22"/>
          <w:szCs w:val="22"/>
        </w:rPr>
        <w:instrText xml:space="preserve"> REF _Ref535060090 </w:instrText>
      </w:r>
      <w:r w:rsidR="00815C6E">
        <w:rPr>
          <w:sz w:val="22"/>
          <w:szCs w:val="22"/>
        </w:rPr>
        <w:instrText xml:space="preserve"> \* MERGEFORMAT </w:instrText>
      </w:r>
      <w:r w:rsidR="00082A9A" w:rsidRPr="00696B26">
        <w:rPr>
          <w:sz w:val="22"/>
          <w:szCs w:val="22"/>
          <w:vertAlign w:val="superscript"/>
        </w:rPr>
        <w:fldChar w:fldCharType="separate"/>
      </w:r>
      <w:r w:rsidR="001555A5" w:rsidRPr="005B315E">
        <w:rPr>
          <w:noProof/>
          <w:sz w:val="22"/>
          <w:szCs w:val="22"/>
          <w:vertAlign w:val="superscript"/>
        </w:rPr>
        <w:t>1</w:t>
      </w:r>
      <w:r w:rsidR="00082A9A" w:rsidRPr="00696B26">
        <w:rPr>
          <w:sz w:val="22"/>
          <w:szCs w:val="22"/>
          <w:vertAlign w:val="superscript"/>
        </w:rPr>
        <w:fldChar w:fldCharType="end"/>
      </w:r>
      <w:r w:rsidR="0037245F" w:rsidRPr="00696B26">
        <w:rPr>
          <w:sz w:val="22"/>
          <w:szCs w:val="22"/>
          <w:vertAlign w:val="superscript"/>
        </w:rPr>
        <w:t>3</w:t>
      </w:r>
      <w:r w:rsidR="008779BF" w:rsidRPr="00696B26">
        <w:rPr>
          <w:sz w:val="22"/>
          <w:szCs w:val="22"/>
        </w:rPr>
        <w:t xml:space="preserve">, </w:t>
      </w:r>
      <w:r w:rsidRPr="00696B26">
        <w:rPr>
          <w:sz w:val="22"/>
          <w:szCs w:val="22"/>
        </w:rPr>
        <w:t>Jun Wang</w:t>
      </w:r>
      <w:r w:rsidR="00082A9A" w:rsidRPr="00696B26">
        <w:rPr>
          <w:sz w:val="22"/>
          <w:szCs w:val="22"/>
          <w:vertAlign w:val="superscript"/>
        </w:rPr>
        <w:fldChar w:fldCharType="begin"/>
      </w:r>
      <w:r w:rsidR="00082A9A" w:rsidRPr="00696B26">
        <w:rPr>
          <w:sz w:val="22"/>
          <w:szCs w:val="22"/>
        </w:rPr>
        <w:instrText xml:space="preserve"> REF _Ref535059418 </w:instrText>
      </w:r>
      <w:r w:rsidR="00815C6E">
        <w:rPr>
          <w:sz w:val="22"/>
          <w:szCs w:val="22"/>
        </w:rPr>
        <w:instrText xml:space="preserve"> \* MERGEFORMAT </w:instrText>
      </w:r>
      <w:r w:rsidR="00082A9A" w:rsidRPr="00696B26">
        <w:rPr>
          <w:sz w:val="22"/>
          <w:szCs w:val="22"/>
          <w:vertAlign w:val="superscript"/>
        </w:rPr>
        <w:fldChar w:fldCharType="separate"/>
      </w:r>
      <w:r w:rsidR="001555A5" w:rsidRPr="005B315E">
        <w:rPr>
          <w:noProof/>
          <w:sz w:val="22"/>
          <w:szCs w:val="22"/>
          <w:vertAlign w:val="superscript"/>
        </w:rPr>
        <w:t>1</w:t>
      </w:r>
      <w:r w:rsidR="00082A9A" w:rsidRPr="00696B26">
        <w:rPr>
          <w:sz w:val="22"/>
          <w:szCs w:val="22"/>
          <w:vertAlign w:val="superscript"/>
        </w:rPr>
        <w:fldChar w:fldCharType="end"/>
      </w:r>
      <w:r w:rsidR="00082A9A" w:rsidRPr="00696B26">
        <w:rPr>
          <w:sz w:val="22"/>
          <w:szCs w:val="22"/>
          <w:vertAlign w:val="superscript"/>
        </w:rPr>
        <w:t>,</w:t>
      </w:r>
      <w:r w:rsidR="00082A9A" w:rsidRPr="00696B26">
        <w:rPr>
          <w:sz w:val="22"/>
          <w:szCs w:val="22"/>
          <w:vertAlign w:val="superscript"/>
        </w:rPr>
        <w:fldChar w:fldCharType="begin"/>
      </w:r>
      <w:r w:rsidR="00082A9A" w:rsidRPr="00696B26">
        <w:rPr>
          <w:sz w:val="22"/>
          <w:szCs w:val="22"/>
          <w:vertAlign w:val="superscript"/>
        </w:rPr>
        <w:instrText xml:space="preserve"> REF _Ref535059571 </w:instrText>
      </w:r>
      <w:r w:rsidR="00815C6E">
        <w:rPr>
          <w:sz w:val="22"/>
          <w:szCs w:val="22"/>
          <w:vertAlign w:val="superscript"/>
        </w:rPr>
        <w:instrText xml:space="preserve"> \* MERGEFORMAT </w:instrText>
      </w:r>
      <w:r w:rsidR="00082A9A" w:rsidRPr="00696B26">
        <w:rPr>
          <w:sz w:val="22"/>
          <w:szCs w:val="22"/>
          <w:vertAlign w:val="superscript"/>
        </w:rPr>
        <w:fldChar w:fldCharType="separate"/>
      </w:r>
      <w:r w:rsidR="001555A5" w:rsidRPr="005B315E">
        <w:rPr>
          <w:noProof/>
          <w:sz w:val="22"/>
          <w:szCs w:val="22"/>
          <w:vertAlign w:val="superscript"/>
        </w:rPr>
        <w:t>2</w:t>
      </w:r>
      <w:r w:rsidR="00082A9A" w:rsidRPr="00696B26">
        <w:rPr>
          <w:sz w:val="22"/>
          <w:szCs w:val="22"/>
          <w:vertAlign w:val="superscript"/>
        </w:rPr>
        <w:fldChar w:fldCharType="end"/>
      </w:r>
      <w:r w:rsidR="0037245F" w:rsidRPr="00696B26">
        <w:rPr>
          <w:sz w:val="22"/>
          <w:szCs w:val="22"/>
        </w:rPr>
        <w:t>, Henrik Hjalgrim</w:t>
      </w:r>
      <w:r w:rsidR="0037245F" w:rsidRPr="00696B26">
        <w:rPr>
          <w:sz w:val="22"/>
          <w:szCs w:val="22"/>
          <w:vertAlign w:val="superscript"/>
        </w:rPr>
        <w:t>14</w:t>
      </w:r>
      <w:r w:rsidRPr="00696B26">
        <w:rPr>
          <w:sz w:val="22"/>
          <w:szCs w:val="22"/>
        </w:rPr>
        <w:t>, Karin Ekstrom Smedby</w:t>
      </w:r>
      <w:r w:rsidR="00082A9A" w:rsidRPr="00696B26">
        <w:rPr>
          <w:sz w:val="22"/>
          <w:szCs w:val="22"/>
          <w:vertAlign w:val="superscript"/>
        </w:rPr>
        <w:fldChar w:fldCharType="begin"/>
      </w:r>
      <w:r w:rsidR="00082A9A" w:rsidRPr="00696B26">
        <w:rPr>
          <w:sz w:val="22"/>
          <w:szCs w:val="22"/>
        </w:rPr>
        <w:instrText xml:space="preserve"> REF _Ref535060137 </w:instrText>
      </w:r>
      <w:r w:rsidR="00815C6E">
        <w:rPr>
          <w:sz w:val="22"/>
          <w:szCs w:val="22"/>
        </w:rPr>
        <w:instrText xml:space="preserve"> \* MERGEFORMAT </w:instrText>
      </w:r>
      <w:r w:rsidR="00082A9A" w:rsidRPr="00696B26">
        <w:rPr>
          <w:sz w:val="22"/>
          <w:szCs w:val="22"/>
          <w:vertAlign w:val="superscript"/>
        </w:rPr>
        <w:fldChar w:fldCharType="separate"/>
      </w:r>
      <w:r w:rsidR="001555A5" w:rsidRPr="005B315E">
        <w:rPr>
          <w:rFonts w:cs="Arial"/>
          <w:noProof/>
          <w:sz w:val="22"/>
          <w:szCs w:val="22"/>
          <w:vertAlign w:val="superscript"/>
        </w:rPr>
        <w:t>1</w:t>
      </w:r>
      <w:r w:rsidR="0037245F" w:rsidRPr="005B315E">
        <w:rPr>
          <w:rFonts w:cs="Arial"/>
          <w:noProof/>
          <w:sz w:val="22"/>
          <w:szCs w:val="22"/>
          <w:vertAlign w:val="superscript"/>
        </w:rPr>
        <w:t>5</w:t>
      </w:r>
      <w:r w:rsidR="00082A9A" w:rsidRPr="00696B26">
        <w:rPr>
          <w:sz w:val="22"/>
          <w:szCs w:val="22"/>
          <w:vertAlign w:val="superscript"/>
        </w:rPr>
        <w:fldChar w:fldCharType="end"/>
      </w:r>
      <w:r w:rsidRPr="00696B26">
        <w:rPr>
          <w:sz w:val="22"/>
          <w:szCs w:val="22"/>
        </w:rPr>
        <w:t>,</w:t>
      </w:r>
      <w:r w:rsidR="00F31630" w:rsidRPr="00696B26" w:rsidDel="00F31630">
        <w:rPr>
          <w:sz w:val="22"/>
          <w:szCs w:val="22"/>
          <w:vertAlign w:val="superscript"/>
        </w:rPr>
        <w:t xml:space="preserve"> </w:t>
      </w:r>
      <w:r w:rsidRPr="00696B26">
        <w:rPr>
          <w:sz w:val="22"/>
          <w:szCs w:val="22"/>
        </w:rPr>
        <w:t xml:space="preserve">Elizabeth </w:t>
      </w:r>
      <w:r w:rsidR="00D802FA" w:rsidRPr="00696B26">
        <w:rPr>
          <w:sz w:val="22"/>
          <w:szCs w:val="22"/>
        </w:rPr>
        <w:t xml:space="preserve">E. </w:t>
      </w:r>
      <w:r w:rsidRPr="00696B26">
        <w:rPr>
          <w:sz w:val="22"/>
          <w:szCs w:val="22"/>
        </w:rPr>
        <w:t>Brown</w:t>
      </w:r>
      <w:r w:rsidR="00082A9A" w:rsidRPr="00696B26">
        <w:rPr>
          <w:sz w:val="22"/>
          <w:szCs w:val="22"/>
          <w:vertAlign w:val="superscript"/>
        </w:rPr>
        <w:fldChar w:fldCharType="begin"/>
      </w:r>
      <w:r w:rsidR="00082A9A" w:rsidRPr="00696B26">
        <w:rPr>
          <w:sz w:val="22"/>
          <w:szCs w:val="22"/>
        </w:rPr>
        <w:instrText xml:space="preserve"> REF _Ref535060148 </w:instrText>
      </w:r>
      <w:r w:rsidR="00815C6E">
        <w:rPr>
          <w:sz w:val="22"/>
          <w:szCs w:val="22"/>
        </w:rPr>
        <w:instrText xml:space="preserve"> \* MERGEFORMAT </w:instrText>
      </w:r>
      <w:r w:rsidR="00082A9A" w:rsidRPr="00696B26">
        <w:rPr>
          <w:sz w:val="22"/>
          <w:szCs w:val="22"/>
          <w:vertAlign w:val="superscript"/>
        </w:rPr>
        <w:fldChar w:fldCharType="separate"/>
      </w:r>
      <w:r w:rsidR="001555A5" w:rsidRPr="005B315E">
        <w:rPr>
          <w:noProof/>
          <w:sz w:val="22"/>
          <w:szCs w:val="22"/>
          <w:vertAlign w:val="superscript"/>
        </w:rPr>
        <w:t>1</w:t>
      </w:r>
      <w:r w:rsidR="00082A9A" w:rsidRPr="00696B26">
        <w:rPr>
          <w:sz w:val="22"/>
          <w:szCs w:val="22"/>
          <w:vertAlign w:val="superscript"/>
        </w:rPr>
        <w:fldChar w:fldCharType="end"/>
      </w:r>
      <w:r w:rsidR="0037245F" w:rsidRPr="00696B26">
        <w:rPr>
          <w:sz w:val="22"/>
          <w:szCs w:val="22"/>
          <w:vertAlign w:val="superscript"/>
        </w:rPr>
        <w:t>6</w:t>
      </w:r>
      <w:r w:rsidRPr="00696B26">
        <w:rPr>
          <w:sz w:val="22"/>
          <w:szCs w:val="22"/>
        </w:rPr>
        <w:t xml:space="preserve">, Ruth </w:t>
      </w:r>
      <w:r w:rsidR="00D80276" w:rsidRPr="00696B26">
        <w:rPr>
          <w:sz w:val="22"/>
          <w:szCs w:val="22"/>
        </w:rPr>
        <w:t xml:space="preserve">F. </w:t>
      </w:r>
      <w:r w:rsidRPr="00696B26">
        <w:rPr>
          <w:sz w:val="22"/>
          <w:szCs w:val="22"/>
        </w:rPr>
        <w:t>Jarrett</w:t>
      </w:r>
      <w:r w:rsidR="0037245F" w:rsidRPr="00696B26">
        <w:rPr>
          <w:sz w:val="22"/>
          <w:szCs w:val="22"/>
          <w:vertAlign w:val="superscript"/>
        </w:rPr>
        <w:t>17</w:t>
      </w:r>
      <w:r w:rsidRPr="00696B26">
        <w:rPr>
          <w:sz w:val="22"/>
          <w:szCs w:val="22"/>
        </w:rPr>
        <w:t>, Wendy Cozen</w:t>
      </w:r>
      <w:r w:rsidR="00082A9A" w:rsidRPr="00696B26">
        <w:rPr>
          <w:sz w:val="22"/>
          <w:szCs w:val="22"/>
          <w:vertAlign w:val="superscript"/>
        </w:rPr>
        <w:fldChar w:fldCharType="begin"/>
      </w:r>
      <w:r w:rsidR="00082A9A" w:rsidRPr="00696B26">
        <w:rPr>
          <w:sz w:val="22"/>
          <w:szCs w:val="22"/>
        </w:rPr>
        <w:instrText xml:space="preserve"> REF _Ref535059418 </w:instrText>
      </w:r>
      <w:r w:rsidR="00815C6E">
        <w:rPr>
          <w:sz w:val="22"/>
          <w:szCs w:val="22"/>
        </w:rPr>
        <w:instrText xml:space="preserve"> \* MERGEFORMAT </w:instrText>
      </w:r>
      <w:r w:rsidR="00082A9A" w:rsidRPr="00696B26">
        <w:rPr>
          <w:sz w:val="22"/>
          <w:szCs w:val="22"/>
          <w:vertAlign w:val="superscript"/>
        </w:rPr>
        <w:fldChar w:fldCharType="separate"/>
      </w:r>
      <w:r w:rsidR="001555A5" w:rsidRPr="005B315E">
        <w:rPr>
          <w:noProof/>
          <w:sz w:val="22"/>
          <w:szCs w:val="22"/>
          <w:vertAlign w:val="superscript"/>
        </w:rPr>
        <w:t>1</w:t>
      </w:r>
      <w:r w:rsidR="00082A9A" w:rsidRPr="00696B26">
        <w:rPr>
          <w:sz w:val="22"/>
          <w:szCs w:val="22"/>
          <w:vertAlign w:val="superscript"/>
        </w:rPr>
        <w:fldChar w:fldCharType="end"/>
      </w:r>
      <w:r w:rsidR="00082A9A" w:rsidRPr="00696B26">
        <w:rPr>
          <w:sz w:val="22"/>
          <w:szCs w:val="22"/>
          <w:vertAlign w:val="superscript"/>
        </w:rPr>
        <w:t>,</w:t>
      </w:r>
      <w:r w:rsidR="00082A9A" w:rsidRPr="00696B26">
        <w:rPr>
          <w:sz w:val="22"/>
          <w:szCs w:val="22"/>
          <w:vertAlign w:val="superscript"/>
        </w:rPr>
        <w:fldChar w:fldCharType="begin"/>
      </w:r>
      <w:r w:rsidR="00082A9A" w:rsidRPr="00696B26">
        <w:rPr>
          <w:sz w:val="22"/>
          <w:szCs w:val="22"/>
          <w:vertAlign w:val="superscript"/>
        </w:rPr>
        <w:instrText xml:space="preserve"> REF _Ref535059937 </w:instrText>
      </w:r>
      <w:r w:rsidR="00815C6E">
        <w:rPr>
          <w:sz w:val="22"/>
          <w:szCs w:val="22"/>
          <w:vertAlign w:val="superscript"/>
        </w:rPr>
        <w:instrText xml:space="preserve"> \* MERGEFORMAT </w:instrText>
      </w:r>
      <w:r w:rsidR="00082A9A" w:rsidRPr="00696B26">
        <w:rPr>
          <w:sz w:val="22"/>
          <w:szCs w:val="22"/>
          <w:vertAlign w:val="superscript"/>
        </w:rPr>
        <w:fldChar w:fldCharType="separate"/>
      </w:r>
      <w:r w:rsidR="001555A5" w:rsidRPr="005B315E">
        <w:rPr>
          <w:noProof/>
          <w:sz w:val="22"/>
          <w:szCs w:val="22"/>
          <w:vertAlign w:val="superscript"/>
        </w:rPr>
        <w:t>3</w:t>
      </w:r>
      <w:r w:rsidR="00082A9A" w:rsidRPr="00696B26">
        <w:rPr>
          <w:sz w:val="22"/>
          <w:szCs w:val="22"/>
          <w:vertAlign w:val="superscript"/>
        </w:rPr>
        <w:fldChar w:fldCharType="end"/>
      </w:r>
      <w:r w:rsidR="00082A9A" w:rsidRPr="00696B26">
        <w:rPr>
          <w:sz w:val="22"/>
          <w:szCs w:val="22"/>
          <w:vertAlign w:val="superscript"/>
        </w:rPr>
        <w:t>,</w:t>
      </w:r>
      <w:r w:rsidR="0037245F" w:rsidRPr="00696B26">
        <w:rPr>
          <w:sz w:val="22"/>
          <w:szCs w:val="22"/>
          <w:vertAlign w:val="superscript"/>
        </w:rPr>
        <w:t>18</w:t>
      </w:r>
      <w:r w:rsidR="00F31630" w:rsidRPr="00696B26">
        <w:rPr>
          <w:sz w:val="22"/>
          <w:szCs w:val="22"/>
        </w:rPr>
        <w:t xml:space="preserve"> </w:t>
      </w:r>
      <w:r w:rsidRPr="00696B26">
        <w:rPr>
          <w:sz w:val="22"/>
          <w:szCs w:val="22"/>
          <w:vertAlign w:val="superscript"/>
        </w:rPr>
        <w:t xml:space="preserve"> </w:t>
      </w:r>
      <w:r w:rsidRPr="00696B26">
        <w:rPr>
          <w:b/>
        </w:rPr>
        <w:t>for the InterLymph Consortium</w:t>
      </w:r>
      <w:r w:rsidR="009F437B" w:rsidRPr="00696B26">
        <w:rPr>
          <w:b/>
        </w:rPr>
        <w:t xml:space="preserve"> Immunology and Infection Working Group</w:t>
      </w:r>
      <w:r w:rsidRPr="00696B26">
        <w:rPr>
          <w:b/>
        </w:rPr>
        <w:t>.</w:t>
      </w:r>
    </w:p>
    <w:p w14:paraId="633BEE9B" w14:textId="77777777" w:rsidR="00E15ABA" w:rsidRDefault="00E15ABA" w:rsidP="00E15ABA">
      <w:pPr>
        <w:keepNext/>
        <w:spacing w:line="480" w:lineRule="auto"/>
      </w:pPr>
    </w:p>
    <w:p w14:paraId="0D3DAC51" w14:textId="77777777" w:rsidR="00E15ABA" w:rsidRPr="00E15ABA" w:rsidRDefault="00E15ABA" w:rsidP="00E15ABA">
      <w:pPr>
        <w:pStyle w:val="Caption"/>
        <w:spacing w:line="480" w:lineRule="auto"/>
        <w:ind w:left="360" w:hanging="360"/>
        <w:rPr>
          <w:sz w:val="22"/>
          <w:szCs w:val="22"/>
        </w:rPr>
      </w:pPr>
      <w:r w:rsidRPr="00E15ABA">
        <w:rPr>
          <w:sz w:val="22"/>
          <w:szCs w:val="22"/>
          <w:vertAlign w:val="superscript"/>
        </w:rPr>
        <w:fldChar w:fldCharType="begin"/>
      </w:r>
      <w:r w:rsidRPr="00E15ABA">
        <w:rPr>
          <w:sz w:val="22"/>
          <w:szCs w:val="22"/>
          <w:vertAlign w:val="superscript"/>
        </w:rPr>
        <w:instrText xml:space="preserve"> SEQ Affiliation \* ARABIC </w:instrText>
      </w:r>
      <w:r w:rsidRPr="00E15ABA">
        <w:rPr>
          <w:sz w:val="22"/>
          <w:szCs w:val="22"/>
          <w:vertAlign w:val="superscript"/>
        </w:rPr>
        <w:fldChar w:fldCharType="separate"/>
      </w:r>
      <w:bookmarkStart w:id="0" w:name="_Ref535059418"/>
      <w:r w:rsidR="000711E2">
        <w:rPr>
          <w:noProof/>
          <w:sz w:val="22"/>
          <w:szCs w:val="22"/>
          <w:vertAlign w:val="superscript"/>
        </w:rPr>
        <w:t>1</w:t>
      </w:r>
      <w:bookmarkEnd w:id="0"/>
      <w:r w:rsidRPr="00E15ABA">
        <w:rPr>
          <w:sz w:val="22"/>
          <w:szCs w:val="22"/>
          <w:vertAlign w:val="superscript"/>
        </w:rPr>
        <w:fldChar w:fldCharType="end"/>
      </w:r>
      <w:r w:rsidRPr="00E15ABA">
        <w:rPr>
          <w:sz w:val="22"/>
          <w:szCs w:val="22"/>
        </w:rPr>
        <w:t xml:space="preserve"> Department of Preventive Medicine, Keck School of Medicine, University of Southern California, Los Angeles, California, USA</w:t>
      </w:r>
    </w:p>
    <w:p w14:paraId="12086A82" w14:textId="77777777" w:rsidR="00003636" w:rsidRPr="00E15ABA" w:rsidRDefault="00E15ABA" w:rsidP="00E15ABA">
      <w:pPr>
        <w:pStyle w:val="Caption"/>
        <w:spacing w:line="480" w:lineRule="auto"/>
        <w:ind w:left="360" w:hanging="360"/>
        <w:rPr>
          <w:sz w:val="22"/>
          <w:szCs w:val="22"/>
        </w:rPr>
      </w:pPr>
      <w:r w:rsidRPr="00E15ABA">
        <w:rPr>
          <w:sz w:val="22"/>
          <w:szCs w:val="22"/>
          <w:vertAlign w:val="superscript"/>
        </w:rPr>
        <w:fldChar w:fldCharType="begin"/>
      </w:r>
      <w:r w:rsidRPr="00E15ABA">
        <w:rPr>
          <w:sz w:val="22"/>
          <w:szCs w:val="22"/>
          <w:vertAlign w:val="superscript"/>
        </w:rPr>
        <w:instrText xml:space="preserve"> SEQ Affiliation \* ARABIC </w:instrText>
      </w:r>
      <w:r w:rsidRPr="00E15ABA">
        <w:rPr>
          <w:sz w:val="22"/>
          <w:szCs w:val="22"/>
          <w:vertAlign w:val="superscript"/>
        </w:rPr>
        <w:fldChar w:fldCharType="separate"/>
      </w:r>
      <w:bookmarkStart w:id="1" w:name="_Ref535059571"/>
      <w:r w:rsidR="000711E2">
        <w:rPr>
          <w:noProof/>
          <w:sz w:val="22"/>
          <w:szCs w:val="22"/>
          <w:vertAlign w:val="superscript"/>
        </w:rPr>
        <w:t>2</w:t>
      </w:r>
      <w:bookmarkEnd w:id="1"/>
      <w:r w:rsidRPr="00E15ABA">
        <w:rPr>
          <w:sz w:val="22"/>
          <w:szCs w:val="22"/>
          <w:vertAlign w:val="superscript"/>
        </w:rPr>
        <w:fldChar w:fldCharType="end"/>
      </w:r>
      <w:r w:rsidRPr="00E15ABA">
        <w:rPr>
          <w:sz w:val="22"/>
          <w:szCs w:val="22"/>
        </w:rPr>
        <w:t xml:space="preserve"> </w:t>
      </w:r>
      <w:r w:rsidR="00BD4FBD">
        <w:rPr>
          <w:sz w:val="22"/>
          <w:szCs w:val="22"/>
        </w:rPr>
        <w:t xml:space="preserve">Division of Population Health Sciences, </w:t>
      </w:r>
      <w:r w:rsidRPr="00E15ABA">
        <w:rPr>
          <w:sz w:val="22"/>
          <w:szCs w:val="22"/>
        </w:rPr>
        <w:t xml:space="preserve">Center for Tobacco Products, Food and Drug Administration, </w:t>
      </w:r>
      <w:r w:rsidR="00BD4FBD">
        <w:rPr>
          <w:sz w:val="22"/>
          <w:szCs w:val="22"/>
        </w:rPr>
        <w:t xml:space="preserve">Bethesda, Maryland, </w:t>
      </w:r>
      <w:r w:rsidRPr="00E15ABA">
        <w:rPr>
          <w:sz w:val="22"/>
          <w:szCs w:val="22"/>
        </w:rPr>
        <w:t>USA</w:t>
      </w:r>
    </w:p>
    <w:p w14:paraId="67EAB0DA" w14:textId="77777777" w:rsidR="00E15ABA" w:rsidRPr="00E15ABA" w:rsidRDefault="00E15ABA" w:rsidP="00E15ABA">
      <w:pPr>
        <w:pStyle w:val="Caption"/>
        <w:spacing w:line="480" w:lineRule="auto"/>
        <w:ind w:left="360" w:hanging="360"/>
        <w:rPr>
          <w:sz w:val="22"/>
          <w:szCs w:val="22"/>
        </w:rPr>
      </w:pPr>
      <w:r w:rsidRPr="00E15ABA">
        <w:rPr>
          <w:sz w:val="22"/>
          <w:szCs w:val="22"/>
          <w:vertAlign w:val="superscript"/>
        </w:rPr>
        <w:fldChar w:fldCharType="begin"/>
      </w:r>
      <w:r w:rsidRPr="00E15ABA">
        <w:rPr>
          <w:sz w:val="22"/>
          <w:szCs w:val="22"/>
          <w:vertAlign w:val="superscript"/>
        </w:rPr>
        <w:instrText xml:space="preserve"> SEQ Affiliation \* ARABIC </w:instrText>
      </w:r>
      <w:r w:rsidRPr="00E15ABA">
        <w:rPr>
          <w:sz w:val="22"/>
          <w:szCs w:val="22"/>
          <w:vertAlign w:val="superscript"/>
        </w:rPr>
        <w:fldChar w:fldCharType="separate"/>
      </w:r>
      <w:bookmarkStart w:id="2" w:name="_Ref535059937"/>
      <w:r w:rsidR="000711E2">
        <w:rPr>
          <w:noProof/>
          <w:sz w:val="22"/>
          <w:szCs w:val="22"/>
          <w:vertAlign w:val="superscript"/>
        </w:rPr>
        <w:t>3</w:t>
      </w:r>
      <w:bookmarkEnd w:id="2"/>
      <w:r w:rsidRPr="00E15ABA">
        <w:rPr>
          <w:sz w:val="22"/>
          <w:szCs w:val="22"/>
          <w:vertAlign w:val="superscript"/>
        </w:rPr>
        <w:fldChar w:fldCharType="end"/>
      </w:r>
      <w:r w:rsidRPr="00E15ABA">
        <w:rPr>
          <w:sz w:val="22"/>
          <w:szCs w:val="22"/>
        </w:rPr>
        <w:t xml:space="preserve"> USC Norris Comprehensive Cancer Center, Keck School of Medicine, University of Southern California, Los Angeles, California, USA</w:t>
      </w:r>
    </w:p>
    <w:p w14:paraId="318F7ACE" w14:textId="77777777" w:rsidR="00003636" w:rsidRPr="00E15ABA" w:rsidRDefault="00E15ABA" w:rsidP="00E15ABA">
      <w:pPr>
        <w:pStyle w:val="Caption"/>
        <w:spacing w:line="480" w:lineRule="auto"/>
        <w:ind w:left="360" w:hanging="360"/>
        <w:rPr>
          <w:sz w:val="22"/>
          <w:szCs w:val="22"/>
        </w:rPr>
      </w:pPr>
      <w:r w:rsidRPr="00E15ABA">
        <w:rPr>
          <w:sz w:val="22"/>
          <w:szCs w:val="22"/>
          <w:vertAlign w:val="superscript"/>
        </w:rPr>
        <w:fldChar w:fldCharType="begin"/>
      </w:r>
      <w:r w:rsidRPr="00E15ABA">
        <w:rPr>
          <w:sz w:val="22"/>
          <w:szCs w:val="22"/>
          <w:vertAlign w:val="superscript"/>
        </w:rPr>
        <w:instrText xml:space="preserve"> SEQ Affiliation \* ARABIC </w:instrText>
      </w:r>
      <w:r w:rsidRPr="00E15ABA">
        <w:rPr>
          <w:sz w:val="22"/>
          <w:szCs w:val="22"/>
          <w:vertAlign w:val="superscript"/>
        </w:rPr>
        <w:fldChar w:fldCharType="separate"/>
      </w:r>
      <w:bookmarkStart w:id="3" w:name="_Ref535059966"/>
      <w:r w:rsidR="000711E2">
        <w:rPr>
          <w:noProof/>
          <w:sz w:val="22"/>
          <w:szCs w:val="22"/>
          <w:vertAlign w:val="superscript"/>
        </w:rPr>
        <w:t>4</w:t>
      </w:r>
      <w:bookmarkEnd w:id="3"/>
      <w:r w:rsidRPr="00E15ABA">
        <w:rPr>
          <w:sz w:val="22"/>
          <w:szCs w:val="22"/>
          <w:vertAlign w:val="superscript"/>
        </w:rPr>
        <w:fldChar w:fldCharType="end"/>
      </w:r>
      <w:r w:rsidRPr="00E15ABA">
        <w:rPr>
          <w:sz w:val="22"/>
          <w:szCs w:val="22"/>
        </w:rPr>
        <w:t xml:space="preserve"> Department of Hematology and Medical Oncology, Emory University School of Medicine, Atlanta, Georgia</w:t>
      </w:r>
      <w:r w:rsidR="00BD4FBD">
        <w:rPr>
          <w:sz w:val="22"/>
          <w:szCs w:val="22"/>
        </w:rPr>
        <w:t>, USA</w:t>
      </w:r>
    </w:p>
    <w:p w14:paraId="686701FB" w14:textId="77777777" w:rsidR="00C7037E" w:rsidRPr="00E15ABA" w:rsidRDefault="00E15ABA" w:rsidP="00E15ABA">
      <w:pPr>
        <w:pStyle w:val="Caption"/>
        <w:spacing w:line="480" w:lineRule="auto"/>
        <w:ind w:left="360" w:hanging="360"/>
        <w:rPr>
          <w:sz w:val="22"/>
          <w:szCs w:val="22"/>
        </w:rPr>
      </w:pPr>
      <w:r w:rsidRPr="00E15ABA">
        <w:rPr>
          <w:sz w:val="22"/>
          <w:szCs w:val="22"/>
          <w:vertAlign w:val="superscript"/>
        </w:rPr>
        <w:fldChar w:fldCharType="begin"/>
      </w:r>
      <w:r w:rsidRPr="00E15ABA">
        <w:rPr>
          <w:sz w:val="22"/>
          <w:szCs w:val="22"/>
          <w:vertAlign w:val="superscript"/>
        </w:rPr>
        <w:instrText xml:space="preserve"> SEQ Affiliation \* ARABIC </w:instrText>
      </w:r>
      <w:r w:rsidRPr="00E15ABA">
        <w:rPr>
          <w:sz w:val="22"/>
          <w:szCs w:val="22"/>
          <w:vertAlign w:val="superscript"/>
        </w:rPr>
        <w:fldChar w:fldCharType="separate"/>
      </w:r>
      <w:bookmarkStart w:id="4" w:name="_Ref535060034"/>
      <w:r w:rsidR="000711E2">
        <w:rPr>
          <w:noProof/>
          <w:sz w:val="22"/>
          <w:szCs w:val="22"/>
          <w:vertAlign w:val="superscript"/>
        </w:rPr>
        <w:t>5</w:t>
      </w:r>
      <w:bookmarkEnd w:id="4"/>
      <w:r w:rsidRPr="00E15ABA">
        <w:rPr>
          <w:sz w:val="22"/>
          <w:szCs w:val="22"/>
          <w:vertAlign w:val="superscript"/>
        </w:rPr>
        <w:fldChar w:fldCharType="end"/>
      </w:r>
      <w:r w:rsidRPr="00E15ABA">
        <w:rPr>
          <w:sz w:val="22"/>
          <w:szCs w:val="22"/>
        </w:rPr>
        <w:t xml:space="preserve"> Center for Chronic Immunodeficiency (CCI), University Medical Center Freiburg, Germany, University of Freiburg, Freiburg, Germany</w:t>
      </w:r>
    </w:p>
    <w:p w14:paraId="52C3EF85" w14:textId="77777777" w:rsidR="00C7037E" w:rsidRDefault="00E15ABA" w:rsidP="00E15ABA">
      <w:pPr>
        <w:pStyle w:val="Caption"/>
        <w:spacing w:line="480" w:lineRule="auto"/>
        <w:ind w:left="360" w:hanging="360"/>
        <w:rPr>
          <w:sz w:val="22"/>
          <w:szCs w:val="22"/>
        </w:rPr>
      </w:pPr>
      <w:r w:rsidRPr="00E15ABA">
        <w:rPr>
          <w:sz w:val="22"/>
          <w:szCs w:val="22"/>
          <w:vertAlign w:val="superscript"/>
        </w:rPr>
        <w:fldChar w:fldCharType="begin"/>
      </w:r>
      <w:r w:rsidRPr="00E15ABA">
        <w:rPr>
          <w:sz w:val="22"/>
          <w:szCs w:val="22"/>
          <w:vertAlign w:val="superscript"/>
        </w:rPr>
        <w:instrText xml:space="preserve"> SEQ Affiliation \* ARABIC </w:instrText>
      </w:r>
      <w:r w:rsidRPr="00E15ABA">
        <w:rPr>
          <w:sz w:val="22"/>
          <w:szCs w:val="22"/>
          <w:vertAlign w:val="superscript"/>
        </w:rPr>
        <w:fldChar w:fldCharType="separate"/>
      </w:r>
      <w:bookmarkStart w:id="5" w:name="_Ref535060044"/>
      <w:r w:rsidR="000711E2">
        <w:rPr>
          <w:noProof/>
          <w:sz w:val="22"/>
          <w:szCs w:val="22"/>
          <w:vertAlign w:val="superscript"/>
        </w:rPr>
        <w:t>6</w:t>
      </w:r>
      <w:bookmarkEnd w:id="5"/>
      <w:r w:rsidRPr="00E15ABA">
        <w:rPr>
          <w:sz w:val="22"/>
          <w:szCs w:val="22"/>
          <w:vertAlign w:val="superscript"/>
        </w:rPr>
        <w:fldChar w:fldCharType="end"/>
      </w:r>
      <w:r w:rsidRPr="00E15ABA">
        <w:rPr>
          <w:sz w:val="22"/>
          <w:szCs w:val="22"/>
        </w:rPr>
        <w:t xml:space="preserve"> </w:t>
      </w:r>
      <w:r w:rsidR="00BD4FBD">
        <w:rPr>
          <w:sz w:val="22"/>
          <w:szCs w:val="22"/>
        </w:rPr>
        <w:t xml:space="preserve">Department of Population Sciences, </w:t>
      </w:r>
      <w:r w:rsidRPr="00E15ABA">
        <w:rPr>
          <w:sz w:val="22"/>
          <w:szCs w:val="22"/>
        </w:rPr>
        <w:t>City of Hope National Medical Center</w:t>
      </w:r>
      <w:r w:rsidR="00BD4FBD">
        <w:rPr>
          <w:sz w:val="22"/>
          <w:szCs w:val="22"/>
        </w:rPr>
        <w:t>, Duarte, California, USA</w:t>
      </w:r>
    </w:p>
    <w:p w14:paraId="41C8AC64" w14:textId="77777777" w:rsidR="00495E42" w:rsidRDefault="00495E42" w:rsidP="00495E42">
      <w:pPr>
        <w:pStyle w:val="Caption"/>
        <w:spacing w:line="480" w:lineRule="auto"/>
        <w:ind w:left="360" w:hanging="360"/>
        <w:rPr>
          <w:noProof/>
          <w:sz w:val="22"/>
          <w:szCs w:val="22"/>
        </w:rPr>
      </w:pPr>
      <w:r w:rsidRPr="00043B50">
        <w:rPr>
          <w:noProof/>
          <w:sz w:val="22"/>
          <w:szCs w:val="22"/>
          <w:vertAlign w:val="superscript"/>
        </w:rPr>
        <w:fldChar w:fldCharType="begin"/>
      </w:r>
      <w:r w:rsidRPr="00043B50">
        <w:rPr>
          <w:noProof/>
          <w:sz w:val="22"/>
          <w:szCs w:val="22"/>
          <w:vertAlign w:val="superscript"/>
        </w:rPr>
        <w:instrText xml:space="preserve"> SEQ Affiliation \* ARABIC </w:instrText>
      </w:r>
      <w:r w:rsidRPr="00043B50">
        <w:rPr>
          <w:noProof/>
          <w:sz w:val="22"/>
          <w:szCs w:val="22"/>
          <w:vertAlign w:val="superscript"/>
        </w:rPr>
        <w:fldChar w:fldCharType="separate"/>
      </w:r>
      <w:bookmarkStart w:id="6" w:name="_Ref535089034"/>
      <w:r w:rsidR="000711E2">
        <w:rPr>
          <w:noProof/>
          <w:sz w:val="22"/>
          <w:szCs w:val="22"/>
          <w:vertAlign w:val="superscript"/>
        </w:rPr>
        <w:t>7</w:t>
      </w:r>
      <w:bookmarkEnd w:id="6"/>
      <w:r w:rsidRPr="00043B50">
        <w:rPr>
          <w:noProof/>
          <w:sz w:val="22"/>
          <w:szCs w:val="22"/>
          <w:vertAlign w:val="superscript"/>
        </w:rPr>
        <w:fldChar w:fldCharType="end"/>
      </w:r>
      <w:r w:rsidRPr="00043B50">
        <w:rPr>
          <w:noProof/>
          <w:sz w:val="22"/>
          <w:szCs w:val="22"/>
        </w:rPr>
        <w:t xml:space="preserve"> Sexual and Reproductive Health, PATH, Seattle, </w:t>
      </w:r>
      <w:r w:rsidR="00BD4FBD">
        <w:rPr>
          <w:noProof/>
          <w:sz w:val="22"/>
          <w:szCs w:val="22"/>
        </w:rPr>
        <w:t xml:space="preserve">Washington, </w:t>
      </w:r>
      <w:r w:rsidRPr="00043B50">
        <w:rPr>
          <w:noProof/>
          <w:sz w:val="22"/>
          <w:szCs w:val="22"/>
        </w:rPr>
        <w:t>USA</w:t>
      </w:r>
    </w:p>
    <w:p w14:paraId="4A8A4175" w14:textId="77777777" w:rsidR="00495E42" w:rsidRPr="00043B50" w:rsidRDefault="000711E2" w:rsidP="00043B50">
      <w:pPr>
        <w:pStyle w:val="Caption"/>
        <w:spacing w:line="480" w:lineRule="auto"/>
        <w:rPr>
          <w:noProof/>
          <w:sz w:val="22"/>
          <w:szCs w:val="22"/>
        </w:rPr>
      </w:pPr>
      <w:r w:rsidRPr="00043B50">
        <w:rPr>
          <w:noProof/>
          <w:sz w:val="22"/>
          <w:szCs w:val="22"/>
          <w:vertAlign w:val="superscript"/>
        </w:rPr>
        <w:fldChar w:fldCharType="begin"/>
      </w:r>
      <w:r w:rsidRPr="00043B50">
        <w:rPr>
          <w:noProof/>
          <w:sz w:val="22"/>
          <w:szCs w:val="22"/>
          <w:vertAlign w:val="superscript"/>
        </w:rPr>
        <w:instrText xml:space="preserve"> SEQ Affiliation \* ARABIC </w:instrText>
      </w:r>
      <w:r w:rsidRPr="00043B50">
        <w:rPr>
          <w:noProof/>
          <w:sz w:val="22"/>
          <w:szCs w:val="22"/>
          <w:vertAlign w:val="superscript"/>
        </w:rPr>
        <w:fldChar w:fldCharType="separate"/>
      </w:r>
      <w:bookmarkStart w:id="7" w:name="_Ref535089035"/>
      <w:r w:rsidRPr="00043B50">
        <w:rPr>
          <w:noProof/>
          <w:sz w:val="22"/>
          <w:szCs w:val="22"/>
          <w:vertAlign w:val="superscript"/>
        </w:rPr>
        <w:t>8</w:t>
      </w:r>
      <w:bookmarkEnd w:id="7"/>
      <w:r w:rsidRPr="00043B50">
        <w:rPr>
          <w:noProof/>
          <w:sz w:val="22"/>
          <w:szCs w:val="22"/>
          <w:vertAlign w:val="superscript"/>
        </w:rPr>
        <w:fldChar w:fldCharType="end"/>
      </w:r>
      <w:r w:rsidRPr="00043B50">
        <w:rPr>
          <w:noProof/>
          <w:sz w:val="22"/>
          <w:szCs w:val="22"/>
        </w:rPr>
        <w:t xml:space="preserve"> CIBER Epidemiologia y Salud Publica, Barcelona, Spain</w:t>
      </w:r>
    </w:p>
    <w:p w14:paraId="34FE0A22" w14:textId="77777777" w:rsidR="00B373E7" w:rsidRDefault="00E15ABA" w:rsidP="00043B50">
      <w:pPr>
        <w:pStyle w:val="Caption"/>
        <w:spacing w:line="480" w:lineRule="auto"/>
        <w:rPr>
          <w:noProof/>
          <w:sz w:val="22"/>
          <w:szCs w:val="22"/>
        </w:rPr>
      </w:pPr>
      <w:r w:rsidRPr="00043B50">
        <w:rPr>
          <w:noProof/>
          <w:sz w:val="22"/>
          <w:szCs w:val="22"/>
          <w:vertAlign w:val="superscript"/>
        </w:rPr>
        <w:fldChar w:fldCharType="begin"/>
      </w:r>
      <w:r w:rsidRPr="00043B50">
        <w:rPr>
          <w:noProof/>
          <w:sz w:val="22"/>
          <w:szCs w:val="22"/>
          <w:vertAlign w:val="superscript"/>
        </w:rPr>
        <w:instrText xml:space="preserve"> SEQ Affiliation \* ARABIC </w:instrText>
      </w:r>
      <w:r w:rsidRPr="00043B50">
        <w:rPr>
          <w:noProof/>
          <w:sz w:val="22"/>
          <w:szCs w:val="22"/>
          <w:vertAlign w:val="superscript"/>
        </w:rPr>
        <w:fldChar w:fldCharType="separate"/>
      </w:r>
      <w:bookmarkStart w:id="8" w:name="_Ref535060078"/>
      <w:r w:rsidR="000711E2" w:rsidRPr="000711E2">
        <w:rPr>
          <w:noProof/>
          <w:sz w:val="22"/>
          <w:szCs w:val="22"/>
          <w:vertAlign w:val="superscript"/>
        </w:rPr>
        <w:t>9</w:t>
      </w:r>
      <w:bookmarkEnd w:id="8"/>
      <w:r w:rsidRPr="00043B50">
        <w:rPr>
          <w:noProof/>
          <w:sz w:val="22"/>
          <w:szCs w:val="22"/>
          <w:vertAlign w:val="superscript"/>
        </w:rPr>
        <w:fldChar w:fldCharType="end"/>
      </w:r>
      <w:r w:rsidRPr="00E15ABA">
        <w:rPr>
          <w:noProof/>
          <w:sz w:val="22"/>
          <w:szCs w:val="22"/>
        </w:rPr>
        <w:t xml:space="preserve"> Department of Health Sciences, University of York, York, YO10 5DD, U</w:t>
      </w:r>
      <w:r w:rsidR="00BD4FBD">
        <w:rPr>
          <w:noProof/>
          <w:sz w:val="22"/>
          <w:szCs w:val="22"/>
        </w:rPr>
        <w:t xml:space="preserve">nited </w:t>
      </w:r>
      <w:r w:rsidRPr="00E15ABA">
        <w:rPr>
          <w:noProof/>
          <w:sz w:val="22"/>
          <w:szCs w:val="22"/>
        </w:rPr>
        <w:t>K</w:t>
      </w:r>
      <w:r w:rsidR="00BD4FBD">
        <w:rPr>
          <w:noProof/>
          <w:sz w:val="22"/>
          <w:szCs w:val="22"/>
        </w:rPr>
        <w:t>ingdom</w:t>
      </w:r>
    </w:p>
    <w:p w14:paraId="10D79205" w14:textId="77777777" w:rsidR="00BD4FBD" w:rsidRPr="00BD4FBD" w:rsidRDefault="00BD4FBD" w:rsidP="00BD4FBD">
      <w:pPr>
        <w:spacing w:line="480" w:lineRule="auto"/>
        <w:rPr>
          <w:sz w:val="22"/>
          <w:szCs w:val="22"/>
        </w:rPr>
      </w:pPr>
      <w:r w:rsidRPr="00BD4FBD">
        <w:rPr>
          <w:sz w:val="22"/>
          <w:szCs w:val="22"/>
          <w:vertAlign w:val="superscript"/>
        </w:rPr>
        <w:t>10</w:t>
      </w:r>
      <w:r>
        <w:rPr>
          <w:sz w:val="22"/>
          <w:szCs w:val="22"/>
          <w:vertAlign w:val="superscript"/>
        </w:rPr>
        <w:t xml:space="preserve"> </w:t>
      </w:r>
      <w:r w:rsidRPr="00BD4FBD">
        <w:rPr>
          <w:sz w:val="22"/>
          <w:szCs w:val="22"/>
        </w:rPr>
        <w:t>Population Oncology, BC Cancer Agency; Epidemiology, Biostatistics and Public Health Practice, University of British Columbia, Vancouver, British Columbia, Canada</w:t>
      </w:r>
    </w:p>
    <w:p w14:paraId="39099139" w14:textId="77777777" w:rsidR="00BD4FBD" w:rsidRPr="00BD4FBD" w:rsidRDefault="00BD4FBD" w:rsidP="00BD4FBD">
      <w:pPr>
        <w:spacing w:line="480" w:lineRule="auto"/>
        <w:rPr>
          <w:sz w:val="22"/>
          <w:szCs w:val="22"/>
        </w:rPr>
      </w:pPr>
      <w:r w:rsidRPr="00AC1B91">
        <w:rPr>
          <w:sz w:val="22"/>
          <w:szCs w:val="22"/>
          <w:vertAlign w:val="superscript"/>
        </w:rPr>
        <w:lastRenderedPageBreak/>
        <w:t>11</w:t>
      </w:r>
      <w:r>
        <w:rPr>
          <w:sz w:val="22"/>
          <w:szCs w:val="22"/>
        </w:rPr>
        <w:t xml:space="preserve">Department of Epidemiology and Biostatistics, University of California at San Francisco, San Francisco, California, USA </w:t>
      </w:r>
    </w:p>
    <w:p w14:paraId="3F151585" w14:textId="77777777" w:rsidR="00BD4FBD" w:rsidRPr="00BD4FBD" w:rsidRDefault="00BD4FBD" w:rsidP="00BD4FBD">
      <w:pPr>
        <w:spacing w:line="480" w:lineRule="auto"/>
        <w:rPr>
          <w:sz w:val="22"/>
          <w:szCs w:val="22"/>
        </w:rPr>
      </w:pPr>
      <w:r w:rsidRPr="00AC1B91">
        <w:rPr>
          <w:sz w:val="22"/>
          <w:szCs w:val="22"/>
          <w:vertAlign w:val="superscript"/>
        </w:rPr>
        <w:t>12</w:t>
      </w:r>
      <w:r w:rsidR="000529BD">
        <w:rPr>
          <w:sz w:val="22"/>
          <w:szCs w:val="22"/>
        </w:rPr>
        <w:t xml:space="preserve"> Department of Surgery, Yale School of Medicine and Yale School of Public Health, New Haven, Connecticut, USA</w:t>
      </w:r>
    </w:p>
    <w:p w14:paraId="26E752AE" w14:textId="77777777" w:rsidR="00E15ABA" w:rsidRPr="00BD4FBD" w:rsidRDefault="0037245F" w:rsidP="00BD4FBD">
      <w:pPr>
        <w:pStyle w:val="Caption"/>
        <w:spacing w:line="480" w:lineRule="auto"/>
        <w:ind w:left="360" w:hanging="360"/>
        <w:rPr>
          <w:sz w:val="22"/>
          <w:szCs w:val="22"/>
        </w:rPr>
      </w:pPr>
      <w:r w:rsidRPr="00BD4FBD">
        <w:rPr>
          <w:sz w:val="22"/>
          <w:szCs w:val="22"/>
          <w:vertAlign w:val="superscript"/>
        </w:rPr>
        <w:t>13</w:t>
      </w:r>
      <w:r w:rsidR="00E15ABA" w:rsidRPr="00BD4FBD">
        <w:rPr>
          <w:sz w:val="22"/>
          <w:szCs w:val="22"/>
        </w:rPr>
        <w:t xml:space="preserve"> Department of Epidemiology, Mayo Clinic, Rochester, </w:t>
      </w:r>
      <w:r w:rsidR="000529BD">
        <w:rPr>
          <w:sz w:val="22"/>
          <w:szCs w:val="22"/>
        </w:rPr>
        <w:t>Minnesota</w:t>
      </w:r>
      <w:r w:rsidR="00E15ABA" w:rsidRPr="00BD4FBD">
        <w:rPr>
          <w:sz w:val="22"/>
          <w:szCs w:val="22"/>
        </w:rPr>
        <w:t>, USA</w:t>
      </w:r>
    </w:p>
    <w:p w14:paraId="135B9C01" w14:textId="77777777" w:rsidR="00C7037E" w:rsidRPr="000529BD" w:rsidRDefault="0037245F" w:rsidP="00E15ABA">
      <w:pPr>
        <w:pStyle w:val="Caption"/>
        <w:spacing w:line="480" w:lineRule="auto"/>
        <w:ind w:left="360" w:hanging="360"/>
        <w:rPr>
          <w:rFonts w:cs="Arial"/>
          <w:sz w:val="22"/>
          <w:szCs w:val="22"/>
        </w:rPr>
      </w:pPr>
      <w:r w:rsidRPr="00BD4FBD">
        <w:rPr>
          <w:rFonts w:cs="Arial"/>
          <w:sz w:val="22"/>
          <w:szCs w:val="22"/>
          <w:vertAlign w:val="superscript"/>
        </w:rPr>
        <w:t>14</w:t>
      </w:r>
      <w:r w:rsidR="00E15ABA" w:rsidRPr="00BD4FBD">
        <w:rPr>
          <w:sz w:val="22"/>
          <w:szCs w:val="22"/>
        </w:rPr>
        <w:t xml:space="preserve"> Department of Epidemiology Research, Statens Serum Institut, Copenhagen; Department of </w:t>
      </w:r>
      <w:r w:rsidR="00E15ABA" w:rsidRPr="000529BD">
        <w:rPr>
          <w:sz w:val="22"/>
          <w:szCs w:val="22"/>
        </w:rPr>
        <w:t>Hematology, Finsen Center, Rigshospitalet, Copenhagen, Denmark</w:t>
      </w:r>
    </w:p>
    <w:p w14:paraId="3C7C8E15" w14:textId="77777777" w:rsidR="00C7037E" w:rsidRPr="000529BD" w:rsidRDefault="0037245F" w:rsidP="00E15ABA">
      <w:pPr>
        <w:pStyle w:val="Caption"/>
        <w:spacing w:line="480" w:lineRule="auto"/>
        <w:ind w:left="360" w:hanging="360"/>
        <w:rPr>
          <w:rFonts w:cs="Arial"/>
          <w:sz w:val="22"/>
          <w:szCs w:val="22"/>
        </w:rPr>
      </w:pPr>
      <w:r w:rsidRPr="000529BD">
        <w:rPr>
          <w:rFonts w:cs="Arial"/>
          <w:sz w:val="22"/>
          <w:szCs w:val="22"/>
          <w:vertAlign w:val="superscript"/>
        </w:rPr>
        <w:t>15</w:t>
      </w:r>
      <w:r w:rsidR="00E15ABA" w:rsidRPr="000529BD">
        <w:rPr>
          <w:sz w:val="22"/>
          <w:szCs w:val="22"/>
        </w:rPr>
        <w:t xml:space="preserve"> Karolinska</w:t>
      </w:r>
      <w:r w:rsidR="00BD4FBD" w:rsidRPr="000529BD">
        <w:rPr>
          <w:rFonts w:ascii="Tahoma" w:eastAsia="Times New Roman" w:hAnsi="Tahoma" w:cs="Tahoma"/>
          <w:color w:val="000000"/>
          <w:sz w:val="22"/>
          <w:szCs w:val="22"/>
        </w:rPr>
        <w:t xml:space="preserve"> Instiutet, Karolinska University, Stockholm, Sweden University Hospital, Sweden</w:t>
      </w:r>
    </w:p>
    <w:p w14:paraId="11638C8E" w14:textId="77777777" w:rsidR="009509EA" w:rsidRPr="00E15ABA" w:rsidRDefault="0037245F" w:rsidP="00E15ABA">
      <w:pPr>
        <w:pStyle w:val="Caption"/>
        <w:spacing w:line="480" w:lineRule="auto"/>
        <w:ind w:left="360" w:hanging="360"/>
        <w:rPr>
          <w:sz w:val="22"/>
          <w:szCs w:val="22"/>
        </w:rPr>
      </w:pPr>
      <w:r>
        <w:rPr>
          <w:sz w:val="22"/>
          <w:szCs w:val="22"/>
          <w:vertAlign w:val="superscript"/>
        </w:rPr>
        <w:t>16</w:t>
      </w:r>
      <w:r w:rsidR="00E15ABA" w:rsidRPr="00E15ABA">
        <w:rPr>
          <w:sz w:val="22"/>
          <w:szCs w:val="22"/>
        </w:rPr>
        <w:t xml:space="preserve"> Department of Pathology and UAB Comprehensive Cancer Center, University of Alabama at Birmingham, Birmingham, </w:t>
      </w:r>
      <w:r w:rsidR="000529BD">
        <w:rPr>
          <w:sz w:val="22"/>
          <w:szCs w:val="22"/>
        </w:rPr>
        <w:t>Alabama, USA</w:t>
      </w:r>
    </w:p>
    <w:p w14:paraId="3313DDA8" w14:textId="77777777" w:rsidR="009509EA" w:rsidRPr="00E15ABA" w:rsidRDefault="0037245F" w:rsidP="00E15ABA">
      <w:pPr>
        <w:pStyle w:val="Caption"/>
        <w:spacing w:line="480" w:lineRule="auto"/>
        <w:ind w:left="360" w:hanging="360"/>
        <w:rPr>
          <w:sz w:val="22"/>
          <w:szCs w:val="22"/>
        </w:rPr>
      </w:pPr>
      <w:r>
        <w:rPr>
          <w:sz w:val="22"/>
          <w:szCs w:val="22"/>
          <w:vertAlign w:val="superscript"/>
        </w:rPr>
        <w:t>17</w:t>
      </w:r>
      <w:r w:rsidR="00E15ABA" w:rsidRPr="00E15ABA">
        <w:rPr>
          <w:sz w:val="22"/>
          <w:szCs w:val="22"/>
        </w:rPr>
        <w:t xml:space="preserve"> MRC-University of Glasgow Centre for Virus Research, Glasgow,</w:t>
      </w:r>
      <w:r w:rsidR="000529BD">
        <w:rPr>
          <w:sz w:val="22"/>
          <w:szCs w:val="22"/>
        </w:rPr>
        <w:t xml:space="preserve"> Scotland,</w:t>
      </w:r>
      <w:r w:rsidR="00E15ABA" w:rsidRPr="00E15ABA">
        <w:rPr>
          <w:sz w:val="22"/>
          <w:szCs w:val="22"/>
        </w:rPr>
        <w:t xml:space="preserve"> G61 1QH, </w:t>
      </w:r>
    </w:p>
    <w:p w14:paraId="1C2B471B" w14:textId="77777777" w:rsidR="009509EA" w:rsidRPr="00E15ABA" w:rsidRDefault="0037245F" w:rsidP="00E15ABA">
      <w:pPr>
        <w:pStyle w:val="Caption"/>
        <w:spacing w:line="480" w:lineRule="auto"/>
        <w:ind w:left="360" w:hanging="360"/>
        <w:rPr>
          <w:sz w:val="22"/>
          <w:szCs w:val="22"/>
        </w:rPr>
      </w:pPr>
      <w:r>
        <w:rPr>
          <w:sz w:val="22"/>
          <w:szCs w:val="22"/>
          <w:vertAlign w:val="superscript"/>
        </w:rPr>
        <w:t>18</w:t>
      </w:r>
      <w:r w:rsidR="00E15ABA" w:rsidRPr="00E15ABA">
        <w:rPr>
          <w:sz w:val="22"/>
          <w:szCs w:val="22"/>
        </w:rPr>
        <w:t xml:space="preserve"> Department of Pathology, Keck School of Medicine, University of Southern California, Los Angeles</w:t>
      </w:r>
      <w:r w:rsidR="000529BD">
        <w:rPr>
          <w:sz w:val="22"/>
          <w:szCs w:val="22"/>
        </w:rPr>
        <w:t xml:space="preserve"> California</w:t>
      </w:r>
      <w:r w:rsidR="00E15ABA" w:rsidRPr="00E15ABA">
        <w:rPr>
          <w:sz w:val="22"/>
          <w:szCs w:val="22"/>
        </w:rPr>
        <w:t>, USA</w:t>
      </w:r>
    </w:p>
    <w:p w14:paraId="43539ED1" w14:textId="77777777" w:rsidR="00A345EF" w:rsidRPr="00003636" w:rsidRDefault="00A345EF" w:rsidP="00003636">
      <w:pPr>
        <w:spacing w:line="480" w:lineRule="auto"/>
        <w:rPr>
          <w:rFonts w:cs="Arial"/>
          <w:b/>
          <w:u w:val="single"/>
        </w:rPr>
      </w:pPr>
    </w:p>
    <w:p w14:paraId="7A0080C1" w14:textId="77777777" w:rsidR="00003636" w:rsidRPr="009D56AB" w:rsidRDefault="00003636" w:rsidP="009D56AB">
      <w:pPr>
        <w:spacing w:line="480" w:lineRule="auto"/>
        <w:rPr>
          <w:rFonts w:cs="Arial"/>
          <w:sz w:val="22"/>
          <w:szCs w:val="22"/>
        </w:rPr>
      </w:pPr>
      <w:r w:rsidRPr="009D56AB">
        <w:rPr>
          <w:rFonts w:cs="Arial"/>
          <w:sz w:val="22"/>
          <w:szCs w:val="22"/>
        </w:rPr>
        <w:t xml:space="preserve">Disclaimer: The information in this article is not a formal dissemination of information by the FDA and does not represent agency position or policy. The contents are the responsibility of the authors alone.  </w:t>
      </w:r>
    </w:p>
    <w:p w14:paraId="00585B3C" w14:textId="77777777" w:rsidR="00003636" w:rsidRPr="00003636" w:rsidRDefault="00003636" w:rsidP="00003636">
      <w:pPr>
        <w:spacing w:line="480" w:lineRule="auto"/>
        <w:rPr>
          <w:rFonts w:cs="Arial"/>
          <w:sz w:val="22"/>
          <w:szCs w:val="22"/>
        </w:rPr>
      </w:pPr>
      <w:r w:rsidRPr="009D56AB">
        <w:rPr>
          <w:rFonts w:cs="Arial"/>
          <w:sz w:val="22"/>
          <w:szCs w:val="22"/>
        </w:rPr>
        <w:t>Declaration of interests: This article was prepared while Dr. Cindy Chang was employed at the National Cancer Institute</w:t>
      </w:r>
      <w:r w:rsidR="009B3B31">
        <w:rPr>
          <w:rFonts w:cs="Arial"/>
          <w:sz w:val="22"/>
          <w:szCs w:val="22"/>
        </w:rPr>
        <w:t>.</w:t>
      </w:r>
    </w:p>
    <w:p w14:paraId="58B0CEA8" w14:textId="77777777" w:rsidR="00003636" w:rsidRPr="00003636" w:rsidRDefault="00003636" w:rsidP="00003636">
      <w:pPr>
        <w:spacing w:line="480" w:lineRule="auto"/>
        <w:rPr>
          <w:sz w:val="22"/>
          <w:szCs w:val="22"/>
        </w:rPr>
      </w:pPr>
    </w:p>
    <w:p w14:paraId="11F4F647" w14:textId="37261DED" w:rsidR="00003636" w:rsidRPr="0043632D" w:rsidRDefault="009B3B31" w:rsidP="00106CB1">
      <w:pPr>
        <w:spacing w:line="480" w:lineRule="auto"/>
        <w:rPr>
          <w:rFonts w:cs="Arial"/>
          <w:b/>
          <w:sz w:val="22"/>
          <w:szCs w:val="22"/>
          <w:u w:val="single"/>
        </w:rPr>
      </w:pPr>
      <w:commentRangeStart w:id="9"/>
      <w:r w:rsidRPr="0043632D">
        <w:rPr>
          <w:rFonts w:cs="Arial"/>
          <w:b/>
          <w:sz w:val="22"/>
          <w:szCs w:val="22"/>
          <w:u w:val="single"/>
        </w:rPr>
        <w:t>Funding</w:t>
      </w:r>
      <w:commentRangeEnd w:id="9"/>
      <w:r w:rsidR="00EC7030">
        <w:rPr>
          <w:rStyle w:val="CommentReference"/>
        </w:rPr>
        <w:commentReference w:id="9"/>
      </w:r>
    </w:p>
    <w:p w14:paraId="7D98AB3A" w14:textId="0DAFFAFE" w:rsidR="009B3B31" w:rsidRPr="0043632D" w:rsidRDefault="009429DA" w:rsidP="00106CB1">
      <w:pPr>
        <w:spacing w:line="480" w:lineRule="auto"/>
        <w:rPr>
          <w:rFonts w:cs="Arial"/>
          <w:sz w:val="22"/>
          <w:szCs w:val="22"/>
          <w:u w:val="single"/>
        </w:rPr>
      </w:pPr>
      <w:r w:rsidRPr="0043632D">
        <w:rPr>
          <w:rFonts w:cs="Arial"/>
          <w:sz w:val="22"/>
          <w:szCs w:val="22"/>
        </w:rPr>
        <w:t xml:space="preserve">This study was supported </w:t>
      </w:r>
      <w:r w:rsidR="00CA1B2E" w:rsidRPr="0043632D">
        <w:rPr>
          <w:rFonts w:cs="Arial"/>
          <w:sz w:val="22"/>
          <w:szCs w:val="22"/>
        </w:rPr>
        <w:t xml:space="preserve">in part </w:t>
      </w:r>
      <w:r w:rsidR="00CA1B2E" w:rsidRPr="0043632D">
        <w:rPr>
          <w:rFonts w:cs="Arial"/>
          <w:color w:val="13273C"/>
          <w:sz w:val="22"/>
          <w:szCs w:val="22"/>
          <w:shd w:val="clear" w:color="auto" w:fill="FFFFFF"/>
        </w:rPr>
        <w:t>by award number </w:t>
      </w:r>
      <w:r w:rsidR="00CA1B2E" w:rsidRPr="00B666FC">
        <w:rPr>
          <w:rFonts w:cs="Arial"/>
          <w:sz w:val="22"/>
          <w:szCs w:val="22"/>
        </w:rPr>
        <w:t>N01-CN-75014-20</w:t>
      </w:r>
      <w:r w:rsidR="00CA1B2E">
        <w:rPr>
          <w:rFonts w:cs="Arial"/>
          <w:sz w:val="22"/>
          <w:szCs w:val="22"/>
        </w:rPr>
        <w:t xml:space="preserve"> and </w:t>
      </w:r>
      <w:r w:rsidR="00CA1B2E" w:rsidRPr="0043632D">
        <w:rPr>
          <w:rFonts w:cs="Arial"/>
          <w:sz w:val="22"/>
          <w:szCs w:val="22"/>
          <w:shd w:val="clear" w:color="auto" w:fill="FFFFFF"/>
        </w:rPr>
        <w:t>P30CA014089 fr</w:t>
      </w:r>
      <w:r w:rsidR="00CA1B2E" w:rsidRPr="0043632D">
        <w:rPr>
          <w:rFonts w:cs="Arial"/>
          <w:color w:val="13273C"/>
          <w:sz w:val="22"/>
          <w:szCs w:val="22"/>
          <w:shd w:val="clear" w:color="auto" w:fill="FFFFFF"/>
        </w:rPr>
        <w:t>om the National Cancer Institute. The content is solely the responsibility of the authors and does not necessarily represent the official views of the National Cancer Institute or the National Institutes of Health.</w:t>
      </w:r>
    </w:p>
    <w:p w14:paraId="64EDBB11" w14:textId="77777777" w:rsidR="00CA1B2E" w:rsidRPr="0043632D" w:rsidRDefault="009B3B31" w:rsidP="00106CB1">
      <w:pPr>
        <w:spacing w:line="480" w:lineRule="auto"/>
        <w:rPr>
          <w:b/>
          <w:sz w:val="22"/>
          <w:szCs w:val="22"/>
          <w:u w:val="single"/>
        </w:rPr>
      </w:pPr>
      <w:commentRangeStart w:id="10"/>
      <w:r w:rsidRPr="0043632D">
        <w:rPr>
          <w:b/>
          <w:sz w:val="22"/>
          <w:szCs w:val="22"/>
          <w:u w:val="single"/>
        </w:rPr>
        <w:t>Acknowledgements</w:t>
      </w:r>
      <w:commentRangeEnd w:id="10"/>
      <w:r w:rsidR="00EC7030">
        <w:rPr>
          <w:rStyle w:val="CommentReference"/>
        </w:rPr>
        <w:commentReference w:id="10"/>
      </w:r>
    </w:p>
    <w:p w14:paraId="0F2E63B4" w14:textId="333C905B" w:rsidR="009B3B31" w:rsidRPr="0043632D" w:rsidRDefault="00CA1B2E" w:rsidP="00106CB1">
      <w:pPr>
        <w:spacing w:line="480" w:lineRule="auto"/>
        <w:rPr>
          <w:b/>
          <w:u w:val="single"/>
        </w:rPr>
      </w:pPr>
      <w:r w:rsidRPr="0043632D">
        <w:rPr>
          <w:sz w:val="22"/>
          <w:szCs w:val="22"/>
        </w:rPr>
        <w:lastRenderedPageBreak/>
        <w:t xml:space="preserve">The authors would like to thank Annalie Landgren and Aaron Norman for supporting the InterLymph Consortium. In addition, the authors would like the acknowledge the support of the InterLymph Data Coordinating Center at Mayo Clinic. </w:t>
      </w:r>
    </w:p>
    <w:p w14:paraId="01B3B2C8" w14:textId="77777777" w:rsidR="00003636" w:rsidRPr="009509EA" w:rsidRDefault="00003636" w:rsidP="00106CB1">
      <w:pPr>
        <w:spacing w:line="480" w:lineRule="auto"/>
        <w:rPr>
          <w:b/>
          <w:u w:val="single"/>
        </w:rPr>
      </w:pPr>
    </w:p>
    <w:p w14:paraId="65DE5395" w14:textId="77777777" w:rsidR="00B74FCA" w:rsidRPr="00106CB1" w:rsidRDefault="009D56AB" w:rsidP="00106CB1">
      <w:pPr>
        <w:spacing w:line="480" w:lineRule="auto"/>
        <w:rPr>
          <w:b/>
          <w:u w:val="single"/>
        </w:rPr>
      </w:pPr>
      <w:r>
        <w:rPr>
          <w:b/>
          <w:u w:val="single"/>
        </w:rPr>
        <w:br w:type="column"/>
      </w:r>
      <w:r w:rsidR="00B74FCA" w:rsidRPr="00106CB1">
        <w:rPr>
          <w:b/>
          <w:u w:val="single"/>
        </w:rPr>
        <w:lastRenderedPageBreak/>
        <w:t>Abstract</w:t>
      </w:r>
    </w:p>
    <w:p w14:paraId="1D396C6D" w14:textId="3FFAAF9C" w:rsidR="00920D50" w:rsidRDefault="00B955AE" w:rsidP="00106CB1">
      <w:pPr>
        <w:spacing w:line="480" w:lineRule="auto"/>
        <w:rPr>
          <w:rFonts w:eastAsia="MS Mincho" w:cs="Arial"/>
        </w:rPr>
      </w:pPr>
      <w:r>
        <w:rPr>
          <w:rStyle w:val="Heading3Char"/>
        </w:rPr>
        <w:t>Background</w:t>
      </w:r>
      <w:r w:rsidR="00B74FCA" w:rsidRPr="00B74FCA">
        <w:rPr>
          <w:rFonts w:eastAsia="MS Mincho" w:cs="Arial"/>
          <w:b/>
          <w:caps/>
        </w:rPr>
        <w:t>:</w:t>
      </w:r>
      <w:r w:rsidR="00B74FCA" w:rsidRPr="00B74FCA">
        <w:rPr>
          <w:rFonts w:eastAsia="MS Mincho" w:cs="Arial"/>
        </w:rPr>
        <w:t xml:space="preserve"> </w:t>
      </w:r>
      <w:r w:rsidR="00A72C84">
        <w:rPr>
          <w:rFonts w:eastAsia="MS Mincho" w:cs="Arial"/>
        </w:rPr>
        <w:t>We</w:t>
      </w:r>
      <w:r w:rsidR="00B74FCA" w:rsidRPr="00B74FCA">
        <w:rPr>
          <w:rFonts w:eastAsia="MS Mincho" w:cs="Arial"/>
        </w:rPr>
        <w:t xml:space="preserve"> explored </w:t>
      </w:r>
      <w:r w:rsidR="005F44A1">
        <w:rPr>
          <w:rFonts w:eastAsia="MS Mincho" w:cs="Arial"/>
        </w:rPr>
        <w:t xml:space="preserve">the </w:t>
      </w:r>
      <w:r w:rsidR="00A72C84">
        <w:rPr>
          <w:rFonts w:eastAsia="MS Mincho" w:cs="Arial"/>
        </w:rPr>
        <w:t>interaction</w:t>
      </w:r>
      <w:r w:rsidR="00A72C84" w:rsidRPr="00B74FCA">
        <w:rPr>
          <w:rFonts w:eastAsia="MS Mincho" w:cs="Arial"/>
        </w:rPr>
        <w:t xml:space="preserve"> </w:t>
      </w:r>
      <w:r w:rsidR="00B74FCA" w:rsidRPr="00B74FCA">
        <w:rPr>
          <w:rFonts w:eastAsia="MS Mincho" w:cs="Arial"/>
        </w:rPr>
        <w:t>between</w:t>
      </w:r>
      <w:r w:rsidR="00082A9A">
        <w:rPr>
          <w:rFonts w:eastAsia="MS Mincho" w:cs="Arial"/>
        </w:rPr>
        <w:t xml:space="preserve"> non-Hodgkin lymphoma (</w:t>
      </w:r>
      <w:r w:rsidR="00B74FCA" w:rsidRPr="00B74FCA">
        <w:rPr>
          <w:rFonts w:eastAsia="MS Mincho" w:cs="Arial"/>
        </w:rPr>
        <w:t>NHL</w:t>
      </w:r>
      <w:r w:rsidR="00082A9A">
        <w:rPr>
          <w:rFonts w:eastAsia="MS Mincho" w:cs="Arial"/>
        </w:rPr>
        <w:t>)</w:t>
      </w:r>
      <w:r w:rsidR="00C64AED">
        <w:rPr>
          <w:rFonts w:eastAsia="MS Mincho" w:cs="Arial"/>
        </w:rPr>
        <w:t>,</w:t>
      </w:r>
      <w:r w:rsidR="00B74FCA" w:rsidRPr="00B74FCA">
        <w:rPr>
          <w:rFonts w:eastAsia="MS Mincho" w:cs="Arial"/>
        </w:rPr>
        <w:t xml:space="preserve"> </w:t>
      </w:r>
      <w:r w:rsidR="00082A9A">
        <w:rPr>
          <w:rFonts w:eastAsia="MS Mincho" w:cs="Arial"/>
        </w:rPr>
        <w:t>infectious mononucleosis (</w:t>
      </w:r>
      <w:r w:rsidR="00B74FCA" w:rsidRPr="00B74FCA">
        <w:rPr>
          <w:rFonts w:eastAsia="MS Mincho" w:cs="Arial"/>
        </w:rPr>
        <w:t>IM</w:t>
      </w:r>
      <w:r w:rsidR="00082A9A">
        <w:rPr>
          <w:rFonts w:eastAsia="MS Mincho" w:cs="Arial"/>
        </w:rPr>
        <w:t>)</w:t>
      </w:r>
      <w:r w:rsidR="00B74FCA" w:rsidRPr="00B74FCA">
        <w:rPr>
          <w:rFonts w:eastAsia="MS Mincho" w:cs="Arial"/>
        </w:rPr>
        <w:t xml:space="preserve"> history, and</w:t>
      </w:r>
      <w:r w:rsidR="00DF0B0D">
        <w:rPr>
          <w:rFonts w:eastAsia="MS Mincho" w:cs="Arial"/>
        </w:rPr>
        <w:t xml:space="preserve"> </w:t>
      </w:r>
      <w:r w:rsidR="00B74FCA" w:rsidRPr="00B74FCA">
        <w:rPr>
          <w:rFonts w:eastAsia="MS Mincho" w:cs="Arial"/>
        </w:rPr>
        <w:t xml:space="preserve">immune-related </w:t>
      </w:r>
      <w:r w:rsidR="00CB43A2">
        <w:rPr>
          <w:rFonts w:eastAsia="MS Mincho" w:cs="Arial"/>
        </w:rPr>
        <w:t xml:space="preserve">genotypes </w:t>
      </w:r>
      <w:r w:rsidR="007346A9">
        <w:rPr>
          <w:rFonts w:eastAsia="MS Mincho" w:cs="Arial"/>
        </w:rPr>
        <w:t>in a</w:t>
      </w:r>
      <w:r w:rsidR="002B1606">
        <w:rPr>
          <w:rFonts w:eastAsia="MS Mincho" w:cs="Arial"/>
        </w:rPr>
        <w:t xml:space="preserve"> </w:t>
      </w:r>
      <w:r w:rsidR="00F31630">
        <w:rPr>
          <w:rFonts w:eastAsia="MS Mincho" w:cs="Arial"/>
        </w:rPr>
        <w:t xml:space="preserve">pooled </w:t>
      </w:r>
      <w:r w:rsidR="00DF0B0D">
        <w:rPr>
          <w:rFonts w:eastAsia="MS Mincho" w:cs="Arial"/>
        </w:rPr>
        <w:t xml:space="preserve">case-control </w:t>
      </w:r>
      <w:r w:rsidR="007346A9">
        <w:rPr>
          <w:rFonts w:eastAsia="MS Mincho" w:cs="Arial"/>
        </w:rPr>
        <w:t>analysis</w:t>
      </w:r>
      <w:r w:rsidR="00B74FCA" w:rsidRPr="00B74FCA">
        <w:rPr>
          <w:rFonts w:eastAsia="MS Mincho" w:cs="Arial"/>
        </w:rPr>
        <w:t>.</w:t>
      </w:r>
      <w:r w:rsidR="00994E69" w:rsidRPr="00994E69">
        <w:rPr>
          <w:rFonts w:eastAsia="MS Mincho" w:cs="Arial"/>
        </w:rPr>
        <w:t xml:space="preserve"> </w:t>
      </w:r>
      <w:r w:rsidR="00B74FCA" w:rsidRPr="00B74FCA">
        <w:rPr>
          <w:rFonts w:eastAsia="MS Mincho" w:cs="Arial"/>
        </w:rPr>
        <w:br/>
      </w:r>
      <w:r w:rsidR="00B74FCA" w:rsidRPr="00887B34">
        <w:rPr>
          <w:rStyle w:val="Heading3Char"/>
        </w:rPr>
        <w:t>Methods</w:t>
      </w:r>
      <w:r w:rsidR="00B74FCA" w:rsidRPr="00B74FCA">
        <w:rPr>
          <w:rFonts w:eastAsia="MS Mincho" w:cs="Arial"/>
          <w:b/>
        </w:rPr>
        <w:t xml:space="preserve">: </w:t>
      </w:r>
      <w:r w:rsidR="00082A9A">
        <w:rPr>
          <w:rFonts w:eastAsia="MS Mincho" w:cs="Arial"/>
        </w:rPr>
        <w:t>7926</w:t>
      </w:r>
      <w:r w:rsidR="00774CDC">
        <w:rPr>
          <w:rFonts w:eastAsia="MS Mincho" w:cs="Arial"/>
        </w:rPr>
        <w:t xml:space="preserve"> </w:t>
      </w:r>
      <w:r w:rsidR="00B74FCA" w:rsidRPr="00B74FCA">
        <w:rPr>
          <w:rFonts w:eastAsia="MS Mincho" w:cs="Arial"/>
        </w:rPr>
        <w:t xml:space="preserve">NHL </w:t>
      </w:r>
      <w:r w:rsidR="00550C0F">
        <w:rPr>
          <w:rFonts w:eastAsia="MS Mincho" w:cs="Arial"/>
        </w:rPr>
        <w:t>patients</w:t>
      </w:r>
      <w:r w:rsidR="00550C0F" w:rsidRPr="00B74FCA">
        <w:rPr>
          <w:rFonts w:eastAsia="MS Mincho" w:cs="Arial"/>
        </w:rPr>
        <w:t xml:space="preserve"> </w:t>
      </w:r>
      <w:r w:rsidR="00B74FCA" w:rsidRPr="00B74FCA">
        <w:rPr>
          <w:rFonts w:eastAsia="MS Mincho" w:cs="Arial"/>
        </w:rPr>
        <w:t xml:space="preserve">and </w:t>
      </w:r>
      <w:r w:rsidR="003311EB">
        <w:rPr>
          <w:rFonts w:eastAsia="MS Mincho" w:cs="Arial"/>
        </w:rPr>
        <w:t>10</w:t>
      </w:r>
      <w:r w:rsidR="00C64AED">
        <w:rPr>
          <w:rFonts w:eastAsia="MS Mincho" w:cs="Arial"/>
        </w:rPr>
        <w:t xml:space="preserve"> </w:t>
      </w:r>
      <w:r w:rsidR="00082A9A">
        <w:rPr>
          <w:rFonts w:eastAsia="MS Mincho" w:cs="Arial"/>
        </w:rPr>
        <w:t>018</w:t>
      </w:r>
      <w:r w:rsidR="00F44DC1">
        <w:rPr>
          <w:rFonts w:eastAsia="MS Mincho" w:cs="Arial"/>
        </w:rPr>
        <w:t xml:space="preserve"> </w:t>
      </w:r>
      <w:r w:rsidR="00DE45CB">
        <w:rPr>
          <w:rFonts w:eastAsia="MS Mincho" w:cs="Arial"/>
        </w:rPr>
        <w:t>controls</w:t>
      </w:r>
      <w:r w:rsidR="00B74FCA" w:rsidRPr="00B74FCA">
        <w:rPr>
          <w:rFonts w:eastAsia="MS Mincho" w:cs="Arial"/>
        </w:rPr>
        <w:t xml:space="preserve"> from </w:t>
      </w:r>
      <w:r w:rsidR="00695825">
        <w:rPr>
          <w:rFonts w:eastAsia="MS Mincho" w:cs="Arial"/>
        </w:rPr>
        <w:t>1</w:t>
      </w:r>
      <w:r w:rsidR="00082A9A">
        <w:rPr>
          <w:rFonts w:eastAsia="MS Mincho" w:cs="Arial"/>
        </w:rPr>
        <w:t>2</w:t>
      </w:r>
      <w:r w:rsidR="007346A9">
        <w:rPr>
          <w:rFonts w:eastAsia="MS Mincho" w:cs="Arial"/>
        </w:rPr>
        <w:t xml:space="preserve"> </w:t>
      </w:r>
      <w:r w:rsidR="00B74FCA" w:rsidRPr="00B74FCA">
        <w:rPr>
          <w:rFonts w:eastAsia="MS Mincho" w:cs="Arial"/>
        </w:rPr>
        <w:t>studies</w:t>
      </w:r>
      <w:r w:rsidR="007528ED">
        <w:rPr>
          <w:rFonts w:eastAsia="MS Mincho" w:cs="Arial"/>
        </w:rPr>
        <w:t xml:space="preserve"> were included</w:t>
      </w:r>
      <w:r w:rsidR="00B12F52">
        <w:rPr>
          <w:rFonts w:eastAsia="MS Mincho" w:cs="Arial"/>
        </w:rPr>
        <w:t xml:space="preserve">. </w:t>
      </w:r>
      <w:r w:rsidR="007528ED">
        <w:rPr>
          <w:rFonts w:eastAsia="MS Mincho" w:cs="Arial"/>
        </w:rPr>
        <w:t xml:space="preserve">Self-reported </w:t>
      </w:r>
      <w:r w:rsidR="00695825">
        <w:rPr>
          <w:rFonts w:eastAsia="MS Mincho" w:cs="Arial"/>
        </w:rPr>
        <w:t xml:space="preserve">IM history and </w:t>
      </w:r>
      <w:r w:rsidR="00720074">
        <w:rPr>
          <w:rFonts w:eastAsia="MS Mincho" w:cs="Arial"/>
        </w:rPr>
        <w:t>genotype</w:t>
      </w:r>
      <w:r w:rsidR="00994B2F">
        <w:rPr>
          <w:rFonts w:eastAsia="MS Mincho" w:cs="Arial"/>
        </w:rPr>
        <w:t>s</w:t>
      </w:r>
      <w:r w:rsidR="00D8598A">
        <w:rPr>
          <w:rFonts w:eastAsia="MS Mincho" w:cs="Arial"/>
        </w:rPr>
        <w:t xml:space="preserve"> </w:t>
      </w:r>
      <w:r w:rsidR="004D0DD0">
        <w:rPr>
          <w:rFonts w:eastAsia="MS Mincho" w:cs="Arial"/>
        </w:rPr>
        <w:t>were provided by</w:t>
      </w:r>
      <w:r w:rsidR="00695825">
        <w:rPr>
          <w:rFonts w:eastAsia="MS Mincho" w:cs="Arial"/>
        </w:rPr>
        <w:t xml:space="preserve"> the InterLymph Data Coordinating Center at Mayo Clinic. </w:t>
      </w:r>
      <w:r w:rsidR="00F31630">
        <w:rPr>
          <w:rFonts w:eastAsia="MS Mincho" w:cs="Arial"/>
        </w:rPr>
        <w:t xml:space="preserve">Odds ratios </w:t>
      </w:r>
      <w:r w:rsidR="005B315E">
        <w:rPr>
          <w:rFonts w:eastAsia="MS Mincho" w:cs="Arial"/>
        </w:rPr>
        <w:t>(</w:t>
      </w:r>
      <w:r w:rsidR="00994B2F">
        <w:rPr>
          <w:rFonts w:eastAsia="MS Mincho" w:cs="Arial"/>
        </w:rPr>
        <w:t>OR</w:t>
      </w:r>
      <w:r w:rsidR="005B315E">
        <w:rPr>
          <w:rFonts w:eastAsia="MS Mincho" w:cs="Arial"/>
        </w:rPr>
        <w:t>)</w:t>
      </w:r>
      <w:r w:rsidR="00994B2F">
        <w:rPr>
          <w:rFonts w:eastAsia="MS Mincho" w:cs="Arial"/>
        </w:rPr>
        <w:t xml:space="preserve"> </w:t>
      </w:r>
      <w:r w:rsidR="007C78B5">
        <w:rPr>
          <w:rFonts w:eastAsia="MS Mincho" w:cs="Arial"/>
        </w:rPr>
        <w:t>were estimated using m</w:t>
      </w:r>
      <w:r w:rsidR="00B74FCA" w:rsidRPr="00B74FCA">
        <w:rPr>
          <w:rFonts w:eastAsia="MS Mincho" w:cs="Arial"/>
        </w:rPr>
        <w:t>ultivariate logistic and linear regression</w:t>
      </w:r>
      <w:r w:rsidR="00710011">
        <w:rPr>
          <w:rFonts w:eastAsia="MS Mincho" w:cs="Arial"/>
        </w:rPr>
        <w:t>,</w:t>
      </w:r>
      <w:r w:rsidR="00DF0B0D">
        <w:rPr>
          <w:rFonts w:eastAsia="MS Mincho" w:cs="Arial"/>
        </w:rPr>
        <w:t xml:space="preserve"> and </w:t>
      </w:r>
      <w:r w:rsidR="007C78B5">
        <w:rPr>
          <w:rFonts w:eastAsia="MS Mincho" w:cs="Arial"/>
        </w:rPr>
        <w:t xml:space="preserve">interactions </w:t>
      </w:r>
      <w:r w:rsidR="00994B2F">
        <w:rPr>
          <w:rFonts w:eastAsia="MS Mincho" w:cs="Arial"/>
        </w:rPr>
        <w:t xml:space="preserve">with </w:t>
      </w:r>
      <w:r w:rsidR="00DF0B0D">
        <w:rPr>
          <w:rFonts w:eastAsia="MS Mincho" w:cs="Arial"/>
        </w:rPr>
        <w:t>the empirical Bayes method</w:t>
      </w:r>
      <w:r w:rsidR="00994B2F">
        <w:rPr>
          <w:rFonts w:eastAsia="MS Mincho" w:cs="Arial"/>
        </w:rPr>
        <w:t xml:space="preserve">. </w:t>
      </w:r>
      <w:r w:rsidR="00710011">
        <w:rPr>
          <w:rFonts w:eastAsia="MS Mincho" w:cs="Arial"/>
        </w:rPr>
        <w:t>Bonferroni corrections</w:t>
      </w:r>
      <w:r w:rsidR="000C120B">
        <w:rPr>
          <w:rFonts w:eastAsia="MS Mincho" w:cs="Arial"/>
        </w:rPr>
        <w:t xml:space="preserve"> </w:t>
      </w:r>
      <w:r w:rsidR="00710011">
        <w:rPr>
          <w:rFonts w:eastAsia="MS Mincho" w:cs="Arial"/>
        </w:rPr>
        <w:t>and p</w:t>
      </w:r>
      <w:r w:rsidR="00710011" w:rsidRPr="001456E8">
        <w:rPr>
          <w:rFonts w:eastAsia="MS Mincho" w:cs="Arial"/>
          <w:vertAlign w:val="subscript"/>
        </w:rPr>
        <w:t>ACT</w:t>
      </w:r>
      <w:r w:rsidR="00710011">
        <w:rPr>
          <w:rFonts w:eastAsia="MS Mincho" w:cs="Arial"/>
        </w:rPr>
        <w:t xml:space="preserve"> </w:t>
      </w:r>
      <w:r w:rsidR="00994B2F">
        <w:rPr>
          <w:rFonts w:eastAsia="MS Mincho" w:cs="Arial"/>
        </w:rPr>
        <w:t xml:space="preserve"> were used</w:t>
      </w:r>
      <w:r w:rsidR="000C120B">
        <w:rPr>
          <w:rFonts w:eastAsia="MS Mincho" w:cs="Arial"/>
        </w:rPr>
        <w:t xml:space="preserve"> </w:t>
      </w:r>
      <w:r w:rsidR="006233C8">
        <w:rPr>
          <w:rFonts w:eastAsia="MS Mincho" w:cs="Arial"/>
        </w:rPr>
        <w:t xml:space="preserve">to account for </w:t>
      </w:r>
      <w:r w:rsidR="000C120B">
        <w:rPr>
          <w:rFonts w:eastAsia="MS Mincho" w:cs="Arial"/>
        </w:rPr>
        <w:t>multiple comparisons</w:t>
      </w:r>
      <w:r w:rsidR="00DF0B0D">
        <w:rPr>
          <w:rFonts w:eastAsia="MS Mincho" w:cs="Arial"/>
        </w:rPr>
        <w:t xml:space="preserve">. </w:t>
      </w:r>
      <w:r w:rsidR="00B74FCA" w:rsidRPr="00B74FCA">
        <w:rPr>
          <w:rFonts w:eastAsia="MS Mincho" w:cs="Arial"/>
        </w:rPr>
        <w:br/>
      </w:r>
      <w:r w:rsidR="00B74FCA" w:rsidRPr="00887B34">
        <w:rPr>
          <w:rStyle w:val="Heading3Char"/>
        </w:rPr>
        <w:t>Results</w:t>
      </w:r>
      <w:r w:rsidR="00B74FCA" w:rsidRPr="00B74FCA">
        <w:rPr>
          <w:rFonts w:eastAsia="MS Mincho" w:cs="Arial"/>
          <w:b/>
        </w:rPr>
        <w:t>:</w:t>
      </w:r>
      <w:r w:rsidR="00011D3F">
        <w:rPr>
          <w:rFonts w:eastAsia="MS Mincho" w:cs="Arial"/>
        </w:rPr>
        <w:t xml:space="preserve"> </w:t>
      </w:r>
      <w:r w:rsidR="005F44A1">
        <w:rPr>
          <w:rFonts w:eastAsia="MS Mincho" w:cs="Arial"/>
        </w:rPr>
        <w:t xml:space="preserve">There </w:t>
      </w:r>
      <w:r w:rsidR="0072463B">
        <w:rPr>
          <w:rFonts w:eastAsia="MS Mincho" w:cs="Arial"/>
        </w:rPr>
        <w:t xml:space="preserve">was </w:t>
      </w:r>
      <w:r w:rsidR="0090063C">
        <w:rPr>
          <w:rFonts w:eastAsia="MS Mincho" w:cs="Arial"/>
        </w:rPr>
        <w:t xml:space="preserve">evidence of </w:t>
      </w:r>
      <w:r w:rsidR="007D2891">
        <w:rPr>
          <w:rFonts w:eastAsia="MS Mincho" w:cs="Arial"/>
        </w:rPr>
        <w:t xml:space="preserve">an </w:t>
      </w:r>
      <w:r w:rsidR="0072463B">
        <w:rPr>
          <w:rFonts w:eastAsia="MS Mincho" w:cs="Arial"/>
        </w:rPr>
        <w:t xml:space="preserve">interaction </w:t>
      </w:r>
      <w:r w:rsidR="0018483B">
        <w:rPr>
          <w:rFonts w:eastAsia="MS Mincho" w:cs="Arial"/>
        </w:rPr>
        <w:t xml:space="preserve">effect </w:t>
      </w:r>
      <w:r w:rsidR="0072463B">
        <w:rPr>
          <w:rFonts w:eastAsia="MS Mincho" w:cs="Arial"/>
        </w:rPr>
        <w:t>between</w:t>
      </w:r>
      <w:r w:rsidR="001C386B">
        <w:rPr>
          <w:rFonts w:eastAsia="MS Mincho" w:cs="Arial"/>
        </w:rPr>
        <w:t xml:space="preserve"> IM history and</w:t>
      </w:r>
      <w:r w:rsidR="0072463B">
        <w:rPr>
          <w:rFonts w:eastAsia="MS Mincho" w:cs="Arial"/>
        </w:rPr>
        <w:t xml:space="preserve"> </w:t>
      </w:r>
      <w:r w:rsidR="00B956AE">
        <w:rPr>
          <w:rFonts w:cs="Arial"/>
        </w:rPr>
        <w:t>two variants on T-cell lymphoma</w:t>
      </w:r>
      <w:r w:rsidR="003365DE">
        <w:rPr>
          <w:rFonts w:cs="Arial"/>
        </w:rPr>
        <w:t xml:space="preserve"> (TCL)</w:t>
      </w:r>
      <w:r w:rsidR="00B956AE">
        <w:rPr>
          <w:rFonts w:cs="Arial"/>
        </w:rPr>
        <w:t xml:space="preserve"> risk: </w:t>
      </w:r>
      <w:r w:rsidR="006233C8">
        <w:rPr>
          <w:rFonts w:cs="Arial"/>
        </w:rPr>
        <w:t xml:space="preserve">rs1143627 </w:t>
      </w:r>
      <w:r w:rsidR="00C97347">
        <w:rPr>
          <w:rFonts w:cs="Arial"/>
        </w:rPr>
        <w:t>in</w:t>
      </w:r>
      <w:r w:rsidR="0072463B">
        <w:rPr>
          <w:rFonts w:cs="Arial"/>
        </w:rPr>
        <w:t xml:space="preserve"> </w:t>
      </w:r>
      <w:r w:rsidR="00C97347" w:rsidRPr="00696B26">
        <w:rPr>
          <w:rFonts w:cs="Arial"/>
          <w:i/>
        </w:rPr>
        <w:t>interleukin</w:t>
      </w:r>
      <w:r w:rsidR="00920D50" w:rsidRPr="00696B26">
        <w:rPr>
          <w:rFonts w:cs="Arial"/>
          <w:i/>
        </w:rPr>
        <w:t>-</w:t>
      </w:r>
      <w:r w:rsidR="009061D6">
        <w:rPr>
          <w:rFonts w:cs="Arial"/>
          <w:i/>
        </w:rPr>
        <w:t>1</w:t>
      </w:r>
      <w:r w:rsidR="00C97347" w:rsidRPr="00696B26">
        <w:rPr>
          <w:rFonts w:cs="Arial"/>
          <w:i/>
        </w:rPr>
        <w:t xml:space="preserve">B </w:t>
      </w:r>
      <w:r w:rsidR="0072463B">
        <w:rPr>
          <w:rFonts w:eastAsia="MS Mincho" w:cs="Arial"/>
        </w:rPr>
        <w:t>(</w:t>
      </w:r>
      <w:r w:rsidR="0018483B">
        <w:rPr>
          <w:rFonts w:eastAsia="MS Mincho" w:cs="Arial"/>
        </w:rPr>
        <w:t>p</w:t>
      </w:r>
      <w:r w:rsidR="0072463B" w:rsidRPr="00011D3F">
        <w:rPr>
          <w:rFonts w:eastAsia="MS Mincho" w:cs="Arial"/>
          <w:vertAlign w:val="subscript"/>
        </w:rPr>
        <w:t>interaction</w:t>
      </w:r>
      <w:r w:rsidR="0072463B">
        <w:rPr>
          <w:rFonts w:eastAsia="MS Mincho" w:cs="Arial"/>
        </w:rPr>
        <w:t>= 0</w:t>
      </w:r>
      <w:r w:rsidR="006233C8">
        <w:rPr>
          <w:rFonts w:eastAsia="MS Mincho" w:cs="Arial"/>
        </w:rPr>
        <w:t>.02, OR</w:t>
      </w:r>
      <w:r w:rsidR="006233C8" w:rsidRPr="00696B26">
        <w:rPr>
          <w:rFonts w:eastAsia="MS Mincho" w:cs="Arial"/>
          <w:vertAlign w:val="subscript"/>
        </w:rPr>
        <w:t>interaction</w:t>
      </w:r>
      <w:r w:rsidR="006F2BA3">
        <w:rPr>
          <w:rFonts w:eastAsia="MS Mincho" w:cs="Arial"/>
          <w:vertAlign w:val="subscript"/>
        </w:rPr>
        <w:t xml:space="preserve"> </w:t>
      </w:r>
      <w:r w:rsidR="006233C8">
        <w:rPr>
          <w:rFonts w:eastAsia="MS Mincho" w:cs="Arial"/>
        </w:rPr>
        <w:t>=</w:t>
      </w:r>
      <w:r w:rsidR="006F2BA3">
        <w:rPr>
          <w:rFonts w:eastAsia="MS Mincho" w:cs="Arial"/>
        </w:rPr>
        <w:t xml:space="preserve"> </w:t>
      </w:r>
      <w:r w:rsidR="006233C8">
        <w:rPr>
          <w:rFonts w:eastAsia="MS Mincho" w:cs="Arial"/>
        </w:rPr>
        <w:t xml:space="preserve">0.09, 95% confidence </w:t>
      </w:r>
      <w:r w:rsidR="005B315E">
        <w:rPr>
          <w:rFonts w:eastAsia="MS Mincho" w:cs="Arial"/>
        </w:rPr>
        <w:t>interval</w:t>
      </w:r>
      <w:r w:rsidR="006233C8">
        <w:rPr>
          <w:rFonts w:eastAsia="MS Mincho" w:cs="Arial"/>
        </w:rPr>
        <w:t xml:space="preserve"> [CI]</w:t>
      </w:r>
      <w:r w:rsidR="006F2BA3">
        <w:rPr>
          <w:rFonts w:eastAsia="MS Mincho" w:cs="Arial"/>
        </w:rPr>
        <w:t xml:space="preserve"> </w:t>
      </w:r>
      <w:r w:rsidR="006233C8">
        <w:rPr>
          <w:rFonts w:eastAsia="MS Mincho" w:cs="Arial"/>
        </w:rPr>
        <w:t>=</w:t>
      </w:r>
      <w:r w:rsidR="006F2BA3">
        <w:rPr>
          <w:rFonts w:eastAsia="MS Mincho" w:cs="Arial"/>
        </w:rPr>
        <w:t xml:space="preserve"> </w:t>
      </w:r>
      <w:r w:rsidR="006233C8">
        <w:rPr>
          <w:rFonts w:eastAsia="MS Mincho" w:cs="Arial"/>
        </w:rPr>
        <w:t>0.01, 0.87</w:t>
      </w:r>
      <w:r w:rsidR="0072463B">
        <w:rPr>
          <w:rFonts w:eastAsia="MS Mincho" w:cs="Arial"/>
        </w:rPr>
        <w:t>)</w:t>
      </w:r>
      <w:r w:rsidR="001C386B">
        <w:rPr>
          <w:rFonts w:eastAsia="MS Mincho" w:cs="Arial"/>
        </w:rPr>
        <w:t xml:space="preserve"> </w:t>
      </w:r>
      <w:r w:rsidR="009061D6">
        <w:rPr>
          <w:rFonts w:eastAsia="MS Mincho" w:cs="Arial"/>
        </w:rPr>
        <w:t xml:space="preserve">and </w:t>
      </w:r>
      <w:r w:rsidR="009061D6" w:rsidRPr="009061D6">
        <w:rPr>
          <w:rFonts w:eastAsia="MS Mincho" w:cs="Arial"/>
        </w:rPr>
        <w:t>rs1800797</w:t>
      </w:r>
      <w:r w:rsidR="009061D6">
        <w:rPr>
          <w:rFonts w:eastAsia="MS Mincho" w:cs="Arial"/>
        </w:rPr>
        <w:t xml:space="preserve"> in </w:t>
      </w:r>
      <w:r w:rsidR="009061D6" w:rsidRPr="00264646">
        <w:rPr>
          <w:rFonts w:cs="Arial"/>
          <w:i/>
        </w:rPr>
        <w:t>interleukin-</w:t>
      </w:r>
      <w:r w:rsidR="009061D6">
        <w:rPr>
          <w:rFonts w:cs="Arial"/>
          <w:i/>
        </w:rPr>
        <w:t>6</w:t>
      </w:r>
      <w:r w:rsidR="00B956AE" w:rsidRPr="00696B26">
        <w:rPr>
          <w:rFonts w:cs="Arial"/>
        </w:rPr>
        <w:t xml:space="preserve"> (</w:t>
      </w:r>
      <w:r w:rsidR="00B956AE">
        <w:rPr>
          <w:rFonts w:eastAsia="MS Mincho" w:cs="Arial"/>
        </w:rPr>
        <w:t>p</w:t>
      </w:r>
      <w:r w:rsidR="00B956AE" w:rsidRPr="00011D3F">
        <w:rPr>
          <w:rFonts w:eastAsia="MS Mincho" w:cs="Arial"/>
          <w:vertAlign w:val="subscript"/>
        </w:rPr>
        <w:t>interaction</w:t>
      </w:r>
      <w:r w:rsidR="006F2BA3">
        <w:rPr>
          <w:rFonts w:eastAsia="MS Mincho" w:cs="Arial"/>
          <w:vertAlign w:val="subscript"/>
        </w:rPr>
        <w:t xml:space="preserve"> </w:t>
      </w:r>
      <w:r w:rsidR="00B956AE">
        <w:rPr>
          <w:rFonts w:eastAsia="MS Mincho" w:cs="Arial"/>
        </w:rPr>
        <w:t>= 0.02, OR</w:t>
      </w:r>
      <w:r w:rsidR="00B956AE" w:rsidRPr="00264646">
        <w:rPr>
          <w:rFonts w:eastAsia="MS Mincho" w:cs="Arial"/>
          <w:vertAlign w:val="subscript"/>
        </w:rPr>
        <w:t>interaction</w:t>
      </w:r>
      <w:r w:rsidR="00B956AE">
        <w:rPr>
          <w:rFonts w:eastAsia="MS Mincho" w:cs="Arial"/>
        </w:rPr>
        <w:t>=0.08, 95% CI</w:t>
      </w:r>
      <w:r w:rsidR="006F2BA3">
        <w:rPr>
          <w:rFonts w:eastAsia="MS Mincho" w:cs="Arial"/>
        </w:rPr>
        <w:t xml:space="preserve"> </w:t>
      </w:r>
      <w:r w:rsidR="00B956AE">
        <w:rPr>
          <w:rFonts w:eastAsia="MS Mincho" w:cs="Arial"/>
        </w:rPr>
        <w:t>=</w:t>
      </w:r>
      <w:r w:rsidR="006F2BA3">
        <w:rPr>
          <w:rFonts w:eastAsia="MS Mincho" w:cs="Arial"/>
        </w:rPr>
        <w:t xml:space="preserve"> </w:t>
      </w:r>
      <w:r w:rsidR="00B956AE">
        <w:rPr>
          <w:rFonts w:eastAsia="MS Mincho" w:cs="Arial"/>
        </w:rPr>
        <w:t>0.01, 0.80). N</w:t>
      </w:r>
      <w:r w:rsidR="0090063C">
        <w:rPr>
          <w:rFonts w:eastAsia="MS Mincho" w:cs="Arial"/>
        </w:rPr>
        <w:t xml:space="preserve">either </w:t>
      </w:r>
      <w:r w:rsidR="00B956AE">
        <w:rPr>
          <w:rFonts w:eastAsia="MS Mincho" w:cs="Arial"/>
        </w:rPr>
        <w:t xml:space="preserve">interaction effect </w:t>
      </w:r>
      <w:r w:rsidR="0018483B">
        <w:rPr>
          <w:rFonts w:eastAsia="MS Mincho" w:cs="Arial"/>
        </w:rPr>
        <w:t>withstood</w:t>
      </w:r>
      <w:r w:rsidR="001C386B">
        <w:rPr>
          <w:rFonts w:eastAsia="MS Mincho" w:cs="Arial"/>
        </w:rPr>
        <w:t xml:space="preserve"> adjustment for multiple comparisons</w:t>
      </w:r>
      <w:r w:rsidR="0072463B">
        <w:rPr>
          <w:rFonts w:eastAsia="MS Mincho" w:cs="Arial"/>
        </w:rPr>
        <w:t>.</w:t>
      </w:r>
      <w:r w:rsidR="00C97347">
        <w:rPr>
          <w:rFonts w:eastAsia="MS Mincho" w:cs="Arial"/>
        </w:rPr>
        <w:t xml:space="preserve"> </w:t>
      </w:r>
      <w:r w:rsidR="00B74FCA" w:rsidRPr="00B74FCA">
        <w:rPr>
          <w:rFonts w:eastAsia="MS Mincho" w:cs="Arial"/>
        </w:rPr>
        <w:t xml:space="preserve"> </w:t>
      </w:r>
      <w:r w:rsidR="00E4277A">
        <w:rPr>
          <w:rFonts w:eastAsia="MS Mincho" w:cs="Arial"/>
        </w:rPr>
        <w:t>Among controls, i</w:t>
      </w:r>
      <w:r w:rsidR="0072463B" w:rsidRPr="00B74FCA">
        <w:rPr>
          <w:rFonts w:eastAsia="MS Mincho" w:cs="Arial"/>
        </w:rPr>
        <w:t>ncreasing socioeconomic status</w:t>
      </w:r>
      <w:r w:rsidR="00920D50">
        <w:rPr>
          <w:rFonts w:eastAsia="MS Mincho" w:cs="Arial"/>
        </w:rPr>
        <w:t xml:space="preserve"> </w:t>
      </w:r>
      <w:r w:rsidR="0072463B">
        <w:rPr>
          <w:rFonts w:eastAsia="MS Mincho" w:cs="Arial"/>
        </w:rPr>
        <w:t>(</w:t>
      </w:r>
      <w:r w:rsidR="00B956AE">
        <w:rPr>
          <w:rFonts w:eastAsia="MS Mincho" w:cs="Arial"/>
        </w:rPr>
        <w:t>OR</w:t>
      </w:r>
      <w:r w:rsidR="006F2BA3">
        <w:rPr>
          <w:rFonts w:eastAsia="MS Mincho" w:cs="Arial"/>
        </w:rPr>
        <w:t xml:space="preserve"> </w:t>
      </w:r>
      <w:r w:rsidR="00B956AE">
        <w:rPr>
          <w:rFonts w:eastAsia="MS Mincho" w:cs="Arial"/>
        </w:rPr>
        <w:t>=</w:t>
      </w:r>
      <w:r w:rsidR="006F2BA3">
        <w:rPr>
          <w:rFonts w:eastAsia="MS Mincho" w:cs="Arial"/>
        </w:rPr>
        <w:t xml:space="preserve"> </w:t>
      </w:r>
      <w:r w:rsidR="00957665" w:rsidRPr="00C521CA">
        <w:rPr>
          <w:rFonts w:eastAsia="MS Mincho" w:cs="Arial"/>
        </w:rPr>
        <w:t>1.</w:t>
      </w:r>
      <w:r w:rsidR="00957665">
        <w:rPr>
          <w:rFonts w:eastAsia="MS Mincho" w:cs="Arial"/>
        </w:rPr>
        <w:t>69, 95% CI</w:t>
      </w:r>
      <w:r w:rsidR="006F2BA3">
        <w:rPr>
          <w:rFonts w:eastAsia="MS Mincho" w:cs="Arial"/>
        </w:rPr>
        <w:t xml:space="preserve"> </w:t>
      </w:r>
      <w:r w:rsidR="006233C8">
        <w:rPr>
          <w:rFonts w:eastAsia="MS Mincho" w:cs="Arial"/>
        </w:rPr>
        <w:t>=</w:t>
      </w:r>
      <w:r w:rsidR="006F2BA3">
        <w:rPr>
          <w:rFonts w:eastAsia="MS Mincho" w:cs="Arial"/>
        </w:rPr>
        <w:t xml:space="preserve"> </w:t>
      </w:r>
      <w:r w:rsidR="00957665" w:rsidRPr="00C521CA">
        <w:rPr>
          <w:rFonts w:eastAsia="MS Mincho" w:cs="Arial"/>
        </w:rPr>
        <w:t>1.</w:t>
      </w:r>
      <w:r w:rsidR="00957665">
        <w:rPr>
          <w:rFonts w:eastAsia="MS Mincho" w:cs="Arial"/>
        </w:rPr>
        <w:t>48</w:t>
      </w:r>
      <w:r w:rsidR="00957665" w:rsidRPr="00C521CA">
        <w:rPr>
          <w:rFonts w:eastAsia="MS Mincho" w:cs="Arial"/>
        </w:rPr>
        <w:t>, 1.</w:t>
      </w:r>
      <w:r w:rsidR="00957665">
        <w:rPr>
          <w:rFonts w:eastAsia="MS Mincho" w:cs="Arial"/>
        </w:rPr>
        <w:t>93</w:t>
      </w:r>
      <w:r w:rsidR="0072463B" w:rsidRPr="00B74FCA">
        <w:rPr>
          <w:rFonts w:eastAsia="MS Mincho" w:cs="Arial"/>
        </w:rPr>
        <w:t>)</w:t>
      </w:r>
      <w:r w:rsidR="0072463B">
        <w:rPr>
          <w:rFonts w:eastAsia="MS Mincho" w:cs="Arial"/>
        </w:rPr>
        <w:t xml:space="preserve"> and</w:t>
      </w:r>
      <w:r w:rsidR="0072463B" w:rsidRPr="00B74FCA">
        <w:rPr>
          <w:rFonts w:eastAsia="MS Mincho" w:cs="Arial"/>
        </w:rPr>
        <w:t xml:space="preserve"> female sex</w:t>
      </w:r>
      <w:r w:rsidR="0072463B">
        <w:rPr>
          <w:rFonts w:eastAsia="MS Mincho" w:cs="Arial"/>
        </w:rPr>
        <w:t xml:space="preserve"> (</w:t>
      </w:r>
      <w:r w:rsidR="00957665" w:rsidRPr="00B74FCA">
        <w:rPr>
          <w:rFonts w:eastAsia="MS Mincho" w:cs="Arial"/>
        </w:rPr>
        <w:t xml:space="preserve">OR = </w:t>
      </w:r>
      <w:r w:rsidR="00957665" w:rsidRPr="00C521CA">
        <w:rPr>
          <w:rFonts w:eastAsia="MS Mincho" w:cs="Arial"/>
        </w:rPr>
        <w:t>1.</w:t>
      </w:r>
      <w:r w:rsidR="00957665">
        <w:rPr>
          <w:rFonts w:eastAsia="MS Mincho" w:cs="Arial"/>
        </w:rPr>
        <w:t>53, 95% CI</w:t>
      </w:r>
      <w:r w:rsidR="006F2BA3">
        <w:rPr>
          <w:rFonts w:eastAsia="MS Mincho" w:cs="Arial"/>
        </w:rPr>
        <w:t xml:space="preserve"> </w:t>
      </w:r>
      <w:r w:rsidR="006233C8">
        <w:rPr>
          <w:rFonts w:eastAsia="MS Mincho" w:cs="Arial"/>
        </w:rPr>
        <w:t>=</w:t>
      </w:r>
      <w:r w:rsidR="006F2BA3">
        <w:rPr>
          <w:rFonts w:eastAsia="MS Mincho" w:cs="Arial"/>
        </w:rPr>
        <w:t xml:space="preserve"> </w:t>
      </w:r>
      <w:r w:rsidR="00957665" w:rsidRPr="00C521CA">
        <w:rPr>
          <w:rFonts w:eastAsia="MS Mincho" w:cs="Arial"/>
        </w:rPr>
        <w:t>1.2</w:t>
      </w:r>
      <w:r w:rsidR="00957665">
        <w:rPr>
          <w:rFonts w:eastAsia="MS Mincho" w:cs="Arial"/>
        </w:rPr>
        <w:t>6</w:t>
      </w:r>
      <w:r w:rsidR="00957665" w:rsidRPr="00C521CA">
        <w:rPr>
          <w:rFonts w:eastAsia="MS Mincho" w:cs="Arial"/>
        </w:rPr>
        <w:t>, 1.</w:t>
      </w:r>
      <w:r w:rsidR="00957665">
        <w:rPr>
          <w:rFonts w:eastAsia="MS Mincho" w:cs="Arial"/>
        </w:rPr>
        <w:t>87</w:t>
      </w:r>
      <w:r w:rsidR="00B956AE">
        <w:rPr>
          <w:rFonts w:eastAsia="MS Mincho" w:cs="Arial"/>
        </w:rPr>
        <w:t>)</w:t>
      </w:r>
      <w:r w:rsidR="0072463B" w:rsidRPr="00B74FCA">
        <w:rPr>
          <w:rFonts w:eastAsia="MS Mincho" w:cs="Arial"/>
        </w:rPr>
        <w:t xml:space="preserve"> were </w:t>
      </w:r>
      <w:r w:rsidR="00994B2F">
        <w:rPr>
          <w:rFonts w:eastAsia="MS Mincho" w:cs="Arial"/>
        </w:rPr>
        <w:t xml:space="preserve">positively </w:t>
      </w:r>
      <w:r w:rsidR="0072463B" w:rsidRPr="00B74FCA">
        <w:rPr>
          <w:rFonts w:eastAsia="MS Mincho" w:cs="Arial"/>
        </w:rPr>
        <w:t>associated with IM.</w:t>
      </w:r>
      <w:r w:rsidR="00043271">
        <w:rPr>
          <w:rFonts w:eastAsia="MS Mincho" w:cs="Arial"/>
        </w:rPr>
        <w:t xml:space="preserve"> </w:t>
      </w:r>
      <w:r w:rsidR="00F31630">
        <w:rPr>
          <w:rFonts w:eastAsia="MS Mincho" w:cs="Arial"/>
        </w:rPr>
        <w:t xml:space="preserve"> </w:t>
      </w:r>
      <w:r w:rsidR="00043271">
        <w:rPr>
          <w:rFonts w:eastAsia="MS Mincho" w:cs="Arial"/>
        </w:rPr>
        <w:t xml:space="preserve">Large sibship size (3+) was </w:t>
      </w:r>
      <w:r w:rsidR="00994B2F">
        <w:rPr>
          <w:rFonts w:eastAsia="MS Mincho" w:cs="Arial"/>
        </w:rPr>
        <w:t xml:space="preserve">inversely </w:t>
      </w:r>
      <w:r w:rsidR="00043271">
        <w:rPr>
          <w:rFonts w:eastAsia="MS Mincho" w:cs="Arial"/>
        </w:rPr>
        <w:t>associated with IM among controls born before</w:t>
      </w:r>
      <w:r w:rsidR="00920D50">
        <w:rPr>
          <w:rFonts w:eastAsia="MS Mincho" w:cs="Arial"/>
        </w:rPr>
        <w:t xml:space="preserve"> </w:t>
      </w:r>
      <w:r w:rsidR="00177755">
        <w:rPr>
          <w:rFonts w:eastAsia="MS Mincho" w:cs="Arial"/>
        </w:rPr>
        <w:t xml:space="preserve">1960 </w:t>
      </w:r>
      <w:r w:rsidR="00920D50">
        <w:rPr>
          <w:rFonts w:eastAsia="MS Mincho" w:cs="Arial"/>
        </w:rPr>
        <w:t>(</w:t>
      </w:r>
      <w:r w:rsidR="00957665">
        <w:rPr>
          <w:rFonts w:eastAsia="MS Mincho" w:cs="Arial"/>
        </w:rPr>
        <w:t>OR</w:t>
      </w:r>
      <w:r w:rsidR="00957665" w:rsidRPr="00A80864">
        <w:rPr>
          <w:rFonts w:eastAsia="MS Mincho" w:cs="Arial"/>
          <w:vertAlign w:val="subscript"/>
        </w:rPr>
        <w:t>&lt;1960</w:t>
      </w:r>
      <w:r w:rsidR="00957665">
        <w:rPr>
          <w:rFonts w:eastAsia="MS Mincho" w:cs="Arial"/>
        </w:rPr>
        <w:t xml:space="preserve"> = 0.40, 95% CI</w:t>
      </w:r>
      <w:r w:rsidR="006F2BA3">
        <w:rPr>
          <w:rFonts w:eastAsia="MS Mincho" w:cs="Arial"/>
        </w:rPr>
        <w:t xml:space="preserve"> </w:t>
      </w:r>
      <w:r w:rsidR="006233C8">
        <w:rPr>
          <w:rFonts w:eastAsia="MS Mincho" w:cs="Arial"/>
        </w:rPr>
        <w:t>=</w:t>
      </w:r>
      <w:r w:rsidR="006F2BA3">
        <w:rPr>
          <w:rFonts w:eastAsia="MS Mincho" w:cs="Arial"/>
        </w:rPr>
        <w:t xml:space="preserve"> </w:t>
      </w:r>
      <w:r w:rsidR="00957665" w:rsidRPr="00043271">
        <w:rPr>
          <w:rFonts w:eastAsia="MS Mincho" w:cs="Arial"/>
        </w:rPr>
        <w:t>0.24, 0.67</w:t>
      </w:r>
      <w:r w:rsidR="00920D50">
        <w:rPr>
          <w:rFonts w:eastAsia="MS Mincho" w:cs="Arial"/>
        </w:rPr>
        <w:t>)</w:t>
      </w:r>
      <w:r w:rsidR="00F31630">
        <w:rPr>
          <w:rFonts w:eastAsia="MS Mincho" w:cs="Arial"/>
        </w:rPr>
        <w:t>, but not after</w:t>
      </w:r>
      <w:r w:rsidR="00920D50">
        <w:rPr>
          <w:rFonts w:eastAsia="MS Mincho" w:cs="Arial"/>
        </w:rPr>
        <w:t>.</w:t>
      </w:r>
    </w:p>
    <w:p w14:paraId="3F014E4A" w14:textId="7A279E0A" w:rsidR="00B955AE" w:rsidRDefault="00B74FCA" w:rsidP="00106CB1">
      <w:pPr>
        <w:spacing w:line="480" w:lineRule="auto"/>
        <w:rPr>
          <w:rFonts w:eastAsia="MS Mincho" w:cs="Arial"/>
        </w:rPr>
      </w:pPr>
      <w:r w:rsidRPr="00887B34">
        <w:rPr>
          <w:rStyle w:val="Heading3Char"/>
        </w:rPr>
        <w:t>Conclusions</w:t>
      </w:r>
      <w:r w:rsidRPr="00B74FCA">
        <w:rPr>
          <w:rFonts w:eastAsia="MS Mincho" w:cs="Arial"/>
          <w:b/>
        </w:rPr>
        <w:t>:</w:t>
      </w:r>
      <w:r w:rsidR="00011D3F">
        <w:rPr>
          <w:rFonts w:eastAsia="MS Mincho" w:cs="Arial"/>
          <w:b/>
        </w:rPr>
        <w:t xml:space="preserve"> </w:t>
      </w:r>
      <w:r w:rsidR="00B956AE">
        <w:rPr>
          <w:rFonts w:eastAsia="MS Mincho" w:cs="Arial"/>
        </w:rPr>
        <w:t>G</w:t>
      </w:r>
      <w:r w:rsidR="000C120B" w:rsidRPr="00043B50">
        <w:rPr>
          <w:rFonts w:eastAsia="MS Mincho" w:cs="Arial"/>
        </w:rPr>
        <w:t>enetic risk variant</w:t>
      </w:r>
      <w:r w:rsidR="00B956AE">
        <w:rPr>
          <w:rFonts w:eastAsia="MS Mincho" w:cs="Arial"/>
        </w:rPr>
        <w:t>s</w:t>
      </w:r>
      <w:r w:rsidR="000C120B" w:rsidRPr="00043B50">
        <w:rPr>
          <w:rFonts w:eastAsia="MS Mincho" w:cs="Arial"/>
        </w:rPr>
        <w:t xml:space="preserve"> </w:t>
      </w:r>
      <w:r w:rsidR="006233C8">
        <w:rPr>
          <w:rFonts w:eastAsia="MS Mincho" w:cs="Arial"/>
        </w:rPr>
        <w:t xml:space="preserve">in </w:t>
      </w:r>
      <w:r w:rsidR="006233C8" w:rsidRPr="00696B26">
        <w:rPr>
          <w:rFonts w:eastAsia="MS Mincho" w:cs="Arial"/>
          <w:i/>
        </w:rPr>
        <w:t>IL1B</w:t>
      </w:r>
      <w:r w:rsidR="006233C8">
        <w:rPr>
          <w:rFonts w:eastAsia="MS Mincho" w:cs="Arial"/>
        </w:rPr>
        <w:t xml:space="preserve"> </w:t>
      </w:r>
      <w:r w:rsidR="00B956AE">
        <w:rPr>
          <w:rFonts w:eastAsia="MS Mincho" w:cs="Arial"/>
        </w:rPr>
        <w:t xml:space="preserve">and </w:t>
      </w:r>
      <w:r w:rsidR="00B956AE" w:rsidRPr="00696B26">
        <w:rPr>
          <w:rFonts w:eastAsia="MS Mincho" w:cs="Arial"/>
          <w:i/>
        </w:rPr>
        <w:t>IL6</w:t>
      </w:r>
      <w:r w:rsidR="00B956AE">
        <w:rPr>
          <w:rFonts w:eastAsia="MS Mincho" w:cs="Arial"/>
        </w:rPr>
        <w:t xml:space="preserve"> </w:t>
      </w:r>
      <w:r w:rsidR="00DF0B0D">
        <w:rPr>
          <w:rFonts w:eastAsia="MS Mincho" w:cs="Arial"/>
        </w:rPr>
        <w:t xml:space="preserve">may </w:t>
      </w:r>
      <w:r w:rsidR="0074576B">
        <w:rPr>
          <w:rFonts w:eastAsia="MS Mincho" w:cs="Arial"/>
        </w:rPr>
        <w:t xml:space="preserve">affect </w:t>
      </w:r>
      <w:r w:rsidR="00DF0B0D">
        <w:rPr>
          <w:rFonts w:eastAsia="MS Mincho" w:cs="Arial"/>
        </w:rPr>
        <w:t xml:space="preserve">the association between IM and </w:t>
      </w:r>
      <w:r w:rsidR="003365DE">
        <w:rPr>
          <w:rFonts w:eastAsia="MS Mincho" w:cs="Arial"/>
        </w:rPr>
        <w:t>TCL</w:t>
      </w:r>
      <w:r w:rsidR="00DF0B0D">
        <w:rPr>
          <w:rFonts w:eastAsia="MS Mincho" w:cs="Arial"/>
        </w:rPr>
        <w:t xml:space="preserve">. </w:t>
      </w:r>
      <w:r w:rsidR="00CE249E">
        <w:rPr>
          <w:rFonts w:eastAsia="MS Mincho" w:cs="Arial"/>
        </w:rPr>
        <w:t xml:space="preserve">Risk factors for IM are consistent with </w:t>
      </w:r>
      <w:r w:rsidR="00994B2F">
        <w:rPr>
          <w:rFonts w:eastAsia="MS Mincho" w:cs="Arial"/>
        </w:rPr>
        <w:t>lower</w:t>
      </w:r>
      <w:r w:rsidR="00CE249E">
        <w:rPr>
          <w:rFonts w:eastAsia="MS Mincho" w:cs="Arial"/>
        </w:rPr>
        <w:t xml:space="preserve"> </w:t>
      </w:r>
      <w:r w:rsidR="00FB71B9">
        <w:rPr>
          <w:rFonts w:eastAsia="MS Mincho" w:cs="Arial"/>
        </w:rPr>
        <w:t>Epstein-</w:t>
      </w:r>
      <w:r w:rsidR="0074576B">
        <w:rPr>
          <w:rFonts w:eastAsia="MS Mincho" w:cs="Arial"/>
        </w:rPr>
        <w:t>B</w:t>
      </w:r>
      <w:r w:rsidR="00FB71B9">
        <w:rPr>
          <w:rFonts w:eastAsia="MS Mincho" w:cs="Arial"/>
        </w:rPr>
        <w:t>arr virus</w:t>
      </w:r>
      <w:r w:rsidR="0074576B">
        <w:rPr>
          <w:rFonts w:eastAsia="MS Mincho" w:cs="Arial"/>
        </w:rPr>
        <w:t xml:space="preserve"> </w:t>
      </w:r>
      <w:r w:rsidR="00CE249E">
        <w:rPr>
          <w:rFonts w:eastAsia="MS Mincho" w:cs="Arial"/>
        </w:rPr>
        <w:t>exposure in early life</w:t>
      </w:r>
      <w:r w:rsidR="00F31630">
        <w:rPr>
          <w:rFonts w:eastAsia="MS Mincho" w:cs="Arial"/>
        </w:rPr>
        <w:t>;</w:t>
      </w:r>
      <w:r w:rsidR="00141CAB">
        <w:rPr>
          <w:rFonts w:eastAsia="MS Mincho" w:cs="Arial"/>
        </w:rPr>
        <w:t xml:space="preserve"> </w:t>
      </w:r>
      <w:r w:rsidR="00F31630">
        <w:rPr>
          <w:rFonts w:eastAsia="MS Mincho" w:cs="Arial"/>
        </w:rPr>
        <w:t xml:space="preserve">the </w:t>
      </w:r>
      <w:r w:rsidR="00994E69">
        <w:rPr>
          <w:rFonts w:eastAsia="MS Mincho" w:cs="Arial"/>
        </w:rPr>
        <w:t xml:space="preserve">association </w:t>
      </w:r>
      <w:r w:rsidR="00F31630">
        <w:rPr>
          <w:rFonts w:eastAsia="MS Mincho" w:cs="Arial"/>
        </w:rPr>
        <w:t>with</w:t>
      </w:r>
      <w:r w:rsidR="00994E69">
        <w:rPr>
          <w:rFonts w:eastAsia="MS Mincho" w:cs="Arial"/>
        </w:rPr>
        <w:t xml:space="preserve"> female sex is unexplained. </w:t>
      </w:r>
      <w:r w:rsidR="00CE249E">
        <w:rPr>
          <w:rFonts w:eastAsia="MS Mincho" w:cs="Arial"/>
        </w:rPr>
        <w:t xml:space="preserve"> </w:t>
      </w:r>
    </w:p>
    <w:p w14:paraId="30254BAB" w14:textId="4DC33CD4" w:rsidR="00B955AE" w:rsidRDefault="00B955AE" w:rsidP="00106CB1">
      <w:pPr>
        <w:spacing w:line="480" w:lineRule="auto"/>
        <w:rPr>
          <w:rFonts w:cs="Arial"/>
        </w:rPr>
      </w:pPr>
      <w:r>
        <w:rPr>
          <w:rStyle w:val="Heading3Char"/>
        </w:rPr>
        <w:t>Keywords</w:t>
      </w:r>
      <w:r>
        <w:rPr>
          <w:rStyle w:val="Heading3Char"/>
          <w:b w:val="0"/>
          <w:i w:val="0"/>
        </w:rPr>
        <w:t xml:space="preserve">: Infectious mononucleosis, non-Hodgkin lymphoma, </w:t>
      </w:r>
      <w:r w:rsidR="009558A4">
        <w:rPr>
          <w:rStyle w:val="Heading3Char"/>
          <w:b w:val="0"/>
          <w:i w:val="0"/>
        </w:rPr>
        <w:t xml:space="preserve">T-cell lymphoma, </w:t>
      </w:r>
      <w:r w:rsidR="00F31630">
        <w:rPr>
          <w:rStyle w:val="Heading3Char"/>
          <w:b w:val="0"/>
          <w:i w:val="0"/>
        </w:rPr>
        <w:t xml:space="preserve">genotype, </w:t>
      </w:r>
      <w:r w:rsidRPr="001456E8">
        <w:rPr>
          <w:rFonts w:cs="Arial"/>
        </w:rPr>
        <w:t>interleukin 1B</w:t>
      </w:r>
      <w:r w:rsidR="00174EB4">
        <w:rPr>
          <w:rFonts w:cs="Arial"/>
        </w:rPr>
        <w:t xml:space="preserve">, </w:t>
      </w:r>
      <w:r w:rsidR="00B956AE" w:rsidRPr="001456E8">
        <w:rPr>
          <w:rFonts w:cs="Arial"/>
        </w:rPr>
        <w:t xml:space="preserve">interleukin </w:t>
      </w:r>
      <w:r w:rsidR="00B956AE">
        <w:rPr>
          <w:rFonts w:cs="Arial"/>
        </w:rPr>
        <w:t xml:space="preserve">6, </w:t>
      </w:r>
      <w:r w:rsidR="00BB3BE7">
        <w:rPr>
          <w:rFonts w:cs="Arial"/>
        </w:rPr>
        <w:t>siblings, family</w:t>
      </w:r>
      <w:r w:rsidR="00F31630">
        <w:rPr>
          <w:rFonts w:cs="Arial"/>
        </w:rPr>
        <w:t xml:space="preserve"> size</w:t>
      </w:r>
      <w:r w:rsidR="00174EB4">
        <w:rPr>
          <w:rFonts w:cs="Arial"/>
        </w:rPr>
        <w:t>, socioeconomic status</w:t>
      </w:r>
    </w:p>
    <w:p w14:paraId="21D4B058" w14:textId="77777777" w:rsidR="00C656E0" w:rsidRDefault="00C656E0" w:rsidP="00106CB1">
      <w:pPr>
        <w:spacing w:line="480" w:lineRule="auto"/>
        <w:rPr>
          <w:rFonts w:cs="Arial"/>
        </w:rPr>
      </w:pPr>
    </w:p>
    <w:p w14:paraId="777DF5E9" w14:textId="77777777" w:rsidR="00C656E0" w:rsidRDefault="00C656E0" w:rsidP="00106CB1">
      <w:pPr>
        <w:spacing w:line="480" w:lineRule="auto"/>
        <w:rPr>
          <w:b/>
          <w:u w:val="single"/>
        </w:rPr>
      </w:pPr>
      <w:r>
        <w:rPr>
          <w:b/>
          <w:u w:val="single"/>
        </w:rPr>
        <w:lastRenderedPageBreak/>
        <w:t>Key Messages</w:t>
      </w:r>
    </w:p>
    <w:p w14:paraId="364FD299" w14:textId="59E87166" w:rsidR="00C656E0" w:rsidRDefault="00C656E0" w:rsidP="00C5741E">
      <w:pPr>
        <w:pStyle w:val="ListParagraph"/>
        <w:numPr>
          <w:ilvl w:val="0"/>
          <w:numId w:val="4"/>
        </w:numPr>
        <w:spacing w:line="480" w:lineRule="auto"/>
      </w:pPr>
      <w:r w:rsidRPr="00C656E0">
        <w:t xml:space="preserve">A suggestion that genetic variation in </w:t>
      </w:r>
      <w:r w:rsidR="00E44E76" w:rsidRPr="00696B26">
        <w:rPr>
          <w:rFonts w:cs="Arial"/>
          <w:i/>
        </w:rPr>
        <w:t>interleukin-</w:t>
      </w:r>
      <w:r w:rsidR="00E44E76">
        <w:rPr>
          <w:rFonts w:cs="Arial"/>
          <w:i/>
        </w:rPr>
        <w:t>1</w:t>
      </w:r>
      <w:r w:rsidR="00E44E76" w:rsidRPr="00696B26">
        <w:rPr>
          <w:rFonts w:cs="Arial"/>
          <w:i/>
        </w:rPr>
        <w:t xml:space="preserve">B </w:t>
      </w:r>
      <w:r w:rsidR="00E44E76">
        <w:rPr>
          <w:rFonts w:cs="Arial"/>
          <w:i/>
        </w:rPr>
        <w:t>(</w:t>
      </w:r>
      <w:r w:rsidRPr="00696B26">
        <w:rPr>
          <w:i/>
        </w:rPr>
        <w:t>IL1B</w:t>
      </w:r>
      <w:r w:rsidR="00E44E76">
        <w:rPr>
          <w:i/>
        </w:rPr>
        <w:t>)</w:t>
      </w:r>
      <w:r w:rsidRPr="00C656E0">
        <w:t xml:space="preserve"> </w:t>
      </w:r>
      <w:r w:rsidR="009B262D">
        <w:t xml:space="preserve">and </w:t>
      </w:r>
      <w:r w:rsidR="009306FA" w:rsidRPr="00696B26">
        <w:rPr>
          <w:rFonts w:cs="Arial"/>
          <w:i/>
        </w:rPr>
        <w:t>interleukin-</w:t>
      </w:r>
      <w:r w:rsidR="009306FA">
        <w:rPr>
          <w:rFonts w:cs="Arial"/>
          <w:i/>
        </w:rPr>
        <w:t>6</w:t>
      </w:r>
      <w:r w:rsidR="009306FA" w:rsidRPr="00696B26">
        <w:rPr>
          <w:rFonts w:cs="Arial"/>
          <w:i/>
        </w:rPr>
        <w:t xml:space="preserve"> </w:t>
      </w:r>
      <w:r w:rsidR="009306FA">
        <w:rPr>
          <w:rFonts w:cs="Arial"/>
          <w:i/>
        </w:rPr>
        <w:t>(</w:t>
      </w:r>
      <w:r w:rsidR="009B262D" w:rsidRPr="00696B26">
        <w:rPr>
          <w:i/>
        </w:rPr>
        <w:t>IL6</w:t>
      </w:r>
      <w:r w:rsidR="009306FA">
        <w:rPr>
          <w:i/>
        </w:rPr>
        <w:t>)</w:t>
      </w:r>
      <w:r w:rsidR="009B262D">
        <w:t xml:space="preserve"> </w:t>
      </w:r>
      <w:r w:rsidRPr="00C656E0">
        <w:t xml:space="preserve">may attenuate the association between </w:t>
      </w:r>
      <w:r w:rsidR="000D2AFB">
        <w:t>infectious mononucleosis</w:t>
      </w:r>
      <w:r w:rsidRPr="00C656E0">
        <w:t xml:space="preserve"> and </w:t>
      </w:r>
      <w:r w:rsidR="00DE13CE">
        <w:t>T</w:t>
      </w:r>
      <w:r w:rsidR="000D2AFB">
        <w:t>-cell lymphoma</w:t>
      </w:r>
      <w:r w:rsidR="00DE13CE">
        <w:t xml:space="preserve"> </w:t>
      </w:r>
      <w:r w:rsidRPr="00C656E0">
        <w:t>requires co</w:t>
      </w:r>
      <w:r>
        <w:t>nfirmation with larger numbers.</w:t>
      </w:r>
    </w:p>
    <w:p w14:paraId="2F4F013D" w14:textId="1E727463" w:rsidR="004E53F9" w:rsidRDefault="00C656E0" w:rsidP="00C5741E">
      <w:pPr>
        <w:pStyle w:val="ListParagraph"/>
        <w:numPr>
          <w:ilvl w:val="0"/>
          <w:numId w:val="4"/>
        </w:numPr>
        <w:spacing w:line="480" w:lineRule="auto"/>
      </w:pPr>
      <w:r w:rsidRPr="00C656E0">
        <w:t xml:space="preserve">Increasing </w:t>
      </w:r>
      <w:r w:rsidR="000D2AFB">
        <w:t>socioeconomic status</w:t>
      </w:r>
      <w:r w:rsidR="000D2AFB" w:rsidRPr="00C656E0">
        <w:t xml:space="preserve"> </w:t>
      </w:r>
      <w:r w:rsidRPr="00C656E0">
        <w:t xml:space="preserve">and female sex are </w:t>
      </w:r>
      <w:r w:rsidR="00F31630" w:rsidRPr="0028337B">
        <w:t>independently</w:t>
      </w:r>
      <w:r w:rsidR="00F31630">
        <w:t xml:space="preserve"> </w:t>
      </w:r>
      <w:r w:rsidRPr="00C656E0">
        <w:t xml:space="preserve">associated with self-reported </w:t>
      </w:r>
      <w:r w:rsidR="000D2AFB">
        <w:t>infectious mononucleosis.</w:t>
      </w:r>
    </w:p>
    <w:p w14:paraId="04EF49D8" w14:textId="6F3A1616" w:rsidR="00A82A59" w:rsidRDefault="00F31630" w:rsidP="00C5741E">
      <w:pPr>
        <w:pStyle w:val="ListParagraph"/>
        <w:numPr>
          <w:ilvl w:val="0"/>
          <w:numId w:val="4"/>
        </w:numPr>
        <w:spacing w:line="480" w:lineRule="auto"/>
      </w:pPr>
      <w:r w:rsidRPr="0028337B">
        <w:t>The number of</w:t>
      </w:r>
      <w:r w:rsidR="00A82A59" w:rsidRPr="0028337B">
        <w:t xml:space="preserve"> siblings is </w:t>
      </w:r>
      <w:r w:rsidR="00174EB4" w:rsidRPr="0028337B">
        <w:t>inversely</w:t>
      </w:r>
      <w:r w:rsidR="00174EB4">
        <w:t xml:space="preserve"> </w:t>
      </w:r>
      <w:r w:rsidR="00A82A59">
        <w:t xml:space="preserve">associated with self-reported </w:t>
      </w:r>
      <w:r w:rsidR="000D2AFB">
        <w:t xml:space="preserve">infectious mononucleosis </w:t>
      </w:r>
      <w:r w:rsidR="00A82A59">
        <w:t>among those born before 1960 but not those born after.</w:t>
      </w:r>
    </w:p>
    <w:p w14:paraId="6AF09E49" w14:textId="77777777" w:rsidR="00080CC9" w:rsidRPr="00043B50" w:rsidRDefault="00080CC9" w:rsidP="00043B50">
      <w:pPr>
        <w:spacing w:line="480" w:lineRule="auto"/>
        <w:sectPr w:rsidR="00080CC9" w:rsidRPr="00043B50" w:rsidSect="003B59AC">
          <w:headerReference w:type="default" r:id="rId16"/>
          <w:footerReference w:type="default" r:id="rId17"/>
          <w:pgSz w:w="12240" w:h="15840"/>
          <w:pgMar w:top="1418" w:right="1418" w:bottom="1418" w:left="1418" w:header="720" w:footer="619" w:gutter="0"/>
          <w:lnNumType w:countBy="1" w:restart="continuous"/>
          <w:cols w:space="720"/>
          <w:docGrid w:linePitch="326"/>
        </w:sectPr>
      </w:pPr>
    </w:p>
    <w:p w14:paraId="2BF546EA" w14:textId="77777777" w:rsidR="002F4DD8" w:rsidRPr="003D037E" w:rsidRDefault="00857636" w:rsidP="00887B34">
      <w:pPr>
        <w:pStyle w:val="Heading2"/>
      </w:pPr>
      <w:r>
        <w:lastRenderedPageBreak/>
        <w:t>I</w:t>
      </w:r>
      <w:r w:rsidR="002F4DD8" w:rsidRPr="003D037E">
        <w:t>ntroduction</w:t>
      </w:r>
    </w:p>
    <w:p w14:paraId="7BAE442A" w14:textId="77777777" w:rsidR="00431A7D" w:rsidRPr="003D037E" w:rsidRDefault="005251E6" w:rsidP="00493DD9">
      <w:pPr>
        <w:spacing w:line="480" w:lineRule="auto"/>
        <w:ind w:firstLine="720"/>
        <w:rPr>
          <w:rFonts w:cs="Arial"/>
        </w:rPr>
      </w:pPr>
      <w:r w:rsidRPr="003D037E">
        <w:rPr>
          <w:rFonts w:cs="Arial"/>
        </w:rPr>
        <w:t xml:space="preserve">Non-Hodgkin </w:t>
      </w:r>
      <w:r w:rsidR="002C0888">
        <w:rPr>
          <w:rFonts w:cs="Arial"/>
        </w:rPr>
        <w:t>l</w:t>
      </w:r>
      <w:r w:rsidR="002C0888" w:rsidRPr="003D037E">
        <w:rPr>
          <w:rFonts w:cs="Arial"/>
        </w:rPr>
        <w:t>ymphoma</w:t>
      </w:r>
      <w:r w:rsidR="002C0888">
        <w:rPr>
          <w:rFonts w:cs="Arial"/>
        </w:rPr>
        <w:t xml:space="preserve"> </w:t>
      </w:r>
      <w:r w:rsidR="001A0CAB">
        <w:rPr>
          <w:rFonts w:cs="Arial"/>
        </w:rPr>
        <w:t>(</w:t>
      </w:r>
      <w:r w:rsidRPr="003D037E">
        <w:rPr>
          <w:rFonts w:cs="Arial"/>
        </w:rPr>
        <w:t xml:space="preserve">NHL) comprises a group of lymphoid malignancies with </w:t>
      </w:r>
      <w:r w:rsidR="007C7D35">
        <w:rPr>
          <w:rFonts w:cs="Arial"/>
        </w:rPr>
        <w:t>distinct</w:t>
      </w:r>
      <w:r w:rsidR="007C7D35" w:rsidRPr="003D037E">
        <w:rPr>
          <w:rFonts w:cs="Arial"/>
        </w:rPr>
        <w:t xml:space="preserve"> </w:t>
      </w:r>
      <w:r w:rsidR="003C1053">
        <w:rPr>
          <w:rFonts w:cs="Arial"/>
        </w:rPr>
        <w:t>histopathologies</w:t>
      </w:r>
      <w:r w:rsidR="003C1053" w:rsidRPr="003D037E">
        <w:rPr>
          <w:rFonts w:cs="Arial"/>
        </w:rPr>
        <w:t xml:space="preserve"> </w:t>
      </w:r>
      <w:r w:rsidR="00EA06D1" w:rsidRPr="003D037E">
        <w:rPr>
          <w:rFonts w:cs="Arial"/>
        </w:rPr>
        <w:t>and risk patterns</w:t>
      </w:r>
      <w:r w:rsidR="001A0CAB">
        <w:rPr>
          <w:rFonts w:cs="Arial"/>
        </w:rPr>
        <w:t xml:space="preserve"> </w:t>
      </w:r>
      <w:r w:rsidR="00CC3DDE">
        <w:rPr>
          <w:rFonts w:cs="Arial"/>
        </w:rPr>
        <w:fldChar w:fldCharType="begin" w:fldLock="1"/>
      </w:r>
      <w:r w:rsidR="00B850EF">
        <w:rPr>
          <w:rFonts w:cs="Arial"/>
        </w:rPr>
        <w:instrText>ADDIN CSL_CITATION {"citationItems":[{"id":"ITEM-1","itemData":{"DOI":"10.1093/jncimonographs/lgu005","ISBN":"1745-6614 (Electronic)\\r1052-6773 (Linking)","ISSN":"17456614","PMID":"25174022","abstract":"BACKGROUND: Non-Hodgkin lymphoma (NHL), the most common hematologic malignancy, consists of numerous subtypes. The etiology of NHL is incompletely understood, and increasing evidence suggests that risk factors may vary by NHL subtype. However, small numbers of cases have made investigation of subtype-specific risks challenging. The International Lymphoma Epidemiology Consortium therefore undertook the NHL Subtypes Project, an international collaborative effort to investigate the etiologies of NHL subtypes. This article describes in detail the project rationale and design.\\n\\nMETHODS: We pooled individual-level data from 20 case-control studies (17471 NHL cases, 23096 controls) from North America, Europe, and Australia. Centralized data harmonization and analysis ensured standardized definitions and approaches, with rigorous quality control.\\n\\nRESULTS: The pooled study population included 11 specified NHL subtypes with more than 100 cases: diffuse large B-cell lymphoma (N = 4667), follicular lymphoma (N = 3530), chronic lymphocytic leukemia/small lymphocytic lymphoma (N = 2440), marginal zone lymphoma (N = 1052), peripheral T-cell lymphoma (N = 584), mantle cell lymphoma (N = 557), lymphoplasmacytic lymphoma/Waldenström macroglobulinemia (N = 374), mycosis fungoides/Sézary syndrome (N = 324), Burkitt/Burkitt-like lymphoma/leukemia (N = 295), hairy cell leukemia (N = 154), and acute lymphoblastic leukemia/lymphoma (N = 152). Associations with medical history, family history, lifestyle factors, and occupation for each of these 11 subtypes are presented in separate articles in this issue, with a final article quantitatively comparing risk factor patterns among subtypes.\\n\\nCONCLUSIONS: The International Lymphoma Epidemiology Consortium NHL Subtypes Project provides the largest and most comprehensive investigation of potential risk factors for a broad range of common and rare NHL subtypes to date. The analyses contribute to our understanding of the multifactorial nature of NHL subtype etiologies, motivate hypothesis-driven prospective investigations, provide clues for prevention, and exemplify the benefits of international consortial collaboration in cancer epidemiology.","author":[{"dropping-particle":"","family":"Morton","given":"Lindsay M.","non-dropping-particle":"","parse-names":false,"suffix":""},{"dropping-particle":"","family":"Sampson","given":"Joshua N.","non-dropping-particle":"","parse-names":false,"suffix":""},{"dropping-particle":"","family":"Cerhan","given":"James R.","non-dropping-particle":"","parse-names":false,"suffix":""},{"dropping-particle":"","family":"Turner","given":"Jennifer J.","non-dropping-particle":"","parse-names":false,"suffix":""},{"dropping-particle":"","family":"Vajdic","given":"Claire M.","non-dropping-particle":"","parse-names":false,"suffix":""},{"dropping-particle":"","family":"Wang","given":"Sophia S.","non-dropping-particle":"","parse-names":false,"suffix":""},{"dropping-particle":"","family":"Smedby","given":"Karin E.","non-dropping-particle":"","parse-names":false,"suffix":""},{"dropping-particle":"","family":"Sanjosé","given":"Silvia","non-dropping-particle":"De","parse-names":false,"suffix":""},{"dropping-particle":"","family":"Monnereau","given":"Alain","non-dropping-particle":"","parse-names":false,"suffix":""},{"dropping-particle":"","family":"Benavente","given":"Yolanda","non-dropping-particle":"","parse-names":false,"suffix":""},{"dropping-particle":"","family":"Bracci","given":"Paige M.","non-dropping-particle":"","parse-names":false,"suffix":""},{"dropping-particle":"","family":"Chiu","given":"Brian C.H.","non-dropping-particle":"","parse-names":false,"suffix":""},{"dropping-particle":"","family":"Skibola","given":"Christine F.","non-dropping-particle":"","parse-names":false,"suffix":""},{"dropping-particle":"","family":"Zhang","given":"Yawei","non-dropping-particle":"","parse-names":false,"suffix":""},{"dropping-particle":"","family":"Mbulaiteye","given":"Sam M.","non-dropping-particle":"","parse-names":false,"suffix":""},{"dropping-particle":"","family":"Spriggs","given":"Michael","non-dropping-particle":"","parse-names":false,"suffix":""},{"dropping-particle":"","family":"Robinson","given":"Dennis","non-dropping-particle":"","parse-names":false,"suffix":""},{"dropping-particle":"","family":"Norman","given":"Aaron D.","non-dropping-particle":"","parse-names":false,"suffix":""},{"dropping-particle":"V.","family":"Kane","given":"Eleanor","non-dropping-particle":"","parse-names":false,"suffix":""},{"dropping-particle":"","family":"Spinelli","given":"John J.","non-dropping-particle":"","parse-names":false,"suffix":""},{"dropping-particle":"","family":"Kelly","given":"Jennifer L.","non-dropping-particle":"","parse-names":false,"suffix":""},{"dropping-particle":"","family":"Vecchia","given":"Carlo","non-dropping-particle":"La","parse-names":false,"suffix":""},{"dropping-particle":"","family":"Maso","given":"Luigino Dal","non-dropping-particle":"","parse-names":false,"suffix":""},{"dropping-particle":"","family":"Maynadié","given":"Marc","non-dropping-particle":"","parse-names":false,"suffix":""},{"dropping-particle":"","family":"Kadin","given":"Marshall E.","non-dropping-particle":"","parse-names":false,"suffix":""},{"dropping-particle":"","family":"Cocco","given":"Pierluigi","non-dropping-particle":"","parse-names":false,"suffix":""},{"dropping-particle":"","family":"Costantini","given":"Adele Seniori","non-dropping-particle":"","parse-names":false,"suffix":""},{"dropping-particle":"","family":"Clarke","given":"Christina A.","non-dropping-particle":"","parse-names":false,"suffix":""},{"dropping-particle":"","family":"Roman","given":"Eve","non-dropping-particle":"","parse-names":false,"suffix":""},{"dropping-particle":"","family":"Miligi","given":"Lucia","non-dropping-particle":"","parse-names":false,"suffix":""},{"dropping-particle":"","family":"Colt","given":"Joanne S.","non-dropping-particle":"","parse-names":false,"suffix":""},{"dropping-particle":"","family":"Berndt","given":"Sonja I.","non-dropping-particle":"","parse-names":false,"suffix":""},{"dropping-particle":"","family":"Mannetje","given":"Andrea","non-dropping-particle":"","parse-names":false,"suffix":""},{"dropping-particle":"","family":"Roos","given":"Anneclaire J.","non-dropping-particle":"de","parse-names":false,"suffix":""},{"dropping-particle":"","family":"Kricker","given":"Anne","non-dropping-particle":"","parse-names":false,"suffix":""},{"dropping-particle":"","family":"Nieters","given":"Alexandra","non-dropping-particle":"","parse-names":false,"suffix":""},{"dropping-particle":"","family":"Franceschi","given":"Silvia","non-dropping-particle":"","parse-names":false,"suffix":""},{"dropping-particle":"","family":"Melbye","given":"Mads","non-dropping-particle":"","parse-names":false,"suffix":""},{"dropping-particle":"","family":"Boffetta","given":"Paolo","non-dropping-particle":"","parse-names":false,"suffix":""},{"dropping-particle":"","family":"Clavel","given":"Jacqueline","non-dropping-particle":"","parse-names":false,"suffix":""},{"dropping-particle":"","family":"Linet","given":"Martha S.","non-dropping-particle":"","parse-names":false,"suffix":""},{"dropping-particle":"","family":"Weisenburger","given":"Dennis D.","non-dropping-particle":"","parse-names":false,"suffix":""},{"dropping-particle":"","family":"Slager","given":"Susan L.","non-dropping-particle":"","parse-names":false,"suffix":""}],"container-title":"Journal of the National Cancer Institute - Monographs","id":"ITEM-1","issue":"48","issued":{"date-parts":[["2014"]]},"page":"1-14","title":"Rationale and Design of the International Lymphoma Epidemiology Consortium (InterLymph) Non-Hodgkin Lymphoma Subtypes Project","type":"article-journal","volume":"2014"},"uris":["http://www.mendeley.com/documents/?uuid=3962e3bd-2801-46f3-a46b-41e82e9e67ac"]}],"mendeley":{"formattedCitation":"[1]","plainTextFormattedCitation":"[1]","previouslyFormattedCitation":"[1]"},"properties":{"noteIndex":0},"schema":"https://github.com/citation-style-language/schema/raw/master/csl-citation.json"}</w:instrText>
      </w:r>
      <w:r w:rsidR="00CC3DDE">
        <w:rPr>
          <w:rFonts w:cs="Arial"/>
        </w:rPr>
        <w:fldChar w:fldCharType="separate"/>
      </w:r>
      <w:r w:rsidR="00B850EF" w:rsidRPr="00B850EF">
        <w:rPr>
          <w:rFonts w:cs="Arial"/>
          <w:noProof/>
        </w:rPr>
        <w:t>[1]</w:t>
      </w:r>
      <w:r w:rsidR="00CC3DDE">
        <w:rPr>
          <w:rFonts w:cs="Arial"/>
        </w:rPr>
        <w:fldChar w:fldCharType="end"/>
      </w:r>
      <w:r w:rsidR="00461E29">
        <w:rPr>
          <w:rFonts w:cs="Arial"/>
        </w:rPr>
        <w:t xml:space="preserve"> originating </w:t>
      </w:r>
      <w:r w:rsidRPr="003D037E">
        <w:rPr>
          <w:rFonts w:cs="Arial"/>
        </w:rPr>
        <w:t>from B</w:t>
      </w:r>
      <w:r w:rsidR="004D0DD0">
        <w:rPr>
          <w:rFonts w:cs="Arial"/>
        </w:rPr>
        <w:t xml:space="preserve">- </w:t>
      </w:r>
      <w:r w:rsidR="00AC7989">
        <w:rPr>
          <w:rFonts w:cs="Arial"/>
        </w:rPr>
        <w:t>(</w:t>
      </w:r>
      <w:r w:rsidR="004D0DD0">
        <w:rPr>
          <w:rFonts w:cs="Arial"/>
        </w:rPr>
        <w:t>~</w:t>
      </w:r>
      <w:r w:rsidR="00153581">
        <w:rPr>
          <w:rFonts w:cs="Arial"/>
        </w:rPr>
        <w:t>80</w:t>
      </w:r>
      <w:r w:rsidR="00AC7989">
        <w:rPr>
          <w:rFonts w:cs="Arial"/>
        </w:rPr>
        <w:t xml:space="preserve">%) </w:t>
      </w:r>
      <w:r w:rsidR="004F3203" w:rsidRPr="003D037E">
        <w:rPr>
          <w:rFonts w:cs="Arial"/>
        </w:rPr>
        <w:t>and</w:t>
      </w:r>
      <w:r w:rsidRPr="003D037E">
        <w:rPr>
          <w:rFonts w:cs="Arial"/>
        </w:rPr>
        <w:t xml:space="preserve"> T-</w:t>
      </w:r>
      <w:r w:rsidR="004D0DD0">
        <w:rPr>
          <w:rFonts w:cs="Arial"/>
        </w:rPr>
        <w:t>lymphocytes</w:t>
      </w:r>
      <w:r w:rsidR="004D0DD0" w:rsidRPr="003D037E">
        <w:rPr>
          <w:rFonts w:cs="Arial"/>
        </w:rPr>
        <w:t xml:space="preserve"> </w:t>
      </w:r>
      <w:r w:rsidR="00AC7989">
        <w:rPr>
          <w:rFonts w:cs="Arial"/>
        </w:rPr>
        <w:t>(</w:t>
      </w:r>
      <w:r w:rsidR="004D0DD0">
        <w:rPr>
          <w:rFonts w:cs="Arial"/>
        </w:rPr>
        <w:t>~</w:t>
      </w:r>
      <w:r w:rsidR="00153581">
        <w:rPr>
          <w:rFonts w:cs="Arial"/>
        </w:rPr>
        <w:t>20</w:t>
      </w:r>
      <w:r w:rsidR="00AC7989">
        <w:rPr>
          <w:rFonts w:cs="Arial"/>
        </w:rPr>
        <w:t>%). Genetic or acquired immunodeficiency is the strongest risk factor</w:t>
      </w:r>
      <w:r w:rsidR="00E20B06">
        <w:rPr>
          <w:rFonts w:cs="Arial"/>
        </w:rPr>
        <w:t>,</w:t>
      </w:r>
      <w:r w:rsidR="00AC7989">
        <w:rPr>
          <w:rFonts w:cs="Arial"/>
        </w:rPr>
        <w:t xml:space="preserve"> but </w:t>
      </w:r>
      <w:r w:rsidR="00144A5F">
        <w:rPr>
          <w:rFonts w:cs="Arial"/>
        </w:rPr>
        <w:t xml:space="preserve">more subtle </w:t>
      </w:r>
      <w:r w:rsidR="00AC7989">
        <w:rPr>
          <w:rFonts w:cs="Arial"/>
        </w:rPr>
        <w:t xml:space="preserve">immune alterations </w:t>
      </w:r>
      <w:r w:rsidR="004D0DD0">
        <w:rPr>
          <w:rFonts w:cs="Arial"/>
        </w:rPr>
        <w:t>may</w:t>
      </w:r>
      <w:r w:rsidR="00AC7989">
        <w:rPr>
          <w:rFonts w:cs="Arial"/>
        </w:rPr>
        <w:t xml:space="preserve"> also play a role</w:t>
      </w:r>
      <w:r w:rsidR="00431A7D">
        <w:rPr>
          <w:rFonts w:cs="Arial"/>
        </w:rPr>
        <w:t xml:space="preserve"> </w:t>
      </w:r>
      <w:r w:rsidR="00E20B06">
        <w:rPr>
          <w:rFonts w:cs="Arial"/>
        </w:rPr>
        <w:t xml:space="preserve">in pathogenesis </w:t>
      </w:r>
      <w:r w:rsidR="00CC3DDE">
        <w:rPr>
          <w:rFonts w:cs="Arial"/>
        </w:rPr>
        <w:fldChar w:fldCharType="begin" w:fldLock="1"/>
      </w:r>
      <w:r w:rsidR="00B850EF">
        <w:rPr>
          <w:rFonts w:cs="Arial"/>
        </w:rPr>
        <w:instrText>ADDIN CSL_CITATION {"citationItems":[{"id":"ITEM-1","itemData":{"abstract":"This review examines the association between disorders of immunity, including immune deficiency, atopy, and autoimmune disease, and non-Hodgkin lymphoma (NHL). Immune deficiency is one of the strongest known risk factors for NHL. Risk is increased whether the immune deficiency is congenital, iatrogenic, or acquired. Risk of NHL increases with degree of immune deficiency, and there is no evidence of a threshold. In the profoundly immune deficient, NHL is frequently caused by infection with the ubiquitous EBV. Whether mild, subclinical immune deficiency is related to increased NHL risk is unknown. There is inconsistent evidence that atopic conditions, such as asthma, hayfever, and eczema, characterized by an immune response that is skewed toward Th2, are associated with a decreased risk of NHL. These data come mainly from case-control studies. Concern has been expressed that the association may be due to reverse causality if early symptoms of NHL include a lessening of atopic manifestations. Case-control and cohort studies of people with autoimmune conditions have generally shown that rheumatoid arthritis, systemic lupus erythematosis, and Sjogren's disease are associated with increased NHL risk. It seems to be the intensity of the inflammatory disease rather than its treatment which is related to increased risk of NHL. The study of altered immunity as a cause of NHL in case-control studies is limited by the fact that development of NHL in itself leads to altered immunity. Cohort studies of the role of altered immunity should be a top priority in epidemiologic studies of NHL etiology. (Cancer Epidemiol Biomarkers Prev 2007;16(3):405–8)","author":[{"dropping-particle":"","family":"Grulich","given":"Andrew E.","non-dropping-particle":"","parse-names":false,"suffix":""},{"dropping-particle":"","family":"Vajdic","given":"Claire M.","non-dropping-particle":"","parse-names":false,"suffix":""},{"dropping-particle":"","family":"Cozen","given":"Wendy","non-dropping-particle":"","parse-names":false,"suffix":""}],"container-title":"Cancer Epidemiology and Prevention Biomarkers","id":"ITEM-1","issue":"3","issued":{"date-parts":[["2007"]]},"page":"405-409","title":"Altered Immunity as a Risk Factor for Non-Hodgkin Lymphoma","type":"article-journal","volume":"16"},"uris":["http://www.mendeley.com/documents/?uuid=12ad5c64-72d0-3104-af27-200a8c6eb86f"]}],"mendeley":{"formattedCitation":"[2]","plainTextFormattedCitation":"[2]","previouslyFormattedCitation":"[2]"},"properties":{"noteIndex":0},"schema":"https://github.com/citation-style-language/schema/raw/master/csl-citation.json"}</w:instrText>
      </w:r>
      <w:r w:rsidR="00CC3DDE">
        <w:rPr>
          <w:rFonts w:cs="Arial"/>
        </w:rPr>
        <w:fldChar w:fldCharType="separate"/>
      </w:r>
      <w:r w:rsidR="00B850EF" w:rsidRPr="00B850EF">
        <w:rPr>
          <w:rFonts w:cs="Arial"/>
          <w:noProof/>
        </w:rPr>
        <w:t>[2]</w:t>
      </w:r>
      <w:r w:rsidR="00CC3DDE">
        <w:rPr>
          <w:rFonts w:cs="Arial"/>
        </w:rPr>
        <w:fldChar w:fldCharType="end"/>
      </w:r>
      <w:r w:rsidR="00710011">
        <w:rPr>
          <w:rFonts w:cs="Arial"/>
        </w:rPr>
        <w:t>.</w:t>
      </w:r>
      <w:r w:rsidR="0053232A">
        <w:rPr>
          <w:rFonts w:cs="Arial"/>
        </w:rPr>
        <w:t xml:space="preserve"> </w:t>
      </w:r>
      <w:r w:rsidR="00710011">
        <w:rPr>
          <w:rFonts w:cs="Arial"/>
        </w:rPr>
        <w:t>F</w:t>
      </w:r>
      <w:r w:rsidR="0053232A">
        <w:rPr>
          <w:rFonts w:cs="Arial"/>
        </w:rPr>
        <w:t xml:space="preserve">or example, </w:t>
      </w:r>
      <w:r w:rsidR="004D0DD0">
        <w:rPr>
          <w:rFonts w:cs="Arial"/>
        </w:rPr>
        <w:t>t</w:t>
      </w:r>
      <w:r w:rsidR="00AC7989">
        <w:rPr>
          <w:rFonts w:cs="Arial"/>
        </w:rPr>
        <w:t xml:space="preserve">here is a strong positive association </w:t>
      </w:r>
      <w:r w:rsidR="00E20B06">
        <w:rPr>
          <w:rFonts w:cs="Arial"/>
        </w:rPr>
        <w:t>between NHL and</w:t>
      </w:r>
      <w:r w:rsidR="00AC7989">
        <w:rPr>
          <w:rFonts w:cs="Arial"/>
        </w:rPr>
        <w:t xml:space="preserve"> autoimmune disease </w:t>
      </w:r>
      <w:r w:rsidR="00CC3DDE">
        <w:rPr>
          <w:rFonts w:cs="Arial"/>
        </w:rPr>
        <w:fldChar w:fldCharType="begin" w:fldLock="1"/>
      </w:r>
      <w:r w:rsidR="00B850EF">
        <w:rPr>
          <w:rFonts w:cs="Arial"/>
        </w:rPr>
        <w:instrText>ADDIN CSL_CITATION {"citationItems":[{"id":"ITEM-1","itemData":{"DOI":"10.1182/blood-2008-01-133587","ISBN":"1528-0020 (Electronic)","ISSN":"00064971","PMID":"18796628","abstract":"Understanding patterns of etiologic commonality and heterogeneity for non-Hodgkin lymphomas may illuminate lymphomagenesis. We present the first systematic comparison of risks by lymphoma subtype for a broad range of putative risk factors in a population-based case-control study, including diffuse large B-cell (DLBCL; N = 416), follicular (N = 318), and marginal zone lymphomas (N = 106), and chronic lymphocytic leukemia/small lymphocytic lymphoma (CLL/SLL; N = 133). We required at least 2 of 3 analyses to support differences in risk: (1) polytomous logistic regression, (2) homogeneity tests, or (3) dichotomous logistic regression, analyzing all 7 possible pairwise comparisons among the subtypes, corresponding to various groupings by clinical behavior, genetic features, and differentiation. Late birth order and high body mass index (&gt;/= 35) kg/m(2)) increased risk for DLBCL alone. Autoimmune conditions increased risk for marginal zone lymphoma alone. The tumor necrosis factor G-308A polymorphism (rs1800629) increased risks for both DLBCL and marginal zone lymphoma. Exposure to certain dietary heterocyclic amines from meat consumption increased risk for CLL/SLL alone. We observed no significant risk factors for follicular lymphoma alone. These data clearly support both etiologic commonality and heterogeneity for lymphoma subtypes, suggesting that immune dysfunction is of greater etiologic importance for DLBCL and marginal zone lymphoma than for CLL/SLL and follicular lymphoma.","author":[{"dropping-particle":"","family":"Morton","given":"Lindsay M.","non-dropping-particle":"","parse-names":false,"suffix":""},{"dropping-particle":"","family":"Wang","given":"Sophia S.","non-dropping-particle":"","parse-names":false,"suffix":""},{"dropping-particle":"","family":"Cozen","given":"Wendy","non-dropping-particle":"","parse-names":false,"suffix":""},{"dropping-particle":"","family":"Linet","given":"Martha S.","non-dropping-particle":"","parse-names":false,"suffix":""},{"dropping-particle":"","family":"Chatterjee","given":"Nilanjan","non-dropping-particle":"","parse-names":false,"suffix":""},{"dropping-particle":"","family":"Davis","given":"Scott","non-dropping-particle":"","parse-names":false,"suffix":""},{"dropping-particle":"","family":"Severson","given":"Richard K.","non-dropping-particle":"","parse-names":false,"suffix":""},{"dropping-particle":"","family":"Colt","given":"Joanne S.","non-dropping-particle":"","parse-names":false,"suffix":""},{"dropping-particle":"","family":"Vasef","given":"Mohammad a.","non-dropping-particle":"","parse-names":false,"suffix":""},{"dropping-particle":"","family":"Rothman","given":"Nathaniel","non-dropping-particle":"","parse-names":false,"suffix":""},{"dropping-particle":"","family":"Blair","given":"Aaron","non-dropping-particle":"","parse-names":false,"suffix":""},{"dropping-particle":"","family":"Bernstein","given":"Leslie","non-dropping-particle":"","parse-names":false,"suffix":""},{"dropping-particle":"","family":"Cross","given":"Amanda J.","non-dropping-particle":"","parse-names":false,"suffix":""},{"dropping-particle":"","family":"Roos","given":"Anneclaire J.","non-dropping-particle":"De","parse-names":false,"suffix":""},{"dropping-particle":"","family":"Engels","given":"Eric a.","non-dropping-particle":"","parse-names":false,"suffix":""},{"dropping-particle":"","family":"Hein","given":"David W.","non-dropping-particle":"","parse-names":false,"suffix":""},{"dropping-particle":"","family":"Hill","given":"Deirdre a.","non-dropping-particle":"","parse-names":false,"suffix":""},{"dropping-particle":"","family":"Kelemen","given":"Linda E.","non-dropping-particle":"","parse-names":false,"suffix":""},{"dropping-particle":"","family":"Lim","given":"Unhee","non-dropping-particle":"","parse-names":false,"suffix":""},{"dropping-particle":"","family":"Lynch","given":"Charles F.","non-dropping-particle":"","parse-names":false,"suffix":""},{"dropping-particle":"","family":"Schenk","given":"Maryjean","non-dropping-particle":"","parse-names":false,"suffix":""},{"dropping-particle":"","family":"Wacholder","given":"Sholom","non-dropping-particle":"","parse-names":false,"suffix":""},{"dropping-particle":"","family":"Ward","given":"Mary H.","non-dropping-particle":"","parse-names":false,"suffix":""},{"dropping-particle":"","family":"Zahm","given":"Shelia Hoar","non-dropping-particle":"","parse-names":false,"suffix":""},{"dropping-particle":"","family":"Chanock","given":"Stephen J.","non-dropping-particle":"","parse-names":false,"suffix":""},{"dropping-particle":"","family":"Cerhan","given":"James R.","non-dropping-particle":"","parse-names":false,"suffix":""},{"dropping-particle":"","family":"Hartge","given":"Patricia","non-dropping-particle":"","parse-names":false,"suffix":""}],"container-title":"Blood","id":"ITEM-1","issue":"13","issued":{"date-parts":[["2008"]]},"note":"InterLymph: EpiLymph","page":"5150-5160","title":"Etiologic heterogeneity among non-Hodgkin lymphoma subtypes","type":"article-journal","volume":"112"},"uris":["http://www.mendeley.com/documents/?uuid=2ec55afd-4969-439f-9c00-f53839d6133c"]},{"id":"ITEM-2","itemData":{"DOI":"10.1182/blood-2007-10-119974","ISBN":"0006-4971 (Print)\\r0006-4971 (Linking)","ISSN":"00064971","PMID":"18263783","abstract":"Some autoimmune disorders are increasingly recognized as risk factors for non-Hodgkin lymphoma (NHL) overall, but large-scale systematic assessments of risk of NHL subtypes are lacking. We performed a pooled analysis of self-reported autoimmune conditions and risk of NHL and subtypes, including 29 423 participants in 12 case-control studies. We computed pooled odds ratios (OR) and 95% confidence intervals (CI) in a joint fixed-effects model. Sjögren syndrome was associated with a 6.5-fold increased risk of NHL, a 1000-fold increased risk of parotid gland marginal zone lymphoma (OR = 996; 95% CI, 216-4596), and with diffuse large B-cell and follicular lymphomas. Systemic lupus erythematosus was associated with a 2.7-fold increased risk of NHL and with diffuse large B-cell and marginal zone lymphomas. Hemolytic anemia was associated with diffuse large B-cell NHL. T-cell NHL risk was increased for patients with celiac disease and psoriasis. Results for rheumatoid arthritis were heterogeneous between studies. Inflammatory bowel disorders, type 1 diabetes, sarcoidosis, pernicious anemia, and multiple sclerosis were not associated with risk of NHL or subtypes. Thus, specific autoimmune disorders are associated with NHL risk beyond the development of rare NHL subtypes in affected organs. The pattern of associations with NHL subtypes may harbor clues to lymphomagenesis.","author":[{"dropping-particle":"","family":"Smedby","given":"Karin Ekström","non-dropping-particle":"","parse-names":false,"suffix":""},{"dropping-particle":"","family":"Vajdic","given":"Claire M.","non-dropping-particle":"","parse-names":false,"suffix":""},{"dropping-particle":"","family":"Falster","given":"Michael","non-dropping-particle":"","parse-names":false,"suffix":""},{"dropping-particle":"","family":"Engels","given":"Eric A.","non-dropping-particle":"","parse-names":false,"suffix":""},{"dropping-particle":"","family":"Martinez-Maza","given":"Otoniel","non-dropping-particle":"","parse-names":false,"suffix":""},{"dropping-particle":"","family":"Turner","given":"Jennifer","non-dropping-particle":"","parse-names":false,"suffix":""},{"dropping-particle":"","family":"Hjalgrim","given":"Henrik","non-dropping-particle":"","parse-names":false,"suffix":""},{"dropping-particle":"","family":"Vineis","given":"Paolo","non-dropping-particle":"","parse-names":false,"suffix":""},{"dropping-particle":"","family":"Costantini","given":"Adele Seniori","non-dropping-particle":"","parse-names":false,"suffix":""},{"dropping-particle":"","family":"Bracci","given":"Paige M.","non-dropping-particle":"","parse-names":false,"suffix":""},{"dropping-particle":"","family":"Holly","given":"Elizabeth A.","non-dropping-particle":"","parse-names":false,"suffix":""},{"dropping-particle":"","family":"Willett","given":"Eleanor","non-dropping-particle":"","parse-names":false,"suffix":""},{"dropping-particle":"","family":"Spinelli","given":"John J.","non-dropping-particle":"","parse-names":false,"suffix":""},{"dropping-particle":"La","family":"Vecchia","given":"Carlo","non-dropping-particle":"","parse-names":false,"suffix":""},{"dropping-particle":"","family":"Zheng","given":"Tongzhang","non-dropping-particle":"","parse-names":false,"suffix":""},{"dropping-particle":"","family":"Becker","given":"Nikolaus","non-dropping-particle":"","parse-names":false,"suffix":""},{"dropping-particle":"","family":"Sanjosé","given":"Silvia","non-dropping-particle":"De","parse-names":false,"suffix":""},{"dropping-particle":"","family":"Chiu","given":"Brian C H","non-dropping-particle":"","parse-names":false,"suffix":""},{"dropping-particle":"","family":"Maso","given":"Luigino Dal","non-dropping-particle":"","parse-names":false,"suffix":""},{"dropping-particle":"","family":"Cocco","given":"Pierluigi","non-dropping-particle":"","parse-names":false,"suffix":""},{"dropping-particle":"","family":"Maynadie","given":"Marc","non-dropping-particle":"","parse-names":false,"suffix":""},{"dropping-particle":"","family":"Foretova","given":"Lenka","non-dropping-particle":"","parse-names":false,"suffix":""},{"dropping-particle":"","family":"Staines","given":"Anthony","non-dropping-particle":"","parse-names":false,"suffix":""},{"dropping-particle":"","family":"Brennan","given":"Paul","non-dropping-particle":"","parse-names":false,"suffix":""},{"dropping-particle":"","family":"Davis","given":"Scott","non-dropping-particle":"","parse-names":false,"suffix":""},{"dropping-particle":"","family":"Severson","given":"Richard","non-dropping-particle":"","parse-names":false,"suffix":""},{"dropping-particle":"","family":"Cerhan","given":"James R.","non-dropping-particle":"","parse-names":false,"suffix":""},{"dropping-particle":"","family":"Breen","given":"Elizabeth C.","non-dropping-particle":"","parse-names":false,"suffix":""},{"dropping-particle":"","family":"Birmann","given":"Brenda","non-dropping-particle":"","parse-names":false,"suffix":""},{"dropping-particle":"","family":"Grulich","given":"Andrew E.","non-dropping-particle":"","parse-names":false,"suffix":""},{"dropping-particle":"","family":"Cozen","given":"Wendy","non-dropping-particle":"","parse-names":false,"suffix":""}],"container-title":"Blood","id":"ITEM-2","issued":{"date-parts":[["2008"]]},"page":"4029-4038","title":"Autoimmune disorders and risk of non-Hodgkin lymphoma subtypes: A pooled analysis within the InterLymph Consortium","type":"article-journal","volume":"111"},"uris":["http://www.mendeley.com/documents/?uuid=13245447-6492-4f53-b19b-2f7b707892e3"]}],"mendeley":{"formattedCitation":"[3,4]","plainTextFormattedCitation":"[3,4]","previouslyFormattedCitation":"[3,4]"},"properties":{"noteIndex":0},"schema":"https://github.com/citation-style-language/schema/raw/master/csl-citation.json"}</w:instrText>
      </w:r>
      <w:r w:rsidR="00CC3DDE">
        <w:rPr>
          <w:rFonts w:cs="Arial"/>
        </w:rPr>
        <w:fldChar w:fldCharType="separate"/>
      </w:r>
      <w:r w:rsidR="00B850EF" w:rsidRPr="00B850EF">
        <w:rPr>
          <w:rFonts w:cs="Arial"/>
          <w:noProof/>
        </w:rPr>
        <w:t>[3,4]</w:t>
      </w:r>
      <w:r w:rsidR="00CC3DDE">
        <w:rPr>
          <w:rFonts w:cs="Arial"/>
        </w:rPr>
        <w:fldChar w:fldCharType="end"/>
      </w:r>
      <w:r w:rsidR="00431A7D">
        <w:rPr>
          <w:rFonts w:cs="Arial"/>
        </w:rPr>
        <w:t xml:space="preserve"> and</w:t>
      </w:r>
      <w:r w:rsidR="00AC7989">
        <w:rPr>
          <w:rFonts w:cs="Arial"/>
        </w:rPr>
        <w:t xml:space="preserve"> an inverse association with atopy </w:t>
      </w:r>
      <w:r w:rsidR="00CC3DDE">
        <w:rPr>
          <w:rFonts w:cs="Arial"/>
        </w:rPr>
        <w:fldChar w:fldCharType="begin" w:fldLock="1"/>
      </w:r>
      <w:r w:rsidR="00B850EF">
        <w:rPr>
          <w:rFonts w:cs="Arial"/>
        </w:rPr>
        <w:instrText>ADDIN CSL_CITATION {"citationItems":[{"id":"ITEM-1","itemData":{"DOI":"10.1007/s10552-007-9025-5","ISSN":"09575243","PMID":"17588155","abstract":"OBJECTIVE: Since adult immune responsiveness is influenced by early childhood exposures, we examined the role of family size, history of atopic disease, and other childhood immune-related exposures in a multi-center case-control study of NHL. METHODS: Interviews were completed with 1,321 cases ascertained from population-based cancer registries in Seattle, Detroit, Los Angeles and Iowa, and with 1,057 frequency-matched controls, selected by random-digit dialing and from the Medicare files database. Multivariable logistic regression was used to estimate risk. RESULTS: A history of any allergy (excluding drug allergies), decreased risk of all NHL (Odds Ratio [OR] = 0.7, 95% Confidence Interval [CI] = 0.6-1.0), diffuse large B-cell lymphoma [DLBCL] (OR = 0.6, 95% CI = 0.4-0.9), and follicular NHL (OR = 0.7, 95 CI = 0.5, 1.0). A similar effect was observed for hay fever. A history of eczema was associated with an increased risk of follicular lymphoma (OR = 1.9, 95% CI = 1.1-3.4), but not DLBCL (OR = 1.1, 95% CI = 0.6-2.0). Asthma did not affect risk. Youngest compared to oldest siblings had a 90% increased risk of DLBCL (95% CI = 1.2-3.1; p for trend with increasing birth order = 0.006), but not follicular lymphoma (OR = 1.1, 95% CI = 0.6-1.8). CONCLUSIONS: We infer that some childhood and immune-related factors may alter NHL risk.","author":[{"dropping-particle":"","family":"Cozen","given":"W.","non-dropping-particle":"","parse-names":false,"suffix":""},{"dropping-particle":"","family":"Cerhan","given":"J. R.","non-dropping-particle":"","parse-names":false,"suffix":""},{"dropping-particle":"","family":"Martinez-Maza","given":"O.","non-dropping-particle":"","parse-names":false,"suffix":""},{"dropping-particle":"","family":"Ward","given":"M. H.","non-dropping-particle":"","parse-names":false,"suffix":""},{"dropping-particle":"","family":"Linet","given":"M.","non-dropping-particle":"","parse-names":false,"suffix":""},{"dropping-particle":"","family":"Colt","given":"J. S.","non-dropping-particle":"","parse-names":false,"suffix":""},{"dropping-particle":"","family":"Davis","given":"S.","non-dropping-particle":"","parse-names":false,"suffix":""},{"dropping-particle":"","family":"Severson","given":"R. K.","non-dropping-particle":"","parse-names":false,"suffix":""},{"dropping-particle":"","family":"Hartge","given":"P.","non-dropping-particle":"","parse-names":false,"suffix":""},{"dropping-particle":"","family":"Bernstein","given":"L.","non-dropping-particle":"","parse-names":false,"suffix":""}],"container-title":"Cancer Causes and Control","id":"ITEM-1","issued":{"date-parts":[["2007"]]},"page":"821-831","title":"The effect of atopy, childhood crowding, and other immune-related factors on non-Hodgkin lymphoma risk","type":"article-journal","volume":"18"},"uris":["http://www.mendeley.com/documents/?uuid=def6e358-ebb6-4d10-a3e9-1ca2262a5fc4"]}],"mendeley":{"formattedCitation":"[5]","plainTextFormattedCitation":"[5]","previouslyFormattedCitation":"[5]"},"properties":{"noteIndex":0},"schema":"https://github.com/citation-style-language/schema/raw/master/csl-citation.json"}</w:instrText>
      </w:r>
      <w:r w:rsidR="00CC3DDE">
        <w:rPr>
          <w:rFonts w:cs="Arial"/>
        </w:rPr>
        <w:fldChar w:fldCharType="separate"/>
      </w:r>
      <w:r w:rsidR="00B850EF" w:rsidRPr="00B850EF">
        <w:rPr>
          <w:rFonts w:cs="Arial"/>
          <w:noProof/>
        </w:rPr>
        <w:t>[5]</w:t>
      </w:r>
      <w:r w:rsidR="00CC3DDE">
        <w:rPr>
          <w:rFonts w:cs="Arial"/>
        </w:rPr>
        <w:fldChar w:fldCharType="end"/>
      </w:r>
      <w:r w:rsidR="00431A7D">
        <w:rPr>
          <w:rFonts w:cs="Arial"/>
        </w:rPr>
        <w:t xml:space="preserve">. </w:t>
      </w:r>
      <w:r w:rsidR="004D0DD0">
        <w:rPr>
          <w:rFonts w:cs="Arial"/>
        </w:rPr>
        <w:t>In addition to e</w:t>
      </w:r>
      <w:r w:rsidR="00431A7D">
        <w:rPr>
          <w:rFonts w:cs="Arial"/>
        </w:rPr>
        <w:t xml:space="preserve">vidence of familiality for </w:t>
      </w:r>
      <w:r w:rsidR="00A72C84">
        <w:rPr>
          <w:rFonts w:cs="Arial"/>
        </w:rPr>
        <w:t xml:space="preserve">overall and subtype-specific </w:t>
      </w:r>
      <w:r w:rsidR="00431A7D">
        <w:rPr>
          <w:rFonts w:cs="Arial"/>
        </w:rPr>
        <w:t xml:space="preserve">NHL </w:t>
      </w:r>
      <w:r w:rsidR="004D0DD0">
        <w:rPr>
          <w:rFonts w:cs="Arial"/>
        </w:rPr>
        <w:t>risk</w:t>
      </w:r>
      <w:r w:rsidR="00FC1A7B">
        <w:rPr>
          <w:rFonts w:cs="Arial"/>
        </w:rPr>
        <w:t xml:space="preserve"> </w:t>
      </w:r>
      <w:r w:rsidR="00995238">
        <w:rPr>
          <w:rFonts w:cs="Arial"/>
        </w:rPr>
        <w:fldChar w:fldCharType="begin" w:fldLock="1"/>
      </w:r>
      <w:r w:rsidR="00B850EF">
        <w:rPr>
          <w:rFonts w:cs="Arial"/>
        </w:rPr>
        <w:instrText>ADDIN CSL_CITATION {"citationItems":[{"id":"ITEM-1","itemData":{"DOI":"10.1111/j.1365-2141.2009.07721.x","ISBN":"1365-2141 (Electronic)\\r0007-1048 (Linking)","ISSN":"00071048","PMID":"19438470","abstract":"Studies have shown that familial risk contributes to aetiology of lymphomas. Using large population registries from Sweden, we evaluated risk of lymphoma subtypes among first-degree relatives of 2668 follicular lymphoma (FL) patients, 2517 diffuse large B-cell lymphoma (DLBCL) patients, and 6963 Hodgkin lymphoma (HL) patients compared to first-degree relatives of controls. Relatives were at the highest risk for developing the same lymphoma subtype as the case. DLBCL was increased 10-fold among relatives of DLBCL patients, FL was increased fourfold among relatives of FL patients and HL was increased fourfold among relatives of HL patients. These results imply that germline susceptibility genes are specific to lymphoma subtype.","author":[{"dropping-particle":"","family":"Goldin","given":"Lynn R","non-dropping-particle":"","parse-names":false,"suffix":""},{"dropping-particle":"","family":"Björkholm","given":"Magnus","non-dropping-particle":"","parse-names":false,"suffix":""},{"dropping-particle":"","family":"Kristinsson","given":"Sigurdur Y","non-dropping-particle":"","parse-names":false,"suffix":""},{"dropping-particle":"","family":"Turesson","given":"Ingemar","non-dropping-particle":"","parse-names":false,"suffix":""},{"dropping-particle":"","family":"Landgren","given":"Ola","non-dropping-particle":"","parse-names":false,"suffix":""}],"container-title":"British Journal of Haematology","id":"ITEM-1","issue":"1","issued":{"date-parts":[["2009","6"]]},"page":"91-94","publisher":"NIH Public Access","title":"Highly increased familial risks for specific lymphoma subtypes","type":"article-journal","volume":"146"},"uris":["http://www.mendeley.com/documents/?uuid=649db14f-59f5-3cc6-b314-5fe885a78540"]},{"id":"ITEM-2","itemData":{"DOI":"10.1093/jncimonographs/lgu012","ISBN":"1745-6614 (Electronic)\\r1052-6773 (Linking)","ISSN":"17456614","PMID":"25174027","abstract":"BACKGROUND: Accounting for 10%-15% of all non-Hodgkin lymphomas in Western populations, peripheral T-cell lymphomas (PTCL) are the most common T-cell lymphoma but little is known about their etiology. Our aim was to identify etiologic risk factors for PTCL overall, and for specific PTCL subtypes, by analyzing data from 15 epidemiologic studies participating in the InterLymph Consortium.\\n\\nMETHODS: A pooled analysis of individual-level data for 584 histologically confirmed PTCL cases and 15912 controls from 15 case-control studies conducted in Europe, North America, and Australia was undertaken. Data collected from questionnaires were harmonized to permit evaluation of a broad range of potential risk factors. Odds ratios (OR) and 95% confidence intervals (CI) were calculated using logistic regression.\\n\\nRESULTS: Risk factors associated with increased overall PTCL risk with a P value less than .05 included: a family history of hematologic malignancies (OR = 1.92, 95% CI = 1.30 to 2.84); celiac disease (OR = 17.8, 95% CI = 8.61 to 36.79); eczema (OR = 1.41, 95% CI = 1.07 to 1.85); psoriasis (OR = 1.97, 95% CI = 1.17 to 3.32); smoking 40 or more years (OR = 1.92, 95% CI = 1.41 to 2.62); and employment as a textile worker (ever) (OR = 1.58, 95% CI = 1.05 to 2.38) and electrical fitter (ever) (OR = 2.89, 95% CI = 1.41 to 5.95). Exposures associated with reduced overall PTCL risk included a personal history of allergies (OR = 0.69, 95% CI = 0.54 to 0.87), alcohol consumption (ever) (OR = 0.64, 95% CI = 0.49 to 0.82), and having ever lived or worked on a farm (OR = 0.72, 95% CI = 0.55% to 0.95%). We also observed the well-established risk elevation for enteropathy-type PTCL among those with celiac disease in our data. Conclusions Our pooled analyses identified a number of new potential risk factors for PTCL and require further validation in independent series.","author":[{"dropping-particle":"","family":"Wang","given":"Sophia S","non-dropping-particle":"","parse-names":false,"suffix":""},{"dropping-particle":"","family":"Flowers","given":"Christopher R","non-dropping-particle":"","parse-names":false,"suffix":""},{"dropping-particle":"","family":"Kadin","given":"Marshall E","non-dropping-particle":"","parse-names":false,"suffix":""},{"dropping-particle":"","family":"Chang","given":"Ellen T","non-dropping-particle":"","parse-names":false,"suffix":""},{"dropping-particle":"","family":"Hughes","given":"Ann Maree","non-dropping-particle":"","parse-names":false,"suffix":""},{"dropping-particle":"","family":"Ansell","given":"Stephen M","non-dropping-particle":"","parse-names":false,"suffix":""},{"dropping-particle":"","family":"Feldman","given":"Andrew L","non-dropping-particle":"","parse-names":false,"suffix":""},{"dropping-particle":"","family":"Lightfoot","given":"Tracy","non-dropping-particle":"","parse-names":false,"suffix":""},{"dropping-particle":"","family":"Boffetta","given":"Paolo","non-dropping-particle":"","parse-names":false,"suffix":""},{"dropping-particle":"","family":"Melbye","given":"Mads","non-dropping-particle":"","parse-names":false,"suffix":""},{"dropping-particle":"","family":"Lan","given":"Qing","non-dropping-particle":"","parse-names":false,"suffix":""},{"dropping-particle":"","family":"Sampson","given":"Joshua N","non-dropping-particle":"","parse-names":false,"suffix":""},{"dropping-particle":"","family":"Morton","given":"Lindsay M","non-dropping-particle":"","parse-names":false,"suffix":""},{"dropping-particle":"","family":"Zhang","given":"Yawei","non-dropping-particle":"","parse-names":false,"suffix":""},{"dropping-particle":"","family":"Weisenburger","given":"Dennis D","non-dropping-particle":"","parse-names":false,"suffix":""}],"container-title":"Journal of the National Cancer Institute - Monographs","id":"ITEM-2","issue":"48","issued":{"date-parts":[["2014","8"]]},"page":"66-75","publisher":"Oxford University Press","title":"Medical history, lifestyle, family history, and occupational risk factors for peripheral T-cell lymphomas: The interlymph non-hodgkin lymphoma subtypes project","type":"article-journal","volume":"2014"},"uris":["http://www.mendeley.com/documents/?uuid=b8e6ba75-244a-38b8-b76a-00663340a785"]}],"mendeley":{"formattedCitation":"[6,7]","plainTextFormattedCitation":"[6,7]","previouslyFormattedCitation":"[6,7]"},"properties":{"noteIndex":0},"schema":"https://github.com/citation-style-language/schema/raw/master/csl-citation.json"}</w:instrText>
      </w:r>
      <w:r w:rsidR="00995238">
        <w:rPr>
          <w:rFonts w:cs="Arial"/>
        </w:rPr>
        <w:fldChar w:fldCharType="separate"/>
      </w:r>
      <w:r w:rsidR="00B850EF" w:rsidRPr="00B850EF">
        <w:rPr>
          <w:rFonts w:cs="Arial"/>
          <w:noProof/>
        </w:rPr>
        <w:t>[6,7]</w:t>
      </w:r>
      <w:r w:rsidR="00995238">
        <w:rPr>
          <w:rFonts w:cs="Arial"/>
        </w:rPr>
        <w:fldChar w:fldCharType="end"/>
      </w:r>
      <w:r w:rsidR="00FC1A7B">
        <w:rPr>
          <w:rFonts w:cs="Arial"/>
        </w:rPr>
        <w:t>,</w:t>
      </w:r>
      <w:r w:rsidR="00431A7D">
        <w:rPr>
          <w:rFonts w:cs="Arial"/>
        </w:rPr>
        <w:t xml:space="preserve"> </w:t>
      </w:r>
      <w:r w:rsidR="0090063C">
        <w:rPr>
          <w:rFonts w:cs="Arial"/>
        </w:rPr>
        <w:t>variant</w:t>
      </w:r>
      <w:r w:rsidR="00431A7D">
        <w:rPr>
          <w:rFonts w:cs="Arial"/>
        </w:rPr>
        <w:t xml:space="preserve">s </w:t>
      </w:r>
      <w:r w:rsidR="00431A7D" w:rsidRPr="003D037E">
        <w:rPr>
          <w:rFonts w:cs="Arial"/>
        </w:rPr>
        <w:t xml:space="preserve">in </w:t>
      </w:r>
      <w:r w:rsidR="00E1541D">
        <w:rPr>
          <w:rFonts w:cs="Arial"/>
        </w:rPr>
        <w:t xml:space="preserve">and near </w:t>
      </w:r>
      <w:r w:rsidR="00431A7D" w:rsidRPr="003D037E">
        <w:rPr>
          <w:rFonts w:cs="Arial"/>
        </w:rPr>
        <w:t>genes related to innate and adaptive immunity</w:t>
      </w:r>
      <w:r w:rsidR="00431A7D">
        <w:rPr>
          <w:rFonts w:cs="Arial"/>
        </w:rPr>
        <w:t xml:space="preserve"> (</w:t>
      </w:r>
      <w:r w:rsidR="00431A7D" w:rsidRPr="00043B50">
        <w:rPr>
          <w:rFonts w:cs="Arial"/>
          <w:i/>
        </w:rPr>
        <w:t>IL1RN, FCGR2A, TNF</w:t>
      </w:r>
      <w:r w:rsidR="00431A7D" w:rsidRPr="0022191F">
        <w:rPr>
          <w:rFonts w:cs="Arial"/>
          <w:i/>
        </w:rPr>
        <w:t>A</w:t>
      </w:r>
      <w:r w:rsidR="00431A7D" w:rsidRPr="003D037E">
        <w:rPr>
          <w:rFonts w:cs="Arial"/>
        </w:rPr>
        <w:t>, HLA Class I and II)</w:t>
      </w:r>
      <w:r w:rsidR="00431A7D">
        <w:rPr>
          <w:rFonts w:cs="Arial"/>
        </w:rPr>
        <w:t xml:space="preserve"> </w:t>
      </w:r>
      <w:r w:rsidR="0059736F">
        <w:rPr>
          <w:rFonts w:cs="Arial"/>
        </w:rPr>
        <w:fldChar w:fldCharType="begin" w:fldLock="1"/>
      </w:r>
      <w:r w:rsidR="00B850EF">
        <w:rPr>
          <w:rFonts w:cs="Arial"/>
        </w:rPr>
        <w:instrText>ADDIN CSL_CITATION {"citationItems":[{"id":"ITEM-1","itemData":{"DOI":"10.1111/j.1365-2141.2010.08518.x","ISSN":"1365-2141","PMID":"21250972","abstract":"Genetic variation in immune-related genes may play a role in the development of non-Hodgkin lymphoma (NHL). To test the hypothesis that innate immunity polymorphisms may be associated with NHL risk, we genotyped 144 tag single nucleotide polymorphisms (tagSNPs) capturing common genetic variation within 12 innate immunity gene regions in three independent population-based case-control studies (1946 cases and 1808 controls). Gene-based analyses found IL1RN to be associated with NHL risk (minP = 0·03); specifically, IL1RN rs2637988 was associated with an increased risk of NHL (per-allele odds ratio = 1·15, 95% confidence interval = 1·05-1·27; P(trend) = 0·003), which was consistent across study, subtype, and gender. FCGR2A was also associated with a decreased risk of the follicular lymphoma NHL subtype (minP = 0·03). Our findings suggest that genetic variation in IL1RN and FCGR2A may play a role in lymphomagenesis. Given that conflicting results have been reported regarding the association between IL1RN SNPs and NHL risk, a larger number of innate immunity genes with sufficient genomic coverage should be evaluated systematically across many studies.","author":[{"dropping-particle":"","family":"Hosgood","given":"H Dean","non-dropping-particle":"","parse-names":false,"suffix":""},{"dropping-particle":"","family":"Purdue","given":"Mark P","non-dropping-particle":"","parse-names":false,"suffix":""},{"dropping-particle":"","family":"Wang","given":"Sophia S","non-dropping-particle":"","parse-names":false,"suffix":""},{"dropping-particle":"","family":"Zheng","given":"Tongzhang","non-dropping-particle":"","parse-names":false,"suffix":""},{"dropping-particle":"","family":"Morton","given":"Lindsay M","non-dropping-particle":"","parse-names":false,"suffix":""},{"dropping-particle":"","family":"Lan","given":"Qing","non-dropping-particle":"","parse-names":false,"suffix":""},{"dropping-particle":"","family":"Menashe","given":"Idan","non-dropping-particle":"","parse-names":false,"suffix":""},{"dropping-particle":"","family":"Zhang","given":"Yawei","non-dropping-particle":"","parse-names":false,"suffix":""},{"dropping-particle":"","family":"Cerhan","given":"James R","non-dropping-particle":"","parse-names":false,"suffix":""},{"dropping-particle":"","family":"Grulich","given":"Andrew","non-dropping-particle":"","parse-names":false,"suffix":""},{"dropping-particle":"","family":"Cozen","given":"Wendy","non-dropping-particle":"","parse-names":false,"suffix":""},{"dropping-particle":"","family":"Yeager","given":"Meredith","non-dropping-particle":"","parse-names":false,"suffix":""},{"dropping-particle":"","family":"Holford","given":"Theodore R","non-dropping-particle":"","parse-names":false,"suffix":""},{"dropping-particle":"","family":"Vajdic","given":"Claire M","non-dropping-particle":"","parse-names":false,"suffix":""},{"dropping-particle":"","family":"Davis","given":"Scott","non-dropping-particle":"","parse-names":false,"suffix":""},{"dropping-particle":"","family":"Leaderer","given":"Brian","non-dropping-particle":"","parse-names":false,"suffix":""},{"dropping-particle":"","family":"Kricker","given":"Anne","non-dropping-particle":"","parse-names":false,"suffix":""},{"dropping-particle":"","family":"Schenk","given":"Maryjean","non-dropping-particle":"","parse-names":false,"suffix":""},{"dropping-particle":"","family":"Zahm","given":"Shelia H","non-dropping-particle":"","parse-names":false,"suffix":""},{"dropping-particle":"","family":"Chatterjee","given":"Nilanjan","non-dropping-particle":"","parse-names":false,"suffix":""},{"dropping-particle":"","family":"Chanock","given":"Stephen J","non-dropping-particle":"","parse-names":false,"suffix":""},{"dropping-particle":"","family":"Rothman","given":"Nathaniel","non-dropping-particle":"","parse-names":false,"suffix":""},{"dropping-particle":"","family":"Hartge","given":"Patricia","non-dropping-particle":"","parse-names":false,"suffix":""},{"dropping-particle":"","family":"Armstrong","given":"Bruce","non-dropping-particle":"","parse-names":false,"suffix":""}],"container-title":"British journal of haematology","id":"ITEM-1","issue":"6","issued":{"date-parts":[["2011","3"]]},"page":"721-6","title":"A pooled analysis of three studies evaluating genetic variation in innate immunity genes and non-Hodgkin lymphoma risk.","type":"article-journal","volume":"152"},"uris":["http://www.mendeley.com/documents/?uuid=28a6c2e9-f4cc-4cbd-a973-8fa8e004737a"]},{"id":"ITEM-2","itemData":{"DOI":"10.1111/j.1399-0039.2012.01845.x","ISSN":"1399-0039","PMID":"22296171","abstract":"Follicular lymphoma (FL) is an indolent, sometimes, fatal disease characterized by recurrence at progressively shorter intervals and is frequently refractive to therapy. Genome-wide association studies have identified single nucleotide polymorphisms (SNPs) in the human leukocyte antigen (HLA) region on chromosome 6p21.32-33 that are statistically significantly associated with FL risk. Low to medium resolution typing of single or multiple HLA genes has provided an incomplete picture of the total genetic risk imparted by this highly variable region. To gain further insight into the role of HLA alleles in lymphomagenesis and to investigate the independence of validated SNPs and HLA alleles with FL risk, high-resolution HLA typing was conducted using next-generation sequencing in 222 non-Hispanic White FL cases and 220 matched controls from a larger San Francisco Bay Area population-based case-control study of lymphoma. A novel protective association was found between the DPB1*03:01 allele and FL risk [odds ratio (OR) = 0.39, 95% confidence interval (CI) = 0.21-0.68]. Extended haplotypes DRB1*01:01-DQA1*01:01-DQB1*05:01 (OR = 2.01, 95% CI = 1.22-3.38) and DRB1*15-DQA1*01-DQB1*06 (OR = 0.55, 95% CI = 0.36-0.82) also influenced FL risk. Moreover, DRB1*15-DQA1*01-DQB1*06 was highly correlated with an established FL risk locus, rs2647012. These results provide further insight into the critical roles of HLA alleles and SNPs in FL pathogenesis that involve multi-locus effects across the HLA region.","author":[{"dropping-particle":"","family":"Skibola","given":"Christine F","non-dropping-particle":"","parse-names":false,"suffix":""},{"dropping-particle":"","family":"Akers","given":"N K","non-dropping-particle":"","parse-names":false,"suffix":""},{"dropping-particle":"","family":"Conde","given":"L","non-dropping-particle":"","parse-names":false,"suffix":""},{"dropping-particle":"","family":"Ladner","given":"M","non-dropping-particle":"","parse-names":false,"suffix":""},{"dropping-particle":"","family":"Hawbecker","given":"S K","non-dropping-particle":"","parse-names":false,"suffix":""},{"dropping-particle":"","family":"Cohen","given":"F","non-dropping-particle":"","parse-names":false,"suffix":""},{"dropping-particle":"","family":"Ribas","given":"F","non-dropping-particle":"","parse-names":false,"suffix":""},{"dropping-particle":"","family":"Erlich","given":"H A","non-dropping-particle":"","parse-names":false,"suffix":""},{"dropping-particle":"","family":"Goodridge","given":"D","non-dropping-particle":"","parse-names":false,"suffix":""},{"dropping-particle":"","family":"Trachtenberg","given":"E A","non-dropping-particle":"","parse-names":false,"suffix":""},{"dropping-particle":"","family":"Smith","given":"M T","non-dropping-particle":"","parse-names":false,"suffix":""},{"dropping-particle":"","family":"Bracci","given":"P M","non-dropping-particle":"","parse-names":false,"suffix":""}],"container-title":"Tissue antigens","id":"ITEM-2","issue":"4","issued":{"date-parts":[["2012","4"]]},"page":"279-86","title":"Multi-locus HLA class I and II allele and haplotype associations with follicular lymphoma.","type":"article-journal","volume":"79"},"uris":["http://www.mendeley.com/documents/?uuid=fdd63b9b-8bb1-4f92-82d5-c10027c5a54b"]},{"id":"ITEM-3","itemData":{"DOI":"10.1182/blood-2010-01-266775","ISBN":"10.1182/blood-2010-01-266775","ISSN":"00064971","PMID":"20385791","abstract":"Genome-wide association and candidate gene studies implicate different genetic variants within the 6p21 chromosomal region with different non-Hodgkin lymphoma (NHL) subtypes. Complementing these efforts, we conducted human leukocyte antigen (HLA) class I and class II genotyping among 610 NHL cases and 555 controls of non-Hispanic white descent from a US multicenter study. Allele-disease associations were assessed by logistic regression for NHL and its subtypes. Statistically significant associations between HLA and NHL subtypes include HLA-DRB1*0101 for follicular lymphoma (odds ratio [OR] = 2.14, P &lt; .001), HLA-DRB1*0401 for diffuse large B-cell lymphoma (DLBCL; OR = 0.45, P = .006), and HLA-DRB1*13 and follicular lymphoma (OR = 0.48, P = .008). We further observed significant heterozygote advantage for HLA class I alleles and NHL, and particularly DLBCL (P trend = .01 for elevated risk with increasing number of homozygous alleles). Our results support a role for HLA in the etiology of NHL and its subtypes.","author":[{"dropping-particle":"","family":"Wang","given":"Sophia S.","non-dropping-particle":"","parse-names":false,"suffix":""},{"dropping-particle":"","family":"Abdou","given":"Amr M.","non-dropping-particle":"","parse-names":false,"suffix":""},{"dropping-particle":"","family":"Morton","given":"Lindsay M.","non-dropping-particle":"","parse-names":false,"suffix":""},{"dropping-particle":"","family":"Thomas","given":"Rasmi","non-dropping-particle":"","parse-names":false,"suffix":""},{"dropping-particle":"","family":"Cerhan","given":"James R.","non-dropping-particle":"","parse-names":false,"suffix":""},{"dropping-particle":"","family":"Gao","given":"Xiaojiang","non-dropping-particle":"","parse-names":false,"suffix":""},{"dropping-particle":"","family":"Cozen","given":"Wendy","non-dropping-particle":"","parse-names":false,"suffix":""},{"dropping-particle":"","family":"Rothman","given":"Nathaniel","non-dropping-particle":"","parse-names":false,"suffix":""},{"dropping-particle":"","family":"Davis","given":"Scott","non-dropping-particle":"","parse-names":false,"suffix":""},{"dropping-particle":"","family":"Severson","given":"Richard K.","non-dropping-particle":"","parse-names":false,"suffix":""},{"dropping-particle":"","family":"Bernstein","given":"Leslie","non-dropping-particle":"","parse-names":false,"suffix":""},{"dropping-particle":"","family":"Hartge","given":"Patricia","non-dropping-particle":"","parse-names":false,"suffix":""},{"dropping-particle":"","family":"Carrington","given":"Mary","non-dropping-particle":"","parse-names":false,"suffix":""}],"container-title":"Blood","id":"ITEM-3","issued":{"date-parts":[["2010"]]},"page":"4820-4823","title":"Human leukocyte antigen class I and II alleles in non-Hodgkin lymphoma etiology","type":"article-journal","volume":"115"},"uris":["http://www.mendeley.com/documents/?uuid=74cb1479-a3b7-4b1a-9aef-203e8a4ab4cb"]}],"mendeley":{"formattedCitation":"[8–10]","plainTextFormattedCitation":"[8–10]","previouslyFormattedCitation":"[8–10]"},"properties":{"noteIndex":0},"schema":"https://github.com/citation-style-language/schema/raw/master/csl-citation.json"}</w:instrText>
      </w:r>
      <w:r w:rsidR="0059736F">
        <w:rPr>
          <w:rFonts w:cs="Arial"/>
        </w:rPr>
        <w:fldChar w:fldCharType="separate"/>
      </w:r>
      <w:r w:rsidR="00B850EF" w:rsidRPr="00B850EF">
        <w:rPr>
          <w:rFonts w:cs="Arial"/>
          <w:noProof/>
        </w:rPr>
        <w:t>[8–10]</w:t>
      </w:r>
      <w:r w:rsidR="0059736F">
        <w:rPr>
          <w:rFonts w:cs="Arial"/>
        </w:rPr>
        <w:fldChar w:fldCharType="end"/>
      </w:r>
      <w:r w:rsidR="00431A7D">
        <w:rPr>
          <w:rFonts w:cs="Arial"/>
        </w:rPr>
        <w:t xml:space="preserve"> have been implicated </w:t>
      </w:r>
      <w:r w:rsidR="004D0DD0">
        <w:rPr>
          <w:rFonts w:cs="Arial"/>
        </w:rPr>
        <w:t>as potential risk factors</w:t>
      </w:r>
      <w:r w:rsidR="00431A7D">
        <w:rPr>
          <w:rFonts w:cs="Arial"/>
        </w:rPr>
        <w:t>.</w:t>
      </w:r>
    </w:p>
    <w:p w14:paraId="6779F232" w14:textId="0DB3DB37" w:rsidR="00EA06D1" w:rsidRPr="003D037E" w:rsidRDefault="00431A7D" w:rsidP="00493DD9">
      <w:pPr>
        <w:spacing w:line="480" w:lineRule="auto"/>
        <w:ind w:firstLine="720"/>
        <w:rPr>
          <w:rFonts w:cs="Arial"/>
        </w:rPr>
      </w:pPr>
      <w:r>
        <w:rPr>
          <w:rFonts w:cs="Arial"/>
        </w:rPr>
        <w:t>Several infecti</w:t>
      </w:r>
      <w:r w:rsidR="0053232A">
        <w:rPr>
          <w:rFonts w:cs="Arial"/>
        </w:rPr>
        <w:t>ou</w:t>
      </w:r>
      <w:r>
        <w:rPr>
          <w:rFonts w:cs="Arial"/>
        </w:rPr>
        <w:t>s</w:t>
      </w:r>
      <w:r w:rsidR="0053232A">
        <w:rPr>
          <w:rFonts w:cs="Arial"/>
        </w:rPr>
        <w:t xml:space="preserve"> agents</w:t>
      </w:r>
      <w:r>
        <w:rPr>
          <w:rFonts w:cs="Arial"/>
        </w:rPr>
        <w:t xml:space="preserve">, including </w:t>
      </w:r>
      <w:r w:rsidR="0022191F" w:rsidRPr="003D037E">
        <w:rPr>
          <w:rFonts w:cs="Arial"/>
        </w:rPr>
        <w:t>Epstein-Barr virus</w:t>
      </w:r>
      <w:r w:rsidR="0022191F">
        <w:rPr>
          <w:rFonts w:cs="Arial"/>
        </w:rPr>
        <w:t xml:space="preserve"> (EBV) </w:t>
      </w:r>
      <w:r w:rsidR="0022191F">
        <w:rPr>
          <w:rFonts w:cs="Arial"/>
        </w:rPr>
        <w:fldChar w:fldCharType="begin" w:fldLock="1"/>
      </w:r>
      <w:r w:rsidR="00B850EF">
        <w:rPr>
          <w:rFonts w:cs="Arial"/>
        </w:rPr>
        <w:instrText>ADDIN CSL_CITATION {"citationItems":[{"id":"ITEM-1","itemData":{"DOI":"10.1056/NEJMra032015","abstract":"Epstein–Barr virus (EBV) is perhaps best known for its ability to immortalize human B lymphocytes in culture.1 This property makes it a candidate for causing human disease, particularly cancer and autoimmune disease.2,3 Recent work, however, has shown that EBV has evolved strategies that reduce its potential to become pathogenic.4-6 These new findings have encouraged a reassessment of how and when EBV may cause human disease. In this article, we review current knowledge of the ways in which EBV establishes and maintains a persistent infection at the same time that it minimizes its pathogenicity; we also discuss how these characteristics influence the understanding of the role of EBV in lymphomagenesis.","author":[{"dropping-particle":"","family":"Thorley-Lawson","given":"David A.","non-dropping-particle":"","parse-names":false,"suffix":""},{"dropping-particle":"","family":"Gross","given":"Andrew","non-dropping-particle":"","parse-names":false,"suffix":""}],"container-title":"The New England journal of medicine","id":"ITEM-1","issue":"13","issued":{"date-parts":[["2004"]]},"page":"1328-1337","title":"Persistence of the Epstein–Barr Virus and the Origins of Associated Lymphomas","type":"article-journal","volume":"350"},"uris":["http://www.mendeley.com/documents/?uuid=f197671b-5a0c-44e2-96ee-eb82c8d0a9fe"]}],"mendeley":{"formattedCitation":"[11]","plainTextFormattedCitation":"[11]","previouslyFormattedCitation":"[11]"},"properties":{"noteIndex":0},"schema":"https://github.com/citation-style-language/schema/raw/master/csl-citation.json"}</w:instrText>
      </w:r>
      <w:r w:rsidR="0022191F">
        <w:rPr>
          <w:rFonts w:cs="Arial"/>
        </w:rPr>
        <w:fldChar w:fldCharType="separate"/>
      </w:r>
      <w:r w:rsidR="00B850EF" w:rsidRPr="00B850EF">
        <w:rPr>
          <w:rFonts w:cs="Arial"/>
          <w:noProof/>
        </w:rPr>
        <w:t>[11]</w:t>
      </w:r>
      <w:r w:rsidR="0022191F">
        <w:rPr>
          <w:rFonts w:cs="Arial"/>
        </w:rPr>
        <w:fldChar w:fldCharType="end"/>
      </w:r>
      <w:r w:rsidR="0022191F">
        <w:rPr>
          <w:rFonts w:cs="Arial"/>
        </w:rPr>
        <w:t>,</w:t>
      </w:r>
      <w:r w:rsidR="0022191F" w:rsidRPr="003D037E">
        <w:rPr>
          <w:rFonts w:cs="Arial"/>
        </w:rPr>
        <w:t xml:space="preserve"> </w:t>
      </w:r>
      <w:r w:rsidR="00AC7989">
        <w:rPr>
          <w:rFonts w:cs="Arial"/>
        </w:rPr>
        <w:t xml:space="preserve">Hepatitis </w:t>
      </w:r>
      <w:r w:rsidR="0053232A">
        <w:rPr>
          <w:rFonts w:cs="Arial"/>
        </w:rPr>
        <w:t xml:space="preserve">C </w:t>
      </w:r>
      <w:r>
        <w:rPr>
          <w:rFonts w:cs="Arial"/>
        </w:rPr>
        <w:t>virus</w:t>
      </w:r>
      <w:r w:rsidR="00AC7989">
        <w:rPr>
          <w:rFonts w:cs="Arial"/>
        </w:rPr>
        <w:t xml:space="preserve"> </w:t>
      </w:r>
      <w:r w:rsidR="00937061">
        <w:rPr>
          <w:rFonts w:cs="Arial"/>
        </w:rPr>
        <w:fldChar w:fldCharType="begin" w:fldLock="1"/>
      </w:r>
      <w:r w:rsidR="00B850EF">
        <w:rPr>
          <w:rFonts w:cs="Arial"/>
        </w:rPr>
        <w:instrText>ADDIN CSL_CITATION {"citationItems":[{"id":"ITEM-1","itemData":{"DOI":"10.1111/j.1365-2141.1994.tb05036.x","ISSN":"0007-1048","abstract":"Hepatitis C virus (HCV), which is both a hepatotropic and a lymphotropic virus, has been proposed as a possible causative agent of mixed cryoglobulinaemia. This 'benign' lymphoproliferative disorder can switch over to a malignant B-cell non-Hodgkin's lymphoma (NHL). Therefore HCV infection has been investigated in a series of 50 unselected Italian patients with B-cell NHL. Antibodies against HCV were found in 30% of NHL and HCV viraemia in 32% of cases. HCV-related markers were detected in 34% (17/50) of our NHL patients; this prevalence is particularly significant when compared with HCV seropositivity in Hodgkin's lymphoma (3%) and healthy controls (1.3%).","author":[{"dropping-particle":"","family":"Ferri","given":"Clodoveo","non-dropping-particle":"","parse-names":false,"suffix":""},{"dropping-particle":"","family":"Caracciolo","given":"Francesco","non-dropping-particle":"","parse-names":false,"suffix":""},{"dropping-particle":"","family":"Zignego","given":"Anna Linda","non-dropping-particle":"","parse-names":false,"suffix":""},{"dropping-particle":"La","family":"Civita","given":"Luca","non-dropping-particle":"","parse-names":false,"suffix":""},{"dropping-particle":"","family":"Monti","given":"Monica","non-dropping-particle":"","parse-names":false,"suffix":""},{"dropping-particle":"","family":"Longombardo","given":"Giovanni","non-dropping-particle":"","parse-names":false,"suffix":""},{"dropping-particle":"","family":"Lombardini","given":"Francesco","non-dropping-particle":"","parse-names":false,"suffix":""},{"dropping-particle":"","family":"Greco","given":"Francesco","non-dropping-particle":"","parse-names":false,"suffix":""},{"dropping-particle":"","family":"Capochiani","given":"Enrico","non-dropping-particle":"","parse-names":false,"suffix":""},{"dropping-particle":"","family":"Mazzoni","given":"Alessandro","non-dropping-particle":"","parse-names":false,"suffix":""},{"dropping-particle":"","family":"Mazzaro","given":"Cesare","non-dropping-particle":"","parse-names":false,"suffix":""},{"dropping-particle":"","family":"Pasero","given":"Giampiero","non-dropping-particle":"","parse-names":false,"suffix":""}],"container-title":"British Journal of Haematology","id":"ITEM-1","issue":"2","issued":{"date-parts":[["1994","10"]]},"page":"392-394","title":"Hepatitis C virus infection in patients with non-Hodgkin's lymphoma","type":"article-journal","volume":"88"},"uris":["http://www.mendeley.com/documents/?uuid=65c2bc60-1bf3-4f07-bd09-7d5dbcec7d7f"]}],"mendeley":{"formattedCitation":"[12]","plainTextFormattedCitation":"[12]","previouslyFormattedCitation":"[12]"},"properties":{"noteIndex":0},"schema":"https://github.com/citation-style-language/schema/raw/master/csl-citation.json"}</w:instrText>
      </w:r>
      <w:r w:rsidR="00937061">
        <w:rPr>
          <w:rFonts w:cs="Arial"/>
        </w:rPr>
        <w:fldChar w:fldCharType="separate"/>
      </w:r>
      <w:r w:rsidR="00B850EF" w:rsidRPr="00B850EF">
        <w:rPr>
          <w:rFonts w:cs="Arial"/>
          <w:noProof/>
        </w:rPr>
        <w:t>[12]</w:t>
      </w:r>
      <w:r w:rsidR="00937061">
        <w:rPr>
          <w:rFonts w:cs="Arial"/>
        </w:rPr>
        <w:fldChar w:fldCharType="end"/>
      </w:r>
      <w:r w:rsidR="00EA06D1" w:rsidRPr="003D037E">
        <w:rPr>
          <w:rFonts w:cs="Arial"/>
        </w:rPr>
        <w:t xml:space="preserve">, </w:t>
      </w:r>
      <w:r w:rsidR="0022191F" w:rsidRPr="003D037E">
        <w:rPr>
          <w:rFonts w:cs="Arial"/>
        </w:rPr>
        <w:t xml:space="preserve">and </w:t>
      </w:r>
      <w:r w:rsidR="00EA06D1" w:rsidRPr="003D037E">
        <w:rPr>
          <w:rFonts w:cs="Arial"/>
        </w:rPr>
        <w:t>Helicobacter pylori</w:t>
      </w:r>
      <w:r w:rsidR="00124C6A">
        <w:rPr>
          <w:rFonts w:cs="Arial"/>
        </w:rPr>
        <w:t xml:space="preserve"> </w:t>
      </w:r>
      <w:r w:rsidR="00937061">
        <w:rPr>
          <w:rFonts w:cs="Arial"/>
        </w:rPr>
        <w:fldChar w:fldCharType="begin" w:fldLock="1"/>
      </w:r>
      <w:r w:rsidR="00B850EF">
        <w:rPr>
          <w:rFonts w:cs="Arial"/>
        </w:rPr>
        <w:instrText>ADDIN CSL_CITATION {"citationItems":[{"id":"ITEM-1","itemData":{"DOI":"10.1056/NEJM199405053301803","ISSN":"0028-4793","PMID":"8145781","abstract":"BACKGROUND: Helicobacter pylori infection is a risk factor for gastric adenocarcinoma. We examined whether this infection is also a risk factor for primary gastric non-Hodgkin's lymphoma. METHODS: This nested case-control study involved two large cohorts (230,593 participants). Serum had been collected from cohort members and stored, and all subjects were followed for cancer. Thirty-three patients with gastric non-Hodgkin's lymphoma were identified, and each was matched to four controls according to cohort, age, sex, and date of serum collection. For comparison, 31 patients with nongastric non-Hodgkin's lymphoma from one of the cohorts were evaluated, each of whom had been previously matched to 2 controls. Pathological reports and specimens were reviewed to confirm the histologic type of the tumor. Serum samples from all subjects were tested for H. pylori IgG by an enzyme-linked immunosorbent assay. RESULTS: Thirty-three cases of gastric non-Hodgkin's lymphoma occurred a median of 14 years after serum collection. Patients with gastric lymphoma were significantly more likely than matched controls to have evidence of previous H. pylori infection (matched odds ratio, 6.3; 95 percent confidence interval, 2.0 to 19.9). The results were similar in both cohorts. Among the 31 patients with nongastric lymphoma, a median of six years had elapsed between serum collection and the development of disease. No association was found between nongastric non-Hodgkin's lymphoma and previous H. pylori infection (matched odds ratio, 1.2; 95 percent confidence interval, 0.5 to 3.0). CONCLUSIONS: Non-Hodgkin's lymphoma affecting the stomach, but not other sites, is associated with previous H. pylori infection. A causative role for the organism is plausible, but remains unproved.","author":[{"dropping-particle":"","family":"Parsonnet","given":"J","non-dropping-particle":"","parse-names":false,"suffix":""},{"dropping-particle":"","family":"Hansen","given":"S","non-dropping-particle":"","parse-names":false,"suffix":""},{"dropping-particle":"","family":"Rodriguez","given":"L","non-dropping-particle":"","parse-names":false,"suffix":""},{"dropping-particle":"","family":"Gelb","given":"A B","non-dropping-particle":"","parse-names":false,"suffix":""},{"dropping-particle":"","family":"Warnke","given":"R A","non-dropping-particle":"","parse-names":false,"suffix":""},{"dropping-particle":"","family":"Jellum","given":"E","non-dropping-particle":"","parse-names":false,"suffix":""},{"dropping-particle":"","family":"Orentreich","given":"N","non-dropping-particle":"","parse-names":false,"suffix":""},{"dropping-particle":"","family":"Vogelman","given":"J H","non-dropping-particle":"","parse-names":false,"suffix":""},{"dropping-particle":"","family":"Friedman","given":"G D","non-dropping-particle":"","parse-names":false,"suffix":""}],"container-title":"The New England journal of medicine","id":"ITEM-1","issue":"18","issued":{"date-parts":[["1994","5","5"]]},"language":"en","page":"1267-71","title":"Helicobacter pylori infection and gastric lymphoma.","type":"article-journal","volume":"330"},"uris":["http://www.mendeley.com/documents/?uuid=4beb2a1a-32d7-4606-bc47-4f6b27f9aedd"]}],"mendeley":{"formattedCitation":"[13]","plainTextFormattedCitation":"[13]","previouslyFormattedCitation":"[13]"},"properties":{"noteIndex":0},"schema":"https://github.com/citation-style-language/schema/raw/master/csl-citation.json"}</w:instrText>
      </w:r>
      <w:r w:rsidR="00937061">
        <w:rPr>
          <w:rFonts w:cs="Arial"/>
        </w:rPr>
        <w:fldChar w:fldCharType="separate"/>
      </w:r>
      <w:r w:rsidR="00B850EF" w:rsidRPr="00B850EF">
        <w:rPr>
          <w:rFonts w:cs="Arial"/>
          <w:noProof/>
        </w:rPr>
        <w:t>[13]</w:t>
      </w:r>
      <w:r w:rsidR="00937061">
        <w:rPr>
          <w:rFonts w:cs="Arial"/>
        </w:rPr>
        <w:fldChar w:fldCharType="end"/>
      </w:r>
      <w:r w:rsidR="005F35CB" w:rsidRPr="003D037E">
        <w:rPr>
          <w:rFonts w:cs="Arial"/>
        </w:rPr>
        <w:t>,</w:t>
      </w:r>
      <w:r w:rsidR="00F75A48" w:rsidRPr="003D037E">
        <w:rPr>
          <w:rFonts w:cs="Arial"/>
        </w:rPr>
        <w:t xml:space="preserve"> </w:t>
      </w:r>
      <w:r w:rsidR="00555256" w:rsidRPr="003D037E">
        <w:rPr>
          <w:rFonts w:cs="Arial"/>
        </w:rPr>
        <w:t>contribute to</w:t>
      </w:r>
      <w:r w:rsidR="00914A46" w:rsidRPr="003D037E">
        <w:rPr>
          <w:rFonts w:cs="Arial"/>
        </w:rPr>
        <w:t xml:space="preserve"> NHL </w:t>
      </w:r>
      <w:r w:rsidR="00604052">
        <w:rPr>
          <w:rFonts w:cs="Arial"/>
        </w:rPr>
        <w:t>etiology</w:t>
      </w:r>
      <w:r w:rsidR="00797193">
        <w:rPr>
          <w:rFonts w:cs="Arial"/>
        </w:rPr>
        <w:t xml:space="preserve"> </w:t>
      </w:r>
      <w:r w:rsidR="00914A46" w:rsidRPr="003D037E">
        <w:rPr>
          <w:rFonts w:cs="Arial"/>
        </w:rPr>
        <w:t>through</w:t>
      </w:r>
      <w:r w:rsidR="00DC479A">
        <w:rPr>
          <w:rFonts w:cs="Arial"/>
        </w:rPr>
        <w:t xml:space="preserve"> </w:t>
      </w:r>
      <w:r w:rsidR="00604052">
        <w:rPr>
          <w:rFonts w:cs="Arial"/>
        </w:rPr>
        <w:t>various</w:t>
      </w:r>
      <w:r>
        <w:rPr>
          <w:rFonts w:cs="Arial"/>
        </w:rPr>
        <w:t xml:space="preserve"> </w:t>
      </w:r>
      <w:r w:rsidR="00914A46" w:rsidRPr="003D037E">
        <w:rPr>
          <w:rFonts w:cs="Arial"/>
        </w:rPr>
        <w:t>mechanisms</w:t>
      </w:r>
      <w:r w:rsidR="00604052">
        <w:rPr>
          <w:rFonts w:cs="Arial"/>
        </w:rPr>
        <w:t xml:space="preserve"> including</w:t>
      </w:r>
      <w:r w:rsidR="00914A46" w:rsidRPr="003D037E">
        <w:rPr>
          <w:rFonts w:cs="Arial"/>
        </w:rPr>
        <w:t xml:space="preserve"> direct transformation of lymphocytes, immunosuppression, chronic</w:t>
      </w:r>
      <w:r w:rsidR="00604052">
        <w:rPr>
          <w:rFonts w:cs="Arial"/>
        </w:rPr>
        <w:t xml:space="preserve"> B-cell activation</w:t>
      </w:r>
      <w:r w:rsidR="00E95A12">
        <w:rPr>
          <w:rFonts w:cs="Arial"/>
        </w:rPr>
        <w:t>,</w:t>
      </w:r>
      <w:r w:rsidR="00604052">
        <w:rPr>
          <w:rFonts w:cs="Arial"/>
        </w:rPr>
        <w:t xml:space="preserve"> and innate</w:t>
      </w:r>
      <w:r w:rsidR="00914A46" w:rsidRPr="003D037E">
        <w:rPr>
          <w:rFonts w:cs="Arial"/>
        </w:rPr>
        <w:t xml:space="preserve"> immune stimulation</w:t>
      </w:r>
      <w:r w:rsidR="00DA4987">
        <w:rPr>
          <w:rFonts w:cs="Arial"/>
        </w:rPr>
        <w:t xml:space="preserve"> </w:t>
      </w:r>
      <w:r w:rsidR="00A35B43">
        <w:rPr>
          <w:rFonts w:cs="Arial"/>
        </w:rPr>
        <w:fldChar w:fldCharType="begin" w:fldLock="1"/>
      </w:r>
      <w:r w:rsidR="00B850EF">
        <w:rPr>
          <w:rFonts w:cs="Arial"/>
        </w:rPr>
        <w:instrText>ADDIN CSL_CITATION {"citationItems":[{"id":"ITEM-1","itemData":{"DOI":"10.1158/1055-9965.EPI-06-1056","ISBN":"1055-9965 (Print)\\r1055-9965 (Linking)","ISSN":"10559965","PMID":"17337646","abstract":"Among exposures presently viewed as possible etiologic factors in non-Hodgkin lymphoma (NHL), infections are close to being regarded as established causes. Infectious agents causing NHL can be classified, according to mechanism, into three broad groups. First, some viruses can directly transform lymphocytes. Lymphocyte-transforming viruses include Epstein Barr virus (linked to Burkitt's lymphoma, NHLs in immunosuppressed individuals, and extranodal natural killer/T-cell NHL), human herpesvirus 8 (primary effusion lymphoma), and human T lymphotropic virus type I (adult T-cell leukemia/lymphoma). Second, human immunodeficiency virus is unique in causing profound depletion of CD4+ T lymphocytes, leading to acquired immunodeficiency syndrome and an associated high risk for some NHL subtypes. Third, recent evidence suggests that some infections increase NHL risk through chronic immune stimulation. These infections include hepatitis C virus as well as certain bacteria that cause chronic site-specific inflammation and seem to increase risk for localized mucosa-associated lymphoid tissue NHLs. Establishing that an infectious agent causes NHL depends on showing that the agent is present in persons with NHL as well as laboratory experiments elucidating the mechanisms involved. Only epidemiologic studies can provide evidence that infection is actually a risk factor by showing that infection is more frequent in NHL cases than in controls. Given the range of mechanisms by which infections could plausibly cause NHL and our growing molecular understanding of this malignancy, this field of research deserves continued attention.","author":[{"dropping-particle":"","family":"Engels","given":"Eric a.","non-dropping-particle":"","parse-names":false,"suffix":""}],"container-title":"Cancer Epidemiology Biomarkers and Prevention","id":"ITEM-1","issue":"March","issued":{"date-parts":[["2007"]]},"page":"401-404","title":"Infectious agents as causes of non-Hodgkin lymphoma","type":"article-journal","volume":"16"},"uris":["http://www.mendeley.com/documents/?uuid=1a3cc290-f9d2-4463-9059-4871f8cf2cf3"]}],"mendeley":{"formattedCitation":"[14]","plainTextFormattedCitation":"[14]","previouslyFormattedCitation":"[14]"},"properties":{"noteIndex":0},"schema":"https://github.com/citation-style-language/schema/raw/master/csl-citation.json"}</w:instrText>
      </w:r>
      <w:r w:rsidR="00A35B43">
        <w:rPr>
          <w:rFonts w:cs="Arial"/>
        </w:rPr>
        <w:fldChar w:fldCharType="separate"/>
      </w:r>
      <w:r w:rsidR="00B850EF" w:rsidRPr="00B850EF">
        <w:rPr>
          <w:rFonts w:cs="Arial"/>
          <w:noProof/>
        </w:rPr>
        <w:t>[14]</w:t>
      </w:r>
      <w:r w:rsidR="00A35B43">
        <w:rPr>
          <w:rFonts w:cs="Arial"/>
        </w:rPr>
        <w:fldChar w:fldCharType="end"/>
      </w:r>
      <w:r w:rsidR="00914A46" w:rsidRPr="003D037E">
        <w:rPr>
          <w:rFonts w:cs="Arial"/>
        </w:rPr>
        <w:t xml:space="preserve">. </w:t>
      </w:r>
      <w:r w:rsidR="0053232A">
        <w:rPr>
          <w:rFonts w:cs="Arial"/>
        </w:rPr>
        <w:t xml:space="preserve"> </w:t>
      </w:r>
      <w:r w:rsidR="00124C6A" w:rsidRPr="00ED16A5">
        <w:rPr>
          <w:rFonts w:cs="Arial"/>
        </w:rPr>
        <w:t>EBV,</w:t>
      </w:r>
      <w:r w:rsidR="00823AF3" w:rsidRPr="00ED16A5">
        <w:rPr>
          <w:rFonts w:cs="Arial"/>
        </w:rPr>
        <w:t xml:space="preserve"> a </w:t>
      </w:r>
      <w:r w:rsidR="00A61A05" w:rsidRPr="00ED16A5">
        <w:rPr>
          <w:rFonts w:cs="Arial"/>
        </w:rPr>
        <w:t xml:space="preserve">ubiquitous </w:t>
      </w:r>
      <w:r w:rsidR="00461E29">
        <w:rPr>
          <w:rFonts w:cs="Arial"/>
        </w:rPr>
        <w:t xml:space="preserve">member of the </w:t>
      </w:r>
      <w:r w:rsidR="00823AF3" w:rsidRPr="00ED16A5">
        <w:rPr>
          <w:rFonts w:cs="Arial"/>
        </w:rPr>
        <w:t>human herpesvirus</w:t>
      </w:r>
      <w:r w:rsidR="00461E29">
        <w:rPr>
          <w:rFonts w:cs="Arial"/>
        </w:rPr>
        <w:t xml:space="preserve"> family</w:t>
      </w:r>
      <w:r w:rsidR="00823AF3" w:rsidRPr="00ED16A5">
        <w:rPr>
          <w:rFonts w:cs="Arial"/>
        </w:rPr>
        <w:t xml:space="preserve">, </w:t>
      </w:r>
      <w:r w:rsidR="009432F6" w:rsidRPr="00011D3F">
        <w:rPr>
          <w:rFonts w:cs="Arial"/>
        </w:rPr>
        <w:t>induces B-cell growth by</w:t>
      </w:r>
      <w:r w:rsidR="00F75A48" w:rsidRPr="00ED16A5">
        <w:rPr>
          <w:rFonts w:cs="Arial"/>
        </w:rPr>
        <w:t xml:space="preserve"> </w:t>
      </w:r>
      <w:r w:rsidR="00190F3F" w:rsidRPr="00ED16A5">
        <w:rPr>
          <w:rFonts w:cs="Arial"/>
        </w:rPr>
        <w:t>expression of viral proteins and non-coding RNAs</w:t>
      </w:r>
      <w:r w:rsidR="00F75A48" w:rsidRPr="003D037E">
        <w:rPr>
          <w:rFonts w:cs="Arial"/>
        </w:rPr>
        <w:t xml:space="preserve"> </w:t>
      </w:r>
      <w:r w:rsidR="00A35B43">
        <w:rPr>
          <w:rFonts w:cs="Arial"/>
        </w:rPr>
        <w:fldChar w:fldCharType="begin" w:fldLock="1"/>
      </w:r>
      <w:r w:rsidR="00B850EF">
        <w:rPr>
          <w:rFonts w:cs="Arial"/>
        </w:rPr>
        <w:instrText>ADDIN CSL_CITATION {"citationItems":[{"id":"ITEM-1","itemData":{"ISBN":"978-1-4511-0563-6","author":[{"dropping-particle":"","family":"Longnecker","given":"Richard M","non-dropping-particle":"","parse-names":false,"suffix":""},{"dropping-particle":"","family":"Kieff","given":"Elliott","non-dropping-particle":"","parse-names":false,"suffix":""},{"dropping-particle":"","family":"Cohen","given":"Jeffrey I","non-dropping-particle":"","parse-names":false,"suffix":""}],"chapter-number":"Chapter 61","container-title":"Fields Virology","edition":"6th ed.","editor":[{"dropping-particle":"","family":"Knipe","given":"David M","non-dropping-particle":"","parse-names":false,"suffix":""},{"dropping-particle":"","family":"Howley","given":"Peter M.","non-dropping-particle":"","parse-names":false,"suffix":""}],"id":"ITEM-1","issued":{"date-parts":[["2013"]]},"page":"1898-1959","publisher":"Lippincott Williams &amp; Wilkins","publisher-place":"Philadelphia, PA","title":"Epstein-Barr Virus","type":"chapter"},"uris":["http://www.mendeley.com/documents/?uuid=d7c1fdf2-184c-46c9-9b80-ed9e0b314f6f"]}],"mendeley":{"formattedCitation":"[15]","plainTextFormattedCitation":"[15]","previouslyFormattedCitation":"[15]"},"properties":{"noteIndex":0},"schema":"https://github.com/citation-style-language/schema/raw/master/csl-citation.json"}</w:instrText>
      </w:r>
      <w:r w:rsidR="00A35B43">
        <w:rPr>
          <w:rFonts w:cs="Arial"/>
        </w:rPr>
        <w:fldChar w:fldCharType="separate"/>
      </w:r>
      <w:r w:rsidR="00B850EF" w:rsidRPr="00B850EF">
        <w:rPr>
          <w:rFonts w:cs="Arial"/>
          <w:noProof/>
        </w:rPr>
        <w:t>[15]</w:t>
      </w:r>
      <w:r w:rsidR="00A35B43">
        <w:rPr>
          <w:rFonts w:cs="Arial"/>
        </w:rPr>
        <w:fldChar w:fldCharType="end"/>
      </w:r>
      <w:r w:rsidR="00B12F52">
        <w:rPr>
          <w:rFonts w:cs="Arial"/>
        </w:rPr>
        <w:t xml:space="preserve">. </w:t>
      </w:r>
      <w:r w:rsidR="006712AB">
        <w:rPr>
          <w:rFonts w:cs="Arial"/>
        </w:rPr>
        <w:t xml:space="preserve">The viral DNA </w:t>
      </w:r>
      <w:r w:rsidR="00087A4F">
        <w:rPr>
          <w:rFonts w:cs="Arial"/>
        </w:rPr>
        <w:t>persists</w:t>
      </w:r>
      <w:r w:rsidR="006712AB">
        <w:rPr>
          <w:rFonts w:cs="Arial"/>
        </w:rPr>
        <w:t xml:space="preserve"> as an episome in the host memory B-cell DNA after infection where it remains latent </w:t>
      </w:r>
      <w:r w:rsidR="00087A4F">
        <w:rPr>
          <w:rFonts w:cs="Arial"/>
        </w:rPr>
        <w:t>in the presence of</w:t>
      </w:r>
      <w:r w:rsidR="006712AB">
        <w:rPr>
          <w:rFonts w:cs="Arial"/>
        </w:rPr>
        <w:t xml:space="preserve"> a competent cytotoxic T-cell </w:t>
      </w:r>
      <w:r w:rsidR="00087A4F">
        <w:rPr>
          <w:rFonts w:cs="Arial"/>
        </w:rPr>
        <w:t>response</w:t>
      </w:r>
      <w:r w:rsidR="006712AB">
        <w:rPr>
          <w:rFonts w:cs="Arial"/>
        </w:rPr>
        <w:t xml:space="preserve">. </w:t>
      </w:r>
      <w:r w:rsidR="00EA06D1" w:rsidRPr="003D037E">
        <w:rPr>
          <w:rFonts w:cs="Arial"/>
        </w:rPr>
        <w:t>When acquired early</w:t>
      </w:r>
      <w:r w:rsidR="00C819D1">
        <w:rPr>
          <w:rFonts w:cs="Arial"/>
        </w:rPr>
        <w:t xml:space="preserve"> in life</w:t>
      </w:r>
      <w:r w:rsidR="00EA06D1" w:rsidRPr="003D037E">
        <w:rPr>
          <w:rFonts w:cs="Arial"/>
        </w:rPr>
        <w:t xml:space="preserve">, </w:t>
      </w:r>
      <w:r w:rsidR="006712AB">
        <w:rPr>
          <w:rFonts w:cs="Arial"/>
        </w:rPr>
        <w:t xml:space="preserve">primary </w:t>
      </w:r>
      <w:r w:rsidR="006712AB" w:rsidRPr="003D037E">
        <w:rPr>
          <w:rFonts w:cs="Arial"/>
        </w:rPr>
        <w:t>EBV</w:t>
      </w:r>
      <w:r w:rsidR="006712AB">
        <w:rPr>
          <w:rFonts w:cs="Arial"/>
        </w:rPr>
        <w:t xml:space="preserve"> infection </w:t>
      </w:r>
      <w:r w:rsidR="007C7D35">
        <w:rPr>
          <w:rFonts w:cs="Arial"/>
        </w:rPr>
        <w:t xml:space="preserve">is </w:t>
      </w:r>
      <w:r w:rsidR="00030C7D" w:rsidRPr="003D037E">
        <w:rPr>
          <w:rFonts w:cs="Arial"/>
        </w:rPr>
        <w:t>generally</w:t>
      </w:r>
      <w:r w:rsidR="00EA06D1" w:rsidRPr="003D037E">
        <w:rPr>
          <w:rFonts w:cs="Arial"/>
        </w:rPr>
        <w:t xml:space="preserve"> </w:t>
      </w:r>
      <w:r w:rsidR="007C7D35">
        <w:rPr>
          <w:rFonts w:cs="Arial"/>
        </w:rPr>
        <w:t xml:space="preserve">asymptomatic or </w:t>
      </w:r>
      <w:r w:rsidR="00EA06D1" w:rsidRPr="003D037E">
        <w:rPr>
          <w:rFonts w:cs="Arial"/>
        </w:rPr>
        <w:t xml:space="preserve">causes </w:t>
      </w:r>
      <w:r w:rsidR="007C7D35">
        <w:rPr>
          <w:rFonts w:cs="Arial"/>
        </w:rPr>
        <w:t xml:space="preserve">a </w:t>
      </w:r>
      <w:r w:rsidR="00EA06D1" w:rsidRPr="003D037E">
        <w:rPr>
          <w:rFonts w:cs="Arial"/>
        </w:rPr>
        <w:t>mild</w:t>
      </w:r>
      <w:r w:rsidR="00A61A05">
        <w:rPr>
          <w:rFonts w:cs="Arial"/>
        </w:rPr>
        <w:t xml:space="preserve">, </w:t>
      </w:r>
      <w:r w:rsidR="00EA06D1" w:rsidRPr="003D037E">
        <w:rPr>
          <w:rFonts w:cs="Arial"/>
        </w:rPr>
        <w:t>non</w:t>
      </w:r>
      <w:r w:rsidR="00190F3F">
        <w:rPr>
          <w:rFonts w:cs="Arial"/>
        </w:rPr>
        <w:t>-</w:t>
      </w:r>
      <w:r w:rsidR="00EA06D1" w:rsidRPr="003D037E">
        <w:rPr>
          <w:rFonts w:cs="Arial"/>
        </w:rPr>
        <w:t>specific</w:t>
      </w:r>
      <w:r w:rsidR="006A52FD">
        <w:rPr>
          <w:rFonts w:cs="Arial"/>
        </w:rPr>
        <w:t>,</w:t>
      </w:r>
      <w:r w:rsidR="00EA06D1" w:rsidRPr="003D037E">
        <w:rPr>
          <w:rFonts w:cs="Arial"/>
        </w:rPr>
        <w:t xml:space="preserve"> febrile illness</w:t>
      </w:r>
      <w:r w:rsidR="00604052">
        <w:rPr>
          <w:rFonts w:cs="Arial"/>
        </w:rPr>
        <w:t xml:space="preserve"> </w:t>
      </w:r>
      <w:r w:rsidR="005C797C">
        <w:rPr>
          <w:rFonts w:cs="Arial"/>
        </w:rPr>
        <w:fldChar w:fldCharType="begin" w:fldLock="1"/>
      </w:r>
      <w:r w:rsidR="00B850EF">
        <w:rPr>
          <w:rFonts w:cs="Arial"/>
        </w:rPr>
        <w:instrText>ADDIN CSL_CITATION {"citationItems":[{"id":"ITEM-1","itemData":{"DOI":"10.2307/30111515","ISSN":"0022-1899","PMID":"220340","abstract":"Previous studies in Ghana had shown that primary infections with Epstein-Barr virus in infants under the age of two years remain silent and evoke antibody responses different from those seen in infectious mononucleosis. In order to determine whether or not these observations were limited to Africa, 80 American infants presenting with minor infectious complaints were studied serologically; 14 (17.5%) showed evidence of recent or current primary infections with Epstein-Barr virus. The clinical features of these 14 infants were similar to those of the other 66 and did not suggest a diagnosis of infectious mononucleosis, nor were there histories of a recent infectious mononucleosis-like illness. Ten (72%) had antibodies to the early antigen complex induced by Epstein-Barr virus; however, these antibodies were directed, as in the Ghanaian infants, against the restricted rather than the diffuse components, in contrast to the pattern generally observed in infectious mononucleosis. Possible reasons for the differences between the responses of infants and those of older individuals to primary infection with Epstein-Barr virus and to the early antigen complex are discussed.","author":[{"dropping-particle":"","family":"Fleisher","given":"Gary","non-dropping-particle":"","parse-names":false,"suffix":""},{"dropping-particle":"","family":"Henle","given":"Werner","non-dropping-particle":"","parse-names":false,"suffix":""},{"dropping-particle":"","family":"Henle","given":"Gertrude","non-dropping-particle":"","parse-names":false,"suffix":""},{"dropping-particle":"","family":"Lennette","given":"Evelyne T","non-dropping-particle":"","parse-names":false,"suffix":""},{"dropping-particle":"","family":"Biggar","given":"Robert J","non-dropping-particle":"","parse-names":false,"suffix":""}],"container-title":"The Journal of infectious diseases","id":"ITEM-1","issue":"5","issued":{"date-parts":[["1979","5"]]},"page":"553-8","publisher":"Oxford University Press","title":"Primary Infection with Epstein-Barr Virus in Infants in the United States: Clinical and Serologic Observations.","type":"article-journal","volume":"139"},"uris":["http://www.mendeley.com/documents/?uuid=3012a91e-91d5-484f-841d-097f38ab75d8"]}],"mendeley":{"formattedCitation":"[16]","plainTextFormattedCitation":"[16]","previouslyFormattedCitation":"[16]"},"properties":{"noteIndex":0},"schema":"https://github.com/citation-style-language/schema/raw/master/csl-citation.json"}</w:instrText>
      </w:r>
      <w:r w:rsidR="005C797C">
        <w:rPr>
          <w:rFonts w:cs="Arial"/>
        </w:rPr>
        <w:fldChar w:fldCharType="separate"/>
      </w:r>
      <w:r w:rsidR="00B850EF" w:rsidRPr="00B850EF">
        <w:rPr>
          <w:rFonts w:cs="Arial"/>
          <w:noProof/>
        </w:rPr>
        <w:t>[16]</w:t>
      </w:r>
      <w:r w:rsidR="005C797C">
        <w:rPr>
          <w:rFonts w:cs="Arial"/>
        </w:rPr>
        <w:fldChar w:fldCharType="end"/>
      </w:r>
      <w:r w:rsidR="00B12F52">
        <w:rPr>
          <w:rFonts w:cs="Arial"/>
        </w:rPr>
        <w:t xml:space="preserve">. </w:t>
      </w:r>
      <w:r w:rsidR="00EA06D1" w:rsidRPr="003D037E">
        <w:rPr>
          <w:rFonts w:cs="Arial"/>
        </w:rPr>
        <w:t xml:space="preserve">In </w:t>
      </w:r>
      <w:r w:rsidR="009A0284">
        <w:rPr>
          <w:rFonts w:cs="Arial"/>
        </w:rPr>
        <w:t>industrialized</w:t>
      </w:r>
      <w:r w:rsidR="00EA06D1" w:rsidRPr="003D037E">
        <w:rPr>
          <w:rFonts w:cs="Arial"/>
        </w:rPr>
        <w:t xml:space="preserve"> countries and populations of higher socioeconomic status</w:t>
      </w:r>
      <w:r w:rsidR="001A0CAB">
        <w:rPr>
          <w:rFonts w:cs="Arial"/>
        </w:rPr>
        <w:t xml:space="preserve"> (</w:t>
      </w:r>
      <w:r w:rsidR="00926515" w:rsidRPr="003D037E">
        <w:rPr>
          <w:rFonts w:cs="Arial"/>
        </w:rPr>
        <w:t>SES)</w:t>
      </w:r>
      <w:r w:rsidR="00EA06D1" w:rsidRPr="003D037E">
        <w:rPr>
          <w:rFonts w:cs="Arial"/>
        </w:rPr>
        <w:t xml:space="preserve">, primary infection is </w:t>
      </w:r>
      <w:r w:rsidR="00ED6DB8">
        <w:rPr>
          <w:rFonts w:cs="Arial"/>
        </w:rPr>
        <w:t>often</w:t>
      </w:r>
      <w:r w:rsidR="00ED6DB8" w:rsidRPr="003D037E">
        <w:rPr>
          <w:rFonts w:cs="Arial"/>
        </w:rPr>
        <w:t xml:space="preserve"> </w:t>
      </w:r>
      <w:r w:rsidR="00EA06D1" w:rsidRPr="003D037E">
        <w:rPr>
          <w:rFonts w:cs="Arial"/>
        </w:rPr>
        <w:t>delayed until adolescence or young adulthood</w:t>
      </w:r>
      <w:r w:rsidR="006712AB">
        <w:rPr>
          <w:rFonts w:cs="Arial"/>
        </w:rPr>
        <w:t xml:space="preserve">. </w:t>
      </w:r>
      <w:r w:rsidR="009509EA">
        <w:rPr>
          <w:rFonts w:cs="Arial"/>
        </w:rPr>
        <w:t xml:space="preserve">From </w:t>
      </w:r>
      <w:r w:rsidR="006712AB">
        <w:rPr>
          <w:rFonts w:cs="Arial"/>
        </w:rPr>
        <w:t xml:space="preserve">25% </w:t>
      </w:r>
      <w:r w:rsidR="009509EA">
        <w:rPr>
          <w:rFonts w:cs="Arial"/>
        </w:rPr>
        <w:t xml:space="preserve">to </w:t>
      </w:r>
      <w:r w:rsidR="00A505C4">
        <w:rPr>
          <w:rFonts w:cs="Arial"/>
        </w:rPr>
        <w:t>74</w:t>
      </w:r>
      <w:r w:rsidR="009509EA">
        <w:rPr>
          <w:rFonts w:cs="Arial"/>
        </w:rPr>
        <w:t xml:space="preserve">% </w:t>
      </w:r>
      <w:r w:rsidR="006712AB">
        <w:rPr>
          <w:rFonts w:cs="Arial"/>
        </w:rPr>
        <w:t xml:space="preserve">of those experiencing delayed primary infection develop </w:t>
      </w:r>
      <w:r w:rsidR="00555256" w:rsidRPr="003D037E">
        <w:rPr>
          <w:rFonts w:cs="Arial"/>
        </w:rPr>
        <w:t>infectious mononucleosis</w:t>
      </w:r>
      <w:r w:rsidR="001A0CAB">
        <w:rPr>
          <w:rFonts w:cs="Arial"/>
        </w:rPr>
        <w:t xml:space="preserve"> (</w:t>
      </w:r>
      <w:r w:rsidR="00555256" w:rsidRPr="003D037E">
        <w:rPr>
          <w:rFonts w:cs="Arial"/>
        </w:rPr>
        <w:t xml:space="preserve">IM), </w:t>
      </w:r>
      <w:r w:rsidR="00EA06D1" w:rsidRPr="003D037E">
        <w:rPr>
          <w:rFonts w:cs="Arial"/>
        </w:rPr>
        <w:t xml:space="preserve">a </w:t>
      </w:r>
      <w:r w:rsidR="007C7D35">
        <w:rPr>
          <w:rFonts w:cs="Arial"/>
        </w:rPr>
        <w:t xml:space="preserve">moderate to severe </w:t>
      </w:r>
      <w:r w:rsidR="00EA06D1" w:rsidRPr="003D037E">
        <w:rPr>
          <w:rFonts w:cs="Arial"/>
        </w:rPr>
        <w:t xml:space="preserve">clinical syndrome </w:t>
      </w:r>
      <w:r w:rsidR="00EA715F" w:rsidRPr="003D037E">
        <w:rPr>
          <w:rFonts w:cs="Arial"/>
        </w:rPr>
        <w:t xml:space="preserve">characterized by fever, tonsillar pharyngitis, and </w:t>
      </w:r>
      <w:r w:rsidR="00EA06D1" w:rsidRPr="003D037E">
        <w:rPr>
          <w:rFonts w:cs="Arial"/>
        </w:rPr>
        <w:lastRenderedPageBreak/>
        <w:t>lymphadenopathy</w:t>
      </w:r>
      <w:r w:rsidR="00DA4987">
        <w:rPr>
          <w:rFonts w:cs="Arial"/>
        </w:rPr>
        <w:t xml:space="preserve"> </w:t>
      </w:r>
      <w:r w:rsidR="005C797C">
        <w:rPr>
          <w:rFonts w:cs="Arial"/>
        </w:rPr>
        <w:fldChar w:fldCharType="begin" w:fldLock="1"/>
      </w:r>
      <w:r w:rsidR="00B850EF">
        <w:rPr>
          <w:rFonts w:cs="Arial"/>
        </w:rPr>
        <w:instrText>ADDIN CSL_CITATION {"citationItems":[{"id":"ITEM-1","itemData":{"DOI":"10.1056/NEJMcp1001116","ISSN":"1533-4406","PMID":"20505178","author":[{"dropping-particle":"","family":"Luzuriaga","given":"Katherine","non-dropping-particle":"","parse-names":false,"suffix":""},{"dropping-particle":"","family":"Sullivan","given":"John L","non-dropping-particle":"","parse-names":false,"suffix":""}],"container-title":"The New England journal of medicine","id":"ITEM-1","issue":"21","issued":{"date-parts":[["2010","5","27"]]},"page":"1993-2000","title":"Infectious mononucleosis.","type":"article-journal","volume":"362"},"uris":["http://www.mendeley.com/documents/?uuid=45232796-012d-4ace-b657-a493d599241e"]},{"id":"ITEM-2","itemData":{"DOI":"10.1007/978-1-4899-7448-8","ISBN":"978-1-4899-7447-1","author":[{"dropping-particle":"","family":"Macsween","given":"Karen F.","non-dropping-particle":"","parse-names":false,"suffix":""},{"dropping-particle":"","family":"Johannessen","given":"Ingólfur","non-dropping-particle":"","parse-names":false,"suffix":""}],"chapter-number":"Chapter 38","container-title":"Viral Infections of Humans: Epidemiology and Control","editor":[{"dropping-particle":"","family":"Kaslow","given":"Richard A.","non-dropping-particle":"","parse-names":false,"suffix":""},{"dropping-particle":"","family":"Stanberry","given":"Lawrence R.","non-dropping-particle":"","parse-names":false,"suffix":""},{"dropping-particle":"","family":"Duc","given":"James W.","non-dropping-particle":"Le","parse-names":false,"suffix":""}],"id":"ITEM-2","issued":{"date-parts":[["2014"]]},"page":"867-896","publisher":"Springer US","publisher-place":"Boston, MA","title":"Epstein-Barr Virus (EBV): Infectious Mononucleosis and Other Non-malignant EBV-Associated Diseases","type":"chapter"},"uris":["http://www.mendeley.com/documents/?uuid=713855e2-cba3-4da3-9e22-f2f3a344f9dc"]},{"id":"ITEM-3","itemData":{"DOI":"10.1038/cti.2015.1","ISSN":"2050-0068","PMID":"25774295","abstract":"Infectious mononucleosis is a clinical entity characterized by pharyngitis, cervical lymph node enlargement, fatigue and fever, which results most often from a primary Epstein-Barr virus (EBV) infection. EBV, a lymphocrytovirus and a member of the γ-herpesvirus family, infects at least 90% of the population worldwide, the majority of whom have no recognizable illness. The virus is spread by intimate oral contact among adolescents, but how preadolescents acquire the virus is not known. During the incubation period of approximately 6 weeks, viral replication first occurs in the oropharynx followed by viremia as early as 2 weeks before onset of illness. The acute illness is marked by high viral loads in both the oral cavity and blood accompanied by the production of immunoglobulin M antibodies against EBV viral capsid antigen and an extraordinary expansion of CD8(+) T lymphocytes directed against EBV-infected B cells. During convalescence, CD8(+) T cells return to normal levels and antibodies develop against EBV nuclear antigen-1. A typical clinical picture in an adolescent or young adult with a positive heterophile test is usually sufficient to make the diagnosis of infectious mononucleosis, but heterophile antibodies are not specific and do not develop in some patients especially young children. EBV-specific antibody profiles are the best choice for staging EBV infection. In addition to causing acute illness, long-term consequences are linked to infectious mononucleosis, especially Hodgkin lymphoma and multiple sclerosis. There is no licensed vaccine for prevention and no specific approved treatment. Future research goals are development of an EBV vaccine, understanding the risk factors for severity of the acute illness and likelihood of developing cancer or autoimmune diseases, and discovering anti-EBV drugs to treat infectious mononucleosis and other EBV-spurred diseases.","author":[{"dropping-particle":"","family":"Balfour","given":"Henry H","non-dropping-particle":"","parse-names":false,"suffix":""},{"dropping-particle":"","family":"Dunmire","given":"Samantha K","non-dropping-particle":"","parse-names":false,"suffix":""},{"dropping-particle":"","family":"Hogquist","given":"Kristin A","non-dropping-particle":"","parse-names":false,"suffix":""}],"container-title":"Clinical &amp; translational immunology","id":"ITEM-3","issue":"2","issued":{"date-parts":[["2015","3","27"]]},"page":"e33","publisher":"Australasian Society for Immunology Inc.","title":"Infectious mononucleosis.","title-short":"Clin Trans Immunol","type":"article-journal","volume":"4"},"uris":["http://www.mendeley.com/documents/?uuid=93198e73-0a8d-4f2f-9081-07673358dd38"]}],"mendeley":{"formattedCitation":"[17–19]","plainTextFormattedCitation":"[17–19]","previouslyFormattedCitation":"[17–19]"},"properties":{"noteIndex":0},"schema":"https://github.com/citation-style-language/schema/raw/master/csl-citation.json"}</w:instrText>
      </w:r>
      <w:r w:rsidR="005C797C">
        <w:rPr>
          <w:rFonts w:cs="Arial"/>
        </w:rPr>
        <w:fldChar w:fldCharType="separate"/>
      </w:r>
      <w:r w:rsidR="00B850EF" w:rsidRPr="00B850EF">
        <w:rPr>
          <w:rFonts w:cs="Arial"/>
          <w:noProof/>
        </w:rPr>
        <w:t>[17–19]</w:t>
      </w:r>
      <w:r w:rsidR="005C797C">
        <w:rPr>
          <w:rFonts w:cs="Arial"/>
        </w:rPr>
        <w:fldChar w:fldCharType="end"/>
      </w:r>
      <w:r w:rsidR="00BE24D4">
        <w:rPr>
          <w:rFonts w:cs="Arial"/>
        </w:rPr>
        <w:t>. P</w:t>
      </w:r>
      <w:r w:rsidR="00A97DBE" w:rsidRPr="00BE24D4">
        <w:rPr>
          <w:rFonts w:cs="Arial"/>
        </w:rPr>
        <w:t xml:space="preserve">ropensity to develop the syndrome </w:t>
      </w:r>
      <w:r w:rsidR="00BE24D4" w:rsidRPr="00696B26">
        <w:rPr>
          <w:rFonts w:cs="Arial"/>
        </w:rPr>
        <w:t xml:space="preserve">is </w:t>
      </w:r>
      <w:r w:rsidR="00A97DBE" w:rsidRPr="00BE24D4">
        <w:rPr>
          <w:rFonts w:cs="Arial"/>
        </w:rPr>
        <w:t>influenced by genetic factors</w:t>
      </w:r>
      <w:r w:rsidR="00A97DBE" w:rsidRPr="00696B26">
        <w:rPr>
          <w:rFonts w:cs="Arial"/>
        </w:rPr>
        <w:t xml:space="preserve"> related to immune response</w:t>
      </w:r>
      <w:r w:rsidR="00BE24D4">
        <w:rPr>
          <w:rFonts w:cs="Arial"/>
        </w:rPr>
        <w:t xml:space="preserve"> </w:t>
      </w:r>
      <w:r w:rsidR="00BE24D4">
        <w:rPr>
          <w:rFonts w:cs="Arial"/>
        </w:rPr>
        <w:fldChar w:fldCharType="begin" w:fldLock="1"/>
      </w:r>
      <w:r w:rsidR="00BB3BE7">
        <w:rPr>
          <w:rFonts w:cs="Arial"/>
        </w:rPr>
        <w:instrText>ADDIN CSL_CITATION {"citationItems":[{"id":"ITEM-1","itemData":{"DOI":"10.1038/s41467-017-00257-5","ISSN":"2041-1723","abstract":"Infectious diseases have a profound impact on our health and many studies suggest that host genetics play a major role in the pathogenesis of most of them. We perform 23 genome-wide association studies for common infections and infection-associated procedures, including chickenpox, shingles, cold sores, mononucleosis, mumps, hepatitis B, plantar warts, positive tuberculosis test results, strep throat, scarlet fever, pneumonia, bacterial meningitis, yeast infections, urinary tract infections, tonsillectomy, childhood ear infections, myringotomy, measles, hepatitis A, rheumatic fever, common colds, rubella and chronic sinus infection, in over 200,000 individuals of European ancestry. We detect 59 genome-wide significant (P &lt; 5 × 10−8) associations in genes with key roles in immunity and embryonic development. We apply fine-mapping analysis to dissect associations in the human leukocyte antigen region, which suggests important roles of specific amino acid polymorphisms in the antigen-binding clefts. Our findings provide an important step toward dissecting the host genetic architecture of response to common infections.","author":[{"dropping-particle":"","family":"Tian","given":"Chao","non-dropping-particle":"","parse-names":false,"suffix":""},{"dropping-particle":"","family":"Hromatka","given":"Bethann S.","non-dropping-particle":"","parse-names":false,"suffix":""},{"dropping-particle":"","family":"Kiefer","given":"Amy K.","non-dropping-particle":"","parse-names":false,"suffix":""},{"dropping-particle":"","family":"Eriksson","given":"Nicholas","non-dropping-particle":"","parse-names":false,"suffix":""},{"dropping-particle":"","family":"Noble","given":"Suzanne M.","non-dropping-particle":"","parse-names":false,"suffix":""},{"dropping-particle":"","family":"Tung","given":"Joyce Y.","non-dropping-particle":"","parse-names":false,"suffix":""},{"dropping-particle":"","family":"Hinds","given":"David A.","non-dropping-particle":"","parse-names":false,"suffix":""}],"container-title":"Nature Communications","id":"ITEM-1","issue":"1","issued":{"date-parts":[["2017","12","19"]]},"page":"599","publisher":"Nature Publishing Group","title":"Genome-wide association and HLA region fine-mapping studies identify susceptibility loci for multiple common infections","type":"article-journal","volume":"8"},"uris":["http://www.mendeley.com/documents/?uuid=6d3aa603-f1fc-3057-8c24-731a8cc2fddb"]},{"id":"ITEM-2","itemData":{"DOI":"10.1172/JCI32377.3042","abstract":"Infectious mononucleosis (IM) is an immunopathological disease caused by EBV that occurs in young adults and is a risk factor for Hodgkin lymphoma (HL). An association between EBV-positive HL and genetic markers in the HLA class I locus has been identified, indicating that genetic differences in the HLA class I locus may alter disease phenotypes associated with EBV infection. To further determine whether HLA class I alleles may affect development of EBV-associated diseases, we analyzed 2 microsatellite markers and 2 SNPs located near the HLA class I locus in patients with acute IM and in asymptomatic EBV-seropositive and -seronegative individuals. Alleles of both microsatellite markers were significantly associated with development of IM. Spe- cific alleles of the 2 SNPs were also significantly more frequent in patients with IM than in EBV-seronegative individuals. IM patients possessing the associated microsatellite allele had fewer lymphocytes and increased neutrophils relative to IM patients lacking the allele. These patients also displayed higher EBV titers and mild- er IM symptoms. The results of this study indicate that HLA class I polymorphisms may predispose patients to development of IM upon primary EBV infection, suggesting that genetic variation in T cell responses can influence the nature of primary EBV infection and the level of viral persistence.","author":[{"dropping-particle":"","family":"Mcaulay","given":"Karen a","non-dropping-particle":"","parse-names":false,"suffix":""},{"dropping-particle":"","family":"Higgins","given":"Craig D","non-dropping-particle":"","parse-names":false,"suffix":""},{"dropping-particle":"","family":"Macsween","given":"Karen F","non-dropping-particle":"","parse-names":false,"suffix":""},{"dropping-particle":"","family":"Lake","given":"Annette","non-dropping-particle":"","parse-names":false,"suffix":""},{"dropping-particle":"","family":"Jarrett","given":"Ruth F","non-dropping-particle":"","parse-names":false,"suffix":""},{"dropping-particle":"","family":"Robertson","given":"Faye L","non-dropping-particle":"","parse-names":false,"suffix":""},{"dropping-particle":"","family":"Williams","given":"Hilary","non-dropping-particle":"","parse-names":false,"suffix":""},{"dropping-particle":"","family":"Crawford","given":"Dorothy H","non-dropping-particle":"","parse-names":false,"suffix":""}],"container-title":"The Journal of Clinical Investigation","id":"ITEM-2","issue":"10","issued":{"date-parts":[["2007"]]},"title":"HLA class I polymorphisms are associated with development of infectious mononucleosis upon primary EBV infection","type":"article-journal","volume":"117"},"uris":["http://www.mendeley.com/documents/?uuid=a8d0d445-0514-41b7-a195-6e5698bb171c"]}],"mendeley":{"formattedCitation":"[20,21]","plainTextFormattedCitation":"[20,21]","previouslyFormattedCitation":"[20]"},"properties":{"noteIndex":0},"schema":"https://github.com/citation-style-language/schema/raw/master/csl-citation.json"}</w:instrText>
      </w:r>
      <w:r w:rsidR="00BE24D4">
        <w:rPr>
          <w:rFonts w:cs="Arial"/>
        </w:rPr>
        <w:fldChar w:fldCharType="separate"/>
      </w:r>
      <w:r w:rsidR="00BB3BE7" w:rsidRPr="00BB3BE7">
        <w:rPr>
          <w:rFonts w:cs="Arial"/>
          <w:noProof/>
        </w:rPr>
        <w:t>[20,21]</w:t>
      </w:r>
      <w:r w:rsidR="00BE24D4">
        <w:rPr>
          <w:rFonts w:cs="Arial"/>
        </w:rPr>
        <w:fldChar w:fldCharType="end"/>
      </w:r>
      <w:r w:rsidR="00A97DBE" w:rsidRPr="00BE24D4">
        <w:rPr>
          <w:rFonts w:cs="Arial"/>
        </w:rPr>
        <w:t>.</w:t>
      </w:r>
    </w:p>
    <w:p w14:paraId="4C4D5A94" w14:textId="69B3F343" w:rsidR="00C07215" w:rsidRPr="003D037E" w:rsidRDefault="009837AB" w:rsidP="00887B34">
      <w:pPr>
        <w:spacing w:line="480" w:lineRule="auto"/>
        <w:ind w:firstLine="720"/>
        <w:rPr>
          <w:rFonts w:cs="Arial"/>
        </w:rPr>
      </w:pPr>
      <w:r w:rsidRPr="003D037E">
        <w:rPr>
          <w:rFonts w:cs="Arial"/>
        </w:rPr>
        <w:t xml:space="preserve">In </w:t>
      </w:r>
      <w:r w:rsidR="005361DA">
        <w:rPr>
          <w:rFonts w:cs="Arial"/>
        </w:rPr>
        <w:t xml:space="preserve">the largest </w:t>
      </w:r>
      <w:r w:rsidR="00310E07">
        <w:rPr>
          <w:rFonts w:cs="Arial"/>
        </w:rPr>
        <w:t>pooled case-control study</w:t>
      </w:r>
      <w:r w:rsidR="005361DA">
        <w:rPr>
          <w:rFonts w:cs="Arial"/>
        </w:rPr>
        <w:t xml:space="preserve"> of NHL </w:t>
      </w:r>
      <w:r w:rsidR="00431A7D">
        <w:rPr>
          <w:rFonts w:cs="Arial"/>
        </w:rPr>
        <w:t>conducted to date</w:t>
      </w:r>
      <w:r w:rsidR="006712AB" w:rsidRPr="006712AB">
        <w:rPr>
          <w:rFonts w:cs="Arial"/>
        </w:rPr>
        <w:t xml:space="preserve"> </w:t>
      </w:r>
      <w:r w:rsidR="006712AB">
        <w:rPr>
          <w:rFonts w:cs="Arial"/>
        </w:rPr>
        <w:t xml:space="preserve">from the </w:t>
      </w:r>
      <w:r w:rsidR="006712AB" w:rsidRPr="003D037E">
        <w:rPr>
          <w:rFonts w:cs="Arial"/>
        </w:rPr>
        <w:t>International Lymphoma Epidemiology Consortium</w:t>
      </w:r>
      <w:r w:rsidR="006712AB">
        <w:rPr>
          <w:rFonts w:cs="Arial"/>
        </w:rPr>
        <w:t xml:space="preserve"> (</w:t>
      </w:r>
      <w:r w:rsidR="006712AB" w:rsidRPr="003D037E">
        <w:rPr>
          <w:rFonts w:cs="Arial"/>
        </w:rPr>
        <w:t>InterLymph</w:t>
      </w:r>
      <w:r w:rsidR="006712AB">
        <w:rPr>
          <w:rFonts w:cs="Arial"/>
        </w:rPr>
        <w:t>)</w:t>
      </w:r>
      <w:r w:rsidR="00431A7D">
        <w:rPr>
          <w:rFonts w:cs="Arial"/>
        </w:rPr>
        <w:t xml:space="preserve">, </w:t>
      </w:r>
      <w:r w:rsidRPr="003D037E">
        <w:rPr>
          <w:rFonts w:cs="Arial"/>
        </w:rPr>
        <w:t>Becker et al</w:t>
      </w:r>
      <w:r w:rsidR="00B53377">
        <w:rPr>
          <w:rFonts w:cs="Arial"/>
        </w:rPr>
        <w:t>.</w:t>
      </w:r>
      <w:r w:rsidR="00DA4987">
        <w:rPr>
          <w:rFonts w:cs="Arial"/>
        </w:rPr>
        <w:t xml:space="preserve"> </w:t>
      </w:r>
      <w:r w:rsidR="005361DA">
        <w:rPr>
          <w:rFonts w:cs="Arial"/>
        </w:rPr>
        <w:t>observed</w:t>
      </w:r>
      <w:r w:rsidRPr="003D037E">
        <w:rPr>
          <w:rFonts w:cs="Arial"/>
        </w:rPr>
        <w:t xml:space="preserve"> </w:t>
      </w:r>
      <w:r w:rsidR="007E293A">
        <w:rPr>
          <w:rFonts w:cs="Arial"/>
        </w:rPr>
        <w:t xml:space="preserve">a positive association between </w:t>
      </w:r>
      <w:r w:rsidR="003E2E1F">
        <w:rPr>
          <w:rFonts w:cs="Arial"/>
        </w:rPr>
        <w:t xml:space="preserve">self-reported </w:t>
      </w:r>
      <w:r w:rsidR="007E293A">
        <w:rPr>
          <w:rFonts w:cs="Arial"/>
        </w:rPr>
        <w:t xml:space="preserve">IM </w:t>
      </w:r>
      <w:r w:rsidR="00587C3E">
        <w:rPr>
          <w:rFonts w:cs="Arial"/>
        </w:rPr>
        <w:t xml:space="preserve">history </w:t>
      </w:r>
      <w:r w:rsidR="007E293A">
        <w:rPr>
          <w:rFonts w:cs="Arial"/>
        </w:rPr>
        <w:t xml:space="preserve">and risk of </w:t>
      </w:r>
      <w:r w:rsidR="006712AB">
        <w:rPr>
          <w:rFonts w:cs="Arial"/>
        </w:rPr>
        <w:t xml:space="preserve">all </w:t>
      </w:r>
      <w:r w:rsidR="00431A7D">
        <w:rPr>
          <w:rFonts w:cs="Arial"/>
        </w:rPr>
        <w:t>NHL (OR</w:t>
      </w:r>
      <w:r w:rsidR="00B926AB">
        <w:rPr>
          <w:rFonts w:cs="Arial"/>
        </w:rPr>
        <w:t xml:space="preserve"> </w:t>
      </w:r>
      <w:r w:rsidR="00431A7D">
        <w:rPr>
          <w:rFonts w:cs="Arial"/>
        </w:rPr>
        <w:t xml:space="preserve">= 1.26, 95% CI </w:t>
      </w:r>
      <w:r w:rsidR="003E2E1F">
        <w:rPr>
          <w:rFonts w:cs="Arial"/>
        </w:rPr>
        <w:t>[</w:t>
      </w:r>
      <w:r w:rsidR="00431A7D">
        <w:rPr>
          <w:rFonts w:cs="Arial"/>
        </w:rPr>
        <w:t>1.01</w:t>
      </w:r>
      <w:r w:rsidR="003E2E1F">
        <w:rPr>
          <w:rFonts w:cs="Arial"/>
        </w:rPr>
        <w:t xml:space="preserve">, </w:t>
      </w:r>
      <w:r w:rsidR="00431A7D">
        <w:rPr>
          <w:rFonts w:cs="Arial"/>
        </w:rPr>
        <w:t>1.57</w:t>
      </w:r>
      <w:r w:rsidR="003E2E1F">
        <w:rPr>
          <w:rFonts w:cs="Arial"/>
        </w:rPr>
        <w:t>]</w:t>
      </w:r>
      <w:r w:rsidR="00431A7D">
        <w:rPr>
          <w:rFonts w:cs="Arial"/>
        </w:rPr>
        <w:t xml:space="preserve">). </w:t>
      </w:r>
      <w:r w:rsidR="006712AB">
        <w:rPr>
          <w:rFonts w:cs="Arial"/>
        </w:rPr>
        <w:t>When stratified by subtype, a</w:t>
      </w:r>
      <w:r w:rsidR="00431A7D">
        <w:rPr>
          <w:rFonts w:cs="Arial"/>
        </w:rPr>
        <w:t>ssociation</w:t>
      </w:r>
      <w:r w:rsidR="00487C75">
        <w:rPr>
          <w:rFonts w:cs="Arial"/>
        </w:rPr>
        <w:t>s</w:t>
      </w:r>
      <w:r w:rsidR="00431A7D">
        <w:rPr>
          <w:rFonts w:cs="Arial"/>
        </w:rPr>
        <w:t xml:space="preserve"> </w:t>
      </w:r>
      <w:r w:rsidR="00487C75">
        <w:rPr>
          <w:rFonts w:cs="Arial"/>
        </w:rPr>
        <w:t>were observed between IM and</w:t>
      </w:r>
      <w:r w:rsidR="00431A7D">
        <w:rPr>
          <w:rFonts w:cs="Arial"/>
        </w:rPr>
        <w:t xml:space="preserve"> T-cell lymphoma</w:t>
      </w:r>
      <w:r w:rsidR="00DE13CE">
        <w:rPr>
          <w:rFonts w:cs="Arial"/>
        </w:rPr>
        <w:t xml:space="preserve"> (TCL)</w:t>
      </w:r>
      <w:r w:rsidR="000F2AE7">
        <w:rPr>
          <w:rFonts w:cs="Arial"/>
        </w:rPr>
        <w:t xml:space="preserve"> </w:t>
      </w:r>
      <w:r w:rsidR="00BF2297">
        <w:rPr>
          <w:rFonts w:cs="Arial"/>
        </w:rPr>
        <w:t>and a B-cell category combining chronic lymphocytic leukemia (CLL)</w:t>
      </w:r>
      <w:r w:rsidR="00587C3E">
        <w:rPr>
          <w:rFonts w:cs="Arial"/>
        </w:rPr>
        <w:t xml:space="preserve">, </w:t>
      </w:r>
      <w:r w:rsidR="00BF2297">
        <w:rPr>
          <w:rFonts w:cs="Arial"/>
        </w:rPr>
        <w:t>small lymphocytic lymphoma (SLL)</w:t>
      </w:r>
      <w:r w:rsidR="00587C3E">
        <w:rPr>
          <w:rFonts w:cs="Arial"/>
        </w:rPr>
        <w:t xml:space="preserve">, </w:t>
      </w:r>
      <w:r w:rsidR="00BF2297">
        <w:rPr>
          <w:rFonts w:cs="Arial"/>
        </w:rPr>
        <w:t>prolymphocytic lymphoma (PLL)</w:t>
      </w:r>
      <w:r w:rsidR="00587C3E">
        <w:rPr>
          <w:rFonts w:cs="Arial"/>
        </w:rPr>
        <w:t>,</w:t>
      </w:r>
      <w:r w:rsidR="00BF2297">
        <w:rPr>
          <w:rFonts w:cs="Arial"/>
        </w:rPr>
        <w:t xml:space="preserve"> and </w:t>
      </w:r>
      <w:r w:rsidR="00087A4F">
        <w:rPr>
          <w:rFonts w:cs="Arial"/>
        </w:rPr>
        <w:t>mantle</w:t>
      </w:r>
      <w:r w:rsidR="00BF2297">
        <w:rPr>
          <w:rFonts w:cs="Arial"/>
        </w:rPr>
        <w:t xml:space="preserve"> cell lymphoma (MCL</w:t>
      </w:r>
      <w:r w:rsidR="00487C75">
        <w:rPr>
          <w:rFonts w:cs="Arial"/>
        </w:rPr>
        <w:t xml:space="preserve">) </w:t>
      </w:r>
      <w:r w:rsidR="00F242E5">
        <w:rPr>
          <w:rFonts w:cs="Arial"/>
        </w:rPr>
        <w:fldChar w:fldCharType="begin" w:fldLock="1"/>
      </w:r>
      <w:r w:rsidR="00BB3BE7">
        <w:rPr>
          <w:rFonts w:cs="Arial"/>
        </w:rPr>
        <w:instrText>ADDIN CSL_CITATION {"citationItems":[{"id":"ITEM-1","itemData":{"DOI":"10.1002/ijc.27438","ISSN":"00207136","PMID":"22266776","abstract":"We performed a pooled analysis of data on self-reported history of infections in relation to the risk of non-Hodgkin lymphoma (NHL) from 17 case-control studies that included 12,585 cases and 15,416 controls aged 16-96 years at recruitment. Pooled odds ratios (OR) and 95% confidence intervals (95% CI) were estimated in two-stage random-effect or joint fixed-effect models, adjusting for age, sex and study centre. Data from the two years prior to diagnosis (or date of interview for controls) were excluded. A self-reported history of infectious mononucleosis (IM) was associated with an excess risk of NHL (OR=1.26, 95% CI=1.01-1.57 based on data from 16 studies); study-specific results indicate significant (I(2) =51%, p=0.01) heterogeneity. A self-reported history of measles or whooping cough was associated with an approximate 15% reduction in risk. History of other infection was not associated with NHL. We find little clear evidence of an association between NHL risk and infection although the limitations of data based on self-reported medical history (particularly of childhood illness reported by older people) are well recognised. © 2012 Wiley-Liss, Inc.","author":[{"dropping-particle":"","family":"Becker","given":"Nikolaus","non-dropping-particle":"","parse-names":false,"suffix":""},{"dropping-particle":"","family":"Falster","given":"Michael O.","non-dropping-particle":"","parse-names":false,"suffix":""},{"dropping-particle":"","family":"Vajdic","given":"Claire M.","non-dropping-particle":"","parse-names":false,"suffix":""},{"dropping-particle":"","family":"Sanjose","given":"Silvia","non-dropping-particle":"De","parse-names":false,"suffix":""},{"dropping-particle":"","family":"Martínez-Maza","given":"Otoniel","non-dropping-particle":"","parse-names":false,"suffix":""},{"dropping-particle":"","family":"Bracci","given":"Paige M.","non-dropping-particle":"","parse-names":false,"suffix":""},{"dropping-particle":"","family":"Melbye","given":"Mads","non-dropping-particle":"","parse-names":false,"suffix":""},{"dropping-particle":"","family":"Smedby","given":"Karin Ekström","non-dropping-particle":"","parse-names":false,"suffix":""},{"dropping-particle":"","family":"Engels","given":"Eric a.","non-dropping-particle":"","parse-names":false,"suffix":""},{"dropping-particle":"","family":"Turner","given":"Jennifer","non-dropping-particle":"","parse-names":false,"suffix":""},{"dropping-particle":"","family":"Vineis","given":"Paolo","non-dropping-particle":"","parse-names":false,"suffix":""},{"dropping-particle":"","family":"Costantini","given":"Adele Seniori","non-dropping-particle":"","parse-names":false,"suffix":""},{"dropping-particle":"","family":"Holly","given":"Elizabeth a.","non-dropping-particle":"","parse-names":false,"suffix":""},{"dropping-particle":"","family":"Spinelli","given":"John J.","non-dropping-particle":"","parse-names":false,"suffix":""},{"dropping-particle":"La","family":"Vecchia","given":"Carlo","non-dropping-particle":"","parse-names":false,"suffix":""},{"dropping-particle":"","family":"Zheng","given":"Tongzhang","non-dropping-particle":"","parse-names":false,"suffix":""},{"dropping-particle":"","family":"Chiu","given":"Brian C H","non-dropping-particle":"","parse-names":false,"suffix":""},{"dropping-particle":"","family":"Montella","given":"Maurizio","non-dropping-particle":"","parse-names":false,"suffix":""},{"dropping-particle":"","family":"Cocco","given":"Pierluigi","non-dropping-particle":"","parse-names":false,"suffix":""},{"dropping-particle":"","family":"Maynadié","given":"Marc","non-dropping-particle":"","parse-names":false,"suffix":""},{"dropping-particle":"","family":"Foretova","given":"Lenka","non-dropping-particle":"","parse-names":false,"suffix":""},{"dropping-particle":"","family":"Staines","given":"Anthony","non-dropping-particle":"","parse-names":false,"suffix":""},{"dropping-particle":"","family":"Brennan","given":"Paul","non-dropping-particle":"","parse-names":false,"suffix":""},{"dropping-particle":"","family":"Davis","given":"Scott","non-dropping-particle":"","parse-names":false,"suffix":""},{"dropping-particle":"","family":"Severson","given":"Richard","non-dropping-particle":"","parse-names":false,"suffix":""},{"dropping-particle":"","family":"Cerhan","given":"James R.","non-dropping-particle":"","parse-names":false,"suffix":""},{"dropping-particle":"","family":"Breen","given":"Elizabeth C.","non-dropping-particle":"","parse-names":false,"suffix":""},{"dropping-particle":"","family":"Birmann","given":"Brenda","non-dropping-particle":"","parse-names":false,"suffix":""},{"dropping-particle":"","family":"Cozen","given":"Wendy","non-dropping-particle":"","parse-names":false,"suffix":""},{"dropping-particle":"","family":"Grulich","given":"Andrew E.","non-dropping-particle":"","parse-names":false,"suffix":""},{"dropping-particle":"","family":"Newton","given":"Robert","non-dropping-particle":"","parse-names":false,"suffix":""}],"container-title":"International Journal of Cancer","id":"ITEM-1","issue":"May 2011","issued":{"date-parts":[["2012"]]},"page":"2342-2348","title":"Self-reported history of infections and the risk of non-Hodgkin lymphoma: An InterLymph pooled analysis","type":"article-journal","volume":"131"},"uris":["http://www.mendeley.com/documents/?uuid=9aad532c-428f-4218-9fd2-36983e77dc46"]}],"mendeley":{"formattedCitation":"[22]","plainTextFormattedCitation":"[22]","previouslyFormattedCitation":"[21]"},"properties":{"noteIndex":0},"schema":"https://github.com/citation-style-language/schema/raw/master/csl-citation.json"}</w:instrText>
      </w:r>
      <w:r w:rsidR="00F242E5">
        <w:rPr>
          <w:rFonts w:cs="Arial"/>
        </w:rPr>
        <w:fldChar w:fldCharType="separate"/>
      </w:r>
      <w:r w:rsidR="00BB3BE7" w:rsidRPr="00BB3BE7">
        <w:rPr>
          <w:rFonts w:cs="Arial"/>
          <w:noProof/>
        </w:rPr>
        <w:t>[22]</w:t>
      </w:r>
      <w:r w:rsidR="00F242E5">
        <w:rPr>
          <w:rFonts w:cs="Arial"/>
        </w:rPr>
        <w:fldChar w:fldCharType="end"/>
      </w:r>
      <w:r w:rsidR="00BF2297">
        <w:rPr>
          <w:rFonts w:cs="Arial"/>
        </w:rPr>
        <w:t>.</w:t>
      </w:r>
    </w:p>
    <w:p w14:paraId="4E98C79E" w14:textId="60E54229" w:rsidR="00582370" w:rsidRPr="003D037E" w:rsidRDefault="00EC0339" w:rsidP="00887B34">
      <w:pPr>
        <w:spacing w:line="480" w:lineRule="auto"/>
        <w:ind w:firstLine="720"/>
        <w:rPr>
          <w:rFonts w:cs="Arial"/>
        </w:rPr>
      </w:pPr>
      <w:r w:rsidRPr="003D037E">
        <w:rPr>
          <w:rFonts w:cs="Arial"/>
        </w:rPr>
        <w:t xml:space="preserve">Studies indicating familial IM clustering and </w:t>
      </w:r>
      <w:r w:rsidR="007E293A">
        <w:rPr>
          <w:rFonts w:cs="Arial"/>
        </w:rPr>
        <w:t>higher concordance for</w:t>
      </w:r>
      <w:r w:rsidR="007E293A" w:rsidRPr="003D037E">
        <w:rPr>
          <w:rFonts w:cs="Arial"/>
        </w:rPr>
        <w:t xml:space="preserve"> </w:t>
      </w:r>
      <w:r w:rsidRPr="003D037E">
        <w:rPr>
          <w:rFonts w:cs="Arial"/>
        </w:rPr>
        <w:t>IM risk among monozygotic compared to dizygotic twin</w:t>
      </w:r>
      <w:r w:rsidR="007E293A">
        <w:rPr>
          <w:rFonts w:cs="Arial"/>
        </w:rPr>
        <w:t xml:space="preserve"> pair</w:t>
      </w:r>
      <w:r w:rsidRPr="003D037E">
        <w:rPr>
          <w:rFonts w:cs="Arial"/>
        </w:rPr>
        <w:t xml:space="preserve">s suggest a role for </w:t>
      </w:r>
      <w:r w:rsidR="003B2895">
        <w:rPr>
          <w:rFonts w:cs="Arial"/>
        </w:rPr>
        <w:t>genetic susceptibil</w:t>
      </w:r>
      <w:r w:rsidR="008C384E">
        <w:rPr>
          <w:rFonts w:cs="Arial"/>
        </w:rPr>
        <w:t>i</w:t>
      </w:r>
      <w:r w:rsidR="003B2895">
        <w:rPr>
          <w:rFonts w:cs="Arial"/>
        </w:rPr>
        <w:t>ty</w:t>
      </w:r>
      <w:r w:rsidR="00144A5F" w:rsidRPr="003D037E">
        <w:rPr>
          <w:rFonts w:cs="Arial"/>
        </w:rPr>
        <w:t xml:space="preserve"> </w:t>
      </w:r>
      <w:r w:rsidRPr="003D037E">
        <w:rPr>
          <w:rFonts w:cs="Arial"/>
        </w:rPr>
        <w:t xml:space="preserve">in IM </w:t>
      </w:r>
      <w:r w:rsidR="005E1009">
        <w:rPr>
          <w:rFonts w:cs="Arial"/>
        </w:rPr>
        <w:t xml:space="preserve">etiology </w:t>
      </w:r>
      <w:r w:rsidR="000F707F">
        <w:rPr>
          <w:rFonts w:cs="Arial"/>
        </w:rPr>
        <w:fldChar w:fldCharType="begin" w:fldLock="1"/>
      </w:r>
      <w:r w:rsidR="00BB3BE7">
        <w:rPr>
          <w:rFonts w:cs="Arial"/>
        </w:rPr>
        <w:instrText>ADDIN CSL_CITATION {"citationItems":[{"id":"ITEM-1","itemData":{"DOI":"10.1017/S0950268811002457","ISSN":"1469-4409","PMID":"22152594","abstract":"Infectious mononucleosis is a clinical manifestation of primary Epstein-Barr virus infection. It is unknown whether genetic factors contribute to risk. To assess heritability, we compared disease concordance in monozygotic to dizygotic twin pairs from the population-based California Twin Program and assessed the risk to initially unaffected co-twins. One member of 611 and both members of 58 twin pairs reported a history of infectious mononucleosis. Pairwise concordance in monozygotic and dizygotic pairs was respectively 12·1% [standard error (s.e.)=1·9%] and 6·1% (s.e.=1·2%). The relative risk (hazard ratio) of monozygotic compared to dizygotic unaffected co-twins of cases was 1·9 [95% confidence interval (CI) 1·1-3·4, P=0·03], over the follow-up period. When the analysis was restricted to same-sex twin pairs, that estimate was 2·5 (95% CI 1·2-5·3, P=0·02). The results are compatible with a heritable contribution to the risk of infectious mononucleosis.","author":[{"dropping-particle":"","family":"Hwang","given":"A E","non-dropping-particle":"","parse-names":false,"suffix":""},{"dropping-particle":"","family":"Hamilton","given":"A S","non-dropping-particle":"","parse-names":false,"suffix":""},{"dropping-particle":"","family":"Cockburn","given":"M G","non-dropping-particle":"","parse-names":false,"suffix":""},{"dropping-particle":"","family":"Ambinder","given":"R","non-dropping-particle":"","parse-names":false,"suffix":""},{"dropping-particle":"","family":"Zadnick","given":"J","non-dropping-particle":"","parse-names":false,"suffix":""},{"dropping-particle":"","family":"Brown","given":"E E","non-dropping-particle":"","parse-names":false,"suffix":""},{"dropping-particle":"","family":"Mack","given":"T M","non-dropping-particle":"","parse-names":false,"suffix":""},{"dropping-particle":"","family":"Cozen","given":"W","non-dropping-particle":"","parse-names":false,"suffix":""}],"container-title":"Epidemiology and infection","id":"ITEM-1","issue":"11","issued":{"date-parts":[["2012","11"]]},"page":"2089-95","title":"Evidence of genetic susceptibility to infectious mononucleosis: a twin study.","type":"article-journal","volume":"140"},"uris":["http://www.mendeley.com/documents/?uuid=e265a3db-0960-4106-ad07-16de44be6546"]},{"id":"ITEM-2","itemData":{"DOI":"10.1093/cid/ciu204","ISBN":"2008540472","ISSN":"1537-6591","PMID":"24696238","abstract":"BACKGROUND: Circumstantial evidence from genome-wide association and family studies of various Epstein-Barr virus-associated diseases suggests a substantial genetic component in infectious mononucleosis (IM) etiology. However, familial aggregation of IM has scarcely been studied.\\n\\nMETHODS: We used data from the Danish Civil Registration System and the Danish National Hospital Discharge Register to study rate ratios of IM in a cohort of 2 823 583 Danish children born between 1971 and 2011. Specifically, we investigated the risk of IM in twins and in first-, second-, and third-degree relatives of patients with IM. In the analyses, IM was defined as a diagnosis of IM in a hospital contact. Effects of contagion between family members were dealt with by excluding follow-up time the first year after the occurrence of IM in a relative.\\n\\nRESULTS: A total of 16 870 cases of IM were observed during 40.4 million person-years of follow-up from 1977 to 2011. The rate ratios and the associated 95% confidence intervals were 9.3 (3.0-29) in same-sex twins, 3.0 (2.6-3.5) in siblings, 1.9 (1.6-2.2) in children, 1.4 (1.3-1.6) in second-degree relatives, and 1.0 (0.9-1.2) in third-degree relatives of IM patients. The rate ratios were very similar for IM in children (aged 0-6 years) and older children/adolescents (aged 7-19 years).\\n\\nCONCLUSIONS: We found evidence of familial aggregation of IM that warrants genome-wide association studies on IM disease etiology, especially to examine commonalities with causal pathways in other Epstein-Barr virus-related diseases.","author":[{"dropping-particle":"","family":"Rostgaard","given":"Klaus","non-dropping-particle":"","parse-names":false,"suffix":""},{"dropping-particle":"","family":"Wohlfahrt","given":"Jan","non-dropping-particle":"","parse-names":false,"suffix":""},{"dropping-particle":"","family":"Hjalgrim","given":"Henrik","non-dropping-particle":"","parse-names":false,"suffix":""}],"container-title":"Clinical infectious diseases : an official publication of the Infectious Diseases Society of America","id":"ITEM-2","issued":{"date-parts":[["2014"]]},"page":"1684-9","title":"A genetic basis for infectious mononucleosis: evidence from a family study of hospitalized cases in Denmark.","type":"article-journal","volume":"58"},"uris":["http://www.mendeley.com/documents/?uuid=60b153d7-f774-40cd-b38f-6bc3c435e791"]}],"mendeley":{"formattedCitation":"[23,24]","plainTextFormattedCitation":"[23,24]","previouslyFormattedCitation":"[22,23]"},"properties":{"noteIndex":0},"schema":"https://github.com/citation-style-language/schema/raw/master/csl-citation.json"}</w:instrText>
      </w:r>
      <w:r w:rsidR="000F707F">
        <w:rPr>
          <w:rFonts w:cs="Arial"/>
        </w:rPr>
        <w:fldChar w:fldCharType="separate"/>
      </w:r>
      <w:r w:rsidR="00BB3BE7" w:rsidRPr="00BB3BE7">
        <w:rPr>
          <w:rFonts w:cs="Arial"/>
          <w:noProof/>
        </w:rPr>
        <w:t>[23,24]</w:t>
      </w:r>
      <w:r w:rsidR="000F707F">
        <w:rPr>
          <w:rFonts w:cs="Arial"/>
        </w:rPr>
        <w:fldChar w:fldCharType="end"/>
      </w:r>
      <w:r w:rsidR="00B12F52">
        <w:rPr>
          <w:rFonts w:cs="Arial"/>
        </w:rPr>
        <w:t xml:space="preserve">. </w:t>
      </w:r>
      <w:r w:rsidR="007E293A">
        <w:rPr>
          <w:rFonts w:cs="Arial"/>
        </w:rPr>
        <w:t>However</w:t>
      </w:r>
      <w:r w:rsidR="00582370" w:rsidRPr="003D037E">
        <w:rPr>
          <w:rFonts w:cs="Arial"/>
        </w:rPr>
        <w:t xml:space="preserve">, </w:t>
      </w:r>
      <w:r w:rsidR="00EA06D1" w:rsidRPr="003D037E">
        <w:rPr>
          <w:rFonts w:cs="Arial"/>
        </w:rPr>
        <w:t>little</w:t>
      </w:r>
      <w:r w:rsidR="00582370" w:rsidRPr="003D037E">
        <w:rPr>
          <w:rFonts w:cs="Arial"/>
        </w:rPr>
        <w:t xml:space="preserve"> is known about the </w:t>
      </w:r>
      <w:r w:rsidR="00826AF3">
        <w:rPr>
          <w:rFonts w:cs="Arial"/>
        </w:rPr>
        <w:t>influence</w:t>
      </w:r>
      <w:r w:rsidR="00826AF3" w:rsidRPr="003D037E">
        <w:rPr>
          <w:rFonts w:cs="Arial"/>
        </w:rPr>
        <w:t xml:space="preserve"> </w:t>
      </w:r>
      <w:r w:rsidR="00582370" w:rsidRPr="003D037E">
        <w:rPr>
          <w:rFonts w:cs="Arial"/>
        </w:rPr>
        <w:t xml:space="preserve">of </w:t>
      </w:r>
      <w:r w:rsidR="007E293A">
        <w:rPr>
          <w:rFonts w:cs="Arial"/>
        </w:rPr>
        <w:t xml:space="preserve">genetic factors </w:t>
      </w:r>
      <w:r w:rsidR="00DF504A">
        <w:rPr>
          <w:rFonts w:cs="Arial"/>
        </w:rPr>
        <w:t>on</w:t>
      </w:r>
      <w:r w:rsidR="00582370" w:rsidRPr="003D037E">
        <w:rPr>
          <w:rFonts w:cs="Arial"/>
        </w:rPr>
        <w:t xml:space="preserve"> IM risk</w:t>
      </w:r>
      <w:r w:rsidRPr="003D037E">
        <w:rPr>
          <w:rFonts w:cs="Arial"/>
        </w:rPr>
        <w:t xml:space="preserve"> </w:t>
      </w:r>
      <w:r w:rsidR="00582370" w:rsidRPr="003D037E">
        <w:rPr>
          <w:rFonts w:cs="Arial"/>
        </w:rPr>
        <w:t xml:space="preserve">or </w:t>
      </w:r>
      <w:r w:rsidR="007E293A">
        <w:rPr>
          <w:rFonts w:cs="Arial"/>
        </w:rPr>
        <w:t>their role in modifying</w:t>
      </w:r>
      <w:r w:rsidR="007E293A" w:rsidRPr="003D037E">
        <w:rPr>
          <w:rFonts w:cs="Arial"/>
        </w:rPr>
        <w:t xml:space="preserve"> </w:t>
      </w:r>
      <w:r w:rsidR="00582370" w:rsidRPr="003D037E">
        <w:rPr>
          <w:rFonts w:cs="Arial"/>
        </w:rPr>
        <w:t>the</w:t>
      </w:r>
      <w:r w:rsidRPr="003D037E">
        <w:rPr>
          <w:rFonts w:cs="Arial"/>
        </w:rPr>
        <w:t xml:space="preserve"> </w:t>
      </w:r>
      <w:r w:rsidR="00BF5008">
        <w:rPr>
          <w:rFonts w:cs="Arial"/>
        </w:rPr>
        <w:t xml:space="preserve">possible </w:t>
      </w:r>
      <w:r w:rsidR="00EB12CD">
        <w:rPr>
          <w:rFonts w:cs="Arial"/>
        </w:rPr>
        <w:t xml:space="preserve">association </w:t>
      </w:r>
      <w:r w:rsidR="005C4543">
        <w:rPr>
          <w:rFonts w:cs="Arial"/>
        </w:rPr>
        <w:t>between</w:t>
      </w:r>
      <w:r w:rsidRPr="003D037E">
        <w:rPr>
          <w:rFonts w:cs="Arial"/>
        </w:rPr>
        <w:t xml:space="preserve"> IM and </w:t>
      </w:r>
      <w:r w:rsidR="00582370" w:rsidRPr="003D037E">
        <w:rPr>
          <w:rFonts w:cs="Arial"/>
        </w:rPr>
        <w:t>NHL</w:t>
      </w:r>
      <w:r w:rsidR="00B12F52">
        <w:rPr>
          <w:rFonts w:cs="Arial"/>
        </w:rPr>
        <w:t xml:space="preserve">. </w:t>
      </w:r>
      <w:r w:rsidR="00EA06D1" w:rsidRPr="003D037E">
        <w:rPr>
          <w:rFonts w:cs="Arial"/>
        </w:rPr>
        <w:t xml:space="preserve">Many of the genetic risk loci identified for NHL and NHL subtypes </w:t>
      </w:r>
      <w:r w:rsidR="007E5F83">
        <w:rPr>
          <w:rFonts w:cs="Arial"/>
        </w:rPr>
        <w:t xml:space="preserve">in previous InterLymph studies </w:t>
      </w:r>
      <w:r w:rsidR="00E81312">
        <w:rPr>
          <w:rFonts w:cs="Arial"/>
        </w:rPr>
        <w:t>are in</w:t>
      </w:r>
      <w:r w:rsidR="00EA06D1" w:rsidRPr="003D037E">
        <w:rPr>
          <w:rFonts w:cs="Arial"/>
        </w:rPr>
        <w:t xml:space="preserve"> </w:t>
      </w:r>
      <w:r w:rsidR="007E293A">
        <w:rPr>
          <w:rFonts w:cs="Arial"/>
        </w:rPr>
        <w:t xml:space="preserve">or near </w:t>
      </w:r>
      <w:r w:rsidR="00EA06D1" w:rsidRPr="003D037E">
        <w:rPr>
          <w:rFonts w:cs="Arial"/>
        </w:rPr>
        <w:t xml:space="preserve">genes related to immune response that might also influence the </w:t>
      </w:r>
      <w:r w:rsidR="00EB12CD">
        <w:rPr>
          <w:rFonts w:cs="Arial"/>
        </w:rPr>
        <w:t>a</w:t>
      </w:r>
      <w:r w:rsidR="005C4543">
        <w:rPr>
          <w:rFonts w:cs="Arial"/>
        </w:rPr>
        <w:t>ssociation between</w:t>
      </w:r>
      <w:r w:rsidRPr="003D037E">
        <w:rPr>
          <w:rFonts w:cs="Arial"/>
        </w:rPr>
        <w:t xml:space="preserve"> </w:t>
      </w:r>
      <w:r w:rsidR="00EA06D1" w:rsidRPr="003D037E">
        <w:rPr>
          <w:rFonts w:cs="Arial"/>
        </w:rPr>
        <w:t xml:space="preserve">IM </w:t>
      </w:r>
      <w:r w:rsidRPr="003D037E">
        <w:rPr>
          <w:rFonts w:cs="Arial"/>
        </w:rPr>
        <w:t xml:space="preserve">and </w:t>
      </w:r>
      <w:r w:rsidR="00EA06D1" w:rsidRPr="003D037E">
        <w:rPr>
          <w:rFonts w:cs="Arial"/>
        </w:rPr>
        <w:t>NHL risk</w:t>
      </w:r>
      <w:r w:rsidR="00DF504A">
        <w:rPr>
          <w:rFonts w:cs="Arial"/>
        </w:rPr>
        <w:t xml:space="preserve"> </w:t>
      </w:r>
      <w:r w:rsidR="000F707F">
        <w:rPr>
          <w:rFonts w:cs="Arial"/>
        </w:rPr>
        <w:fldChar w:fldCharType="begin" w:fldLock="1"/>
      </w:r>
      <w:r w:rsidR="00BB3BE7">
        <w:rPr>
          <w:rFonts w:cs="Arial"/>
        </w:rPr>
        <w:instrText>ADDIN CSL_CITATION {"citationItems":[{"id":"ITEM-1","itemData":{"DOI":"10.1158/1055-9965.EPI-14-1355","ISSN":"1538-7755","PMID":"25962811","abstract":"BACKGROUND: Excess adiposity has been associated with lymphomagenesis, possibly mediated by increased cytokine production causing a chronic inflammatory state. The relationship between obesity, cytokine polymorphisms, and selected mature B-cell neoplasms is reported. METHOD: Data on 4,979 cases and 4,752 controls from nine American/European studies from the InterLymph consortium (1988-2008) were pooled. For diffuse large B-cell lymphoma (DLBCL), follicular lymphoma (FL), and chronic lymphocytic leukemia/small lymphocytic lymphoma (CLL/SLL), joint associations of body mass index (from self-reported height and weight) and 12 polymorphisms in cytokines IL1A (rs1800587), IL1B (rs16944, rs1143627), IL1RN (rs454078), IL2 (rs2069762), IL6 (rs1800795, rs1800797), IL10 (rs1800890, rs1800896), TNF (rs1800629), LTA (rs909253), and CARD15 (rs2066847) were investigated using unconditional logistic regression. BMI-polymorphism interaction effects were estimated using the relative excess risk due to interaction (RERI). RESULTS: Obesity (BMI ≥ 30 kg/m(2)) was associated with DLBCL risk [OR = 1.33; 95% confidence interval (CI), 1.02-1.73], as was TNF-308GA+AA (OR = 1.24; 95% CI, 1.07-1.44). Together, being obese and TNF-308GA+AA increased DLBCL risk almost 2-fold relative to those of normal weight and TNF-308GG (OR = 1.93; 95% CI, 1.27-2.94), with a RERI of 0.41 (95% CI, -0.05-0.84; Pinteraction = 0.13). For FL and CLL/SLL, no associations with obesity or TNF-308GA+AA, either singly or jointly, were observed. No evidence of interactions between obesity and the other polymorphisms were detected. CONCLUSIONS: Our results suggest that cytokine polymorphisms do not generally interact with BMI to increase lymphoma risk but obesity and TNF-308GA+AA may interact to increase DLBCL risk. IMPACT: Studies using better measures of adiposity are needed to further investigate the interactions between obesity and TNF-308G&gt;A in the pathogenesis of lymphoma.","author":[{"dropping-particle":"","family":"Kane","given":"Eleanor","non-dropping-particle":"","parse-names":false,"suffix":""},{"dropping-particle":"","family":"Skibola","given":"Christine F","non-dropping-particle":"","parse-names":false,"suffix":""},{"dropping-particle":"","family":"Bracci","given":"Paige M","non-dropping-particle":"","parse-names":false,"suffix":""},{"dropping-particle":"","family":"Cerhan","given":"James R","non-dropping-particle":"","parse-names":false,"suffix":""},{"dropping-particle":"","family":"Costas","given":"Laura","non-dropping-particle":"","parse-names":false,"suffix":""},{"dropping-particle":"","family":"Smedby","given":"Karin Ekström","non-dropping-particle":"","parse-names":false,"suffix":""},{"dropping-particle":"","family":"Holly","given":"Elizabeth A","non-dropping-particle":"","parse-names":false,"suffix":""},{"dropping-particle":"","family":"Maynadié","given":"Marc","non-dropping-particle":"","parse-names":false,"suffix":""},{"dropping-particle":"","family":"Novak","given":"Anne J","non-dropping-particle":"","parse-names":false,"suffix":""},{"dropping-particle":"","family":"Lightfoot","given":"Tracy J","non-dropping-particle":"","parse-names":false,"suffix":""},{"dropping-particle":"","family":"Ansell","given":"Stephen M","non-dropping-particle":"","parse-names":false,"suffix":""},{"dropping-particle":"","family":"Smith","given":"Alex G","non-dropping-particle":"","parse-names":false,"suffix":""},{"dropping-particle":"","family":"Liebow","given":"Mark","non-dropping-particle":"","parse-names":false,"suffix":""},{"dropping-particle":"","family":"Melbye","given":"Mads","non-dropping-particle":"","parse-names":false,"suffix":""},{"dropping-particle":"","family":"Morton","given":"Lindsay","non-dropping-particle":"","parse-names":false,"suffix":""},{"dropping-particle":"","family":"Sanjosé","given":"Silvia","non-dropping-particle":"de","parse-names":false,"suffix":""},{"dropping-particle":"","family":"Slager","given":"Susan L","non-dropping-particle":"","parse-names":false,"suffix":""},{"dropping-particle":"","family":"Wang","given":"Sophia S","non-dropping-particle":"","parse-names":false,"suffix":""},{"dropping-particle":"","family":"Zhang","given":"Yawei","non-dropping-particle":"","parse-names":false,"suffix":""},{"dropping-particle":"","family":"Zheng","given":"Tongzhang","non-dropping-particle":"","parse-names":false,"suffix":""},{"dropping-particle":"","family":"Roman","given":"Eve","non-dropping-particle":"","parse-names":false,"suffix":""}],"container-title":"Cancer epidemiology, biomarkers &amp; prevention : a publication of the American Association for Cancer Research, cosponsored by the American Society of Preventive Oncology","id":"ITEM-1","issue":"7","issued":{"date-parts":[["2015","7","1"]]},"page":"1061-70","title":"Non-Hodgkin Lymphoma, Body Mass Index, and Cytokine Polymorphisms: A Pooled Analysis from the InterLymph Consortium.","type":"article-journal","volume":"24"},"uris":["http://www.mendeley.com/documents/?uuid=7879de91-c34d-4298-aa1a-12b06348bc90"]},{"id":"ITEM-2","itemData":{"DOI":"10.1093/aje/kwp383","ISBN":"1476-6256 (Electronic)\\r0002-9262 (Linking)","ISSN":"1476-6256","PMID":"20047977","abstract":"In an International Lymphoma Epidemiology Consortium pooled analysis, polymorphisms in 2 immune-system-related genes, tumor necrosis factor (TNF) and interleukin-10 (IL10), were associated with non-Hodgkin lymphoma (NHL) risk. Here, 8,847 participants were added to previous data (patients diagnosed from 1989 to 2005 in 14 case-control studies; 7,999 cases, 8,452 controls) for testing of polymorphisms in the TNF -308G&gt;A (rs1800629), lymphotoxin-alpha (LTA) 252A&gt;G (rs909253), IL10 -3575T&gt;A (rs1800890, rs1800896), and nucleotide-binding oligomerization domain containing 2 (NOD2) 3020insC (rs2066847) genes. Odds ratios were estimated for non-Hispanic whites and several ethnic subgroups using 2-sided tests. Consistent with previous findings, odds ratios were increased for \"new\" participant TNF -308A carriers (NHL: per-allele odds ratio (OR(allelic)) = 1.10, P(trend) = 0.001; diffuse large B-cell lymphoma (DLBCL): OR(allelic) = 1.23, P(trend) = 0.004). In the combined population, odds ratios were increased for TNF -308A carriers (NHL: OR(allelic) = 1.13, P(trend) = 0.0001; DLBCL: OR(allelic) = 1.25, P(trend) = 3.7 x 10(-6); marginal zone lymphoma: OR(allelic) = 1.35, P(trend) = 0.004) and LTA 252G carriers (DLBCL: OR(allelic) = 1.12, P(trend) = 0.006; mycosis fungoides: OR(allelic) = 1.44, P(trend) = 0.015). The LTA 252A&gt;G/TNF -308G&gt;A haplotype containing the LTA/TNF variant alleles was strongly associated with DLBCL (P = 2.9 x 10(-8)). Results suggested associations between IL10 -3575T&gt;A and DLBCL (P(trend) = 0.02) and IL10 -1082A&gt;G and mantle cell lymphoma (P(trend) = 0.04). These findings strengthen previous results for DLBCL and the LTA 252A&gt;G/TNF -308A locus and provide robust evidence that these TNF/LTA gene variants, or others in linkage disequilibrium, are involved in NHL etiology.","author":[{"dropping-particle":"","family":"Skibola","given":"Christine F","non-dropping-particle":"","parse-names":false,"suffix":""},{"dropping-particle":"","family":"Bracci","given":"Paige M","non-dropping-particle":"","parse-names":false,"suffix":""},{"dropping-particle":"","family":"Nieters","given":"Alexandra","non-dropping-particle":"","parse-names":false,"suffix":""},{"dropping-particle":"","family":"Brooks-Wilson","given":"Angela","non-dropping-particle":"","parse-names":false,"suffix":""},{"dropping-particle":"","family":"Sanjosé","given":"Silvia","non-dropping-particle":"de","parse-names":false,"suffix":""},{"dropping-particle":"","family":"Hughes","given":"Ann Maree","non-dropping-particle":"","parse-names":false,"suffix":""},{"dropping-particle":"","family":"Cerhan","given":"James R","non-dropping-particle":"","parse-names":false,"suffix":""},{"dropping-particle":"","family":"Skibola","given":"Danica R","non-dropping-particle":"","parse-names":false,"suffix":""},{"dropping-particle":"","family":"Purdue","given":"Mark","non-dropping-particle":"","parse-names":false,"suffix":""},{"dropping-particle":"","family":"Kane","given":"Eleanor","non-dropping-particle":"","parse-names":false,"suffix":""},{"dropping-particle":"","family":"Lan","given":"Qing","non-dropping-particle":"","parse-names":false,"suffix":""},{"dropping-particle":"","family":"Foretova","given":"Lenka","non-dropping-particle":"","parse-names":false,"suffix":""},{"dropping-particle":"","family":"Schenk","given":"Maryjean","non-dropping-particle":"","parse-names":false,"suffix":""},{"dropping-particle":"","family":"Spinelli","given":"John J","non-dropping-particle":"","parse-names":false,"suffix":""},{"dropping-particle":"","family":"Slager","given":"Susan L","non-dropping-particle":"","parse-names":false,"suffix":""},{"dropping-particle":"","family":"Roos","given":"Anneclaire J","non-dropping-particle":"De","parse-names":false,"suffix":""},{"dropping-particle":"","family":"Smith","given":"Martyn T","non-dropping-particle":"","parse-names":false,"suffix":""},{"dropping-particle":"","family":"Roman","given":"Eve","non-dropping-particle":"","parse-names":false,"suffix":""},{"dropping-particle":"","family":"Cozen","given":"Wendy","non-dropping-particle":"","parse-names":false,"suffix":""},{"dropping-particle":"","family":"Boffetta","given":"Paolo","non-dropping-particle":"","parse-names":false,"suffix":""},{"dropping-particle":"","family":"Kricker","given":"Anne","non-dropping-particle":"","parse-names":false,"suffix":""},{"dropping-particle":"","family":"Zheng","given":"Tongzhang","non-dropping-particle":"","parse-names":false,"suffix":""},{"dropping-particle":"","family":"Lightfoot","given":"Tracy","non-dropping-particle":"","parse-names":false,"suffix":""},{"dropping-particle":"","family":"Cocco","given":"Pierluigi","non-dropping-particle":"","parse-names":false,"suffix":""},{"dropping-particle":"","family":"Benavente","given":"Yolanda","non-dropping-particle":"","parse-names":false,"suffix":""},{"dropping-particle":"","family":"Zhang","given":"Yawei","non-dropping-particle":"","parse-names":false,"suffix":""},{"dropping-particle":"","family":"Hartge","given":"Patricia","non-dropping-particle":"","parse-names":false,"suffix":""},{"dropping-particle":"","family":"Linet","given":"Martha S","non-dropping-particle":"","parse-names":false,"suffix":""},{"dropping-particle":"","family":"Becker","given":"Nikolaus","non-dropping-particle":"","parse-names":false,"suffix":""},{"dropping-particle":"","family":"Brennan","given":"Paul","non-dropping-particle":"","parse-names":false,"suffix":""},{"dropping-particle":"","family":"Zhang","given":"Luoping","non-dropping-particle":"","parse-names":false,"suffix":""},{"dropping-particle":"","family":"Armstrong","given":"Bruce","non-dropping-particle":"","parse-names":false,"suffix":""},{"dropping-particle":"","family":"Smith","given":"Alex","non-dropping-particle":"","parse-names":false,"suffix":""},{"dropping-particle":"","family":"Shiao","given":"Renee","non-dropping-particle":"","parse-names":false,"suffix":""},{"dropping-particle":"","family":"Novak","given":"Anne J","non-dropping-particle":"","parse-names":false,"suffix":""},{"dropping-particle":"","family":"Maynadie","given":"Marc","non-dropping-particle":"","parse-names":false,"suffix":""},{"dropping-particle":"","family":"Chanock","given":"Stephen J","non-dropping-particle":"","parse-names":false,"suffix":""},{"dropping-particle":"","family":"Staines","given":"Anthony","non-dropping-particle":"","parse-names":false,"suffix":""},{"dropping-particle":"","family":"Holford","given":"Theodore R","non-dropping-particle":"","parse-names":false,"suffix":""},{"dropping-particle":"","family":"Holly","given":"Elizabeth A","non-dropping-particle":"","parse-names":false,"suffix":""},{"dropping-particle":"","family":"Rothman","given":"Nathaniel","non-dropping-particle":"","parse-names":false,"suffix":""},{"dropping-particle":"","family":"Wang","given":"Sophia S","non-dropping-particle":"","parse-names":false,"suffix":""}],"container-title":"American journal of epidemiology","id":"ITEM-2","issued":{"date-parts":[["2010"]]},"page":"267-276","title":"Tumor necrosis factor (TNF) and lymphotoxin-alpha (LTA) polymorphisms and risk of non-Hodgkin lymphoma in the InterLymph Consortium.","type":"article-journal","volume":"171"},"uris":["http://www.mendeley.com/documents/?uuid=22bf699d-a8d0-4e47-b78d-cda2951c8273"]},{"id":"ITEM-3","itemData":{"DOI":"10.1016/S1470-2045(05)70434-4","ISSN":"14702045","PMID":"16389181","abstract":"Background: Common genetic variants in immune and inflammatory response genes can affect the risk of developing non-Hodgkin lymphoma. We aimed to test this hypothesis using previously unpublished data from eight European, Canadian, and US case-control studies of the International Lymphoma Epidemiology Consortium (InterLymph). Methods: We selected 12 single-nucleotide polymorphisms for analysis, on the basis of previous functional or association data, in nine genes that have important roles in lymphoid development, Th1/Th2 balance, and proinflammatory or anti-inflammatory pathways (IL1A, IL1RN, IL1B, IL2, IL6, IL10, TNF, LTA, and CARD15). Genotype data for one or more single-nucleotide polymorphisms were available for 3586 cases of non-Hodgkin lymphoma and for 4018 controls, and were assesse</w:instrText>
      </w:r>
      <w:r w:rsidR="00BB3BE7">
        <w:rPr>
          <w:rFonts w:cs="Arial" w:hint="eastAsia"/>
        </w:rPr>
        <w:instrText>d in a pooled analysis by use of a random-effects logistic regression model. Findings: The tumour necrosis factor (TNF) -308G</w:instrText>
      </w:r>
      <w:r w:rsidR="00BB3BE7">
        <w:rPr>
          <w:rFonts w:cs="Arial" w:hint="eastAsia"/>
        </w:rPr>
        <w:instrText>→</w:instrText>
      </w:r>
      <w:r w:rsidR="00BB3BE7">
        <w:rPr>
          <w:rFonts w:cs="Arial" w:hint="eastAsia"/>
        </w:rPr>
        <w:instrText>A polymorphism was associated with increased risk of non-Hodgkin lymphoma (p for trend=0.005), particularly for diffuse large B-cell lymphoma, the main histological subtype (odds ratio 1.29 [95% CI 1.10-1.51] for GA and 1.65 [1.16-2.34] for AA, p for trend &lt;0.0001), but not for follicular lymphoma. The interleukin 10 (IL10) -3575T</w:instrText>
      </w:r>
      <w:r w:rsidR="00BB3BE7">
        <w:rPr>
          <w:rFonts w:cs="Arial" w:hint="eastAsia"/>
        </w:rPr>
        <w:instrText>→</w:instrText>
      </w:r>
      <w:r w:rsidR="00BB3BE7">
        <w:rPr>
          <w:rFonts w:cs="Arial" w:hint="eastAsia"/>
        </w:rPr>
        <w:instrText>A polymorphism was also associated with increased r</w:instrText>
      </w:r>
      <w:r w:rsidR="00BB3BE7">
        <w:rPr>
          <w:rFonts w:cs="Arial"/>
        </w:rPr>
        <w:instrText>isk of non-Hodgkin lymphoma (p for trend=0.02), again particularly for diffuse large B-cell lymphoma (p for trend=0.006). For individuals homozygous for the TNF -308A allele and carrying at least one IL10 -3575A allele, risk of diffuse large B-cell lymphoma doubled (2.13 [1.37-3.32], p=0.00083). Interpretation: Common polymorphisms in TNF and IL10, key cytokines for the inflammatory response and Th1/Th2 balance, could be susceptibility loci for non-Hodgkin lymphoma. Moreover, our results underscore the importance of consortia for investigating the genetic basis of chronic diseases like cancer.","author":[{"dropping-particle":"","family":"Rothman","given":"Nathaniel","non-dropping-particle":"","parse-names":false,"suffix":""},{"dropping-particle":"","family":"Skibola","given":"Christine F.","non-dropping-particle":"","parse-names":false,"suffix":""},{"dropping-particle":"","family":"Wang","given":"Sophia S.","non-dropping-particle":"","parse-names":false,"suffix":""},{"dropping-particle":"","family":"Morgan","given":"Gareth","non-dropping-particle":"","parse-names":false,"suffix":""},{"dropping-particle":"","family":"Lan","given":"Qing","non-dropping-particle":"","parse-names":false,"suffix":""},{"dropping-particle":"","family":"Smith","given":"Martyn T.","non-dropping-particle":"","parse-names":false,"suffix":""},{"dropping-particle":"","family":"Spinelli","given":"John J.","non-dropping-particle":"","parse-names":false,"suffix":""},{"dropping-particle":"","family":"Willett","given":"Eleanor","non-dropping-particle":"","parse-names":false,"suffix":""},{"dropping-particle":"","family":"Sanjose","given":"Silvia","non-dropping-particle":"De","parse-names":false,"suffix":""},{"dropping-particle":"","family":"Cocco","given":"Pierluigi","non-dropping-particle":"","parse-names":false,"suffix":""},{"dropping-particle":"","family":"Berndt","given":"Sonja I.","non-dropping-particle":"","parse-names":false,"suffix":""},{"dropping-particle":"","family":"Brennan","given":"Paul","non-dropping-particle":"","parse-names":false,"suffix":""},{"dropping-particle":"","family":"Brooks-Wilson","given":"Angela","non-dropping-particle":"","parse-names":false,"suffix":""},{"dropping-particle":"","family":"Wacholder","given":"Sholom","non-dropping-particle":"","parse-names":false,"suffix":""},{"dropping-particle":"","family":"Becker","given":"Nikolaus","non-dropping-particle":"","parse-names":false,"suffix":""},{"dropping-particle":"","family":"Hartge","given":"Patricia","non-dropping-particle":"","parse-names":false,"suffix":""},{"dropping-particle":"","family":"Zheng","given":"Tongzhang","non-dropping-particle":"","parse-names":false,"suffix":""},{"dropping-particle":"","family":"Roman","given":"Eve","non-dropping-particle":"","parse-names":false,"suffix":""},{"dropping-particle":"","family":"Holly","given":"Elizabeth A.","non-dropping-particle":"","parse-names":false,"suffix":""},{"dropping-particle":"","family":"Boffetta","given":"Paolo","non-dropping-particle":"","parse-names":false,"suffix":""},{"dropping-particle":"","family":"Armstrong","given":"Bruce","non-dropping-particle":"","parse-names":false,"suffix":""},{"dropping-particle":"","family":"Cozen","given":"Wendy","non-dropping-particle":"","parse-names":false,"suffix":""},{"dropping-particle":"","family":"Linet","given":"Martha","non-dropping-particle":"","parse-names":false,"suffix":""},{"dropping-particle":"","family":"Bosch","given":"Xavier F.","non-dropping-particle":"","parse-names":false,"suffix":""},{"dropping-particle":"","family":"Ennas","given":"Maria Grazia","non-dropping-particle":"","parse-names":false,"suffix":""},{"dropping-particle":"","family":"Holford","given":"Theodore R.","non-dropping-particle":"","parse-names":false,"suffix":""},{"dropping-particle":"","family":"Gallagher","given":"Richard P.","non-dropping-particle":"","parse-names":false,"suffix":""},{"dropping-particle":"","family":"Rollinson","given":"Sara","non-dropping-particle":"","parse-names":false,"suffix":""},{"dropping-particle":"","family":"Bracci","given":"Paige M.","non-dropping-particle":"","parse-names":false,"suffix":""},{"dropping-particle":"","family":"Cerhan","given":"James R.","non-dropping-particle":"","parse-names":false,"suffix":""},{"dropping-particle":"","family":"Whitby","given":"Denise","non-dropping-particle":"","parse-names":false,"suffix":""},{"dropping-particle":"","family":"Moore","given":"Patrick S.","non-dropping-particle":"","parse-names":false,"suffix":""},{"dropping-particle":"","family":"Leaderer","given":"Brian","non-dropping-particle":"","parse-names":false,"suffix":""},{"dropping-particle":"","family":"Lai","given":"Agnes","non-dropping-particle":"","parse-names":false,"suffix":""},{"dropping-particle":"","family":"Spink","given":"Charlotte","non-dropping-particle":"","parse-names":false,"suffix":""},{"dropping-particle":"","family":"Davis","given":"Scott","non-dropping-particle":"","parse-names":false,"suffix":""},{"dropping-particle":"","family":"Bosch","given":"Ramon","non-dropping-particle":"","parse-names":false,"suffix":""},{"dropping-particle":"","family":"Scarpa","given":"Aldo","non-dropping-particle":"","parse-names":false,"suffix":""},{"dropping-particle":"","family":"Zhang","given":"Yawei","non-dropping-particle":"","parse-names":false,"suffix":""},{"dropping-particle":"","family":"Severson","given":"Richard K.","non-dropping-particle":"","parse-names":false,"suffix":""},{"dropping-particle":"","family":"Yeager","given":"Meredith","non-dropping-particle":"","parse-names":false,"suffix":""},{"dropping-particle":"","family":"Chanock","given":"Stephen","non-dropping-particle":"","parse-names":false,"suffix":""},{"dropping-particle":"","family":"Nieters","given":"Alexandra","non-dropping-particle":"","parse-names":false,"suffix":""}],"container-title":"Lancet Oncology","id":"ITEM-3","issued":{"date-parts":[["2006"]]},"page":"27-38","title":"Genetic variation in TNF and IL10 and risk of non-Hodgkin lymphoma: A report from the InterLymph Consortium","type":"article-journal","volume":"7"},"uris":["http://www.mendeley.com/documents/?uuid=d5a7315f-5e95-47ea-b607-60f9e869c8ac"]},{"id":"ITEM-4","itemData":{"DOI":"10.1182/blood-2007-05-088682","ISSN":"0006-4971","PMID":"17827388","abstract":"Smaller-scale evaluations suggest that common genetic variation in candidate genes related to immune function may predispose to the development of non-Hodgkin lymphoma (NHL). We report an analysis of variants within genes associated with immunity and inflammation and risk of NHL using a panel of 9412 single-nucleotide polymorphisms (SNPs) from 1253 genes in a study of 458 patients with NHL and 484 frequency-matched controls. We modeled haplotypes and risk of NHL, as well as the main effects for all independent SNPs from a gene in multivariate logistic regression models; we separately report results for nonsynonymous (ns) SNPs. In gene-level analyses, the strongest findings (P &lt; or = .001) were for CREB1, FGG, MAP3K5, RIPK3, LSP1, TRAF1, DUSP2, and ITGB3. In nsSNP analyses, the strongest findings (P &lt; or = .01) were for ITGB3 L59P (odds ratio [OR] = 0.66; 95% confidence interval [CI] 0.52-0.85), TLR6 V427A (OR = 5.20; CI 1.77-15.3), SELPLG M264V (OR = 3.20; CI 1.48-6.91), UNC84B G671S (OR = 1.50; CI 1.12-2.00), B3GNT3 H328R (OR = 0.74; CI 0.59-0.93), and BAT2 V1883L (OR = 0.64; CI 0.45-0.90). Our results suggest that genetic variation in genes associated with immune response (TRAF1, RIPK3, BAT2, and TLR6), mitogen-activated protein kinase (MAPK) signaling (MAP3K5, DUSP2, and CREB1), lymphocyte trafficking and migration (B3GNT3, SELPLG, and LSP1), and coagulation pathways (FGG and ITGB3) may be important in the etiology of NHL, and should be prioritized in replication studies.","author":[{"dropping-particle":"","family":"Cerhan","given":"James R","non-dropping-particle":"","parse-names":false,"suffix":""},{"dropping-particle":"","family":"Ansell","given":"Stephen M","non-dropping-particle":"","parse-names":false,"suffix":""},{"dropping-particle":"","family":"Fredericksen","given":"Zachary S","non-dropping-particle":"","parse-names":false,"suffix":""},{"dropping-particle":"","family":"Kay","given":"Neil E","non-dropping-particle":"","parse-names":false,"suffix":""},{"dropping-particle":"","family":"Liebow","given":"Mark","non-dropping-particle":"","parse-names":false,"suffix":""},{"dropping-particle":"","family":"Call","given":"Timothy G","non-dropping-particle":"","parse-names":false,"suffix":""},{"dropping-particle":"","family":"Dogan","given":"Ahmet","non-dropping-particle":"","parse-names":false,"suffix":""},{"dropping-particle":"","family":"Cunningham","given":"Julie M","non-dropping-particle":"","parse-names":false,"suffix":""},{"dropping-particle":"","family":"Wang","given":"Alice H","non-dropping-particle":"","parse-names":false,"suffix":""},{"dropping-particle":"","family":"Liu-Mares","given":"Wen","non-dropping-particle":"","parse-names":false,"suffix":""},{"dropping-particle":"","family":"Macon","given":"William R","non-dropping-particle":"","parse-names":false,"suffix":""},{"dropping-particle":"","family":"Jelinek","given":"Diane","non-dropping-particle":"","parse-names":false,"suffix":""},{"dropping-particle":"","family":"Witzig","given":"Thomas E","non-dropping-particle":"","parse-names":false,"suffix":""},{"dropping-particle":"","family":"Habermann","given":"Thomas M","non-dropping-particle":"","parse-names":false,"suffix":""},{"dropping-particle":"","family":"Slager","given":"Susan L","non-dropping-particle":"","parse-names":false,"suffix":""}],"container-title":"Blood","id":"ITEM-4","issue":"13","issued":{"date-parts":[["2007","12","15"]]},"page":"4455-63","title":"Genetic variation in 1253 immune and inflammation genes and risk of non-Hodgkin lymphoma.","type":"article-journal","volume":"110"},"uris":["http://www.mendeley.com/documents/?uuid=0c0a474b-2dcc-4e5a-81cc-2f04548819db"]},{"id":"ITEM-5","itemData":{"DOI":"10.1158/1055-9965.EPI-12-0696","ISSN":"1538-7755","PMID":"22911334","abstract":"BACKGROUND: Non-Hodgkin lymphoma (NHL) is a malignancy of lymphocytes, and there is growing evidence for a role of germline genetic variation in immune genes in NHL etiology. METHODS: To identify susceptibility immune genes, we conducted a 2-stage analysis of single-nucleotide polymorphisms (SNP) from 1,253 genes using the Immune and Inflammation Panel. In Stage 1, we genotyped 7,670 SNPs in 425 NHL cases and 465 controls, and in Stage 2 we genotyped the top 768 SNPs on an additional 584 cases and 768 controls. The association of individual SNPs with NHL risk from a log-additive model was assessed using the OR and 95% confidence intervals (CI). RESULTS: In the pooled analysis, only the TAP2 coding SNP rs241447 (minor allele frequency = 0.26; Thr655Ala) at 6p21.3 (OR = 1.34, 95% CI 1.17-1.53) achieved statistical significance after accounting for multiple testing (P = 3.1 × 10(-5)). The TAP2 SNP was strongly associated with follicular lymphoma (FL, OR = 1.82, 95%CI 1.46-2.26; p = 6.9 × 10(-8)), and was independent of other known loci (rs10484561 and rs2647012) from this region. The TAP2 SNP was also associated with diffuse large B-cell lymphoma (DLBCL, OR = 1.38, 95% CI 1.08-1.77; P = 0.011), but not chronic lymphocytic leukemia (OR = 1.08; 95% CI 0.88-1.32). Higher TAP2 expression was associated with the risk allele in both FL and DLBCL tumors. CONCLUSION: Genetic variation in TAP2 was associated with NHL risk overall, and FL risk in particular, and this was independent of other established loci from 6p21.3. IMPACT: Genetic variation in antigen presentation of HLA class I molecules may play a role in lymphomagenesis.","author":[{"dropping-particle":"","family":"Cerhan","given":"James R","non-dropping-particle":"","parse-names":false,"suffix":""},{"dropping-particle":"","family":"Fredericksen","given":"Zachary S","non-dropping-particle":"","parse-names":false,"suffix":""},{"dropping-particle":"","family":"Novak","given":"Anne J","non-dropping-particle":"","parse-names":false,"suffix":""},{"dropping-particle":"","family":"Ansell","given":"Stephen M","non-dropping-particle":"","parse-names":false,"suffix":""},{"dropping-particle":"","family":"Kay","given":"Neil E","non-dropping-particle":"","parse-names":false,"suffix":""},{"dropping-particle":"","family":"Liebow","given":"Mark","non-dropping-particle":"","parse-names":false,"suffix":""},{"dropping-particle":"","family":"Dogan","given":"Ahmet","non-dropping-particle":"","parse-names":false,"suffix":""},{"dropping-particle":"","family":"Cunningham","given":"Julie M","non-dropping-particle":"","parse-names":false,"suffix":""},{"dropping-particle":"","family":"Wang","given":"Alice H","non-dropping-particle":"","parse-names":false,"suffix":""},{"dropping-particle":"","family":"Witzig","given":"Thomas E","non-dropping-particle":"","parse-names":false,"suffix":""},{"dropping-particle":"","family":"Habermann","given":"Thomas M","non-dropping-particle":"","parse-names":false,"suffix":""},{"dropping-particle":"","family":"Asmann","given":"Yan W","non-dropping-particle":"","parse-names":false,"suffix":""},{"dropping-particle":"","family":"Slager","given":"Susan L","non-dropping-particle":"","parse-names":false,"suffix":""}],"container-title":"Cancer epidemiology, biomarkers &amp; prevention : a publication of the American Association for Cancer Research, cosponsored by the American Society of Preventive Oncology","id":"ITEM-5","issue":"10","issued":{"date-parts":[["2012","10"]]},"note":"InterLymph: EPILYMPH\n\nBlood (no saliv)\n\nSelf-administered questionnaire","page":"1799-806","title":"A two-stage evaluation of genetic variation in immune and inflammation genes with risk of non-Hodgkin lymphoma identifies new susceptibility locus in 6p21.3 region.","type":"article-journal","volume":"21"},"uris":["http://www.mendeley.com/documents/?uuid=f62c9374-ddbf-4432-9ffa-e2dae87180b3"]},{"id":"ITEM-6","itemData":{"DOI":"10.1111/j.1399-0039.2012.01845.x","ISSN":"1399-0039","PMID":"22296171","abstract":"Follicular lymphoma (FL) is an indolent, sometimes, fatal disease characterized by recurrence at progressively shorter intervals and is frequently refractive to therapy. Genome-wide association studies have identified single nucleotide polymorphisms (SNPs) in the human leukocyte antigen (HLA) region on chromosome 6p21.32-33 that are statistically significantly associated with FL risk. Low to medium resolution typing of single or multiple HLA genes has provided an incomplete picture of the total genetic risk imparted by this highly variable region. To gain further insight into the role of HLA alleles in lymphomagenesis and to investigate the independence of validated SNPs and HLA alleles with FL risk, high-resolution HLA typing was conducted using next-generation sequencing in 222 non-Hispanic White FL cases and 220 matched controls from a larger San Francisco Bay Area population-based case-control study of lymphoma. A novel protective association was found between the DPB1*03:01 allele and FL risk [odds ratio (OR) = 0.39, 95% confidence interval (CI) = 0.21-0.68]. Extended haplotypes DRB1*01:01-DQA1*01:01-DQB1*05:01 (OR = 2.01, 95% CI = 1.22-3.38) and DRB1*15-DQA1*01-DQB1*06 (OR = 0.55, 95% CI = 0.36-0.82) also influenced FL risk. Moreover, DRB1*15-DQA1*01-DQB1*06 was highly correlated with an established FL risk locus, rs2647012. These results provide further insight into the critical roles of HLA alleles and SNPs in FL pathogenesis that involve multi-locus effects across the HLA region.","author":[{"dropping-particle":"","family":"Skibola","given":"Christine F","non-dropping-particle":"","parse-names":false,"suffix":""},{"dropping-particle":"","family":"Akers","given":"N K","non-dropping-particle":"","parse-names":false,"suffix":""},{"dropping-particle":"","family":"Conde","given":"L","non-dropping-particle":"","parse-names":false,"suffix":""},{"dropping-particle":"","family":"Ladner","given":"M","non-dropping-particle":"","parse-names":false,"suffix":""},{"dropping-particle":"","family":"Hawbecker","given":"S K","non-dropping-particle":"","parse-names":false,"suffix":""},{"dropping-particle":"","family":"Cohen","given":"F","non-dropping-particle":"","parse-names":false,"suffix":""},{"dropping-particle":"","family":"Ribas","given":"F","non-dropping-particle":"","parse-names":false,"suffix":""},{"dropping-particle":"","family":"Erlich","given":"H A","non-dropping-particle":"","parse-names":false,"suffix":""},{"dropping-particle":"","family":"Goodridge","given":"D","non-dropping-particle":"","parse-names":false,"suffix":""},{"dropping-particle":"","family":"Trachtenberg","given":"E A","non-dropping-particle":"","parse-names":false,"suffix":""},{"dropping-particle":"","family":"Smith","given":"M T","non-dropping-particle":"","parse-names":false,"suffix":""},{"dropping-particle":"","family":"Bracci","given":"P M","non-dropping-particle":"","parse-names":false,"suffix":""}],"container-title":"Tissue antigens","id":"ITEM-6","issue":"4","issued":{"date-parts":[["2012","4"]]},"page":"279-86","title":"Multi-locus HLA class I and II allele and haplotype associations with follicular lymphoma.","type":"article-journal","volume":"79"},"uris":["http://www.mendeley.com/documents/?uuid=fdd63b9b-8bb1-4f92-82d5-c10027c5a54b"]},{"id":"ITEM-7","itemData":{"DOI":"10.1111/j.1365-2141.2010.08518.x","ISSN":"1365-2141","PMID":"21250972","abstract":"Genetic variation in immune-related genes may play a role in the development of non-Hodgkin lymphoma (NHL). To test the hypothesis that innate immunity polymorphisms may be associated with NHL risk, we genotyped 144 tag single nucleotide polymorphisms (tagSNPs) capturing common genetic variation within 12 innate immunity gene regions in three independent population-based case-control studies (1946 cases and 1808 controls). Gene-based analyses found IL1RN to be associated with NHL risk (minP = 0·03); specifically, IL1RN rs2637988 was associated with an increased risk of NHL (per-allele odds ratio = 1·15, 95% confidence interval = 1·05-1·27; P(trend) = 0·003), which was consistent across study, subtype, and gender. FCGR2A was also associated with a decreased risk of the follicular lymphoma NHL subtype (minP = 0·03). Our findings suggest that genetic variation in IL1RN and FCGR2A may play a role in lymphomagenesis. Given that conflicting results have been reported regarding the association between IL1RN SNPs and NHL risk, a larger number of innate immunity genes with sufficient genomic coverage should be evaluated systematically across many studies.","author":[{"dropping-particle":"","family":"Hosgood","given":"H Dean","non-dropping-particle":"","parse-names":false,"suffix":""},{"dropping-particle":"","family":"Purdue","given":"Mark P","non-dropping-particle":"","parse-names":false,"suffix":""},{"dropping-particle":"","family":"Wang","given":"Sophia S","non-dropping-particle":"","parse-names":false,"suffix":""},{"dropping-particle":"","family":"Zheng","given":"Tongzhang","non-dropping-particle":"","parse-names":false,"suffix":""},{"dropping-particle":"","family":"Morton","given":"Lindsay M","non-dropping-particle":"","parse-names":false,"suffix":""},{"dropping-particle":"","family":"Lan","given":"Qing","non-dropping-particle":"","parse-names":false,"suffix":""},{"dropping-particle":"","family":"Menashe","given":"Idan","non-dropping-particle":"","parse-names":false,"suffix":""},{"dropping-particle":"","family":"Zhang","given":"Yawei","non-dropping-particle":"","parse-names":false,"suffix":""},{"dropping-particle":"","family":"Cerhan","given":"James R","non-dropping-particle":"","parse-names":false,"suffix":""},{"dropping-particle":"","family":"Grulich","given":"Andrew","non-dropping-particle":"","parse-names":false,"suffix":""},{"dropping-particle":"","family":"Cozen","given":"Wendy","non-dropping-particle":"","parse-names":false,"suffix":""},{"dropping-particle":"","family":"Yeager","given":"Meredith","non-dropping-particle":"","parse-names":false,"suffix":""},{"dropping-particle":"","family":"Holford","given":"Theodore R","non-dropping-particle":"","parse-names":false,"suffix":""},{"dropping-particle":"","family":"Vajdic","given":"Claire M","non-dropping-particle":"","parse-names":false,"suffix":""},{"dropping-particle":"","family":"Davis","given":"Scott","non-dropping-particle":"","parse-names":false,"suffix":""},{"dropping-particle":"","family":"Leaderer","given":"Brian","non-dropping-particle":"","parse-names":false,"suffix":""},{"dropping-particle":"","family":"Kricker","given":"Anne","non-dropping-particle":"","parse-names":false,"suffix":""},{"dropping-particle":"","family":"Schenk","given":"Maryjean","non-dropping-particle":"","parse-names":false,"suffix":""},{"dropping-particle":"","family":"Zahm","given":"Shelia H","non-dropping-particle":"","parse-names":false,"suffix":""},{"dropping-particle":"","family":"Chatterjee","given":"Nilanjan","non-dropping-particle":"","parse-names":false,"suffix":""},{"dropping-particle":"","family":"Chanock","given":"Stephen J","non-dropping-particle":"","parse-names":false,"suffix":""},{"dropping-particle":"","family":"Rothman","given":"Nathaniel","non-dropping-particle":"","parse-names":false,"suffix":""},{"dropping-particle":"","family":"Hartge","given":"Patricia","non-dropping-particle":"","parse-names":false,"suffix":""},{"dropping-particle":"","family":"Armstrong","given":"Bruce","non-dropping-particle":"","parse-names":false,"suffix":""}],"container-title":"British journal of haematology","id":"ITEM-7","issue":"6","issued":{"date-parts":[["2011","3"]]},"page":"721-6","title":"A pooled analysis of three studies evaluating genetic variation in innate immunity genes and non-Hodgkin lymphoma risk.","type":"article-journal","volume":"152"},"uris":["http://www.mendeley.com/documents/?uuid=28a6c2e9-f4cc-4cbd-a973-8fa8e004737a"]}],"mendeley":{"formattedCitation":"[8,9,25–29]","plainTextFormattedCitation":"[8,9,25–29]","previouslyFormattedCitation":"[8,9,24–28]"},"properties":{"noteIndex":0},"schema":"https://github.com/citation-style-language/schema/raw/master/csl-citation.json"}</w:instrText>
      </w:r>
      <w:r w:rsidR="000F707F">
        <w:rPr>
          <w:rFonts w:cs="Arial"/>
        </w:rPr>
        <w:fldChar w:fldCharType="separate"/>
      </w:r>
      <w:r w:rsidR="00BB3BE7" w:rsidRPr="00BB3BE7">
        <w:rPr>
          <w:rFonts w:cs="Arial"/>
          <w:noProof/>
        </w:rPr>
        <w:t>[8,9,25–29]</w:t>
      </w:r>
      <w:r w:rsidR="000F707F">
        <w:rPr>
          <w:rFonts w:cs="Arial"/>
        </w:rPr>
        <w:fldChar w:fldCharType="end"/>
      </w:r>
      <w:r w:rsidR="00EA06D1" w:rsidRPr="003D037E">
        <w:rPr>
          <w:rFonts w:cs="Arial"/>
        </w:rPr>
        <w:t xml:space="preserve">. </w:t>
      </w:r>
    </w:p>
    <w:p w14:paraId="562EC8CC" w14:textId="77777777" w:rsidR="005251E6" w:rsidRPr="003D037E" w:rsidRDefault="007E293A" w:rsidP="00887B34">
      <w:pPr>
        <w:spacing w:line="480" w:lineRule="auto"/>
        <w:ind w:firstLine="720"/>
        <w:rPr>
          <w:rFonts w:cs="Arial"/>
        </w:rPr>
      </w:pPr>
      <w:r>
        <w:rPr>
          <w:rFonts w:cs="Arial"/>
        </w:rPr>
        <w:t xml:space="preserve">In this </w:t>
      </w:r>
      <w:r w:rsidR="004B4CAB">
        <w:rPr>
          <w:rFonts w:cs="Arial"/>
        </w:rPr>
        <w:t>InterLymph</w:t>
      </w:r>
      <w:r>
        <w:rPr>
          <w:rFonts w:cs="Arial"/>
        </w:rPr>
        <w:t xml:space="preserve"> study, </w:t>
      </w:r>
      <w:r w:rsidR="005251E6" w:rsidRPr="003D037E">
        <w:rPr>
          <w:rFonts w:cs="Arial"/>
        </w:rPr>
        <w:t xml:space="preserve">we </w:t>
      </w:r>
      <w:r w:rsidR="003B2895">
        <w:rPr>
          <w:rFonts w:cs="Arial"/>
        </w:rPr>
        <w:t>examined the</w:t>
      </w:r>
      <w:r w:rsidR="005251E6" w:rsidRPr="003D037E">
        <w:rPr>
          <w:rFonts w:cs="Arial"/>
        </w:rPr>
        <w:t xml:space="preserve"> joint effects of IM history and </w:t>
      </w:r>
      <w:r w:rsidR="00D674DE">
        <w:rPr>
          <w:rFonts w:cs="Arial"/>
        </w:rPr>
        <w:t>12</w:t>
      </w:r>
      <w:r w:rsidR="003B2895">
        <w:rPr>
          <w:rFonts w:cs="Arial"/>
        </w:rPr>
        <w:t xml:space="preserve"> candidate</w:t>
      </w:r>
      <w:r w:rsidR="00D674DE">
        <w:rPr>
          <w:rFonts w:cs="Arial"/>
        </w:rPr>
        <w:t xml:space="preserve"> </w:t>
      </w:r>
      <w:r w:rsidR="005251E6" w:rsidRPr="003D037E">
        <w:rPr>
          <w:rFonts w:cs="Arial"/>
        </w:rPr>
        <w:t xml:space="preserve">immune-related </w:t>
      </w:r>
      <w:r w:rsidR="0090063C">
        <w:rPr>
          <w:rFonts w:cs="Arial"/>
        </w:rPr>
        <w:t>variant</w:t>
      </w:r>
      <w:r w:rsidR="00A61A05">
        <w:rPr>
          <w:rFonts w:cs="Arial"/>
        </w:rPr>
        <w:t>s</w:t>
      </w:r>
      <w:r w:rsidR="00A61A05" w:rsidRPr="003D037E">
        <w:rPr>
          <w:rFonts w:cs="Arial"/>
        </w:rPr>
        <w:t xml:space="preserve"> </w:t>
      </w:r>
      <w:r w:rsidR="00B53377">
        <w:rPr>
          <w:rFonts w:cs="Arial"/>
        </w:rPr>
        <w:t>on</w:t>
      </w:r>
      <w:r w:rsidR="00310E07">
        <w:rPr>
          <w:rFonts w:cs="Arial"/>
        </w:rPr>
        <w:t xml:space="preserve"> the</w:t>
      </w:r>
      <w:r w:rsidR="005251E6" w:rsidRPr="003D037E">
        <w:rPr>
          <w:rFonts w:cs="Arial"/>
        </w:rPr>
        <w:t xml:space="preserve"> risk of NHL</w:t>
      </w:r>
      <w:r w:rsidR="00A23139">
        <w:rPr>
          <w:rFonts w:cs="Arial"/>
        </w:rPr>
        <w:t>,</w:t>
      </w:r>
      <w:r>
        <w:rPr>
          <w:rFonts w:cs="Arial"/>
        </w:rPr>
        <w:t xml:space="preserve"> </w:t>
      </w:r>
      <w:r w:rsidR="001C0D2D">
        <w:rPr>
          <w:rFonts w:cs="Arial"/>
        </w:rPr>
        <w:t xml:space="preserve">the impact of IM history on age at NHL diagnosis, </w:t>
      </w:r>
      <w:r w:rsidR="005251E6" w:rsidRPr="003D037E">
        <w:rPr>
          <w:rFonts w:cs="Arial"/>
        </w:rPr>
        <w:t xml:space="preserve">and risk </w:t>
      </w:r>
      <w:r w:rsidR="00EA06D1" w:rsidRPr="003D037E">
        <w:rPr>
          <w:rFonts w:cs="Arial"/>
        </w:rPr>
        <w:t xml:space="preserve">factors </w:t>
      </w:r>
      <w:r w:rsidR="005251E6" w:rsidRPr="003D037E">
        <w:rPr>
          <w:rFonts w:cs="Arial"/>
        </w:rPr>
        <w:t xml:space="preserve">for IM among </w:t>
      </w:r>
      <w:r w:rsidR="00832CD5">
        <w:rPr>
          <w:rFonts w:cs="Arial"/>
        </w:rPr>
        <w:t>controls</w:t>
      </w:r>
      <w:r w:rsidR="00E95693" w:rsidRPr="003D037E">
        <w:rPr>
          <w:rFonts w:cs="Arial"/>
        </w:rPr>
        <w:t xml:space="preserve"> </w:t>
      </w:r>
      <w:r w:rsidR="005251E6" w:rsidRPr="003D037E">
        <w:rPr>
          <w:rFonts w:cs="Arial"/>
        </w:rPr>
        <w:t xml:space="preserve">using previously collected </w:t>
      </w:r>
      <w:r w:rsidR="00531C75" w:rsidRPr="003D037E">
        <w:rPr>
          <w:rFonts w:cs="Arial"/>
        </w:rPr>
        <w:t xml:space="preserve">demographic </w:t>
      </w:r>
      <w:r w:rsidR="00A97176" w:rsidRPr="003D037E">
        <w:rPr>
          <w:rFonts w:cs="Arial"/>
        </w:rPr>
        <w:t xml:space="preserve">and familial </w:t>
      </w:r>
      <w:r w:rsidR="00531C75" w:rsidRPr="003D037E">
        <w:rPr>
          <w:rFonts w:cs="Arial"/>
        </w:rPr>
        <w:t xml:space="preserve">information and </w:t>
      </w:r>
      <w:r w:rsidR="00E1028E">
        <w:rPr>
          <w:rFonts w:cs="Arial"/>
        </w:rPr>
        <w:t>the same</w:t>
      </w:r>
      <w:r w:rsidR="00E1028E" w:rsidRPr="003D037E">
        <w:rPr>
          <w:rFonts w:cs="Arial"/>
        </w:rPr>
        <w:t xml:space="preserve"> </w:t>
      </w:r>
      <w:r w:rsidR="00CA57AD">
        <w:rPr>
          <w:rFonts w:cs="Arial"/>
        </w:rPr>
        <w:t>candidate</w:t>
      </w:r>
      <w:r w:rsidR="00CA57AD" w:rsidRPr="003D037E">
        <w:rPr>
          <w:rFonts w:cs="Arial"/>
        </w:rPr>
        <w:t xml:space="preserve"> </w:t>
      </w:r>
      <w:r w:rsidR="00531C75" w:rsidRPr="003D037E">
        <w:rPr>
          <w:rFonts w:cs="Arial"/>
        </w:rPr>
        <w:t xml:space="preserve">panel of </w:t>
      </w:r>
      <w:r w:rsidR="00EA06D1" w:rsidRPr="003D037E">
        <w:rPr>
          <w:rFonts w:cs="Arial"/>
        </w:rPr>
        <w:t>immune-related</w:t>
      </w:r>
      <w:r w:rsidR="00531C75" w:rsidRPr="003D037E">
        <w:rPr>
          <w:rFonts w:cs="Arial"/>
        </w:rPr>
        <w:t xml:space="preserve"> </w:t>
      </w:r>
      <w:r w:rsidR="0090063C">
        <w:rPr>
          <w:rFonts w:cs="Arial"/>
        </w:rPr>
        <w:t>genetic variant</w:t>
      </w:r>
      <w:r w:rsidR="00531C75" w:rsidRPr="003D037E">
        <w:rPr>
          <w:rFonts w:cs="Arial"/>
        </w:rPr>
        <w:t>s.</w:t>
      </w:r>
      <w:r w:rsidR="001C0D2D">
        <w:rPr>
          <w:rFonts w:cs="Arial"/>
        </w:rPr>
        <w:t xml:space="preserve"> </w:t>
      </w:r>
    </w:p>
    <w:p w14:paraId="5BDA1020" w14:textId="77777777" w:rsidR="002F4DD8" w:rsidRPr="003D037E" w:rsidRDefault="002F4DD8" w:rsidP="00887B34">
      <w:pPr>
        <w:spacing w:line="480" w:lineRule="auto"/>
        <w:ind w:firstLine="720"/>
        <w:rPr>
          <w:rFonts w:cs="Arial"/>
          <w:b/>
          <w:caps/>
        </w:rPr>
      </w:pPr>
    </w:p>
    <w:p w14:paraId="57A9898B" w14:textId="77777777" w:rsidR="0091663F" w:rsidRPr="003D037E" w:rsidRDefault="003C52B0" w:rsidP="00887B34">
      <w:pPr>
        <w:pStyle w:val="Heading2"/>
      </w:pPr>
      <w:r>
        <w:t>M</w:t>
      </w:r>
      <w:r w:rsidR="0091663F" w:rsidRPr="003D037E">
        <w:t>ethods</w:t>
      </w:r>
    </w:p>
    <w:p w14:paraId="1E0E853F" w14:textId="77777777" w:rsidR="00020FC1" w:rsidRPr="00BA60D0" w:rsidRDefault="00020FC1" w:rsidP="00887B34">
      <w:pPr>
        <w:pStyle w:val="Heading3"/>
        <w:rPr>
          <w:b w:val="0"/>
          <w:i w:val="0"/>
        </w:rPr>
      </w:pPr>
      <w:r w:rsidRPr="00BA60D0">
        <w:t xml:space="preserve">Study </w:t>
      </w:r>
      <w:r w:rsidR="00857636">
        <w:t>p</w:t>
      </w:r>
      <w:r w:rsidRPr="00BA60D0">
        <w:t>opulation</w:t>
      </w:r>
    </w:p>
    <w:p w14:paraId="2E1A7D02" w14:textId="3F4F03D7" w:rsidR="000C7191" w:rsidRPr="003D037E" w:rsidRDefault="00A4418B" w:rsidP="000C7191">
      <w:pPr>
        <w:spacing w:line="480" w:lineRule="auto"/>
        <w:ind w:firstLine="720"/>
        <w:rPr>
          <w:rFonts w:cs="Arial"/>
        </w:rPr>
      </w:pPr>
      <w:r>
        <w:rPr>
          <w:rFonts w:cs="Arial"/>
        </w:rPr>
        <w:lastRenderedPageBreak/>
        <w:t>Participants</w:t>
      </w:r>
      <w:r w:rsidRPr="003D037E">
        <w:rPr>
          <w:rFonts w:cs="Arial"/>
        </w:rPr>
        <w:t xml:space="preserve"> </w:t>
      </w:r>
      <w:r w:rsidR="00EA06D1" w:rsidRPr="003D037E">
        <w:rPr>
          <w:rFonts w:cs="Arial"/>
        </w:rPr>
        <w:t xml:space="preserve">included NHL </w:t>
      </w:r>
      <w:r w:rsidR="007336FE">
        <w:rPr>
          <w:rFonts w:cs="Arial"/>
        </w:rPr>
        <w:t>patients</w:t>
      </w:r>
      <w:r w:rsidR="007336FE" w:rsidRPr="003D037E">
        <w:rPr>
          <w:rFonts w:cs="Arial"/>
        </w:rPr>
        <w:t xml:space="preserve"> </w:t>
      </w:r>
      <w:r w:rsidR="00EA06D1" w:rsidRPr="003D037E">
        <w:rPr>
          <w:rFonts w:cs="Arial"/>
        </w:rPr>
        <w:t xml:space="preserve">and </w:t>
      </w:r>
      <w:r w:rsidR="000C7191">
        <w:rPr>
          <w:rFonts w:cs="Arial"/>
        </w:rPr>
        <w:t xml:space="preserve">controls </w:t>
      </w:r>
      <w:r w:rsidR="00EA06D1" w:rsidRPr="003D037E">
        <w:rPr>
          <w:rFonts w:cs="Arial"/>
        </w:rPr>
        <w:t xml:space="preserve">contributed from </w:t>
      </w:r>
      <w:r w:rsidR="00747D6A" w:rsidRPr="003D037E">
        <w:rPr>
          <w:rFonts w:cs="Arial"/>
        </w:rPr>
        <w:t xml:space="preserve">InterLymph Consortium </w:t>
      </w:r>
      <w:r w:rsidR="00EA06D1" w:rsidRPr="003D037E">
        <w:rPr>
          <w:rFonts w:cs="Arial"/>
        </w:rPr>
        <w:t xml:space="preserve">member </w:t>
      </w:r>
      <w:r w:rsidR="00201C68">
        <w:rPr>
          <w:rFonts w:cs="Arial"/>
        </w:rPr>
        <w:t>sites</w:t>
      </w:r>
      <w:r w:rsidR="00B12F52">
        <w:rPr>
          <w:rFonts w:cs="Arial"/>
        </w:rPr>
        <w:t xml:space="preserve">. </w:t>
      </w:r>
      <w:r w:rsidR="00C5350A" w:rsidRPr="009373C8">
        <w:rPr>
          <w:rFonts w:cs="Arial"/>
        </w:rPr>
        <w:t xml:space="preserve">All </w:t>
      </w:r>
      <w:r w:rsidR="001F2DA7" w:rsidRPr="009373C8">
        <w:rPr>
          <w:rFonts w:cs="Arial"/>
        </w:rPr>
        <w:t>1</w:t>
      </w:r>
      <w:r w:rsidR="009373C8" w:rsidRPr="00696B26">
        <w:rPr>
          <w:rFonts w:cs="Arial"/>
        </w:rPr>
        <w:t>2</w:t>
      </w:r>
      <w:r w:rsidR="001F2DA7" w:rsidRPr="009373C8">
        <w:rPr>
          <w:rFonts w:cs="Arial"/>
        </w:rPr>
        <w:t xml:space="preserve"> </w:t>
      </w:r>
      <w:r w:rsidR="00C5350A" w:rsidRPr="009373C8">
        <w:rPr>
          <w:rFonts w:cs="Arial"/>
        </w:rPr>
        <w:t xml:space="preserve">studies </w:t>
      </w:r>
      <w:r w:rsidR="001F2DA7" w:rsidRPr="009373C8">
        <w:rPr>
          <w:rFonts w:cs="Arial"/>
        </w:rPr>
        <w:t xml:space="preserve">(from </w:t>
      </w:r>
      <w:r w:rsidR="009373C8" w:rsidRPr="00696B26">
        <w:rPr>
          <w:rFonts w:cs="Arial"/>
        </w:rPr>
        <w:t>10</w:t>
      </w:r>
      <w:r w:rsidR="001F2DA7" w:rsidRPr="009373C8">
        <w:rPr>
          <w:rFonts w:cs="Arial"/>
        </w:rPr>
        <w:t xml:space="preserve"> countries)</w:t>
      </w:r>
      <w:r w:rsidR="001F2DA7">
        <w:rPr>
          <w:rFonts w:cs="Arial"/>
        </w:rPr>
        <w:t xml:space="preserve"> </w:t>
      </w:r>
      <w:r w:rsidR="00C5350A" w:rsidRPr="003D037E">
        <w:rPr>
          <w:rFonts w:cs="Arial"/>
        </w:rPr>
        <w:t>had approval from their respective</w:t>
      </w:r>
      <w:r w:rsidR="009509EA">
        <w:rPr>
          <w:rFonts w:cs="Arial"/>
        </w:rPr>
        <w:t xml:space="preserve"> National or</w:t>
      </w:r>
      <w:r w:rsidR="00C5350A" w:rsidRPr="003D037E">
        <w:rPr>
          <w:rFonts w:cs="Arial"/>
        </w:rPr>
        <w:t xml:space="preserve"> Institutional Review Boards</w:t>
      </w:r>
      <w:r w:rsidR="005D6DCC">
        <w:rPr>
          <w:rFonts w:cs="Arial"/>
        </w:rPr>
        <w:t>,</w:t>
      </w:r>
      <w:r w:rsidR="00C5350A" w:rsidRPr="003D037E">
        <w:rPr>
          <w:rFonts w:cs="Arial"/>
        </w:rPr>
        <w:t xml:space="preserve"> and </w:t>
      </w:r>
      <w:r w:rsidR="00190F3F">
        <w:rPr>
          <w:rFonts w:cs="Arial"/>
        </w:rPr>
        <w:t>participants</w:t>
      </w:r>
      <w:r w:rsidR="00C5350A" w:rsidRPr="003D037E">
        <w:rPr>
          <w:rFonts w:cs="Arial"/>
        </w:rPr>
        <w:t xml:space="preserve"> provided signed informed consent according to the WMA Declaration of Helsinki Ethical Principles for Medical Research Involving Human Subjects in 1964</w:t>
      </w:r>
      <w:r w:rsidR="00B12F52">
        <w:rPr>
          <w:rFonts w:cs="Arial"/>
        </w:rPr>
        <w:t xml:space="preserve">. </w:t>
      </w:r>
      <w:r w:rsidR="000C7191" w:rsidRPr="003D037E">
        <w:rPr>
          <w:rFonts w:cs="Arial"/>
        </w:rPr>
        <w:t>A summary of study details is provided in</w:t>
      </w:r>
      <w:r w:rsidR="000C7191">
        <w:rPr>
          <w:rFonts w:cs="Arial"/>
          <w:b/>
        </w:rPr>
        <w:t xml:space="preserve"> </w:t>
      </w:r>
      <w:r w:rsidR="00835A68">
        <w:rPr>
          <w:rFonts w:cs="Arial"/>
        </w:rPr>
        <w:fldChar w:fldCharType="begin"/>
      </w:r>
      <w:r w:rsidR="00835A68">
        <w:rPr>
          <w:rFonts w:cs="Arial"/>
          <w:b/>
        </w:rPr>
        <w:instrText xml:space="preserve"> REF _Ref446668945 </w:instrText>
      </w:r>
      <w:r w:rsidR="00835A68">
        <w:rPr>
          <w:rFonts w:cs="Arial"/>
        </w:rPr>
        <w:fldChar w:fldCharType="separate"/>
      </w:r>
      <w:r>
        <w:t xml:space="preserve">Supplemental Table </w:t>
      </w:r>
      <w:r>
        <w:rPr>
          <w:noProof/>
        </w:rPr>
        <w:t>1</w:t>
      </w:r>
      <w:r w:rsidR="00835A68">
        <w:rPr>
          <w:rFonts w:cs="Arial"/>
        </w:rPr>
        <w:fldChar w:fldCharType="end"/>
      </w:r>
      <w:r w:rsidR="000C7191">
        <w:rPr>
          <w:rFonts w:cs="Arial"/>
        </w:rPr>
        <w:t xml:space="preserve"> with a</w:t>
      </w:r>
      <w:r w:rsidR="000C7191" w:rsidRPr="003D037E">
        <w:rPr>
          <w:rFonts w:cs="Arial"/>
        </w:rPr>
        <w:t xml:space="preserve">dditional details </w:t>
      </w:r>
      <w:r w:rsidR="000C7191">
        <w:rPr>
          <w:rFonts w:cs="Arial"/>
        </w:rPr>
        <w:t xml:space="preserve">available </w:t>
      </w:r>
      <w:r w:rsidR="000C7191" w:rsidRPr="003D037E">
        <w:rPr>
          <w:rFonts w:cs="Arial"/>
        </w:rPr>
        <w:t>in previous InterLymph publications</w:t>
      </w:r>
      <w:r w:rsidR="000C7191">
        <w:rPr>
          <w:rFonts w:cs="Arial"/>
        </w:rPr>
        <w:t xml:space="preserve"> </w:t>
      </w:r>
      <w:r w:rsidR="003D26FD">
        <w:rPr>
          <w:rFonts w:cs="Arial"/>
        </w:rPr>
        <w:fldChar w:fldCharType="begin" w:fldLock="1"/>
      </w:r>
      <w:r w:rsidR="00BB3BE7">
        <w:rPr>
          <w:rFonts w:cs="Arial"/>
        </w:rPr>
        <w:instrText>ADDIN CSL_CITATION {"citationItems":[{"id":"ITEM-1","itemData":{"DOI":"10.1182/blood-2010-01-266775","ISBN":"10.1182/blood-2010-01-266775","ISSN":"00064971","PMID":"20385791","abstract":"Genome-wide association and candidate gene studies implicate different genetic variants within the 6p21 chromosomal region with different non-Hodgkin lymphoma (NHL) subtypes. Complementing these efforts, we conducted human leukocyte antigen (HLA) class I and class II genotyping among 610 NHL cases and 555 controls of non-Hispanic white descent from a US multicenter study. Allele-disease associations were assessed by logistic regression for NHL and its subtypes. Statistically significant associations between HLA and NHL subtypes include HLA-DRB1*0101 for follicular lymphoma (odds ratio [OR] = 2.14, P &lt; .001), HLA-DRB1*0401 for diffuse large B-cell lymphoma (DLBCL; OR = 0.45, P = .006), and HLA-DRB1*13 and follicular lymphoma (OR = 0.48, P = .008). We further observed significant heterozygote advantage for HLA class I alleles and NHL, and particularly DLBCL (P trend = .01 for elevated risk with increasing number of homozygous alleles). Our results support a role for HLA in the etiology of NHL and its subtypes.","author":[{"dropping-particle":"","family":"Wang","given":"Sophia S.","non-dropping-particle":"","parse-names":false,"suffix":""},{"dropping-particle":"","family":"Abdou","given":"Amr M.","non-dropping-particle":"","parse-names":false,"suffix":""},{"dropping-particle":"","family":"Morton","given":"Lindsay M.","non-dropping-particle":"","parse-names":false,"suffix":""},{"dropping-particle":"","family":"Thomas","given":"Rasmi","non-dropping-particle":"","parse-names":false,"suffix":""},{"dropping-particle":"","family":"Cerhan","given":"James R.","non-dropping-particle":"","parse-names":false,"suffix":""},{"dropping-particle":"","family":"Gao","given":"Xiaojiang","non-dropping-particle":"","parse-names":false,"suffix":""},{"dropping-particle":"","family":"Cozen","given":"Wendy","non-dropping-particle":"","parse-names":false,"suffix":""},{"dropping-particle":"","family":"Rothman","given":"Nathaniel","non-dropping-particle":"","parse-names":false,"suffix":""},{"dropping-particle":"","family":"Davis","given":"Scott","non-dropping-particle":"","parse-names":false,"suffix":""},{"dropping-particle":"","family":"Severson","given":"Richard K.","non-dropping-particle":"","parse-names":false,"suffix":""},{"dropping-particle":"","family":"Bernstein","given":"Leslie","non-dropping-particle":"","parse-names":false,"suffix":""},{"dropping-particle":"","family":"Hartge","given":"Patricia","non-dropping-particle":"","parse-names":false,"suffix":""},{"dropping-particle":"","family":"Carrington","given":"Mary","non-dropping-particle":"","parse-names":false,"suffix":""}],"container-title":"Blood","id":"ITEM-1","issued":{"date-parts":[["2010"]]},"page":"4820-4823","title":"Human leukocyte antigen class I and II alleles in non-Hodgkin lymphoma etiology","type":"article-journal","volume":"115"},"uris":["http://www.mendeley.com/documents/?uuid=74cb1479-a3b7-4b1a-9aef-203e8a4ab4cb"]},{"id":"ITEM-2","itemData":{"DOI":"10.1007/s10552-007-9025-5","ISSN":"09575243","PMID":"17588155","abstract":"OBJECTIVE: Since adult immune responsiveness is influenced by early childhood exposures, we examined the role of family size, history of atopic disease, and other childhood immune-related exposures in a multi-center case-control study of NHL. METHODS: Interviews were completed with 1,321 cases ascertained from population-based cancer registries in Seattle, Detroit, Los Angeles and Iowa, and with 1,057 frequency-matched controls, selected by random-digit dialing and from the Medicare files database. Multivariable logistic regression was used to estimate risk. RESULTS: A history of any allergy (excluding drug allergies), decreased risk of all NHL (Odds Ratio [OR] = 0.7, 95% Confidence Interval [CI] = 0.6-1.0), diffuse large B-cell lymphoma [DLBCL] (OR = 0.6, 95% CI = 0.4-0.9), and follicular NHL (OR = 0.7, 95 CI = 0.5, 1.0). A similar effect was observed for hay fever. A history of eczema was associated with an increased risk of follicular lymphoma (OR = 1.9, 95% CI = 1.1-3.4), but not DLBCL (OR = 1.1, 95% CI = 0.6-2.0). Asthma did not affect risk. Youngest compared to oldest siblings had a 90% increased risk of DLBCL (95% CI = 1.2-3.1; p for trend with increasing birth order = 0.006), but not follicular lymphoma (OR = 1.1, 95% CI = 0.6-1.8). CONCLUSIONS: We infer that some childhood and immune-related factors may alter NHL risk.","author":[{"dropping-particle":"","family":"Cozen","given":"W.","non-dropping-particle":"","parse-names":false,"suffix":""},{"dropping-particle":"","family":"Cerhan","given":"J. R.","non-dropping-particle":"","parse-names":false,"suffix":""},{"dropping-particle":"","family":"Martinez-Maza","given":"O.","non-dropping-particle":"","parse-names":false,"suffix":""},{"dropping-particle":"","family":"Ward","given":"M. H.","non-dropping-particle":"","parse-names":false,"suffix":""},{"dropping-particle":"","family":"Linet","given":"M.","non-dropping-particle":"","parse-names":false,"suffix":""},{"dropping-particle":"","family":"Colt","given":"J. S.","non-dropping-particle":"","parse-names":false,"suffix":""},{"dropping-particle":"","family":"Davis","given":"S.","non-dropping-particle":"","parse-names":false,"suffix":""},{"dropping-particle":"","family":"Severson","given":"R. K.","non-dropping-particle":"","parse-names":false,"suffix":""},{"dropping-particle":"","family":"Hartge","given":"P.","non-dropping-particle":"","parse-names":false,"suffix":""},{"dropping-particle":"","family":"Bernstein","given":"L.","non-dropping-particle":"","parse-names":false,"suffix":""}],"container-title":"Cancer Causes and Control","id":"ITEM-2","issued":{"date-parts":[["2007"]]},"page":"821-831","title":"The effect of atopy, childhood crowding, and other immune-related factors on non-Hodgkin lymphoma risk","type":"article-journal","volume":"18"},"uris":["http://www.mendeley.com/documents/?uuid=def6e358-ebb6-4d10-a3e9-1ca2262a5fc4"]},{"id":"ITEM-3","itemData":{"DOI":"10.1182/blood-2007-10-119974","ISBN":"0006-4971 (Print)\\r0006-4971 (Linking)","ISSN":"00064971","PMID":"18263783","abstract":"Some autoimmune disorders are increasingly recognized as risk factors for non-Hodgkin lymphoma (NHL) overall, but large-scale systematic assessments of risk of NHL subtypes are lacking. We performed a pooled analysis of self-reported autoimmune conditions and risk of NHL and subtypes, including 29 423 participants in 12 case-control studies. We computed pooled odds ratios (OR) and 95% confidence intervals (CI) in a joint fixed-effects model. Sjögren syndrome was associated with a 6.5-fold increased risk of NHL, a 1000-fold increased risk of parotid gland marginal zone lymphoma (OR = 996; 95% CI, 216-4596), and with diffuse large B-cell and follicular lymphomas. Systemic lupus erythematosus was associated with a 2.7-fold increased risk of NHL and with diffuse large B-cell and marginal zone lymphomas. Hemolytic anemia was associated with diffuse large B-cell NHL. T-cell NHL risk was increased for patients with celiac disease and psoriasis. Results for rheumatoid arthritis were heterogeneous between studies. Inflammatory bowel disorders, type 1 diabetes, sarcoidosis, pernicious anemia, and multiple sclerosis were not associated with risk of NHL or subtypes. Thus, specific autoimmune disorders are associated with NHL risk beyond the development of rare NHL subtypes in affected organs. The pattern of associations with NHL subtypes may harbor clues to lymphomagenesis.","author":[{"dropping-particle":"","family":"Smedby","given":"Karin Ekström","non-dropping-particle":"","parse-names":false,"suffix":""},{"dropping-particle":"","family":"Vajdic","given":"Claire M.","non-dropping-particle":"","parse-names":false,"suffix":""},{"dropping-particle":"","family":"Falster","given":"Michael","non-dropping-particle":"","parse-names":false,"suffix":""},{"dropping-particle":"","family":"Engels","given":"Eric A.","non-dropping-particle":"","parse-names":false,"suffix":""},{"dropping-particle":"","family":"Martinez-Maza","given":"Otoniel","non-dropping-particle":"","parse-names":false,"suffix":""},{"dropping-particle":"","family":"Turner","given":"Jennifer","non-dropping-particle":"","parse-names":false,"suffix":""},{"dropping-particle":"","family":"Hjalgrim","given":"Henrik","non-dropping-particle":"","parse-names":false,"suffix":""},{"dropping-particle":"","family":"Vineis","given":"Paolo","non-dropping-particle":"","parse-names":false,"suffix":""},{"dropping-particle":"","family":"Costantini","given":"Adele Seniori","non-dropping-particle":"","parse-names":false,"suffix":""},{"dropping-particle":"","family":"Bracci","given":"Paige M.","non-dropping-particle":"","parse-names":false,"suffix":""},{"dropping-particle":"","family":"Holly","given":"Elizabeth A.","non-dropping-particle":"","parse-names":false,"suffix":""},{"dropping-particle":"","family":"Willett","given":"Eleanor","non-dropping-particle":"","parse-names":false,"suffix":""},{"dropping-particle":"","family":"Spinelli","given":"John J.","non-dropping-particle":"","parse-names":false,"suffix":""},{"dropping-particle":"La","family":"Vecchia","given":"Carlo","non-dropping-particle":"","parse-names":false,"suffix":""},{"dropping-particle":"","family":"Zheng","given":"Tongzhang","non-dropping-particle":"","parse-names":false,"suffix":""},{"dropping-particle":"","family":"Becker","given":"Nikolaus","non-dropping-particle":"","parse-names":false,"suffix":""},{"dropping-particle":"","family":"Sanjosé","given":"Silvia","non-dropping-particle":"De","parse-names":false,"suffix":""},{"dropping-particle":"","family":"Chiu","given":"Brian C H","non-dropping-particle":"","parse-names":false,"suffix":""},{"dropping-particle":"","family":"Maso","given":"Luigino Dal","non-dropping-particle":"","parse-names":false,"suffix":""},{"dropping-particle":"","family":"Cocco","given":"Pierluigi","non-dropping-particle":"","parse-names":false,"suffix":""},{"dropping-particle":"","family":"Maynadie","given":"Marc","non-dropping-particle":"","parse-names":false,"suffix":""},{"dropping-particle":"","family":"Foretova","given":"Lenka","non-dropping-particle":"","parse-names":false,"suffix":""},{"dropping-particle":"","family":"Staines","given":"Anthony","non-dropping-particle":"","parse-names":false,"suffix":""},{"dropping-particle":"","family":"Brennan","given":"Paul","non-dropping-particle":"","parse-names":false,"suffix":""},{"dropping-particle":"","family":"Davis","given":"Scott","non-dropping-particle":"","parse-names":false,"suffix":""},{"dropping-particle":"","family":"Severson","given":"Richard","non-dropping-particle":"","parse-names":false,"suffix":""},{"dropping-particle":"","family":"Cerhan","given":"James R.","non-dropping-particle":"","parse-names":false,"suffix":""},{"dropping-particle":"","family":"Breen","given":"Elizabeth C.","non-dropping-particle":"","parse-names":false,"suffix":""},{"dropping-particle":"","family":"Birmann","given":"Brenda","non-dropping-particle":"","parse-names":false,"suffix":""},{"dropping-particle":"","family":"Grulich","given":"Andrew E.","non-dropping-particle":"","parse-names":false,"suffix":""},{"dropping-particle":"","family":"Cozen","given":"Wendy","non-dropping-particle":"","parse-names":false,"suffix":""}],"container-title":"Blood","id":"ITEM-3","issued":{"date-parts":[["2008"]]},"page":"4029-4038","title":"Autoimmune disorders and risk of non-Hodgkin lymphoma subtypes: A pooled analysis within the InterLymph Consortium","type":"article-journal","volume":"111"},"uris":["http://www.mendeley.com/documents/?uuid=13245447-6492-4f53-b19b-2f7b707892e3"]},{"id":"ITEM-4","itemData":{"DOI":"10.1002/ijc.27438","ISSN":"00207136","PMID":"22266776","abstract":"We performed a pooled analysis of data on self-reported history of infections in relation to the risk of non-Hodgkin lymphoma (NHL) from 17 case-control studies that included 12,585 cases and 15,416 controls aged 16-96 years at recruitment. Pooled odds ratios (OR) and 95% confidence intervals (95% CI) were estimated in two-stage random-effect or joint fixed-effect models, adjusting for age, sex and study centre. Data from the two years prior to diagnosis (or date of interview for controls) were excluded. A self-reported history of infectious mononucleosis (IM) was associated with an excess risk of NHL (OR=1.26, 95% CI=1.01-1.57 based on data from 16 studies); study-specific results indicate significant (I(2) =51%, p=0.01) heterogeneity. A self-reported history of measles or whooping cough was associated with an approximate 15% reduction in risk. History of other infection was not associated with NHL. We find little clear evidence of an association between NHL risk and infection although the limitations of data based on self-reported medical history (particularly of childhood illness reported by older people) are well recognised. © 2012 Wiley-Liss, Inc.","author":[{"dropping-particle":"","family":"Becker","given":"Nikolaus","non-dropping-particle":"","parse-names":false,"suffix":""},{"dropping-particle":"","family":"Falster","given":"Michael O.","non-dropping-particle":"","parse-names":false,"suffix":""},{"dropping-particle":"","family":"Vajdic","given":"Claire M.","non-dropping-particle":"","parse-names":false,"suffix":""},{"dropping-particle":"","family":"Sanjose","given":"Silvia","non-dropping-particle":"De","parse-names":false,"suffix":""},{"dropping-particle":"","family":"Martínez-Maza","given":"Otoniel","non-dropping-particle":"","parse-names":false,"suffix":""},{"dropping-particle":"","family":"Bracci","given":"Paige M.","non-dropping-particle":"","parse-names":false,"suffix":""},{"dropping-particle":"","family":"Melbye","given":"Mads","non-dropping-particle":"","parse-names":false,"suffix":""},{"dropping-particle":"","family":"Smedby","given":"Karin Ekström","non-dropping-particle":"","parse-names":false,"suffix":""},{"dropping-particle":"","family":"Engels","given":"Eric a.","non-dropping-particle":"","parse-names":false,"suffix":""},{"dropping-particle":"","family":"Turner","given":"Jennifer","non-dropping-particle":"","parse-names":false,"suffix":""},{"dropping-particle":"","family":"Vineis","given":"Paolo","non-dropping-particle":"","parse-names":false,"suffix":""},{"dropping-particle":"","family":"Costantini","given":"Adele Seniori","non-dropping-particle":"","parse-names":false,"suffix":""},{"dropping-particle":"","family":"Holly","given":"Elizabeth a.","non-dropping-particle":"","parse-names":false,"suffix":""},{"dropping-particle":"","family":"Spinelli","given":"John J.","non-dropping-particle":"","parse-names":false,"suffix":""},{"dropping-particle":"La","family":"Vecchia","given":"Carlo","non-dropping-particle":"","parse-names":false,"suffix":""},{"dropping-particle":"","family":"Zheng","given":"Tongzhang","non-dropping-particle":"","parse-names":false,"suffix":""},{"dropping-particle":"","family":"Chiu","given":"Brian C H","non-dropping-particle":"","parse-names":false,"suffix":""},{"dropping-particle":"","family":"Montella","given":"Maurizio","non-dropping-particle":"","parse-names":false,"suffix":""},{"dropping-particle":"","family":"Cocco","given":"Pierluigi","non-dropping-particle":"","parse-names":false,"suffix":""},{"dropping-particle":"","family":"Maynadié","given":"Marc","non-dropping-particle":"","parse-names":false,"suffix":""},{"dropping-particle":"","family":"Foretova","given":"Lenka","non-dropping-particle":"","parse-names":false,"suffix":""},{"dropping-particle":"","family":"Staines","given":"Anthony","non-dropping-particle":"","parse-names":false,"suffix":""},{"dropping-particle":"","family":"Brennan","given":"Paul","non-dropping-particle":"","parse-names":false,"suffix":""},{"dropping-particle":"","family":"Davis","given":"Scott","non-dropping-particle":"","parse-names":false,"suffix":""},{"dropping-particle":"","family":"Severson","given":"Richard","non-dropping-particle":"","parse-names":false,"suffix":""},{"dropping-particle":"","family":"Cerhan","given":"James R.","non-dropping-particle":"","parse-names":false,"suffix":""},{"dropping-particle":"","family":"Breen","given":"Elizabeth C.","non-dropping-particle":"","parse-names":false,"suffix":""},{"dropping-particle":"","family":"Birmann","given":"Brenda","non-dropping-particle":"","parse-names":false,"suffix":""},{"dropping-particle":"","family":"Cozen","given":"Wendy","non-dropping-particle":"","parse-names":false,"suffix":""},{"dropping-particle":"","family":"Grulich","given":"Andrew E.","non-dropping-particle":"","parse-names":false,"suffix":""},{"dropping-particle":"","family":"Newton","given":"Robert","non-dropping-particle":"","parse-names":false,"suffix":""}],"container-title":"International Journal of Cancer","id":"ITEM-4","issue":"May 2011","issued":{"date-parts":[["2012"]]},"page":"2342-2348","title":"Self-reported history of infections and the risk of non-Hodgkin lymphoma: An InterLymph pooled analysis","type":"article-journal","volume":"131"},"uris":["http://www.mendeley.com/documents/?uuid=9aad532c-428f-4218-9fd2-36983e77dc46"]},{"id":"ITEM-5","itemData":{"DOI":"10.1016/S1470-2045(05)70434-4","ISSN":"14702045","PMID":"16389181","abstract":"Background: Common genetic variants in immune and inflammatory response genes can affect the risk of developing non-Hodgkin lymphoma. We aimed to test this hypothesis using previously unpublished data from eight European, Canadian, and US case-control studies of the International Lymphoma Epidemiology Consortium (InterLymph). Methods: We selected 12 single-nucleotide polymorphisms for analysis, on the basis of previous functional or association data, in nine genes that have important roles in lymphoid development, Th1/Th2 balance, and proinflammatory or anti-inflammatory pathways (IL1A, IL1RN, IL1B, IL2, IL6, IL10, TNF, LTA, and CARD15). Genotype data for one or more single-nucleotide polymorphisms were available for 3586 cases of non-Hodgkin lymphoma and for 4018 controls, and were asse</w:instrText>
      </w:r>
      <w:r w:rsidR="00BB3BE7">
        <w:rPr>
          <w:rFonts w:cs="Arial" w:hint="eastAsia"/>
        </w:rPr>
        <w:instrText>ssed in a pooled analysis by use of a random-effects logistic regression model. Findings: The tumour necrosis factor (TNF) -308G</w:instrText>
      </w:r>
      <w:r w:rsidR="00BB3BE7">
        <w:rPr>
          <w:rFonts w:cs="Arial" w:hint="eastAsia"/>
        </w:rPr>
        <w:instrText>→</w:instrText>
      </w:r>
      <w:r w:rsidR="00BB3BE7">
        <w:rPr>
          <w:rFonts w:cs="Arial" w:hint="eastAsia"/>
        </w:rPr>
        <w:instrText>A polymorphism was associated with increased risk of non-Hodgkin lymphoma (p for trend=0.005), particularly for diffuse large B-cell lymphoma, the main histological subtype (odds ratio 1.29 [95% CI 1.10-1.51] for GA and 1.65 [1.16-2.34] for AA, p for trend &lt;0.0001), but not for follicular lymphoma. The interleukin 10 (IL10) -3575T</w:instrText>
      </w:r>
      <w:r w:rsidR="00BB3BE7">
        <w:rPr>
          <w:rFonts w:cs="Arial" w:hint="eastAsia"/>
        </w:rPr>
        <w:instrText>→</w:instrText>
      </w:r>
      <w:r w:rsidR="00BB3BE7">
        <w:rPr>
          <w:rFonts w:cs="Arial" w:hint="eastAsia"/>
        </w:rPr>
        <w:instrText>A polymorphism was also associated with increase</w:instrText>
      </w:r>
      <w:r w:rsidR="00BB3BE7">
        <w:rPr>
          <w:rFonts w:cs="Arial"/>
        </w:rPr>
        <w:instrText>d risk of non-Hodgkin lymphoma (p for trend=0.02), again particularly for diffuse large B-cell lymphoma (p for trend=0.006). For individuals homozygous for the TNF -308A allele and carrying at least one IL10 -3575A allele, risk of diffuse large B-cell lymphoma doubled (2.13 [1.37-3.32], p=0.00083). Interpretation: Common polymorphisms in TNF and IL10, key cytokines for the inflammatory response and Th1/Th2 balance, could be susceptibility loci for non-Hodgkin lymphoma. Moreover, our results underscore the importance of consortia for investigating the genetic basis of chronic diseases like cancer.","author":[{"dropping-particle":"","family":"Rothman","given":"Nathaniel","non-dropping-particle":"","parse-names":false,"suffix":""},{"dropping-particle":"","family":"Skibola","given":"Christine F.","non-dropping-particle":"","parse-names":false,"suffix":""},{"dropping-particle":"","family":"Wang","given":"Sophia S.","non-dropping-particle":"","parse-names":false,"suffix":""},{"dropping-particle":"","family":"Morgan","given":"Gareth","non-dropping-particle":"","parse-names":false,"suffix":""},{"dropping-particle":"","family":"Lan","given":"Qing","non-dropping-particle":"","parse-names":false,"suffix":""},{"dropping-particle":"","family":"Smith","given":"Martyn T.","non-dropping-particle":"","parse-names":false,"suffix":""},{"dropping-particle":"","family":"Spinelli","given":"John J.","non-dropping-particle":"","parse-names":false,"suffix":""},{"dropping-particle":"","family":"Willett","given":"Eleanor","non-dropping-particle":"","parse-names":false,"suffix":""},{"dropping-particle":"","family":"Sanjose","given":"Silvia","non-dropping-particle":"De","parse-names":false,"suffix":""},{"dropping-particle":"","family":"Cocco","given":"Pierluigi","non-dropping-particle":"","parse-names":false,"suffix":""},{"dropping-particle":"","family":"Berndt","given":"Sonja I.","non-dropping-particle":"","parse-names":false,"suffix":""},{"dropping-particle":"","family":"Brennan","given":"Paul","non-dropping-particle":"","parse-names":false,"suffix":""},{"dropping-particle":"","family":"Brooks-Wilson","given":"Angela","non-dropping-particle":"","parse-names":false,"suffix":""},{"dropping-particle":"","family":"Wacholder","given":"Sholom","non-dropping-particle":"","parse-names":false,"suffix":""},{"dropping-particle":"","family":"Becker","given":"Nikolaus","non-dropping-particle":"","parse-names":false,"suffix":""},{"dropping-particle":"","family":"Hartge","given":"Patricia","non-dropping-particle":"","parse-names":false,"suffix":""},{"dropping-particle":"","family":"Zheng","given":"Tongzhang","non-dropping-particle":"","parse-names":false,"suffix":""},{"dropping-particle":"","family":"Roman","given":"Eve","non-dropping-particle":"","parse-names":false,"suffix":""},{"dropping-particle":"","family":"Holly","given":"Elizabeth A.","non-dropping-particle":"","parse-names":false,"suffix":""},{"dropping-particle":"","family":"Boffetta","given":"Paolo","non-dropping-particle":"","parse-names":false,"suffix":""},{"dropping-particle":"","family":"Armstrong","given":"Bruce","non-dropping-particle":"","parse-names":false,"suffix":""},{"dropping-particle":"","family":"Cozen","given":"Wendy","non-dropping-particle":"","parse-names":false,"suffix":""},{"dropping-particle":"","family":"Linet","given":"Martha","non-dropping-particle":"","parse-names":false,"suffix":""},{"dropping-particle":"","family":"Bosch","given":"Xavier F.","non-dropping-particle":"","parse-names":false,"suffix":""},{"dropping-particle":"","family":"Ennas","given":"Maria Grazia","non-dropping-particle":"","parse-names":false,"suffix":""},{"dropping-particle":"","family":"Holford","given":"Theodore R.","non-dropping-particle":"","parse-names":false,"suffix":""},{"dropping-particle":"","family":"Gallagher","given":"Richard P.","non-dropping-particle":"","parse-names":false,"suffix":""},{"dropping-particle":"","family":"Rollinson","given":"Sara","non-dropping-particle":"","parse-names":false,"suffix":""},{"dropping-particle":"","family":"Bracci","given":"Paige M.","non-dropping-particle":"","parse-names":false,"suffix":""},{"dropping-particle":"","family":"Cerhan","given":"James R.","non-dropping-particle":"","parse-names":false,"suffix":""},{"dropping-particle":"","family":"Whitby","given":"Denise","non-dropping-particle":"","parse-names":false,"suffix":""},{"dropping-particle":"","family":"Moore","given":"Patrick S.","non-dropping-particle":"","parse-names":false,"suffix":""},{"dropping-particle":"","family":"Leaderer","given":"Brian","non-dropping-particle":"","parse-names":false,"suffix":""},{"dropping-particle":"","family":"Lai","given":"Agnes","non-dropping-particle":"","parse-names":false,"suffix":""},{"dropping-particle":"","family":"Spink","given":"Charlotte","non-dropping-particle":"","parse-names":false,"suffix":""},{"dropping-particle":"","family":"Davis","given":"Scott","non-dropping-particle":"","parse-names":false,"suffix":""},{"dropping-particle":"","family":"Bosch","given":"Ramon","non-dropping-particle":"","parse-names":false,"suffix":""},{"dropping-particle":"","family":"Scarpa","given":"Aldo","non-dropping-particle":"","parse-names":false,"suffix":""},{"dropping-particle":"","family":"Zhang","given":"Yawei","non-dropping-particle":"","parse-names":false,"suffix":""},{"dropping-particle":"","family":"Severson","given":"Richard K.","non-dropping-particle":"","parse-names":false,"suffix":""},{"dropping-particle":"","family":"Yeager","given":"Meredith","non-dropping-particle":"","parse-names":false,"suffix":""},{"dropping-particle":"","family":"Chanock","given":"Stephen","non-dropping-particle":"","parse-names":false,"suffix":""},{"dropping-particle":"","family":"Nieters","given":"Alexandra","non-dropping-particle":"","parse-names":false,"suffix":""}],"container-title":"Lancet Oncology","id":"ITEM-5","issued":{"date-parts":[["2006"]]},"page":"27-38","title":"Genetic variation in TNF and IL10 and risk of non-Hodgkin lymphoma: A report from the InterLymph Consortium","type":"article-journal","volume":"7"},"uris":["http://www.mendeley.com/documents/?uuid=d5a7315f-5e95-47ea-b607-60f9e869c8ac"]},{"id":"ITEM-6","itemData":{"DOI":"10.1093/aje/kwp383","ISBN":"1476-6256 (Electronic)\\r0002-9262 (Linking)","ISSN":"1476-6256","PMID":"20047977","abstract":"In an International Lymphoma Epidemiology Consortium pooled analysis, polymorphisms in 2 immune-system-related genes, tumor necrosis factor (TNF) and interleukin-10 (IL10), were associated with non-Hodgkin lymphoma (NHL) risk. Here, 8,847 participants were added to previous data (patients diagnosed from 1989 to 2005 in 14 case-control studies; 7,999 cases, 8,452 controls) for testing of polymorphisms in the TNF -308G&gt;A (rs1800629), lymphotoxin-alpha (LTA) 252A&gt;G (rs909253), IL10 -3575T&gt;A (rs1800890, rs1800896), and nucleotide-binding oligomerization domain containing 2 (NOD2) 3020insC (rs2066847) genes. Odds ratios were estimated for non-Hispanic whites and several ethnic subgroups using 2-sided tests. Consistent with previous findings, odds ratios were increased for \"new\" participant TNF -308A carriers (NHL: per-allele odds ratio (OR(allelic)) = 1.10, P(trend) = 0.001; diffuse large B-cell lymphoma (DLBCL): OR(allelic) = 1.23, P(trend) = 0.004). In the combined population, odds ratios were increased for TNF -308A carriers (NHL: OR(allelic) = 1.13, P(trend) = 0.0001; DLBCL: OR(allelic) = 1.25, P(trend) = 3.7 x 10(-6); marginal zone lymphoma: OR(allelic) = 1.35, P(trend) = 0.004) and LTA 252G carriers (DLBCL: OR(allelic) = 1.12, P(trend) = 0.006; mycosis fungoides: OR(allelic) = 1.44, P(trend) = 0.015). The LTA 252A&gt;G/TNF -308G&gt;A haplotype containing the LTA/TNF variant alleles was strongly associated with DLBCL (P = 2.9 x 10(-8)). Results suggested associations between IL10 -3575T&gt;A and DLBCL (P(trend) = 0.02) and IL10 -1082A&gt;G and mantle cell lymphoma (P(trend) = 0.04). These findings strengthen previous results for DLBCL and the LTA 252A&gt;G/TNF -308A locus and provide robust evidence that these TNF/LTA gene variants, or others in linkage disequilibrium, are involved in NHL etiology.","author":[{"dropping-particle":"","family":"Skibola","given":"Christine F","non-dropping-particle":"","parse-names":false,"suffix":""},{"dropping-particle":"","family":"Bracci","given":"Paige M","non-dropping-particle":"","parse-names":false,"suffix":""},{"dropping-particle":"","family":"Nieters","given":"Alexandra","non-dropping-particle":"","parse-names":false,"suffix":""},{"dropping-particle":"","family":"Brooks-Wilson","given":"Angela","non-dropping-particle":"","parse-names":false,"suffix":""},{"dropping-particle":"","family":"Sanjosé","given":"Silvia","non-dropping-particle":"de","parse-names":false,"suffix":""},{"dropping-particle":"","family":"Hughes","given":"Ann Maree","non-dropping-particle":"","parse-names":false,"suffix":""},{"dropping-particle":"","family":"Cerhan","given":"James R","non-dropping-particle":"","parse-names":false,"suffix":""},{"dropping-particle":"","family":"Skibola","given":"Danica R","non-dropping-particle":"","parse-names":false,"suffix":""},{"dropping-particle":"","family":"Purdue","given":"Mark","non-dropping-particle":"","parse-names":false,"suffix":""},{"dropping-particle":"","family":"Kane","given":"Eleanor","non-dropping-particle":"","parse-names":false,"suffix":""},{"dropping-particle":"","family":"Lan","given":"Qing","non-dropping-particle":"","parse-names":false,"suffix":""},{"dropping-particle":"","family":"Foretova","given":"Lenka","non-dropping-particle":"","parse-names":false,"suffix":""},{"dropping-particle":"","family":"Schenk","given":"Maryjean","non-dropping-particle":"","parse-names":false,"suffix":""},{"dropping-particle":"","family":"Spinelli","given":"John J","non-dropping-particle":"","parse-names":false,"suffix":""},{"dropping-particle":"","family":"Slager","given":"Susan L","non-dropping-particle":"","parse-names":false,"suffix":""},{"dropping-particle":"","family":"Roos","given":"Anneclaire J","non-dropping-particle":"De","parse-names":false,"suffix":""},{"dropping-particle":"","family":"Smith","given":"Martyn T","non-dropping-particle":"","parse-names":false,"suffix":""},{"dropping-particle":"","family":"Roman","given":"Eve","non-dropping-particle":"","parse-names":false,"suffix":""},{"dropping-particle":"","family":"Cozen","given":"Wendy","non-dropping-particle":"","parse-names":false,"suffix":""},{"dropping-particle":"","family":"Boffetta","given":"Paolo","non-dropping-particle":"","parse-names":false,"suffix":""},{"dropping-particle":"","family":"Kricker","given":"Anne","non-dropping-particle":"","parse-names":false,"suffix":""},{"dropping-particle":"","family":"Zheng","given":"Tongzhang","non-dropping-particle":"","parse-names":false,"suffix":""},{"dropping-particle":"","family":"Lightfoot","given":"Tracy","non-dropping-particle":"","parse-names":false,"suffix":""},{"dropping-particle":"","family":"Cocco","given":"Pierluigi","non-dropping-particle":"","parse-names":false,"suffix":""},{"dropping-particle":"","family":"Benavente","given":"Yolanda","non-dropping-particle":"","parse-names":false,"suffix":""},{"dropping-particle":"","family":"Zhang","given":"Yawei","non-dropping-particle":"","parse-names":false,"suffix":""},{"dropping-particle":"","family":"Hartge","given":"Patricia","non-dropping-particle":"","parse-names":false,"suffix":""},{"dropping-particle":"","family":"Linet","given":"Martha S","non-dropping-particle":"","parse-names":false,"suffix":""},{"dropping-particle":"","family":"Becker","given":"Nikolaus","non-dropping-particle":"","parse-names":false,"suffix":""},{"dropping-particle":"","family":"Brennan","given":"Paul","non-dropping-particle":"","parse-names":false,"suffix":""},{"dropping-particle":"","family":"Zhang","given":"Luoping","non-dropping-particle":"","parse-names":false,"suffix":""},{"dropping-particle":"","family":"Armstrong","given":"Bruce","non-dropping-particle":"","parse-names":false,"suffix":""},{"dropping-particle":"","family":"Smith","given":"Alex","non-dropping-particle":"","parse-names":false,"suffix":""},{"dropping-particle":"","family":"Shiao","given":"Renee","non-dropping-particle":"","parse-names":false,"suffix":""},{"dropping-particle":"","family":"Novak","given":"Anne J","non-dropping-particle":"","parse-names":false,"suffix":""},{"dropping-particle":"","family":"Maynadie","given":"Marc","non-dropping-particle":"","parse-names":false,"suffix":""},{"dropping-particle":"","family":"Chanock","given":"Stephen J","non-dropping-particle":"","parse-names":false,"suffix":""},{"dropping-particle":"","family":"Staines","given":"Anthony","non-dropping-particle":"","parse-names":false,"suffix":""},{"dropping-particle":"","family":"Holford","given":"Theodore R","non-dropping-particle":"","parse-names":false,"suffix":""},{"dropping-particle":"","family":"Holly","given":"Elizabeth A","non-dropping-particle":"","parse-names":false,"suffix":""},{"dropping-particle":"","family":"Rothman","given":"Nathaniel","non-dropping-particle":"","parse-names":false,"suffix":""},{"dropping-particle":"","family":"Wang","given":"Sophia S","non-dropping-particle":"","parse-names":false,"suffix":""}],"container-title":"American journal of epidemiology","id":"ITEM-6","issued":{"date-parts":[["2010"]]},"page":"267-276","title":"Tumor necrosis factor (TNF) and lymphotoxin-alpha (LTA) polymorphisms and risk of non-Hodgkin lymphoma in the InterLymph Consortium.","type":"article-journal","volume":"171"},"uris":["http://www.mendeley.com/documents/?uuid=22bf699d-a8d0-4e47-b78d-cda2951c8273"]},{"id":"ITEM-7","itemData":{"DOI":"10.1038/ng.626","ISBN":"1546-1718 (Electronic)\\r1061-4036 (Linking)","ISSN":"1061-4036","PMID":"20639881","abstract":"To identify susceptibility loci for non-Hodgkin lymphoma subtypes, we conducted a three-stage genome-wide association study. We identified two variants associated with follicular lymphoma at 6p21.32 (rs10484561, combined P = 1.12 x 10(-29) and rs7755224, combined P = 2.00 x 10(-19); r(2) = 1.0), supporting the idea that major histocompatibility complex genetic variation influences follicular lymphoma susceptibility. We also found confirmatory evidence of a previously reported association between chronic lymphocytic leukemia/small lymphocytic lymphoma and rs735665 (combined P = 4.24 x 10(-9)).","author":[{"dropping-particle":"","family":"Conde","given":"Lucia","non-dropping-particle":"","parse-names":false,"suffix":""},{"dropping-particle":"","family":"Halperin","given":"Eran","non-dropping-particle":"","parse-names":false,"suffix":""},{"dropping-particle":"","family":"Akers","given":"Nicholas K","non-dropping-particle":"","parse-names":false,"suffix":""},{"dropping-particle":"","family":"Brown","given":"Kevin M","non-dropping-particle":"","parse-names":false,"suffix":""},{"dropping-particle":"","family":"Smedby","given":"Karin E","non-dropping-particle":"","parse-names":false,"suffix":""},{"dropping-particle":"","family":"Rothman","given":"Nathaniel","non-dropping-particle":"","parse-names":false,"suffix":""},{"dropping-particle":"","family":"Nieters","given":"Alexandra","non-dropping-particle":"","parse-names":false,"suffix":""},{"dropping-particle":"","family":"Slager","given":"Susan L","non-dropping-particle":"","parse-names":false,"suffix":""},{"dropping-particle":"","family":"Brooks-Wilson","given":"Angela","non-dropping-particle":"","parse-names":false,"suffix":""},{"dropping-particle":"","family":"Agana","given":"Luz","non-dropping-particle":"","parse-names":false,"suffix":""},{"dropping-particle":"","family":"Riby","given":"Jacques","non-dropping-particle":"","parse-names":false,"suffix":""},{"dropping-particle":"","family":"Liu","given":"Jianjun","non-dropping-particle":"","parse-names":false,"suffix":""},{"dropping-particle":"","family":"Adami","given":"Hans-Olov","non-dropping-particle":"","parse-names":false,"suffix":""},{"dropping-particle":"","family":"Darabi","given":"Hatef","non-dropping-particle":"","parse-names":false,"suffix":""},{"dropping-particle":"","family":"Hjalgrim","given":"Henrik","non-dropping-particle":"","parse-names":false,"suffix":""},{"dropping-particle":"","family":"Low","given":"Hui-Qi","non-dropping-particle":"","parse-names":false,"suffix":""},{"dropping-particle":"","family":"Humphreys","given":"Keith","non-dropping-particle":"","parse-names":false,"suffix":""},{"dropping-particle":"","family":"Melbye","given":"Mads","non-dropping-particle":"","parse-names":false,"suffix":""},{"dropping-particle":"","family":"Chang","given":"Ellen T","non-dropping-particle":"","parse-names":false,"suffix":""},{"dropping-particle":"","family":"Glimelius","given":"Bengt","non-dropping-particle":"","parse-names":false,"suffix":""},{"dropping-particle":"","family":"Cozen","given":"Wendy","non-dropping-particle":"","parse-names":false,"suffix":""},{"dropping-particle":"","family":"Davis","given":"Scott","non-dropping-particle":"","parse-names":false,"suffix":""},{"dropping-particle":"","family":"Hartge","given":"Patricia","non-dropping-particle":"","parse-names":false,"suffix":""},{"dropping-particle":"","family":"Morton","given":"Lindsay M","non-dropping-particle":"","parse-names":false,"suffix":""},{"dropping-particle":"","family":"Schenk","given":"Maryjean","non-dropping-particle":"","parse-names":false,"suffix":""},{"dropping-particle":"","family":"Wang","given":"Sophia S","non-dropping-particle":"","parse-names":false,"suffix":""},{"dropping-particle":"","family":"Armstrong","given":"Bruce","non-dropping-particle":"","parse-names":false,"suffix":""},{"dropping-particle":"","family":"Kricker","given":"Anne","non-dropping-particle":"","parse-names":false,"suffix":""},{"dropping-particle":"","family":"Milliken","given":"Sam","non-dropping-particle":"","parse-names":false,"suffix":""},{"dropping-particle":"","family":"Purdue","given":"Mark P","non-dropping-particle":"","parse-names":false,"suffix":""},{"dropping-particle":"","family":"Vajdic","given":"Claire M","non-dropping-particle":"","parse-names":false,"suffix":""},{"dropping-particle":"","family":"Boyle","given":"Peter","non-dropping-particle":"","parse-names":false,"suffix":""},{"dropping-particle":"","family":"Lan","given":"Qing","non-dropping-particle":"","parse-names":false,"suffix":""},{"dropping-particle":"","family":"Zahm","given":"Shelia H","non-dropping-particle":"","parse-names":false,"suffix":""},{"dropping-particle":"","family":"Zhang","given":"Yawei","non-dropping-particle":"","parse-names":false,"suffix":""},{"dropping-particle":"","family":"Zheng","given":"Tongzhang","non-dropping-particle":"","parse-names":false,"suffix":""},{"dropping-particle":"","family":"Becker","given":"Nikolaus","non-dropping-particle":"","parse-names":false,"suffix":""},{"dropping-particle":"","family":"Benavente","given":"Yolanda","non-dropping-particle":"","parse-names":false,"suffix":""},{"dropping-particle":"","family":"Boffetta","given":"Paolo","non-dropping-particle":"","parse-names":false,"suffix":""},{"dropping-particle":"","family":"Brennan","given":"Paul","non-dropping-particle":"","parse-names":false,"suffix":""},{"dropping-particle":"","family":"Butterbach","given":"Katja","non-dropping-particle":"","parse-names":false,"suffix":""},{"dropping-particle":"","family":"Cocco","given":"Pierluigi","non-dropping-particle":"","parse-names":false,"suffix":""},{"dropping-particle":"","family":"Foretova","given":"Lenka","non-dropping-particle":"","parse-names":false,"suffix":""},{"dropping-particle":"","family":"Maynadié","given":"Marc","non-dropping-particle":"","parse-names":false,"suffix":""},{"dropping-particle":"","family":"Sanjosé","given":"Silvia","non-dropping-particle":"de","parse-names":false,"suffix":""},{"dropping-particle":"","family":"Staines","given":"Anthony","non-dropping-particle":"","parse-names":false,"suffix":""},{"dropping-particle":"","family":"Spinelli","given":"John J","non-dropping-particle":"","parse-names":false,"suffix":""},{"dropping-particle":"","family":"Achenbach","given":"Sara J","non-dropping-particle":"","parse-names":false,"suffix":""},{"dropping-particle":"","family":"Call","given":"Timothy G","non-dropping-particle":"","parse-names":false,"suffix":""},{"dropping-particle":"","family":"Camp","given":"Nicola J","non-dropping-particle":"","parse-names":false,"suffix":""},{"dropping-particle":"","family":"Glenn","given":"Martha","non-dropping-particle":"","parse-names":false,"suffix":""},{"dropping-particle":"","family":"Caporaso","given":"Neil E","non-dropping-particle":"","parse-names":false,"suffix":""},{"dropping-particle":"","family":"Cerhan","given":"James R","non-dropping-particle":"","parse-names":false,"suffix":""},{"dropping-particle":"","family":"Cunningham","given":"Julie M","non-dropping-particle":"","parse-names":false,"suffix":""},{"dropping-particle":"","family":"Goldin","given":"Lynn R","non-dropping-particle":"","parse-names":false,"suffix":""},{"dropping-particle":"","family":"Hanson","given":"Curtis A","non-dropping-particle":"","parse-names":false,"suffix":""},{"dropping-particle":"","family":"Kay","given":"Neil E","non-dropping-particle":"","parse-names":false,"suffix":""},{"dropping-particle":"","family":"Lanasa","given":"Mark C","non-dropping-particle":"","parse-names":false,"suffix":""},{"dropping-particle":"","family":"Leis","given":"Jose F","non-dropping-particle":"","parse-names":false,"suffix":""},{"dropping-particle":"","family":"Marti","given":"Gerald E","non-dropping-particle":"","parse-names":false,"suffix":""},{"dropping-particle":"","family":"Rabe","given":"Kari G","non-dropping-particle":"","parse-names":false,"suffix":""},{"dropping-particle":"","family":"Rassenti","given":"Laura Z","non-dropping-particle":"","parse-names":false,"suffix":""},{"dropping-particle":"","family":"Spector","given":"Logan G","non-dropping-particle":"","parse-names":false,"suffix":""},{"dropping-particle":"","family":"Strom","given":"Sara S","non-dropping-particle":"","parse-names":false,"suffix":""},{"dropping-particle":"","family":"Vachon","given":"Celine M","non-dropping-particle":"","parse-names":false,"suffix":""},{"dropping-particle":"","family":"Weinberg","given":"J Brice","non-dropping-particle":"","parse-names":false,"suffix":""},{"dropping-particle":"","family":"Holly","given":"Elizabeth A","non-dropping-particle":"","parse-names":false,"suffix":""},{"dropping-particle":"","family":"Chanock","given":"Stephen","non-dropping-particle":"","parse-names":false,"suffix":""},{"dropping-particle":"","family":"Smith","given":"Martyn T","non-dropping-particle":"","parse-names":false,"suffix":""},{"dropping-particle":"","family":"Bracci","given":"Paige M","non-dropping-particle":"","parse-names":false,"suffix":""},{"dropping-particle":"","family":"Skibola","given":"Christine F","non-dropping-particle":"","parse-names":false,"suffix":""}],"container-title":"Nature genetics","id":"ITEM-7","issued":{"date-parts":[["2010"]]},"page":"661-664","title":"Genome-wide association study of follicular lymphoma identifies a risk locus at 6p21.32.","type":"article-journal","volume":"42"},"uris":["http://www.mendeley.com/documents/?uuid=5f3f24d1-9328-44f9-87fb-e2ca1908ee7a"]},{"id":"ITEM-8","itemData":{"DOI":"10.1002/ijc.23005","ISSN":"1097-0215","PMID":"17722095","abstract":"Organochlorine chemicals and polychlorinated biphenyls (PCBs) have been suspected as possible risk factors for non-Hodgkin lymphoma (NHL). We investigated PCBs and organochlorine pesticides and risk of NHL in a population-based case-control study in British Columbia, Canada. Congeners of PCBs (including dioxinlike congeners) and pesticides or pesticide metabolites were measured in plasma of 422 pretreatment cases and 460 control subjects. This is so far the largest study to examine organochlorines in plasma to date. Several dioxin-like PCB congeners were associated with increased risk of NHL, including dioxin-like PCB nos. 118 and 156 with odds ratios (OR) for the highest versus lowest quartile between 1.6 and 1.8. Several non-dioxin-like congeners also showed significant associations. The PCB congener with the strongest association was no. 180 with an OR for the highest versus the lowest quartile of 1.83 (95% confidence interval = 1.18-2.84). Six pesticide analytes also showed a significant association with NHL; beta-hexachlorocyclohexane, p,p'-DDE, hexachlorobenzene, mirex, oxychlordane and trans-nonachlor. The strongest association was found for oxychlordane, a metabolite of the pesticide chlordane (highest vs. lowest quartile OR = 2.68, 95% confidence interval = 1.69-4.24). Our results provide further evidence that organochlorines contribute to NHL risk.","author":[{"dropping-particle":"","family":"Spinelli","given":"John J","non-dropping-particle":"","parse-names":false,"suffix":""},{"dropping-particle":"","family":"Ng","given":"Carmen H","non-dropping-particle":"","parse-names":false,"suffix":""},{"dropping-particle":"","family":"Weber","given":"Jean-Philippe","non-dropping-particle":"","parse-names":false,"suffix":""},{"dropping-particle":"","family":"Connors","given":"Joseph M","non-dropping-particle":"","parse-names":false,"suffix":""},{"dropping-particle":"","family":"Gascoyne","given":"Randy D","non-dropping-particle":"","parse-names":false,"suffix":""},{"dropping-particle":"","family":"Lai","given":"Agnes S","non-dropping-particle":"","parse-names":false,"suffix":""},{"dropping-particle":"","family":"Brooks-Wilson","given":"Angela R","non-dropping-particle":"","parse-names":false,"suffix":""},{"dropping-particle":"","family":"Le","given":"Nhu D","non-dropping-particle":"","parse-names":false,"suffix":""},{"dropping-particle":"","family":"Berry","given":"Brian R","non-dropping-particle":"","parse-names":false,"suffix":""},{"dropping-particle":"","family":"Gallagher","given":"Richard P","non-dropping-particle":"","parse-names":false,"suffix":""}],"container-title":"International journal of cancer. Journal international du cancer","id":"ITEM-8","issue":"12","issued":{"date-parts":[["2007","12","15"]]},"note":"How was NHL Data collected?\n\nInterLymph: BC\n\nBlood and saliva","page":"2767-75","title":"Organochlorines and risk of non-Hodgkin lymphoma.","type":"article-journal","volume":"121"},"uris":["http://www.mendeley.com/documents/?uuid=370f9008-5fa7-487c-b3dc-9f09e9ef7486"]},{"id":"ITEM-9","itemData":{"DOI":"10.1002/ijc.21913","ISSN":"0020-7136","PMID":"16557575","abstract":"To study the role of tobacco smoking and alcohol drinking in the etiology of non-Hodgkin's lymphoma (NHL), we conducted a multicenter case-control study in Spain, France, Germany, Italy, Ireland and Czech Republic between 1998 and 2004, which included 1,742 cases of NHL and 2,465 controls matched on age, sex and recruitment area. Tobacco smoking was not associated with the risk of NHL overall or with risk of specific histological subtypes. Similarly, there was no association between alcohol drinking and the risk of NHL overall or across histological subtypes. However, a protective effect of alcohol drinking was observed among men (OR = 0.76, 95% CI = 0.62-0.93) and in non-Mediterranean countries (OR = 0.73, 95% CI = 0.61-0.86). There was no evidence of interaction between alcohol drinking and tobacco smoking in NHL etiology. The results of this large-scale European study did not support an association between tobacco and NHL and suggested a protective effect of alcohol on development of NHL for men and in non-Mediterranean countries.","author":[{"dropping-particle":"","family":"Besson","given":"Herve","non-dropping-particle":"","parse-names":false,"suffix":""},{"dropping-particle":"","family":"Brennan","given":"Paul","non-dropping-particle":"","parse-names":false,"suffix":""},{"dropping-particle":"","family":"Becker","given":"Nikolaus","non-dropping-particle":"","parse-names":false,"suffix":""},{"dropping-particle":"","family":"Nieters","given":"Alexandra","non-dropping-particle":"","parse-names":false,"suffix":""},{"dropping-particle":"","family":"Sanjosé","given":"Silvia","non-dropping-particle":"De","parse-names":false,"suffix":""},{"dropping-particle":"","family":"Font","given":"Rebeca","non-dropping-particle":"","parse-names":false,"suffix":""},{"dropping-particle":"","family":"Maynadié","given":"Marc","non-dropping-particle":"","parse-names":false,"suffix":""},{"dropping-particle":"","family":"Foretova","given":"Lenka","non-dropping-particle":"","parse-names":false,"suffix":""},{"dropping-particle":"","family":"Cocco","given":"Pierluigi L","non-dropping-particle":"","parse-names":false,"suffix":""},{"dropping-particle":"","family":"Staines","given":"Anthony","non-dropping-particle":"","parse-names":false,"suffix":""},{"dropping-particle":"","family":"Vornanen","given":"Martine","non-dropping-particle":"","parse-names":false,"suffix":""},{"dropping-particle":"","family":"Boffetta","given":"Paolo","non-dropping-particle":"","parse-names":false,"suffix":""}],"container-title":"International journal of cancer. Journal international du cancer","id":"ITEM-9","issue":"4","issued":{"date-parts":[["2006","8","15"]]},"note":"InterLymph: EPILYMPH\n\nQuestionnaire by locally trained interviewers","page":"901-8","title":"Tobacco smoking, alcohol drinking and non-Hodgkin's lymphoma: A European multicenter case-control study (Epilymph).","type":"article-journal","volume":"119"},"uris":["http://www.mendeley.com/documents/?uuid=9ab5109f-b9a1-49d2-80e2-353044411818"]},{"id":"ITEM-10","itemData":{"DOI":"10.1007/s00432-009-0551-2","ISSN":"01715216","PMID":"19205736","abstract":"INTRODUCTION: Lymphomas are a heterogeneous group of immune-cell malignancies. Immunology-related conditions are among the few factors for which consistent evidence exists relating them to lymphoma risk. MATERIALS AND METHODS: We used the data from the European case-control study Epilymph on 2,362 lymphoma cases and 2,458 controls to investigate associations between a medical history of infectious and non-infectious diseases with overall and subentity-specific lymphoma risk. RESULTS: As key results, we observed an increased odds ratio (OR) for self-reported infections with hepatitis B virus (HBV, OR = 1.91, 95% CL = 1.24-2.94) and a null result for rheumatoid arthritis. Additionally, we found an increased OR for infectious mononucleosis (OR = 1.68, 95% CL = 1.14-2.48), an inverse association to frequency of sickness in childhood (OR = 0.68, 95% CL = 0.55-0.84), and-as casual finding-an increased OR with acetaminophen intake (OR = 2.29, 95% CL = 1.49-3.51). CONCLUSION: Our results are consistent with the current knowledge about the association with mononucleosis as indicator of Epstein-Barr-virus infection, suggest serological study of the association to HBV infection and do not support the view of a positive association between rheumatoid arthritis and lymphoma risk.","author":[{"dropping-particle":"","family":"Becker","given":"Nikolaus","non-dropping-particle":"","parse-names":false,"suffix":""},{"dropping-particle":"","family":"Fortuny","given":"Joan","non-dropping-particle":"","parse-names":false,"suffix":""},{"dropping-particle":"","family":"Alvaro","given":"Tomas","non-dropping-particle":"","parse-names":false,"suffix":""},{"dropping-particle":"","family":"Nieters","given":"Alexandra","non-dropping-particle":"","parse-names":false,"suffix":""},{"dropping-particle":"","family":"Maynadié","given":"Marc","non-dropping-particle":"","parse-names":false,"suffix":""},{"dropping-particle":"","family":"Foretova","given":"Lenka","non-dropping-particle":"","parse-names":false,"suffix":""},{"dropping-particle":"","family":"Staines","given":"Anthony","non-dropping-particle":"","parse-names":false,"suffix":""},{"dropping-particle":"","family":"Brennan","given":"Paul","non-dropping-particle":"","parse-names":false,"suffix":""},{"dropping-particle":"","family":"Boffetta","given":"Paolo","non-dropping-particle":"","parse-names":false,"suffix":""},{"dropping-particle":"","family":"Cocco","given":"Pier Luigi","non-dropping-particle":"","parse-names":false,"suffix":""},{"dropping-particle":"","family":"Sanjose","given":"Silvia","non-dropping-particle":"De","parse-names":false,"suffix":""}],"container-title":"Journal of Cancer Research and Clinical Oncology","id":"ITEM-10","issued":{"date-parts":[["2009"]]},"note":"InterLymph: EpiLymph\n\nIM question: &amp;quot;Do you remember if you have suffered more than once from any of the following diseases requiring medical treatment?&amp;quot;","page":"1099-1107","title":"Medical history and risk of lymphoma: Results of a European case-control study (EPILYMPH)","type":"article-journal","volume":"135"},"uris":["http://www.mendeley.com/documents/?uuid=7b256086-c6ec-417e-8ae1-7287a20cc4a6"]},{"id":"ITEM-11","itemData":{"DOI":"10.1182/blood-2007-05-088682","ISSN":"0006-4971","PMID":"17827388","abstract":"Smaller-scale evaluations suggest that common genetic variation in candidate genes related to immune function may predispose to the development of non-Hodgkin lymphoma (NHL). We report an analysis of variants within genes associated with immunity and inflammation and risk of NHL using a panel of 9412 single-nucleotide polymorphisms (SNPs) from 1253 genes in a study of 458 patients with NHL and 484 frequency-matched controls. We modeled haplotypes and risk of NHL, as well as the main effects for all independent SNPs from a gene in multivariate logistic regression models; we separately report results for nonsynonymous (ns) SNPs. In gene-level analyses, the strongest findings (P &lt; or = .001) were for CREB1, FGG, MAP3K5, RIPK3, LSP1, TRAF1, DUSP2, and ITGB3. In nsSNP analyses, the strongest findings (P &lt; or = .01) were for ITGB3 L59P (odds ratio [OR] = 0.66; 95% confidence interval [CI] 0.52-0.85), TLR6 V427A (OR = 5.20; CI 1.77-15.3), SELPLG M264V (OR = 3.20; CI 1.48-6.91), UNC84B G671S (OR = 1.50; CI 1.12-2.00), B3GNT3 H328R (OR = 0.74; CI 0.59-0.93), and BAT2 V1883L (OR = 0.64; CI 0.45-0.90). Our results suggest that genetic variation in genes associated with immune response (TRAF1, RIPK3, BAT2, and TLR6), mitogen-activated protein kinase (MAPK) signaling (MAP3K5, DUSP2, and CREB1), lymphocyte trafficking and migration (B3GNT3, SELPLG, and LSP1), and coagulation pathways (FGG and ITGB3) may be important in the etiology of NHL, and should be prioritized in replication studies.","author":[{"dropping-particle":"","family":"Cerhan","given":"James R","non-dropping-particle":"","parse-names":false,"suffix":""},{"dropping-particle":"","family":"Ansell","given":"Stephen M","non-dropping-particle":"","parse-names":false,"suffix":""},{"dropping-particle":"","family":"Fredericksen","given":"Zachary S","non-dropping-particle":"","parse-names":false,"suffix":""},{"dropping-particle":"","family":"Kay","given":"Neil E","non-dropping-particle":"","parse-names":false,"suffix":""},{"dropping-particle":"","family":"Liebow","given":"Mark","non-dropping-particle":"","parse-names":false,"suffix":""},{"dropping-particle":"","family":"Call","given":"Timothy G","non-dropping-particle":"","parse-names":false,"suffix":""},{"dropping-particle":"","family":"Dogan","given":"Ahmet","non-dropping-particle":"","parse-names":false,"suffix":""},{"dropping-particle":"","family":"Cunningham","given":"Julie M","non-dropping-particle":"","parse-names":false,"suffix":""},{"dropping-particle":"","family":"Wang","given":"Alice H","non-dropping-particle":"","parse-names":false,"suffix":""},{"dropping-particle":"","family":"Liu-Mares","given":"Wen","non-dropping-particle":"","parse-names":false,"suffix":""},{"dropping-particle":"","family":"Macon","given":"William R","non-dropping-particle":"","parse-names":false,"suffix":""},{"dropping-particle":"","family":"Jelinek","given":"Diane","non-dropping-particle":"","parse-names":false,"suffix":""},{"dropping-particle":"","family":"Witzig","given":"Thomas E","non-dropping-particle":"","parse-names":false,"suffix":""},{"dropping-particle":"","family":"Habermann","given":"Thomas M","non-dropping-particle":"","parse-names":false,"suffix":""},{"dropping-particle":"","family":"Slager","given":"Susan L","non-dropping-particle":"","parse-names":false,"suffix":""}],"container-title":"Blood","id":"ITEM-11","issue":"13","issued":{"date-parts":[["2007","12","15"]]},"page":"4455-63","title":"Genetic variation in 1253 immune and inflammation genes and risk of non-Hodgkin lymphoma.","type":"article-journal","volume":"110"},"uris":["http://www.mendeley.com/documents/?uuid=0c0a474b-2dcc-4e5a-81cc-2f04548819db"]},{"id":"ITEM-12","itemData":{"ISSN":"1948-1756","PMID":"21686124","abstract":"We present the design features and implementation of a clinic-based case-control study on the molecular epidemiology of lymphoma conducted at the Mayo Clinic (Rochester, Minnesota, USA), and then assess the internal and external validity of the study. Cases were newly diagnosed lymphoma patients from Minnesota, Iowa and Wisconsin seen at Mayo and controls were patients from the same region without lymphoma who had a pre-scheduled general medical examination, frequency matched on age, sex and residence. Overall response rates were 67% for cases and 70% for controls; response rates were lower for cases and controls over age 70 years, cases with more aggressive disease, and controls from the local area, although absolute differences were modest. Cases and controls were well-balanced on age, sex, and residence characteristics. Demographic and disease characteristics of NHL cases were similar to population-based cancer registry data. Control distributions were similar to population-based data on lifestyle factors and minor allele frequencies of over 500 SNPs, although smoking rates were slightly lower. Associations with NHL in the Mayo study for smoking, alcohol use, family history of lymphoma, autoimmune disease, asthma, eczema, body mass index, and single nucleotide polymorphisms in TNF (rs1800629), LTA (rs909253), and IL10 (rs1800896) were at a magnitude consistent with estimates from pooled studies in InterLymph, with history of any allergy the only directly discordant result in the Mayo study. These data suggest that this study should have strong internal and external validity. This framework may be useful to others who are designing a similar study.","author":[{"dropping-particle":"","family":"Cerhan","given":"James R","non-dropping-particle":"","parse-names":false,"suffix":""},{"dropping-particle":"","family":"Fredericksen","given":"Zachary S","non-dropping-particle":"","parse-names":false,"suffix":""},{"dropping-particle":"","family":"Wang","given":"Alice H","non-dropping-particle":"","parse-names":false,"suffix":""},{"dropping-particle":"","family":"Habermann","given":"Thomas M","non-dropping-particle":"","parse-names":false,"suffix":""},{"dropping-particle":"","family":"Kay","given":"Neil E","non-dropping-particle":"","parse-names":false,"suffix":""},{"dropping-particle":"","family":"Macon","given":"William R","non-dropping-particle":"","parse-names":false,"suffix":""},{"dropping-particle":"","family":"Cunningham","given":"Julie M","non-dropping-particle":"","parse-names":false,"suffix":""},{"dropping-particle":"","family":"Shanafelt","given":"Tait D","non-dropping-particle":"","parse-names":false,"suffix":""},{"dropping-particle":"","family":"Ansell","given":"Stephen M","non-dropping-particle":"","parse-names":false,"suffix":""},{"dropping-particle":"","family":"Call","given":"Timothy G","non-dropping-particle":"","parse-names":false,"suffix":""},{"dropping-particle":"","family":"Witzig","given":"Thomas E","non-dropping-particle":"","parse-names":false,"suffix":""},{"dropping-particle":"","family":"Slager","given":"Susan L","non-dropping-particle":"","parse-names":false,"suffix":""},{"dropping-particle":"","family":"Liebow","given":"Mark","non-dropping-particle":"","parse-names":false,"suffix":""}],"container-title":"International journal of molecular epidemiology and genetics","id":"ITEM-12","issue":"2","issued":{"date-parts":[["2011","1"]]},"page":"95-113","title":"Design and validity of a clinic-based case-control study on the molecular epidemiology of lymphoma.","type":"article-journal","volume":"2"},"uris":["http://www.mendeley.com/documents/?uuid=f704ca55-fb41-46fe-b7ce-8f88932e5415"]},{"id":"ITEM-13","itemData":{"DOI":"10.1158/1055-9965.EPI-12-0696","ISSN":"1538-7755","PMID":"22911334","abstract":"BACKGROUND: Non-Hodgkin lymphoma (NHL) is a malignancy of lymphocytes, and there is growing evidence for a role of germline genetic variation in immune genes in NHL etiology. METHODS: To identify susceptibility immune genes, we conducted a 2-stage analysis of single-nucleotide polymorphisms (SNP) from 1,253 genes using the Immune and Inflammation Panel. In Stage 1, we genotyped 7,670 SNPs in 425 NHL cases and 465 controls, and in Stage 2 we genotyped the top 768 SNPs on an additional 584 cases and 768 controls. The association of individual SNPs with NHL risk from a log-additive model was assessed using the OR and 95% confidence intervals (CI). RESULTS: In the pooled analysis, only the TAP2 coding SNP rs241447 (minor allele frequency = 0.26; Thr655Ala) at 6p21.3 (OR = 1.34, 95% CI 1.17-1.53) achieved statistical significance after accounting for multiple testing (P = 3.1 × 10(-5)). The TAP2 SNP was strongly associated with follicular lymphoma (FL, OR = 1.82, 95%CI 1.46-2.26; p = 6.9 × 10(-8)), and was independent of other known loci (rs10484561 and rs2647012) from this region. The TAP2 SNP was also associated with diffuse large B-cell lymphoma (DLBCL, OR = 1.38, 95% CI 1.08-1.77; P = 0.011), but not chronic lymphocytic leukemia (OR = 1.08; 95% CI 0.88-1.32). Higher TAP2 expression was associated with the risk allele in both FL and DLBCL tumors. CONCLUSION: Genetic variation in TAP2 was associated with NHL risk overall, and FL risk in particular, and this was independent of other established loci from 6p21.3. IMPACT: Genetic variation in antigen presentation of HLA class I molecules may play a role in lymphomagenesis.","author":[{"dropping-particle":"","family":"Cerhan","given":"James R","non-dropping-particle":"","parse-names":false,"suffix":""},{"dropping-particle":"","family":"Fredericksen","given":"Zachary S","non-dropping-particle":"","parse-names":false,"suffix":""},{"dropping-particle":"","family":"Novak","given":"Anne J","non-dropping-particle":"","parse-names":false,"suffix":""},{"dropping-particle":"","family":"Ansell","given":"Stephen M","non-dropping-particle":"","parse-names":false,"suffix":""},{"dropping-particle":"","family":"Kay","given":"Neil E","non-dropping-particle":"","parse-names":false,"suffix":""},{"dropping-particle":"","family":"Liebow","given":"Mark","non-dropping-particle":"","parse-names":false,"suffix":""},{"dropping-particle":"","family":"Dogan","given":"Ahmet","non-dropping-particle":"","parse-names":false,"suffix":""},{"dropping-particle":"","family":"Cunningham","given":"Julie M","non-dropping-particle":"","parse-names":false,"suffix":""},{"dropping-particle":"","family":"Wang","given":"Alice H","non-dropping-particle":"","parse-names":false,"suffix":""},{"dropping-particle":"","family":"Witzig","given":"Thomas E","non-dropping-particle":"","parse-names":false,"suffix":""},{"dropping-particle":"","family":"Habermann","given":"Thomas M","non-dropping-particle":"","parse-names":false,"suffix":""},{"dropping-particle":"","family":"Asmann","given":"Yan W","non-dropping-particle":"","parse-names":false,"suffix":""},{"dropping-particle":"","family":"Slager","given":"Susan L","non-dropping-particle":"","parse-names":false,"suffix":""}],"container-title":"Cancer epidemiology, biomarkers &amp; prevention : a publication of the American Association for Cancer Research, cosponsored by the American Society of Preventive Oncology","id":"ITEM-13","issue":"10","issued":{"date-parts":[["2012","10"]]},"note":"InterLymph: EPILYMPH\n\nBlood (no saliv)\n\nSelf-administered questionnaire","page":"1799-806","title":"A two-stage evaluation of genetic variation in immune and inflammation genes with risk of non-Hodgkin lymphoma identifies new susceptibility locus in 6p21.3 region.","type":"article-journal","volume":"21"},"uris":["http://www.mendeley.com/documents/?uuid=f62c9374-ddbf-4432-9ffa-e2dae87180b3"]},{"id":"ITEM-14","itemData":{"ISSN":"1055-9965","PMID":"15342441","abstract":"BACKGROUND: An elevated risk of developing non-Hodgkin's lymphoma (NHL) has been associated with a family history of NHL and several other malignancies, but the magnitude of risks and mechanisms are uncertain. METHODS: We used self-reported family history data from a recent multicenter U.S.-based case-control studies of NHL to evaluate familial aggregation of NHL with various hematolymphoproliferative and other cancers. Estimates of familial aggregation were obtained as hazard ratios (HR) that compare incidence of different cancers in first-degree relatives of NHL cases with that in the first-degree relatives of NHL controls. Limitations of the study included low participation rates (76% for cases and 52% for controls) and potential differential accuracy of recall. RESULTS: Risk of NHL was elevated in relatives of NHL cases [HR, 2.9; 95% confidence interval (95% CI), 0.95-8.53]; the aggregation seems to be stronger for siblings (HR, 7.6; 95% CI, 0.98-58.8) and for male relatives (HR, 6.2; 95% CI, 0.77-50.0). Risk of Hodgkin's lymphoma seems to be also elevated among relatives of early-onset (&lt;50 years) NHL cases (HR, 3.2; 95% CI, 0.88-11.6). Evaluation of family history of other cancers provided modest evidence for an increased risk of melanoma of the skin (HR, 2.9; 95% CI, 1.08-7.75), pancreatic cancer (HR, 2.1; 95% CI, 0.96-4.43), stomach cancer (HR, 1.8; 95% CI, 0.91-3.63), and prostate cancer (HR, 1.3; 95% CI, 0.87-1.99). CONCLUSIONS: These results are consistent with previous findings of familial aggregation of NHL, Hodgkin's lymphoma, and a few other cancers. The pattern of male-specific and sibling-specific familial aggregation of NHL we observed, if confirmed, may shed new light on the possible mechanisms that underlie familial aggregation of the disease.","author":[{"dropping-particle":"","family":"Chatterjee","given":"Nilanjan","non-dropping-particle":"","parse-names":false,"suffix":""},{"dropping-particle":"","family":"Hartge","given":"Patricia","non-dropping-particle":"","parse-names":false,"suffix":""},{"dropping-particle":"","family":"Cerhan","given":"James R","non-dropping-particle":"","parse-names":false,"suffix":""},{"dropping-particle":"","family":"Cozen","given":"Wendy","non-dropping-particle":"","parse-names":false,"suffix":""},{"dropping-particle":"","family":"Davis","given":"Scott","non-dropping-particle":"","parse-names":false,"suffix":""},{"dropping-particle":"","family":"Ishibe","given":"Naoko","non-dropping-particle":"","parse-names":false,"suffix":""},{"dropping-particle":"","family":"Colt","given":"Joanne","non-dropping-particle":"","parse-names":false,"suffix":""},{"dropping-particle":"","family":"Goldin","given":"Lynn","non-dropping-particle":"","parse-names":false,"suffix":""},{"dropping-particle":"","family":"Severson","given":"Richard K","non-dropping-particle":"","parse-names":false,"suffix":""}],"container-title":"Cancer epidemiology, biomarkers &amp; prevention : a publication of the American Association for Cancer Research, cosponsored by the American Society of Preventive Oncology","id":"ITEM-14","issue":"9","issued":{"date-parts":[["2004","9"]]},"note":"InterLymph: NCI-SEER\n\nBlood and saliva\nSelf administered questionnaire","page":"1415-21","title":"Risk of non-Hodgkin's lymphoma and family history of lymphatic, hematologic, and other cancers.","type":"article-journal","volume":"13"},"uris":["http://www.mendeley.com/documents/?uuid=197784f0-6a01-4e36-8632-10fa8174dc8c"]},{"id":"ITEM-15","itemData":{"DOI":"10.1002/ijc.20470","ISSN":"0020-7136","PMID":"15386383","abstract":"Ultraviolet radiation is a hypothesised risk factor for non-Hodgkin lymphoma (NHL) but no epidemiological study has examined this association using direct measures of sun exposure in individuals. Adults aged 20-74 years living in NSW and ACT, Australia, were the study population. Cases (704 of 829 invited to take part, 85%) were diagnosed January 2000 to August 2001. Controls (694 of 1,136 invited to take part, 61%) were randomly selected from state electoral rolls and frequency-matched to cases by age, sex and state of residence. A self-administered questionnaire and telephone interview measured outdoor hours on working and nonworking days and vacations at 10, 20, 30, 40, 50 and 60 years of age. Logistic regression models of NHL and sun exposure contained the 3 matching variables, ethnicity and sun sensitivity measures as covariates. Contrary to expectations, risk of NHL fell with increasing reported sun exposure hours. Relative to 1.0 for the lowest quarter of total sun exposure hours, the odds ratios (ORs) for successively higher quarters were 0.72 (95% CI 0.53-0.98), 0.66 (0.48-0.91) and 0.65 (0.46-0.91) (p(trend)=0.01). The association of sun exposure on nonworking days with NHL was stronger; OR for highest quarter 0.47 (0.34-0.66) (p(trend)=0.0001). Risk also fell with sun exposure on vacations; OR for highest quarter 0.60 (0.43-0.85) (p(trend)=0.003). These associations appeared strongest in women and in childhood. There was little evident trend in risk with exposure on working day. Our results provide strong statistical evidence for an inverse association between sun exposure and NHL. Increasing evidence that vitamin D may protect against cancer makes UV-mediated synthesis of vitamin D a plausible mechanism whereby sun exposure might protect against NHL.","author":[{"dropping-particle":"","family":"Hughes","given":"Ann Maree","non-dropping-particle":"","parse-names":false,"suffix":""},{"dropping-particle":"","family":"Armstrong","given":"Bruce K","non-dropping-particle":"","parse-names":false,"suffix":""},{"dropping-particle":"","family":"Vajdic","given":"Claire M","non-dropping-particle":"","parse-names":false,"suffix":""},{"dropping-particle":"","family":"Turner","given":"Jennifer","non-dropping-particle":"","parse-names":false,"suffix":""},{"dropping-particle":"","family":"Grulich","given":"Andrew E","non-dropping-particle":"","parse-names":false,"suffix":""},{"dropping-particle":"","family":"Fritschi","given":"Lin","non-dropping-particle":"","parse-names":false,"suffix":""},{"dropping-particle":"","family":"Milliken","given":"Sam","non-dropping-particle":"","parse-names":false,"suffix":""},{"dropping-particle":"","family":"Kaldor","given":"John","non-dropping-particle":"","parse-names":false,"suffix":""},{"dropping-particle":"","family":"Benke","given":"Geza","non-dropping-particle":"","parse-names":false,"suffix":""},{"dropping-particle":"","family":"Kricker","given":"Anne","non-dropping-particle":"","parse-names":false,"suffix":""}],"container-title":"International journal of cancer. Journal international du cancer","id":"ITEM-15","issue":"5","issued":{"date-parts":[["2004","12","10"]]},"note":"InterLymph: NSW\n\nBlood","page":"865-71","title":"Sun exposure may protect against non-Hodgkin lymphoma: a case-control study.","type":"article-journal","volume":"112"},"uris":["http://www.mendeley.com/documents/?uuid=3aa8d74c-d90f-43ea-a3a4-eb0257045857"]},{"id":"ITEM-16","itemData":{"DOI":"10.1093/jnci/dji022","ISSN":"1460-2105","PMID":"15687363","abstract":"BACKGROUND: The incidence of malignant lymphomas has been increasing rapidly, but the causes of these malignancies remain poorly understood. One hypothesis holds that exposure to ultraviolet (UV) radiation increases lymphoma risk. We tested this hypothesis in a population-based case-control study in Denmark and Sweden. METHODS: A total of 3740 patients diagnosed between October 1, 1999, and August 30, 2002, with incident malignant lymphomas, including non-Hodgkin lymphoma, chronic lymphocytic leukemia, and Hodgkin lymphoma, and 3187 population controls provided detailed information on history of UV exposure and skin cancer and information on other possible risk factors for lymphomas. Odds ratios (ORs) with 95% confidence intervals (CIs) were calculated by logistic regression. Statistical tests were two-sided. RESULTS: Multivariable-adjusted analyses revealed consistent, statistically significant negative associations between various measures of UV light exposure and risk of non-Hodgkin lymphoma. A high frequency of sun bathing and sunburns at age 20 years and 5-10 years before the interview and sun vacations abroad were associated with 30%-40% reduced risks of non-Hodgkin lymphoma (e.g., for sunbathing four times a week or more at age 20 versus never sunbathing, OR = 0.7, 95% CI = 0.6 to 0.9; for two or more sunburns a year at age 20 versus no sunburns, OR = 0.6, 95% CI = 0.5 to 0.8). These inverse associations increased in strength with increasing levels of exposure (all P(trend)&lt; or =.01). Similar, albeit weaker, associations were observed for Hodgkin lymphoma. There were no clear differences among non-Hodgkin lymphoma subtypes, although associations were stronger for B-cell than for T-cell lymphomas. A history of skin cancer was associated with a doubling in risks of both non-Hodgkin and Hodgkin lymphoma. CONCLUSIONS: A history of high UV exposure was associated with reduced risk of non-Hodgkin lymphoma. The positive association between skin cancer and malignant lymphomas is, therefore, unlikely to be mediated by UV exposure.","author":[{"dropping-particle":"","family":"Smedby","given":"Karin Ekström","non-dropping-particle":"","parse-names":false,"suffix":""},{"dropping-particle":"","family":"Hjalgrim","given":"Henrik","non-dropping-particle":"","parse-names":false,"suffix":""},{"dropping-particle":"","family":"Melbye","given":"Mads","non-dropping-particle":"","parse-names":false,"suffix":""},{"dropping-particle":"","family":"Torrång","given":"Anna","non-dropping-particle":"","parse-names":false,"suffix":""},{"dropping-particle":"","family":"Rostgaard","given":"Klaus","non-dropping-particle":"","parse-names":false,"suffix":""},{"dropping-particle":"","family":"Munksgaard","given":"Lars","non-dropping-particle":"","parse-names":false,"suffix":""},{"dropping-particle":"","family":"Adami","given":"Johanna","non-dropping-particle":"","parse-names":false,"suffix":""},{"dropping-particle":"","family":"Hansen","given":"Mads","non-dropping-particle":"","parse-names":false,"suffix":""},{"dropping-particle":"","family":"Porwit-MacDonald","given":"Anna","non-dropping-particle":"","parse-names":false,"suffix":""},{"dropping-particle":"","family":"Jensen","given":"Bjarne Anker","non-dropping-particle":"","parse-names":false,"suffix":""},{"dropping-particle":"","family":"Roos","given":"Göran","non-dropping-particle":"","parse-names":false,"suffix":""},{"dropping-particle":"","family":"Pedersen","given":"Bjarne Bach","non-dropping-particle":"","parse-names":false,"suffix":""},{"dropping-particle":"","family":"Sundström","given":"Christer","non-dropping-particle":"","parse-names":false,"suffix":""},{"dropping-particle":"","family":"Glimelius","given":"Bengt","non-dropping-particle":"","parse-names":false,"suffix":""},{"dropping-particle":"","family":"Adami","given":"Hans-Olov","non-dropping-particle":"","parse-names":false,"suffix":""}],"container-title":"Journal of the National Cancer Institute","id":"ITEM-16","issue":"3","issued":{"date-parts":[["2005","2","2"]]},"note":"InterLymph: SCALE","page":"199-209","title":"Ultraviolet radiation exposure and risk of malignant lymphomas.","type":"article-journal","volume":"97"},"uris":["http://www.mendeley.com/documents/?uuid=d57fa1cd-ed3d-4dde-9782-55255a08cfde"]},{"id":"ITEM-17","itemData":{"ISSN":"0002-9262","PMID":"10453814","abstract":"A population-based case-control study was conducted between 1988 and 1995 in the San Francisco Bay Area of California to determine risk factors for non-Hodgkin's lymphoma. Participants completed in-person interviews, and blood was drawn to test for viruses and lymphocyte subsets. This report includes data for 1,281 cases and 2,095 controls. In multivariate analyses, the factors associated with a decreased risk for non-Hodgkin's lymphoma were allergy to plants, bee and wasp stings, five or more vaccinations, drugs to lower blood cholesterol, nonsteroidal anti-inflammatory drugs, total number of sexual partners, and lifetime marijuana use, whereas an increased risk was associated with cimetidine and other histamine H2-receptor antagonists, splenectomy, gonorrhea, and body mass index. Unique to sex-specific models was an increased risk for endocrine gland disorders among women and for polio among men. Median CD3, CD4, CD8, CD20, and lymphocyte counts for non-Hodgkin's lymphoma patients were significantly lower than those for controls. These results implicate environmental factors that may influence the early stages of lymphomagenesis by stimulating the immune system. Antigen-driven B cells that accumulate to form lymphoma may be suppressed by immunologic stresses such as exposure to an increased number of sexual partners and to certain medications. A history of allergies provides evidence for a persistent capacity for B-cell differentiation and therefore a decreased accumulation of B cells. The decreased risk for non-Hodgkin's lymphoma with use of nonsteroidal anti-inflammatory drugs and cholesterol-lowering drugs is consistent with a macrophage inflammatory role in B-cell proliferation.","author":[{"dropping-particle":"","family":"Holly","given":"E A","non-dropping-particle":"","parse-names":false,"suffix":""},{"dropping-particle":"","family":"Lele","given":"C","non-dropping-particle":"","parse-names":false,"suffix":""},{"dropping-particle":"","family":"Bracci","given":"P M","non-dropping-particle":"","parse-names":false,"suffix":""},{"dropping-particle":"","family":"McGrath","given":"M S","non-dropping-particle":"","parse-names":false,"suffix":""}],"container-title":"American journal of epidemiology","id":"ITEM-17","issue":"4","issued":{"date-parts":[["1999","8","15"]]},"note":"InterLymph: UCSF1\n\nInterview\n\nBlood","page":"375-89","title":"Case-control study of non-Hodgkin's lymphoma among women and heterosexual men in the San Francisco Bay Area, California.","type":"article-journal","volume":"150"},"uris":["http://www.mendeley.com/documents/?uuid=5c124e62-78ac-4435-8fee-eabf195d734d"]},{"id":"ITEM-18","itemData":{"ISSN":"0002-9262","PMID":"12915497","abstract":"A population-based case-control study of non-Hodgkin lymphoma was conducted in the San Francisco Bay Area of California from 1988 to 1995. The study used Working Formulation histologic subtypes of non-Hodgkin lymphoma. Diffuse and immunoblastic large-cell lymphomas and all follicular lymphomas were combined to reflect two Revised European-American Lymphoma (REAL) classifications. Results were obtained from age- and sex-adjusted polytomous multivariable logistic models for 1,304 cases and 2,402 controls who were negative for human immunodeficiency virus. Statistically significant odds ratios for REAL large-cell lymphoma were decreased for receipt of five or more different vaccines (odds ratio (OR) = 0.65), use of calcium channel blockers (OR = 0.35), mononucleosis (OR = 0.55), plant allergies (OR = 0.72), and animal allergies (OR = 0.40). Odds ratios for REAL follicular lymphoma were decreased for use of nonsteroidal antiinflammatory drugs (OR = 0.67), hepatitis (OR = 0.36), and having had three or more bee or wasp stings (OR = 0.79) and were increased for heart disease (OR = 1.5). Similar elevated odds ratios for heart disease and Bacillus Calmette-Guérin vaccine and decreased odds ratios for nonsteroidal antiinflammatory drugs, plant allergies, and three or more bee or wasp stings were found for small lymphocytic lymphoma. These data provide direction for further investigation of immune function and genetic characteristics of subtypes of non-Hodgkin lymphoma in lymphomagenesis and warrant analyses in large pooled data sets.","author":[{"dropping-particle":"","family":"Holly","given":"Elizabeth A","non-dropping-particle":"","parse-names":false,"suffix":""},{"dropping-particle":"","family":"Bracci","given":"Paige M","non-dropping-particle":"","parse-names":false,"suffix":""}],"container-title":"American journal of epidemiology","id":"ITEM-18","issue":"4","issued":{"date-parts":[["2003","8","15"]]},"note":"InterLymph: UCSF\n\nInterview","page":"316-27","title":"Population-based study of non-Hodgkin lymphoma, histology, and medical history among human immunodeficiency virus-negative participants in San Francisco.","type":"article-journal","volume":"158"},"uris":["http://www.mendeley.com/documents/?uuid=e3bc132a-8cea-4017-bcfd-652fa70ad656"]},{"id":"ITEM-19","itemData":{"DOI":"10.1023/A:1025626208861","ISSN":"1573-7225","author":[{"dropping-particle":"","family":"Morton","given":"Lindsay McOmber","non-dropping-particle":"","parse-names":false,"suffix":""},{"dropping-particle":"","family":"Holford","given":"Theodore R.","non-dropping-particle":"","parse-names":false,"suffix":""},{"dropping-particle":"","family":"Leaderer","given":"Brian","non-dropping-particle":"","parse-names":false,"suffix":""},{"dropping-particle":"","family":"Zhang","given":"Yawei","non-dropping-particle":"","parse-names":false,"suffix":""},{"dropping-particle":"","family":"Zahm","given":"Shelia Hoar","non-dropping-particle":"","parse-names":false,"suffix":""},{"dropping-particle":"","family":"Boyle","given":"Peter","non-dropping-particle":"","parse-names":false,"suffix":""},{"dropping-particle":"","family":"Flynn","given":"Stuart","non-dropping-particle":"","parse-names":false,"suffix":""},{"dropping-particle":"","family":"Tallini","given":"Giovanni","non-dropping-particle":"","parse-names":false,"suffix":""},{"dropping-particle":"","family":"Owens","given":"Patricia H.","non-dropping-particle":"","parse-names":false,"suffix":""},{"dropping-particle":"","family":"Zhang","given":"Bing","non-dropping-particle":"","parse-names":false,"suffix":""},{"dropping-particle":"","family":"Zheng","given":"Tongzhang","non-dropping-particle":"","parse-names":false,"suffix":""}],"container-title":"Cancer Causes &amp; Control","id":"ITEM-19","issue":"7","issued":{"date-parts":[["2003"]]},"language":"en","note":"InterLymph: Yale","page":"687-694","publisher":"Kluwer Academic Publishers-Plenum Publishers","title":"Alcohol use and risk of non-Hodgkin's lymphoma among Connecticut women (United States)","type":"article-journal","volume":"14"},"uris":["http://www.mendeley.com/documents/?uuid=0dbfd079-d1cb-4d7d-beeb-0c63f5663571"]}],"mendeley":{"formattedCitation":"[4,5,10,22,26–40]","plainTextFormattedCitation":"[4,5,10,22,26–40]","previouslyFormattedCitation":"[4,5,31–39,10,21,25–30]"},"properties":{"noteIndex":0},"schema":"https://github.com/citation-style-language/schema/raw/master/csl-citation.json"}</w:instrText>
      </w:r>
      <w:r w:rsidR="003D26FD">
        <w:rPr>
          <w:rFonts w:cs="Arial"/>
        </w:rPr>
        <w:fldChar w:fldCharType="separate"/>
      </w:r>
      <w:r w:rsidR="00BB3BE7" w:rsidRPr="00BB3BE7">
        <w:rPr>
          <w:rFonts w:cs="Arial"/>
          <w:noProof/>
        </w:rPr>
        <w:t>[4,5,10,22,26–40]</w:t>
      </w:r>
      <w:r w:rsidR="003D26FD">
        <w:rPr>
          <w:rFonts w:cs="Arial"/>
        </w:rPr>
        <w:fldChar w:fldCharType="end"/>
      </w:r>
      <w:r w:rsidR="00B12F52">
        <w:rPr>
          <w:rFonts w:cs="Arial"/>
        </w:rPr>
        <w:t xml:space="preserve">. </w:t>
      </w:r>
    </w:p>
    <w:p w14:paraId="493A7544" w14:textId="191C151F" w:rsidR="000C7191" w:rsidRPr="003D037E" w:rsidRDefault="000C7191" w:rsidP="000C7191">
      <w:pPr>
        <w:spacing w:line="480" w:lineRule="auto"/>
        <w:ind w:firstLine="720"/>
        <w:rPr>
          <w:rFonts w:cs="Arial"/>
        </w:rPr>
      </w:pPr>
      <w:r>
        <w:rPr>
          <w:rFonts w:cs="Arial"/>
        </w:rPr>
        <w:t>InterLymph Consortium member s</w:t>
      </w:r>
      <w:r w:rsidR="000D74C4" w:rsidRPr="003D037E">
        <w:rPr>
          <w:rFonts w:cs="Arial"/>
        </w:rPr>
        <w:t>tudies</w:t>
      </w:r>
      <w:r w:rsidRPr="000C7191">
        <w:rPr>
          <w:rFonts w:cs="Arial"/>
        </w:rPr>
        <w:t xml:space="preserve"> </w:t>
      </w:r>
      <w:r w:rsidR="00835A68">
        <w:rPr>
          <w:rFonts w:cs="Arial"/>
        </w:rPr>
        <w:t xml:space="preserve">were selected </w:t>
      </w:r>
      <w:r w:rsidR="00E95A12">
        <w:rPr>
          <w:rFonts w:cs="Arial"/>
        </w:rPr>
        <w:t xml:space="preserve">for inclusion </w:t>
      </w:r>
      <w:r w:rsidR="000D74C4" w:rsidRPr="003D037E">
        <w:rPr>
          <w:rFonts w:cs="Arial"/>
        </w:rPr>
        <w:t>based on the a</w:t>
      </w:r>
      <w:r w:rsidR="00D553BB" w:rsidRPr="003D037E">
        <w:rPr>
          <w:rFonts w:cs="Arial"/>
        </w:rPr>
        <w:t xml:space="preserve">vailability of </w:t>
      </w:r>
      <w:r>
        <w:rPr>
          <w:rFonts w:cs="Arial"/>
        </w:rPr>
        <w:t xml:space="preserve">self-reported IM history and candidate </w:t>
      </w:r>
      <w:r w:rsidR="0090063C">
        <w:rPr>
          <w:rFonts w:cs="Arial"/>
        </w:rPr>
        <w:t>variant</w:t>
      </w:r>
      <w:r>
        <w:rPr>
          <w:rFonts w:cs="Arial"/>
        </w:rPr>
        <w:t xml:space="preserve"> genotypes from at least 50% of participants</w:t>
      </w:r>
      <w:r w:rsidRPr="003D037E">
        <w:rPr>
          <w:rFonts w:cs="Arial"/>
        </w:rPr>
        <w:t>.</w:t>
      </w:r>
      <w:r w:rsidRPr="000C7191">
        <w:rPr>
          <w:rFonts w:cs="Arial"/>
        </w:rPr>
        <w:t xml:space="preserve"> </w:t>
      </w:r>
      <w:r w:rsidR="00310E07">
        <w:rPr>
          <w:rFonts w:cs="Arial"/>
        </w:rPr>
        <w:t>P</w:t>
      </w:r>
      <w:r w:rsidRPr="003D037E">
        <w:rPr>
          <w:rFonts w:cs="Arial"/>
        </w:rPr>
        <w:t>articipants who had missing data for age at enrollment, sex, SES, or IM history</w:t>
      </w:r>
      <w:r w:rsidR="00310E07">
        <w:rPr>
          <w:rFonts w:cs="Arial"/>
        </w:rPr>
        <w:t xml:space="preserve"> were excluded</w:t>
      </w:r>
      <w:r w:rsidR="00B12F52">
        <w:rPr>
          <w:rFonts w:cs="Arial"/>
        </w:rPr>
        <w:t xml:space="preserve">. </w:t>
      </w:r>
      <w:r w:rsidR="00A6374B">
        <w:rPr>
          <w:rFonts w:cs="Arial"/>
        </w:rPr>
        <w:t>Because the number of non-white</w:t>
      </w:r>
      <w:r w:rsidR="00017DA5">
        <w:rPr>
          <w:rFonts w:cs="Arial"/>
        </w:rPr>
        <w:t xml:space="preserve"> participant</w:t>
      </w:r>
      <w:r w:rsidR="00A6374B">
        <w:rPr>
          <w:rFonts w:cs="Arial"/>
        </w:rPr>
        <w:t xml:space="preserve">s in </w:t>
      </w:r>
      <w:r w:rsidR="005D6DCC">
        <w:rPr>
          <w:rFonts w:cs="Arial"/>
        </w:rPr>
        <w:t xml:space="preserve">member studies </w:t>
      </w:r>
      <w:r w:rsidR="00A6374B">
        <w:rPr>
          <w:rFonts w:cs="Arial"/>
        </w:rPr>
        <w:t>was small and would require stratification for genetic analyses, we limited the study to white</w:t>
      </w:r>
      <w:r w:rsidR="00017DA5">
        <w:rPr>
          <w:rFonts w:cs="Arial"/>
        </w:rPr>
        <w:t xml:space="preserve"> participant</w:t>
      </w:r>
      <w:r w:rsidR="00A6374B">
        <w:rPr>
          <w:rFonts w:cs="Arial"/>
        </w:rPr>
        <w:t>s</w:t>
      </w:r>
      <w:r w:rsidR="008C384E">
        <w:rPr>
          <w:rFonts w:cs="Arial"/>
        </w:rPr>
        <w:t>.</w:t>
      </w:r>
      <w:r w:rsidR="00087A4F">
        <w:rPr>
          <w:rFonts w:cs="Arial"/>
        </w:rPr>
        <w:t xml:space="preserve"> </w:t>
      </w:r>
      <w:r w:rsidR="006712AB">
        <w:rPr>
          <w:rFonts w:cs="Arial"/>
        </w:rPr>
        <w:t>Consistent</w:t>
      </w:r>
      <w:r w:rsidR="00E81312">
        <w:rPr>
          <w:rFonts w:cs="Arial"/>
        </w:rPr>
        <w:t xml:space="preserve"> with previous InterLymph analyses, participants who reported IM diagnosis less than 2 years before NHL diagnosis we</w:t>
      </w:r>
      <w:r w:rsidR="004E1F71">
        <w:rPr>
          <w:rFonts w:cs="Arial"/>
        </w:rPr>
        <w:t>re</w:t>
      </w:r>
      <w:r w:rsidR="00E81312">
        <w:rPr>
          <w:rFonts w:cs="Arial"/>
        </w:rPr>
        <w:t xml:space="preserve"> excluded</w:t>
      </w:r>
      <w:r w:rsidR="004E1F71">
        <w:rPr>
          <w:rFonts w:cs="Arial"/>
        </w:rPr>
        <w:t xml:space="preserve"> </w:t>
      </w:r>
      <w:r w:rsidR="00DA07A6">
        <w:rPr>
          <w:rFonts w:cs="Arial"/>
        </w:rPr>
        <w:fldChar w:fldCharType="begin" w:fldLock="1"/>
      </w:r>
      <w:r w:rsidR="00BB3BE7">
        <w:rPr>
          <w:rFonts w:cs="Arial"/>
        </w:rPr>
        <w:instrText>ADDIN CSL_CITATION {"citationItems":[{"id":"ITEM-1","itemData":{"DOI":"10.1002/ijc.27438","ISSN":"00207136","PMID":"22266776","abstract":"We performed a pooled analysis of data on self-reported history of infections in relation to the risk of non-Hodgkin lymphoma (NHL) from 17 case-control studies that included 12,585 cases and 15,416 controls aged 16-96 years at recruitment. Pooled odds ratios (OR) and 95% confidence intervals (95% CI) were estimated in two-stage random-effect or joint fixed-effect models, adjusting for age, sex and study centre. Data from the two years prior to diagnosis (or date of interview for controls) were excluded. A self-reported history of infectious mononucleosis (IM) was associated with an excess risk of NHL (OR=1.26, 95% CI=1.01-1.57 based on data from 16 studies); study-specific results indicate significant (I(2) =51%, p=0.01) heterogeneity. A self-reported history of measles or whooping cough was associated with an approximate 15% reduction in risk. History of other infection was not associated with NHL. We find little clear evidence of an association between NHL risk and infection although the limitations of data based on self-reported medical history (particularly of childhood illness reported by older people) are well recognised. © 2012 Wiley-Liss, Inc.","author":[{"dropping-particle":"","family":"Becker","given":"Nikolaus","non-dropping-particle":"","parse-names":false,"suffix":""},{"dropping-particle":"","family":"Falster","given":"Michael O.","non-dropping-particle":"","parse-names":false,"suffix":""},{"dropping-particle":"","family":"Vajdic","given":"Claire M.","non-dropping-particle":"","parse-names":false,"suffix":""},{"dropping-particle":"","family":"Sanjose","given":"Silvia","non-dropping-particle":"De","parse-names":false,"suffix":""},{"dropping-particle":"","family":"Martínez-Maza","given":"Otoniel","non-dropping-particle":"","parse-names":false,"suffix":""},{"dropping-particle":"","family":"Bracci","given":"Paige M.","non-dropping-particle":"","parse-names":false,"suffix":""},{"dropping-particle":"","family":"Melbye","given":"Mads","non-dropping-particle":"","parse-names":false,"suffix":""},{"dropping-particle":"","family":"Smedby","given":"Karin Ekström","non-dropping-particle":"","parse-names":false,"suffix":""},{"dropping-particle":"","family":"Engels","given":"Eric a.","non-dropping-particle":"","parse-names":false,"suffix":""},{"dropping-particle":"","family":"Turner","given":"Jennifer","non-dropping-particle":"","parse-names":false,"suffix":""},{"dropping-particle":"","family":"Vineis","given":"Paolo","non-dropping-particle":"","parse-names":false,"suffix":""},{"dropping-particle":"","family":"Costantini","given":"Adele Seniori","non-dropping-particle":"","parse-names":false,"suffix":""},{"dropping-particle":"","family":"Holly","given":"Elizabeth a.","non-dropping-particle":"","parse-names":false,"suffix":""},{"dropping-particle":"","family":"Spinelli","given":"John J.","non-dropping-particle":"","parse-names":false,"suffix":""},{"dropping-particle":"La","family":"Vecchia","given":"Carlo","non-dropping-particle":"","parse-names":false,"suffix":""},{"dropping-particle":"","family":"Zheng","given":"Tongzhang","non-dropping-particle":"","parse-names":false,"suffix":""},{"dropping-particle":"","family":"Chiu","given":"Brian C H","non-dropping-particle":"","parse-names":false,"suffix":""},{"dropping-particle":"","family":"Montella","given":"Maurizio","non-dropping-particle":"","parse-names":false,"suffix":""},{"dropping-particle":"","family":"Cocco","given":"Pierluigi","non-dropping-particle":"","parse-names":false,"suffix":""},{"dropping-particle":"","family":"Maynadié","given":"Marc","non-dropping-particle":"","parse-names":false,"suffix":""},{"dropping-particle":"","family":"Foretova","given":"Lenka","non-dropping-particle":"","parse-names":false,"suffix":""},{"dropping-particle":"","family":"Staines","given":"Anthony","non-dropping-particle":"","parse-names":false,"suffix":""},{"dropping-particle":"","family":"Brennan","given":"Paul","non-dropping-particle":"","parse-names":false,"suffix":""},{"dropping-particle":"","family":"Davis","given":"Scott","non-dropping-particle":"","parse-names":false,"suffix":""},{"dropping-particle":"","family":"Severson","given":"Richard","non-dropping-particle":"","parse-names":false,"suffix":""},{"dropping-particle":"","family":"Cerhan","given":"James R.","non-dropping-particle":"","parse-names":false,"suffix":""},{"dropping-particle":"","family":"Breen","given":"Elizabeth C.","non-dropping-particle":"","parse-names":false,"suffix":""},{"dropping-particle":"","family":"Birmann","given":"Brenda","non-dropping-particle":"","parse-names":false,"suffix":""},{"dropping-particle":"","family":"Cozen","given":"Wendy","non-dropping-particle":"","parse-names":false,"suffix":""},{"dropping-particle":"","family":"Grulich","given":"Andrew E.","non-dropping-particle":"","parse-names":false,"suffix":""},{"dropping-particle":"","family":"Newton","given":"Robert","non-dropping-particle":"","parse-names":false,"suffix":""}],"container-title":"International Journal of Cancer","id":"ITEM-1","issue":"May 2011","issued":{"date-parts":[["2012"]]},"page":"2342-2348","title":"Self-reported history of infections and the risk of non-Hodgkin lymphoma: An InterLymph pooled analysis","type":"article-journal","volume":"131"},"uris":["http://www.mendeley.com/documents/?uuid=9aad532c-428f-4218-9fd2-36983e77dc46"]}],"mendeley":{"formattedCitation":"[22]","plainTextFormattedCitation":"[22]","previouslyFormattedCitation":"[21]"},"properties":{"noteIndex":0},"schema":"https://github.com/citation-style-language/schema/raw/master/csl-citation.json"}</w:instrText>
      </w:r>
      <w:r w:rsidR="00DA07A6">
        <w:rPr>
          <w:rFonts w:cs="Arial"/>
        </w:rPr>
        <w:fldChar w:fldCharType="separate"/>
      </w:r>
      <w:r w:rsidR="00BB3BE7" w:rsidRPr="00BB3BE7">
        <w:rPr>
          <w:rFonts w:cs="Arial"/>
          <w:noProof/>
        </w:rPr>
        <w:t>[22]</w:t>
      </w:r>
      <w:r w:rsidR="00DA07A6">
        <w:rPr>
          <w:rFonts w:cs="Arial"/>
        </w:rPr>
        <w:fldChar w:fldCharType="end"/>
      </w:r>
      <w:r w:rsidR="00E81312">
        <w:rPr>
          <w:rFonts w:cs="Arial"/>
        </w:rPr>
        <w:t>.</w:t>
      </w:r>
    </w:p>
    <w:p w14:paraId="62B18CBD" w14:textId="77777777" w:rsidR="000C7191" w:rsidRDefault="000C7191" w:rsidP="00887B34">
      <w:pPr>
        <w:pStyle w:val="Heading3"/>
      </w:pPr>
    </w:p>
    <w:p w14:paraId="50712319" w14:textId="77777777" w:rsidR="00056718" w:rsidRPr="003D037E" w:rsidRDefault="00056718" w:rsidP="00887B34">
      <w:pPr>
        <w:pStyle w:val="Heading3"/>
      </w:pPr>
      <w:r w:rsidRPr="003D037E">
        <w:t>Data collection</w:t>
      </w:r>
    </w:p>
    <w:p w14:paraId="1F5C5A43" w14:textId="4C1AAFDE" w:rsidR="00056718" w:rsidRPr="003D037E" w:rsidRDefault="00DE45CB" w:rsidP="00DE45CB">
      <w:pPr>
        <w:spacing w:line="480" w:lineRule="auto"/>
        <w:ind w:firstLine="720"/>
        <w:rPr>
          <w:rFonts w:cs="Arial"/>
        </w:rPr>
      </w:pPr>
      <w:r w:rsidRPr="003D037E">
        <w:rPr>
          <w:rFonts w:cs="Arial"/>
        </w:rPr>
        <w:t>The InterLymph Data Coordinating Center</w:t>
      </w:r>
      <w:r>
        <w:rPr>
          <w:rFonts w:cs="Arial"/>
        </w:rPr>
        <w:t xml:space="preserve"> (</w:t>
      </w:r>
      <w:r w:rsidRPr="003D037E">
        <w:rPr>
          <w:rFonts w:cs="Arial"/>
        </w:rPr>
        <w:t xml:space="preserve">Mayo Clinic, Rochester, MN) harmonized data submitted by each study site into a de-identified, pooled dataset for </w:t>
      </w:r>
      <w:r>
        <w:rPr>
          <w:rFonts w:cs="Arial"/>
        </w:rPr>
        <w:t>analysis</w:t>
      </w:r>
      <w:r w:rsidR="000C7191">
        <w:rPr>
          <w:rFonts w:cs="Arial"/>
        </w:rPr>
        <w:t xml:space="preserve">. </w:t>
      </w:r>
      <w:r w:rsidR="0089565E">
        <w:rPr>
          <w:rFonts w:cs="Arial"/>
        </w:rPr>
        <w:t>Information on demographics, family structure</w:t>
      </w:r>
      <w:r w:rsidR="003B2895">
        <w:rPr>
          <w:rFonts w:cs="Arial"/>
        </w:rPr>
        <w:t xml:space="preserve"> (number of siblings and birth order)</w:t>
      </w:r>
      <w:r w:rsidR="00E95A12">
        <w:rPr>
          <w:rFonts w:cs="Arial"/>
        </w:rPr>
        <w:t>,</w:t>
      </w:r>
      <w:r w:rsidR="0089565E">
        <w:rPr>
          <w:rFonts w:cs="Arial"/>
        </w:rPr>
        <w:t xml:space="preserve"> and </w:t>
      </w:r>
      <w:r w:rsidR="003B2461" w:rsidRPr="003D037E">
        <w:rPr>
          <w:rFonts w:cs="Arial"/>
        </w:rPr>
        <w:t xml:space="preserve">IM </w:t>
      </w:r>
      <w:r w:rsidR="00C5350A" w:rsidRPr="003D037E">
        <w:rPr>
          <w:rFonts w:cs="Arial"/>
        </w:rPr>
        <w:t xml:space="preserve">history </w:t>
      </w:r>
      <w:r w:rsidR="00E95A12">
        <w:rPr>
          <w:rFonts w:cs="Arial"/>
        </w:rPr>
        <w:t>was</w:t>
      </w:r>
      <w:r w:rsidR="00E95A12" w:rsidRPr="003D037E">
        <w:rPr>
          <w:rFonts w:cs="Arial"/>
        </w:rPr>
        <w:t xml:space="preserve"> </w:t>
      </w:r>
      <w:r w:rsidR="00141CAB" w:rsidRPr="003D037E">
        <w:rPr>
          <w:rFonts w:cs="Arial"/>
        </w:rPr>
        <w:t xml:space="preserve">self-reported </w:t>
      </w:r>
      <w:r w:rsidR="00141CAB">
        <w:rPr>
          <w:rFonts w:cs="Arial"/>
        </w:rPr>
        <w:t>using</w:t>
      </w:r>
      <w:r w:rsidR="00056718" w:rsidRPr="003D037E">
        <w:rPr>
          <w:rFonts w:cs="Arial"/>
        </w:rPr>
        <w:t xml:space="preserve"> questionnaires</w:t>
      </w:r>
      <w:r w:rsidR="00CF1EE9">
        <w:rPr>
          <w:rFonts w:cs="Arial"/>
        </w:rPr>
        <w:t xml:space="preserve"> </w:t>
      </w:r>
      <w:r w:rsidR="00CF1EE9">
        <w:rPr>
          <w:rFonts w:cs="Arial"/>
        </w:rPr>
        <w:fldChar w:fldCharType="begin" w:fldLock="1"/>
      </w:r>
      <w:r w:rsidR="001C69F2">
        <w:rPr>
          <w:rFonts w:cs="Arial"/>
        </w:rPr>
        <w:instrText>ADDIN CSL_CITATION {"citationItems":[{"id":"ITEM-1","itemData":{"DOI":"10.1093/jncimonographs/lgu005","ISBN":"1745-6614 (Electronic)\\r1052-6773 (Linking)","ISSN":"17456614","PMID":"25174022","abstract":"BACKGROUND: Non-Hodgkin lymphoma (NHL), the most common hematologic malignancy, consists of numerous subtypes. The etiology of NHL is incompletely understood, and increasing evidence suggests that risk factors may vary by NHL subtype. However, small numbers of cases have made investigation of subtype-specific risks challenging. The International Lymphoma Epidemiology Consortium therefore undertook the NHL Subtypes Project, an international collaborative effort to investigate the etiologies of NHL subtypes. This article describes in detail the project rationale and design.\\n\\nMETHODS: We pooled individual-level data from 20 case-control studies (17471 NHL cases, 23096 controls) from North America, Europe, and Australia. Centralized data harmonization and analysis ensured standardized definitions and approaches, with rigorous quality control.\\n\\nRESULTS: The pooled study population included 11 specified NHL subtypes with more than 100 cases: diffuse large B-cell lymphoma (N = 4667), follicular lymphoma (N = 3530), chronic lymphocytic leukemia/small lymphocytic lymphoma (N = 2440), marginal zone lymphoma (N = 1052), peripheral T-cell lymphoma (N = 584), mantle cell lymphoma (N = 557), lymphoplasmacytic lymphoma/Waldenström macroglobulinemia (N = 374), mycosis fungoides/Sézary syndrome (N = 324), Burkitt/Burkitt-like lymphoma/leukemia (N = 295), hairy cell leukemia (N = 154), and acute lymphoblastic leukemia/lymphoma (N = 152). Associations with medical history, family history, lifestyle factors, and occupation for each of these 11 subtypes are presented in separate articles in this issue, with a final article quantitatively comparing risk factor patterns among subtypes.\\n\\nCONCLUSIONS: The International Lymphoma Epidemiology Consortium NHL Subtypes Project provides the largest and most comprehensive investigation of potential risk factors for a broad range of common and rare NHL subtypes to date. The analyses contribute to our understanding of the multifactorial nature of NHL subtype etiologies, motivate hypothesis-driven prospective investigations, provide clues for prevention, and exemplify the benefits of international consortial collaboration in cancer epidemiology.","author":[{"dropping-particle":"","family":"Morton","given":"Lindsay M.","non-dropping-particle":"","parse-names":false,"suffix":""},{"dropping-particle":"","family":"Sampson","given":"Joshua N.","non-dropping-particle":"","parse-names":false,"suffix":""},{"dropping-particle":"","family":"Cerhan","given":"James R.","non-dropping-particle":"","parse-names":false,"suffix":""},{"dropping-particle":"","family":"Turner","given":"Jennifer J.","non-dropping-particle":"","parse-names":false,"suffix":""},{"dropping-particle":"","family":"Vajdic","given":"Claire M.","non-dropping-particle":"","parse-names":false,"suffix":""},{"dropping-particle":"","family":"Wang","given":"Sophia S.","non-dropping-particle":"","parse-names":false,"suffix":""},{"dropping-particle":"","family":"Smedby","given":"Karin E.","non-dropping-particle":"","parse-names":false,"suffix":""},{"dropping-particle":"","family":"Sanjosé","given":"Silvia","non-dropping-particle":"De","parse-names":false,"suffix":""},{"dropping-particle":"","family":"Monnereau","given":"Alain","non-dropping-particle":"","parse-names":false,"suffix":""},{"dropping-particle":"","family":"Benavente","given":"Yolanda","non-dropping-particle":"","parse-names":false,"suffix":""},{"dropping-particle":"","family":"Bracci","given":"Paige M.","non-dropping-particle":"","parse-names":false,"suffix":""},{"dropping-particle":"","family":"Chiu","given":"Brian C.H.","non-dropping-particle":"","parse-names":false,"suffix":""},{"dropping-particle":"","family":"Skibola","given":"Christine F.","non-dropping-particle":"","parse-names":false,"suffix":""},{"dropping-particle":"","family":"Zhang","given":"Yawei","non-dropping-particle":"","parse-names":false,"suffix":""},{"dropping-particle":"","family":"Mbulaiteye","given":"Sam M.","non-dropping-particle":"","parse-names":false,"suffix":""},{"dropping-particle":"","family":"Spriggs","given":"Michael","non-dropping-particle":"","parse-names":false,"suffix":""},{"dropping-particle":"","family":"Robinson","given":"Dennis","non-dropping-particle":"","parse-names":false,"suffix":""},{"dropping-particle":"","family":"Norman","given":"Aaron D.","non-dropping-particle":"","parse-names":false,"suffix":""},{"dropping-particle":"V.","family":"Kane","given":"Eleanor","non-dropping-particle":"","parse-names":false,"suffix":""},{"dropping-particle":"","family":"Spinelli","given":"John J.","non-dropping-particle":"","parse-names":false,"suffix":""},{"dropping-particle":"","family":"Kelly","given":"Jennifer L.","non-dropping-particle":"","parse-names":false,"suffix":""},{"dropping-particle":"","family":"Vecchia","given":"Carlo","non-dropping-particle":"La","parse-names":false,"suffix":""},{"dropping-particle":"","family":"Maso","given":"Luigino Dal","non-dropping-particle":"","parse-names":false,"suffix":""},{"dropping-particle":"","family":"Maynadié","given":"Marc","non-dropping-particle":"","parse-names":false,"suffix":""},{"dropping-particle":"","family":"Kadin","given":"Marshall E.","non-dropping-particle":"","parse-names":false,"suffix":""},{"dropping-particle":"","family":"Cocco","given":"Pierluigi","non-dropping-particle":"","parse-names":false,"suffix":""},{"dropping-particle":"","family":"Costantini","given":"Adele Seniori","non-dropping-particle":"","parse-names":false,"suffix":""},{"dropping-particle":"","family":"Clarke","given":"Christina A.","non-dropping-particle":"","parse-names":false,"suffix":""},{"dropping-particle":"","family":"Roman","given":"Eve","non-dropping-particle":"","parse-names":false,"suffix":""},{"dropping-particle":"","family":"Miligi","given":"Lucia","non-dropping-particle":"","parse-names":false,"suffix":""},{"dropping-particle":"","family":"Colt","given":"Joanne S.","non-dropping-particle":"","parse-names":false,"suffix":""},{"dropping-particle":"","family":"Berndt","given":"Sonja I.","non-dropping-particle":"","parse-names":false,"suffix":""},{"dropping-particle":"","family":"Mannetje","given":"Andrea","non-dropping-particle":"","parse-names":false,"suffix":""},{"dropping-particle":"","family":"Roos","given":"Anneclaire J.","non-dropping-particle":"de","parse-names":false,"suffix":""},{"dropping-particle":"","family":"Kricker","given":"Anne","non-dropping-particle":"","parse-names":false,"suffix":""},{"dropping-particle":"","family":"Nieters","given":"Alexandra","non-dropping-particle":"","parse-names":false,"suffix":""},{"dropping-particle":"","family":"Franceschi","given":"Silvia","non-dropping-particle":"","parse-names":false,"suffix":""},{"dropping-particle":"","family":"Melbye","given":"Mads","non-dropping-particle":"","parse-names":false,"suffix":""},{"dropping-particle":"","family":"Boffetta","given":"Paolo","non-dropping-particle":"","parse-names":false,"suffix":""},{"dropping-particle":"","family":"Clavel","given":"Jacqueline","non-dropping-particle":"","parse-names":false,"suffix":""},{"dropping-particle":"","family":"Linet","given":"Martha S.","non-dropping-particle":"","parse-names":false,"suffix":""},{"dropping-particle":"","family":"Weisenburger","given":"Dennis D.","non-dropping-particle":"","parse-names":false,"suffix":""},{"dropping-particle":"","family":"Slager","given":"Susan L.","non-dropping-particle":"","parse-names":false,"suffix":""}],"container-title":"Journal of the National Cancer Institute - Monographs","id":"ITEM-1","issue":"48","issued":{"date-parts":[["2014"]]},"page":"1-14","title":"Rationale and Design of the International Lymphoma Epidemiology Consortium (InterLymph) Non-Hodgkin Lymphoma Subtypes Project","type":"article-journal","volume":"2014"},"uris":["http://www.mendeley.com/documents/?uuid=3962e3bd-2801-46f3-a46b-41e82e9e67ac"]}],"mendeley":{"formattedCitation":"[1]","plainTextFormattedCitation":"[1]","previouslyFormattedCitation":"[1]"},"properties":{"noteIndex":0},"schema":"https://github.com/citation-style-language/schema/raw/master/csl-citation.json"}</w:instrText>
      </w:r>
      <w:r w:rsidR="00CF1EE9">
        <w:rPr>
          <w:rFonts w:cs="Arial"/>
        </w:rPr>
        <w:fldChar w:fldCharType="separate"/>
      </w:r>
      <w:r w:rsidR="00CF1EE9" w:rsidRPr="00CF1EE9">
        <w:rPr>
          <w:rFonts w:cs="Arial"/>
          <w:noProof/>
        </w:rPr>
        <w:t>[1]</w:t>
      </w:r>
      <w:r w:rsidR="00CF1EE9">
        <w:rPr>
          <w:rFonts w:cs="Arial"/>
        </w:rPr>
        <w:fldChar w:fldCharType="end"/>
      </w:r>
      <w:r w:rsidR="00056718" w:rsidRPr="003D037E">
        <w:rPr>
          <w:rFonts w:cs="Arial"/>
        </w:rPr>
        <w:t xml:space="preserve">. </w:t>
      </w:r>
      <w:r w:rsidR="00D2259D" w:rsidRPr="003D037E">
        <w:rPr>
          <w:rFonts w:cs="Arial"/>
        </w:rPr>
        <w:t>Ethnicity/race</w:t>
      </w:r>
      <w:r w:rsidR="00056718" w:rsidRPr="003D037E">
        <w:rPr>
          <w:rFonts w:cs="Arial"/>
        </w:rPr>
        <w:t xml:space="preserve"> was </w:t>
      </w:r>
      <w:r w:rsidR="00141CAB">
        <w:rPr>
          <w:rFonts w:cs="Arial"/>
        </w:rPr>
        <w:t>available</w:t>
      </w:r>
      <w:r w:rsidR="00141CAB" w:rsidRPr="003D037E">
        <w:rPr>
          <w:rFonts w:cs="Arial"/>
        </w:rPr>
        <w:t xml:space="preserve"> </w:t>
      </w:r>
      <w:r w:rsidR="00056718" w:rsidRPr="003D037E">
        <w:rPr>
          <w:rFonts w:cs="Arial"/>
        </w:rPr>
        <w:t xml:space="preserve">for </w:t>
      </w:r>
      <w:r w:rsidR="009373C8">
        <w:rPr>
          <w:rFonts w:cs="Arial"/>
        </w:rPr>
        <w:t>eleven</w:t>
      </w:r>
      <w:r w:rsidR="009373C8" w:rsidRPr="003D037E">
        <w:rPr>
          <w:rFonts w:cs="Arial"/>
        </w:rPr>
        <w:t xml:space="preserve"> </w:t>
      </w:r>
      <w:r w:rsidR="00056718" w:rsidRPr="003D037E">
        <w:rPr>
          <w:rFonts w:cs="Arial"/>
        </w:rPr>
        <w:t xml:space="preserve">of the </w:t>
      </w:r>
      <w:r w:rsidR="009373C8">
        <w:rPr>
          <w:rFonts w:cs="Arial"/>
        </w:rPr>
        <w:t>twelve</w:t>
      </w:r>
      <w:r w:rsidR="009373C8" w:rsidRPr="003D037E">
        <w:rPr>
          <w:rFonts w:cs="Arial"/>
        </w:rPr>
        <w:t xml:space="preserve"> </w:t>
      </w:r>
      <w:r w:rsidR="00056718" w:rsidRPr="003D037E">
        <w:rPr>
          <w:rFonts w:cs="Arial"/>
        </w:rPr>
        <w:t>study centers included in the analysis</w:t>
      </w:r>
      <w:r w:rsidR="003B2895">
        <w:rPr>
          <w:rFonts w:cs="Arial"/>
        </w:rPr>
        <w:t xml:space="preserve">, with the participants from most of these European, U.S., </w:t>
      </w:r>
      <w:r w:rsidR="00785128">
        <w:rPr>
          <w:rFonts w:cs="Arial"/>
        </w:rPr>
        <w:t xml:space="preserve">and </w:t>
      </w:r>
      <w:r w:rsidR="003B2895">
        <w:rPr>
          <w:rFonts w:cs="Arial"/>
        </w:rPr>
        <w:t>Canadian studies being non-Hispanic white</w:t>
      </w:r>
      <w:r w:rsidR="00B12F52">
        <w:rPr>
          <w:rFonts w:cs="Arial"/>
        </w:rPr>
        <w:t xml:space="preserve">. </w:t>
      </w:r>
      <w:r w:rsidR="00AE7C42">
        <w:t>Participants with missing race</w:t>
      </w:r>
      <w:r w:rsidR="00AB2859">
        <w:t>/ethnicity</w:t>
      </w:r>
      <w:r w:rsidR="00AE7C42">
        <w:t xml:space="preserve"> were included from SCALE </w:t>
      </w:r>
      <w:r w:rsidR="00AE7C42">
        <w:rPr>
          <w:rFonts w:cs="Arial"/>
        </w:rPr>
        <w:t>(N=</w:t>
      </w:r>
      <w:r w:rsidR="00AE7C42">
        <w:rPr>
          <w:rFonts w:eastAsia="MS Mincho" w:cs="Arial"/>
        </w:rPr>
        <w:t>5683</w:t>
      </w:r>
      <w:r w:rsidR="00AE7C42">
        <w:rPr>
          <w:rFonts w:cs="Arial"/>
        </w:rPr>
        <w:t>)</w:t>
      </w:r>
      <w:r w:rsidR="00AE7C42">
        <w:t xml:space="preserve">, Mayo Clinic </w:t>
      </w:r>
      <w:r w:rsidR="00AE7C42">
        <w:rPr>
          <w:rFonts w:cs="Arial"/>
        </w:rPr>
        <w:t>(</w:t>
      </w:r>
      <w:r w:rsidR="00AE7C42" w:rsidRPr="003D037E">
        <w:rPr>
          <w:rFonts w:cs="Arial"/>
        </w:rPr>
        <w:t>N=</w:t>
      </w:r>
      <w:r w:rsidR="00AE7C42">
        <w:rPr>
          <w:rFonts w:eastAsia="MS Mincho" w:cs="Arial"/>
        </w:rPr>
        <w:t>28</w:t>
      </w:r>
      <w:r w:rsidR="00AE7C42" w:rsidRPr="003D037E">
        <w:rPr>
          <w:rFonts w:cs="Arial"/>
        </w:rPr>
        <w:t>)</w:t>
      </w:r>
      <w:r w:rsidR="00AE7C42">
        <w:t xml:space="preserve">, Yale </w:t>
      </w:r>
      <w:r w:rsidR="00AE7C42">
        <w:rPr>
          <w:rFonts w:cs="Arial"/>
        </w:rPr>
        <w:t>(</w:t>
      </w:r>
      <w:r w:rsidR="00AE7C42" w:rsidRPr="003D037E">
        <w:rPr>
          <w:rFonts w:cs="Arial"/>
        </w:rPr>
        <w:t>N=</w:t>
      </w:r>
      <w:r w:rsidR="00AE7C42">
        <w:rPr>
          <w:rFonts w:eastAsia="MS Mincho" w:cs="Arial"/>
        </w:rPr>
        <w:t>3</w:t>
      </w:r>
      <w:r w:rsidR="00AE7C42" w:rsidRPr="003D037E">
        <w:rPr>
          <w:rFonts w:cs="Arial"/>
        </w:rPr>
        <w:t>)</w:t>
      </w:r>
      <w:r w:rsidR="00AE7C42">
        <w:t xml:space="preserve">, NCI-SEER-Seattle and Iowa </w:t>
      </w:r>
      <w:r w:rsidR="00AE7C42">
        <w:rPr>
          <w:rFonts w:cs="Arial"/>
        </w:rPr>
        <w:t>(</w:t>
      </w:r>
      <w:r w:rsidR="00AE7C42" w:rsidRPr="003D037E">
        <w:rPr>
          <w:rFonts w:cs="Arial"/>
        </w:rPr>
        <w:t>N=</w:t>
      </w:r>
      <w:r w:rsidR="00AE7C42">
        <w:rPr>
          <w:rFonts w:eastAsia="MS Mincho" w:cs="Arial"/>
        </w:rPr>
        <w:t>20</w:t>
      </w:r>
      <w:r w:rsidR="00AE7C42" w:rsidRPr="003D037E">
        <w:rPr>
          <w:rFonts w:cs="Arial"/>
        </w:rPr>
        <w:t>)</w:t>
      </w:r>
      <w:r w:rsidR="00AE7C42">
        <w:t xml:space="preserve"> studies </w:t>
      </w:r>
      <w:r w:rsidR="00AE7C42">
        <w:lastRenderedPageBreak/>
        <w:t xml:space="preserve">since the majority of the population in these study areas were non-Hispanic white; otherwise those with missing race were excluded. </w:t>
      </w:r>
      <w:r w:rsidR="00056718" w:rsidRPr="003D037E">
        <w:rPr>
          <w:rFonts w:cs="Arial"/>
        </w:rPr>
        <w:t>Socioeconomic status</w:t>
      </w:r>
      <w:r w:rsidR="0089565E">
        <w:rPr>
          <w:rFonts w:cs="Arial"/>
        </w:rPr>
        <w:t xml:space="preserve"> (SES)</w:t>
      </w:r>
      <w:r w:rsidR="00056718" w:rsidRPr="003D037E">
        <w:rPr>
          <w:rFonts w:cs="Arial"/>
        </w:rPr>
        <w:t xml:space="preserve"> was categorized based on years of education</w:t>
      </w:r>
      <w:r w:rsidR="001A0CAB">
        <w:rPr>
          <w:rFonts w:cs="Arial"/>
        </w:rPr>
        <w:t xml:space="preserve"> (</w:t>
      </w:r>
      <w:r w:rsidR="00056718" w:rsidRPr="003D037E">
        <w:rPr>
          <w:rFonts w:cs="Arial"/>
        </w:rPr>
        <w:t>low: 0-12 years, hig</w:t>
      </w:r>
      <w:r w:rsidR="001650FA">
        <w:rPr>
          <w:rFonts w:cs="Arial"/>
        </w:rPr>
        <w:t>h school or less; medium: 13-15</w:t>
      </w:r>
      <w:r w:rsidR="00B53377">
        <w:rPr>
          <w:rFonts w:cs="Arial"/>
        </w:rPr>
        <w:t xml:space="preserve"> </w:t>
      </w:r>
      <w:r w:rsidR="00056718" w:rsidRPr="003D037E">
        <w:rPr>
          <w:rFonts w:cs="Arial"/>
        </w:rPr>
        <w:t>years</w:t>
      </w:r>
      <w:r w:rsidR="002E5E00">
        <w:rPr>
          <w:rFonts w:cs="Arial"/>
        </w:rPr>
        <w:t>, some college; high: 16+</w:t>
      </w:r>
      <w:r w:rsidR="00B53377">
        <w:rPr>
          <w:rFonts w:cs="Arial"/>
        </w:rPr>
        <w:t xml:space="preserve"> </w:t>
      </w:r>
      <w:r w:rsidR="00056718" w:rsidRPr="003D037E">
        <w:rPr>
          <w:rFonts w:cs="Arial"/>
        </w:rPr>
        <w:t>years, college degree or more) or tertiles of the SES variable submitted by each individual study center</w:t>
      </w:r>
      <w:r w:rsidR="00B12F52">
        <w:rPr>
          <w:rFonts w:cs="Arial"/>
        </w:rPr>
        <w:t xml:space="preserve">. </w:t>
      </w:r>
    </w:p>
    <w:p w14:paraId="34FF908F" w14:textId="40B21D3B" w:rsidR="00111110" w:rsidRPr="003D037E" w:rsidRDefault="00066B8B" w:rsidP="00066B8B">
      <w:pPr>
        <w:spacing w:line="480" w:lineRule="auto"/>
        <w:ind w:firstLine="720"/>
        <w:rPr>
          <w:rFonts w:cs="Arial"/>
        </w:rPr>
      </w:pPr>
      <w:r>
        <w:rPr>
          <w:rFonts w:cs="Arial"/>
        </w:rPr>
        <w:t>The pooled analysis used existing genotype data o</w:t>
      </w:r>
      <w:r w:rsidR="0047531B">
        <w:rPr>
          <w:rFonts w:cs="Arial"/>
        </w:rPr>
        <w:t>n</w:t>
      </w:r>
      <w:r>
        <w:rPr>
          <w:rFonts w:cs="Arial"/>
        </w:rPr>
        <w:t xml:space="preserve"> </w:t>
      </w:r>
      <w:r w:rsidR="0090063C">
        <w:rPr>
          <w:rFonts w:cs="Arial"/>
        </w:rPr>
        <w:t>variant</w:t>
      </w:r>
      <w:r>
        <w:rPr>
          <w:rFonts w:cs="Arial"/>
        </w:rPr>
        <w:t xml:space="preserve">s </w:t>
      </w:r>
      <w:r w:rsidRPr="003D037E">
        <w:rPr>
          <w:rFonts w:cs="Arial"/>
        </w:rPr>
        <w:t xml:space="preserve">selected </w:t>
      </w:r>
      <w:r>
        <w:rPr>
          <w:rFonts w:cs="Arial"/>
          <w:i/>
        </w:rPr>
        <w:t xml:space="preserve">a priori </w:t>
      </w:r>
      <w:r w:rsidRPr="003D037E">
        <w:rPr>
          <w:rFonts w:cs="Arial"/>
        </w:rPr>
        <w:t xml:space="preserve">based on results from previous functional </w:t>
      </w:r>
      <w:r w:rsidR="009373C8">
        <w:rPr>
          <w:rFonts w:cs="Arial"/>
        </w:rPr>
        <w:t>analyses,</w:t>
      </w:r>
      <w:r w:rsidRPr="003D037E">
        <w:rPr>
          <w:rFonts w:cs="Arial"/>
        </w:rPr>
        <w:t xml:space="preserve"> association</w:t>
      </w:r>
      <w:r>
        <w:rPr>
          <w:rFonts w:cs="Arial"/>
        </w:rPr>
        <w:t xml:space="preserve"> </w:t>
      </w:r>
      <w:r w:rsidRPr="003D037E">
        <w:rPr>
          <w:rFonts w:cs="Arial"/>
        </w:rPr>
        <w:t>with NHL</w:t>
      </w:r>
      <w:r w:rsidR="009373C8">
        <w:rPr>
          <w:rFonts w:cs="Arial"/>
        </w:rPr>
        <w:t>,</w:t>
      </w:r>
      <w:r w:rsidRPr="003D037E">
        <w:rPr>
          <w:rFonts w:cs="Arial"/>
        </w:rPr>
        <w:t xml:space="preserve"> </w:t>
      </w:r>
      <w:r>
        <w:rPr>
          <w:rFonts w:cs="Arial"/>
        </w:rPr>
        <w:t xml:space="preserve">or role in pro-/anti-inflammatory pathways </w:t>
      </w:r>
      <w:r w:rsidR="006C6C38">
        <w:rPr>
          <w:rFonts w:cs="Arial"/>
        </w:rPr>
        <w:fldChar w:fldCharType="begin" w:fldLock="1"/>
      </w:r>
      <w:r w:rsidR="00BB3BE7">
        <w:rPr>
          <w:rFonts w:cs="Arial"/>
        </w:rPr>
        <w:instrText>ADDIN CSL_CITATION {"citationItems":[{"id":"ITEM-1","itemData":{"DOI":"10.1111/j.1365-2141.2010.08518.x","ISSN":"1365-2141","PMID":"21250972","abstract":"Genetic variation in immune-related genes may play a role in the development of non-Hodgkin lymphoma (NHL). To test the hypothesis that innate immunity polymorphisms may be associated with NHL risk, we genotyped 144 tag single nucleotide polymorphisms (tagSNPs) capturing common genetic variation within 12 innate immunity gene regions in three independent population-based case-control studies (1946 cases and 1808 controls). Gene-based analyses found IL1RN to be associated with NHL risk (minP = 0·03); specifically, IL1RN rs2637988 was associated with an increased risk of NHL (per-allele odds ratio = 1·15, 95% confidence interval = 1·05-1·27; P(trend) = 0·003), which was consistent across study, subtype, and gender. FCGR2A was also associated with a decreased risk of the follicular lymphoma NHL subtype (minP = 0·03). Our findings suggest that genetic variation in IL1RN and FCGR2A may play a role in lymphomagenesis. Given that conflicting results have been reported regarding the association between IL1RN SNPs and NHL risk, a larger number of innate immunity genes with sufficient genomic coverage should be evaluated systematically across many studies.","author":[{"dropping-particle":"","family":"Hosgood","given":"H Dean","non-dropping-particle":"","parse-names":false,"suffix":""},{"dropping-particle":"","family":"Purdue","given":"Mark P","non-dropping-particle":"","parse-names":false,"suffix":""},{"dropping-particle":"","family":"Wang","given":"Sophia S","non-dropping-particle":"","parse-names":false,"suffix":""},{"dropping-particle":"","family":"Zheng","given":"Tongzhang","non-dropping-particle":"","parse-names":false,"suffix":""},{"dropping-particle":"","family":"Morton","given":"Lindsay M","non-dropping-particle":"","parse-names":false,"suffix":""},{"dropping-particle":"","family":"Lan","given":"Qing","non-dropping-particle":"","parse-names":false,"suffix":""},{"dropping-particle":"","family":"Menashe","given":"Idan","non-dropping-particle":"","parse-names":false,"suffix":""},{"dropping-particle":"","family":"Zhang","given":"Yawei","non-dropping-particle":"","parse-names":false,"suffix":""},{"dropping-particle":"","family":"Cerhan","given":"James R","non-dropping-particle":"","parse-names":false,"suffix":""},{"dropping-particle":"","family":"Grulich","given":"Andrew","non-dropping-particle":"","parse-names":false,"suffix":""},{"dropping-particle":"","family":"Cozen","given":"Wendy","non-dropping-particle":"","parse-names":false,"suffix":""},{"dropping-particle":"","family":"Yeager","given":"Meredith","non-dropping-particle":"","parse-names":false,"suffix":""},{"dropping-particle":"","family":"Holford","given":"Theodore R","non-dropping-particle":"","parse-names":false,"suffix":""},{"dropping-particle":"","family":"Vajdic","given":"Claire M","non-dropping-particle":"","parse-names":false,"suffix":""},{"dropping-particle":"","family":"Davis","given":"Scott","non-dropping-particle":"","parse-names":false,"suffix":""},{"dropping-particle":"","family":"Leaderer","given":"Brian","non-dropping-particle":"","parse-names":false,"suffix":""},{"dropping-particle":"","family":"Kricker","given":"Anne","non-dropping-particle":"","parse-names":false,"suffix":""},{"dropping-particle":"","family":"Schenk","given":"Maryjean","non-dropping-particle":"","parse-names":false,"suffix":""},{"dropping-particle":"","family":"Zahm","given":"Shelia H","non-dropping-particle":"","parse-names":false,"suffix":""},{"dropping-particle":"","family":"Chatterjee","given":"Nilanjan","non-dropping-particle":"","parse-names":false,"suffix":""},{"dropping-particle":"","family":"Chanock","given":"Stephen J","non-dropping-particle":"","parse-names":false,"suffix":""},{"dropping-particle":"","family":"Rothman","given":"Nathaniel","non-dropping-particle":"","parse-names":false,"suffix":""},{"dropping-particle":"","family":"Hartge","given":"Patricia","non-dropping-particle":"","parse-names":false,"suffix":""},{"dropping-particle":"","family":"Armstrong","given":"Bruce","non-dropping-particle":"","parse-names":false,"suffix":""}],"container-title":"British journal of haematology","id":"ITEM-1","issue":"6","issued":{"date-parts":[["2011","3"]]},"page":"721-6","title":"A pooled analysis of three studies evaluating genetic variation in innate immunity genes and non-Hodgkin lymphoma risk.","type":"article-journal","volume":"152"},"uris":["http://www.mendeley.com/documents/?uuid=28a6c2e9-f4cc-4cbd-a973-8fa8e004737a"]},{"id":"ITEM-2","itemData":{"DOI":"10.1111/j.1399-0039.2012.01845.x","ISSN":"1399-0039","PMID":"22296171","abstract":"Follicular lymphoma (FL) is an indolent, sometimes, fatal disease characterized by recurrence at progressively shorter intervals and is frequently refractive to therapy. Genome-wide association studies have identified single nucleotide polymorphisms (SNPs) in the human leukocyte antigen (HLA) region on chromosome 6p21.32-33 that are statistically significantly associated with FL risk. Low to medium resolution typing of single or multiple HLA genes has provided an incomplete picture of the total genetic risk imparted by this highly variable region. To gain further insight into the role of HLA alleles in lymphomagenesis and to investigate the independence of validated SNPs and HLA alleles with FL risk, high-resolution HLA typing was conducted using next-generation sequencing in 222 non-Hispanic White FL cases and 220 matched controls from a larger San Francisco Bay Area population-based case-control study of lymphoma. A novel protective association was found between the DPB1*03:01 allele and FL risk [odds ratio (OR) = 0.39, 95% confidence interval (CI) = 0.21-0.68]. Extended haplotypes DRB1*01:01-DQA1*01:01-DQB1*05:01 (OR = 2.01, 95% CI = 1.22-3.38) and DRB1*15-DQA1*01-DQB1*06 (OR = 0.55, 95% CI = 0.36-0.82) also influenced FL risk. Moreover, DRB1*15-DQA1*01-DQB1*06 was highly correlated with an established FL risk locus, rs2647012. These results provide further insight into the critical roles of HLA alleles and SNPs in FL pathogenesis that involve multi-locus effects across the HLA region.","author":[{"dropping-particle":"","family":"Skibola","given":"Christine F","non-dropping-particle":"","parse-names":false,"suffix":""},{"dropping-particle":"","family":"Akers","given":"N K","non-dropping-particle":"","parse-names":false,"suffix":""},{"dropping-particle":"","family":"Conde","given":"L","non-dropping-particle":"","parse-names":false,"suffix":""},{"dropping-particle":"","family":"Ladner","given":"M","non-dropping-particle":"","parse-names":false,"suffix":""},{"dropping-particle":"","family":"Hawbecker","given":"S K","non-dropping-particle":"","parse-names":false,"suffix":""},{"dropping-particle":"","family":"Cohen","given":"F","non-dropping-particle":"","parse-names":false,"suffix":""},{"dropping-particle":"","family":"Ribas","given":"F","non-dropping-particle":"","parse-names":false,"suffix":""},{"dropping-particle":"","family":"Erlich","given":"H A","non-dropping-particle":"","parse-names":false,"suffix":""},{"dropping-particle":"","family":"Goodridge","given":"D","non-dropping-particle":"","parse-names":false,"suffix":""},{"dropping-particle":"","family":"Trachtenberg","given":"E A","non-dropping-particle":"","parse-names":false,"suffix":""},{"dropping-particle":"","family":"Smith","given":"M T","non-dropping-particle":"","parse-names":false,"suffix":""},{"dropping-particle":"","family":"Bracci","given":"P M","non-dropping-particle":"","parse-names":false,"suffix":""}],"container-title":"Tissue antigens","id":"ITEM-2","issue":"4","issued":{"date-parts":[["2012","4"]]},"page":"279-86","title":"Multi-locus HLA class I and II allele and haplotype associations with follicular lymphoma.","type":"article-journal","volume":"79"},"uris":["http://www.mendeley.com/documents/?uuid=fdd63b9b-8bb1-4f92-82d5-c10027c5a54b"]},{"id":"ITEM-3","itemData":{"DOI":"10.1016/S1470-2045(05)70434-4","ISSN":"14702045","PMID":"16389181","abstract":"Background: Common genetic variants in immune and inflammatory response genes can affect the risk of developing non-Hodgkin lymphoma. We aimed to test this hypothesis using previously unpublished data from eight European, Canadian, and US case-control studies of the International Lymphoma Epidemiology Consortium (InterLymph). Methods: We selected 12 single-nucleotide polymorphisms for analysis, on the basis of previous functional or association data, in nine genes that have important roles in lymphoid development, Th1/Th2 balance, and proinflammatory or anti-inflammatory pathways (IL1A, IL1RN, IL1B, IL2, IL6, IL10, TNF, LTA, and CARD15). Genotype data for one or more single-nucleotide polymorphisms were available for 3586 cases of non-Hodgkin lymphoma and for 4018 controls, and were assessed in a pooled analys</w:instrText>
      </w:r>
      <w:r w:rsidR="00BB3BE7">
        <w:rPr>
          <w:rFonts w:cs="Arial" w:hint="eastAsia"/>
        </w:rPr>
        <w:instrText>is by use of a random-effects logistic regression model. Findings: The tumour necrosis factor (TNF) -308G</w:instrText>
      </w:r>
      <w:r w:rsidR="00BB3BE7">
        <w:rPr>
          <w:rFonts w:cs="Arial" w:hint="eastAsia"/>
        </w:rPr>
        <w:instrText>→</w:instrText>
      </w:r>
      <w:r w:rsidR="00BB3BE7">
        <w:rPr>
          <w:rFonts w:cs="Arial" w:hint="eastAsia"/>
        </w:rPr>
        <w:instrText>A polymorphism was associated with increased risk of non-Hodgkin lymphoma (p for trend=0.005), particularly for diffuse large B-cell lymphoma, the main histological subtype (odds ratio 1.29 [95% CI 1.10-1.51] for GA and 1.65 [1.16-2.34] for AA, p for trend &lt;0.0001), but not for follicular lymphoma. The interleukin 10 (IL10) -3575T</w:instrText>
      </w:r>
      <w:r w:rsidR="00BB3BE7">
        <w:rPr>
          <w:rFonts w:cs="Arial" w:hint="eastAsia"/>
        </w:rPr>
        <w:instrText>→</w:instrText>
      </w:r>
      <w:r w:rsidR="00BB3BE7">
        <w:rPr>
          <w:rFonts w:cs="Arial" w:hint="eastAsia"/>
        </w:rPr>
        <w:instrText>A polymorphism was also associated with increased risk of non-Hodgkin l</w:instrText>
      </w:r>
      <w:r w:rsidR="00BB3BE7">
        <w:rPr>
          <w:rFonts w:cs="Arial"/>
        </w:rPr>
        <w:instrText>ymphoma (p for trend=0.02), again particularly for diffuse large B-cell lymphoma (p for trend=0.006). For individuals homozygous for the TNF -308A allele and carrying at least one IL10 -3575A allele, risk of diffuse large B-cell lymphoma doubled (2.13 [1.37-3.32], p=0.00083). Interpretation: Common polymorphisms in TNF and IL10, key cytokines for the inflammatory response and Th1/Th2 balance, could be susceptibility loci for non-Hodgkin lymphoma. Moreover, our results underscore the importance of consortia for investigating the genetic basis of chronic diseases like cancer.","author":[{"dropping-particle":"","family":"Rothman","given":"Nathaniel","non-dropping-particle":"","parse-names":false,"suffix":""},{"dropping-particle":"","family":"Skibola","given":"Christine F.","non-dropping-particle":"","parse-names":false,"suffix":""},{"dropping-particle":"","family":"Wang","given":"Sophia S.","non-dropping-particle":"","parse-names":false,"suffix":""},{"dropping-particle":"","family":"Morgan","given":"Gareth","non-dropping-particle":"","parse-names":false,"suffix":""},{"dropping-particle":"","family":"Lan","given":"Qing","non-dropping-particle":"","parse-names":false,"suffix":""},{"dropping-particle":"","family":"Smith","given":"Martyn T.","non-dropping-particle":"","parse-names":false,"suffix":""},{"dropping-particle":"","family":"Spinelli","given":"John J.","non-dropping-particle":"","parse-names":false,"suffix":""},{"dropping-particle":"","family":"Willett","given":"Eleanor","non-dropping-particle":"","parse-names":false,"suffix":""},{"dropping-particle":"","family":"Sanjose","given":"Silvia","non-dropping-particle":"De","parse-names":false,"suffix":""},{"dropping-particle":"","family":"Cocco","given":"Pierluigi","non-dropping-particle":"","parse-names":false,"suffix":""},{"dropping-particle":"","family":"Berndt","given":"Sonja I.","non-dropping-particle":"","parse-names":false,"suffix":""},{"dropping-particle":"","family":"Brennan","given":"Paul","non-dropping-particle":"","parse-names":false,"suffix":""},{"dropping-particle":"","family":"Brooks-Wilson","given":"Angela","non-dropping-particle":"","parse-names":false,"suffix":""},{"dropping-particle":"","family":"Wacholder","given":"Sholom","non-dropping-particle":"","parse-names":false,"suffix":""},{"dropping-particle":"","family":"Becker","given":"Nikolaus","non-dropping-particle":"","parse-names":false,"suffix":""},{"dropping-particle":"","family":"Hartge","given":"Patricia","non-dropping-particle":"","parse-names":false,"suffix":""},{"dropping-particle":"","family":"Zheng","given":"Tongzhang","non-dropping-particle":"","parse-names":false,"suffix":""},{"dropping-particle":"","family":"Roman","given":"Eve","non-dropping-particle":"","parse-names":false,"suffix":""},{"dropping-particle":"","family":"Holly","given":"Elizabeth A.","non-dropping-particle":"","parse-names":false,"suffix":""},{"dropping-particle":"","family":"Boffetta","given":"Paolo","non-dropping-particle":"","parse-names":false,"suffix":""},{"dropping-particle":"","family":"Armstrong","given":"Bruce","non-dropping-particle":"","parse-names":false,"suffix":""},{"dropping-particle":"","family":"Cozen","given":"Wendy","non-dropping-particle":"","parse-names":false,"suffix":""},{"dropping-particle":"","family":"Linet","given":"Martha","non-dropping-particle":"","parse-names":false,"suffix":""},{"dropping-particle":"","family":"Bosch","given":"Xavier F.","non-dropping-particle":"","parse-names":false,"suffix":""},{"dropping-particle":"","family":"Ennas","given":"Maria Grazia","non-dropping-particle":"","parse-names":false,"suffix":""},{"dropping-particle":"","family":"Holford","given":"Theodore R.","non-dropping-particle":"","parse-names":false,"suffix":""},{"dropping-particle":"","family":"Gallagher","given":"Richard P.","non-dropping-particle":"","parse-names":false,"suffix":""},{"dropping-particle":"","family":"Rollinson","given":"Sara","non-dropping-particle":"","parse-names":false,"suffix":""},{"dropping-particle":"","family":"Bracci","given":"Paige M.","non-dropping-particle":"","parse-names":false,"suffix":""},{"dropping-particle":"","family":"Cerhan","given":"James R.","non-dropping-particle":"","parse-names":false,"suffix":""},{"dropping-particle":"","family":"Whitby","given":"Denise","non-dropping-particle":"","parse-names":false,"suffix":""},{"dropping-particle":"","family":"Moore","given":"Patrick S.","non-dropping-particle":"","parse-names":false,"suffix":""},{"dropping-particle":"","family":"Leaderer","given":"Brian","non-dropping-particle":"","parse-names":false,"suffix":""},{"dropping-particle":"","family":"Lai","given":"Agnes","non-dropping-particle":"","parse-names":false,"suffix":""},{"dropping-particle":"","family":"Spink","given":"Charlotte","non-dropping-particle":"","parse-names":false,"suffix":""},{"dropping-particle":"","family":"Davis","given":"Scott","non-dropping-particle":"","parse-names":false,"suffix":""},{"dropping-particle":"","family":"Bosch","given":"Ramon","non-dropping-particle":"","parse-names":false,"suffix":""},{"dropping-particle":"","family":"Scarpa","given":"Aldo","non-dropping-particle":"","parse-names":false,"suffix":""},{"dropping-particle":"","family":"Zhang","given":"Yawei","non-dropping-particle":"","parse-names":false,"suffix":""},{"dropping-particle":"","family":"Severson","given":"Richard K.","non-dropping-particle":"","parse-names":false,"suffix":""},{"dropping-particle":"","family":"Yeager","given":"Meredith","non-dropping-particle":"","parse-names":false,"suffix":""},{"dropping-particle":"","family":"Chanock","given":"Stephen","non-dropping-particle":"","parse-names":false,"suffix":""},{"dropping-particle":"","family":"Nieters","given":"Alexandra","non-dropping-particle":"","parse-names":false,"suffix":""}],"container-title":"Lancet Oncology","id":"ITEM-3","issued":{"date-parts":[["2006"]]},"page":"27-38","title":"Genetic variation in TNF and IL10 and risk of non-Hodgkin lymphoma: A report from the InterLymph Consortium","type":"article-journal","volume":"7"},"uris":["http://www.mendeley.com/documents/?uuid=d5a7315f-5e95-47ea-b607-60f9e869c8ac"]},{"id":"ITEM-4","itemData":{"DOI":"10.1158/1055-9965.EPI-14-1355","ISSN":"1538-7755","PMID":"25962811","abstract":"BACKGROUND: Excess adiposity has been associated with lymphomagenesis, possibly mediated by increased cytokine production causing a chronic inflammatory state. The relationship between obesity, cytokine polymorphisms, and selected mature B-cell neoplasms is reported. METHOD: Data on 4,979 cases and 4,752 controls from nine American/European studies from the InterLymph consortium (1988-2008) were pooled. For diffuse large B-cell lymphoma (DLBCL), follicular lymphoma (FL), and chronic lymphocytic leukemia/small lymphocytic lymphoma (CLL/SLL), joint associations of body mass index (from self-reported height and weight) and 12 polymorphisms in cytokines IL1A (rs1800587), IL1B (rs16944, rs1143627), IL1RN (rs454078), IL2 (rs2069762), IL6 (rs1800795, rs1800797), IL10 (rs1800890, rs1800896), TNF (rs1800629), LTA (rs909253), and CARD15 (rs2066847) were investigated using unconditional logistic regression. BMI-polymorphism interaction effects were estimated using the relative excess risk due to interaction (RERI). RESULTS: Obesity (BMI ≥ 30 kg/m(2)) was associated with DLBCL risk [OR = 1.33; 95% confidence interval (CI), 1.02-1.73], as was TNF-308GA+AA (OR = 1.24; 95% CI, 1.07-1.44). Together, being obese and TNF-308GA+AA increased DLBCL risk almost 2-fold relative to those of normal weight and TNF-308GG (OR = 1.93; 95% CI, 1.27-2.94), with a RERI of 0.41 (95% CI, -0.05-0.84; Pinteraction = 0.13). For FL and CLL/SLL, no associations with obesity or TNF-308GA+AA, either singly or jointly, were observed. No evidence of interactions between obesity and the other polymorphisms were detected. CONCLUSIONS: Our results suggest that cytokine polymorphisms do not generally interact with BMI to increase lymphoma risk but obesity and TNF-308GA+AA may interact to increase DLBCL risk. IMPACT: Studies using better measures of adiposity are needed to further investigate the interactions between obesity and TNF-308G&gt;A in the pathogenesis of lymphoma.","author":[{"dropping-particle":"","family":"Kane","given":"Eleanor","non-dropping-particle":"","parse-names":false,"suffix":""},{"dropping-particle":"","family":"Skibola","given":"Christine F","non-dropping-particle":"","parse-names":false,"suffix":""},{"dropping-particle":"","family":"Bracci","given":"Paige M","non-dropping-particle":"","parse-names":false,"suffix":""},{"dropping-particle":"","family":"Cerhan","given":"James R","non-dropping-particle":"","parse-names":false,"suffix":""},{"dropping-particle":"","family":"Costas","given":"Laura","non-dropping-particle":"","parse-names":false,"suffix":""},{"dropping-particle":"","family":"Smedby","given":"Karin Ekström","non-dropping-particle":"","parse-names":false,"suffix":""},{"dropping-particle":"","family":"Holly","given":"Elizabeth A","non-dropping-particle":"","parse-names":false,"suffix":""},{"dropping-particle":"","family":"Maynadié","given":"Marc","non-dropping-particle":"","parse-names":false,"suffix":""},{"dropping-particle":"","family":"Novak","given":"Anne J","non-dropping-particle":"","parse-names":false,"suffix":""},{"dropping-particle":"","family":"Lightfoot","given":"Tracy J","non-dropping-particle":"","parse-names":false,"suffix":""},{"dropping-particle":"","family":"Ansell","given":"Stephen M","non-dropping-particle":"","parse-names":false,"suffix":""},{"dropping-particle":"","family":"Smith","given":"Alex G","non-dropping-particle":"","parse-names":false,"suffix":""},{"dropping-particle":"","family":"Liebow","given":"Mark","non-dropping-particle":"","parse-names":false,"suffix":""},{"dropping-particle":"","family":"Melbye","given":"Mads","non-dropping-particle":"","parse-names":false,"suffix":""},{"dropping-particle":"","family":"Morton","given":"Lindsay","non-dropping-particle":"","parse-names":false,"suffix":""},{"dropping-particle":"","family":"Sanjosé","given":"Silvia","non-dropping-particle":"de","parse-names":false,"suffix":""},{"dropping-particle":"","family":"Slager","given":"Susan L","non-dropping-particle":"","parse-names":false,"suffix":""},{"dropping-particle":"","family":"Wang","given":"Sophia S","non-dropping-particle":"","parse-names":false,"suffix":""},{"dropping-particle":"","family":"Zhang","given":"Yawei","non-dropping-particle":"","parse-names":false,"suffix":""},{"dropping-particle":"","family":"Zheng","given":"Tongzhang","non-dropping-particle":"","parse-names":false,"suffix":""},{"dropping-particle":"","family":"Roman","given":"Eve","non-dropping-particle":"","parse-names":false,"suffix":""}],"container-title":"Cancer epidemiology, biomarkers &amp; prevention : a publication of the American Association for Cancer Research, cosponsored by the American Society of Preventive Oncology","id":"ITEM-4","issue":"7","issued":{"date-parts":[["2015","7","1"]]},"page":"1061-70","title":"Non-Hodgkin Lymphoma, Body Mass Index, and Cytokine Polymorphisms: A Pooled Analysis from the InterLymph Consortium.","type":"article-journal","volume":"24"},"uris":["http://www.mendeley.com/documents/?uuid=7879de91-c34d-4298-aa1a-12b06348bc90"]},{"id":"ITEM-5","itemData":{"DOI":"10.1093/aje/kwp383","ISBN":"1476-6256 (Electronic)\\r0002-9262 (Linking)","ISSN":"1476-6256","PMID":"20047977","abstract":"In an International Lymphoma Epidemiology Consortium pooled analysis, polymorphisms in 2 immune-system-related genes, tumor necrosis factor (TNF) and interleukin-10 (IL10), were associated with non-Hodgkin lymphoma (NHL) risk. Here, 8,847 participants were added to previous data (patients diagnosed from 1989 to 2005 in 14 case-control studies; 7,999 cases, 8,452 controls) for testing of polymorphisms in the TNF -308G&gt;A (rs1800629), lymphotoxin-alpha (LTA) 252A&gt;G (rs909253), IL10 -3575T&gt;A (rs1800890, rs1800896), and nucleotide-binding oligomerization domain containing 2 (NOD2) 3020insC (rs2066847) genes. Odds ratios were estimated for non-Hispanic whites and several ethnic subgroups using 2-sided tests. Consistent with previous findings, odds ratios were increased for \"new\" participant TNF -308A carriers (NHL: per-allele odds ratio (OR(allelic)) = 1.10, P(trend) = 0.001; diffuse large B-cell lymphoma (DLBCL): OR(allelic) = 1.23, P(trend) = 0.004). In the combined population, odds ratios were increased for TNF -308A carriers (NHL: OR(allelic) = 1.13, P(trend) = 0.0001; DLBCL: OR(allelic) = 1.25, P(trend) = 3.7 x 10(-6); marginal zone lymphoma: OR(allelic) = 1.35, P(trend) = 0.004) and LTA 252G carriers (DLBCL: OR(allelic) = 1.12, P(trend) = 0.006; mycosis fungoides: OR(allelic) = 1.44, P(trend) = 0.015). The LTA 252A&gt;G/TNF -308G&gt;A haplotype containing the LTA/TNF variant alleles was strongly associated with DLBCL (P = 2.9 x 10(-8)). Results suggested associations between IL10 -3575T&gt;A and DLBCL (P(trend) = 0.02) and IL10 -1082A&gt;G and mantle cell lymphoma (P(trend) = 0.04). These findings strengthen previous results for DLBCL and the LTA 252A&gt;G/TNF -308A locus and provide robust evidence that these TNF/LTA gene variants, or others in linkage disequilibrium, are involved in NHL etiology.","author":[{"dropping-particle":"","family":"Skibola","given":"Christine F","non-dropping-particle":"","parse-names":false,"suffix":""},{"dropping-particle":"","family":"Bracci","given":"Paige M","non-dropping-particle":"","parse-names":false,"suffix":""},{"dropping-particle":"","family":"Nieters","given":"Alexandra","non-dropping-particle":"","parse-names":false,"suffix":""},{"dropping-particle":"","family":"Brooks-Wilson","given":"Angela","non-dropping-particle":"","parse-names":false,"suffix":""},{"dropping-particle":"","family":"Sanjosé","given":"Silvia","non-dropping-particle":"de","parse-names":false,"suffix":""},{"dropping-particle":"","family":"Hughes","given":"Ann Maree","non-dropping-particle":"","parse-names":false,"suffix":""},{"dropping-particle":"","family":"Cerhan","given":"James R","non-dropping-particle":"","parse-names":false,"suffix":""},{"dropping-particle":"","family":"Skibola","given":"Danica R","non-dropping-particle":"","parse-names":false,"suffix":""},{"dropping-particle":"","family":"Purdue","given":"Mark","non-dropping-particle":"","parse-names":false,"suffix":""},{"dropping-particle":"","family":"Kane","given":"Eleanor","non-dropping-particle":"","parse-names":false,"suffix":""},{"dropping-particle":"","family":"Lan","given":"Qing","non-dropping-particle":"","parse-names":false,"suffix":""},{"dropping-particle":"","family":"Foretova","given":"Lenka","non-dropping-particle":"","parse-names":false,"suffix":""},{"dropping-particle":"","family":"Schenk","given":"Maryjean","non-dropping-particle":"","parse-names":false,"suffix":""},{"dropping-particle":"","family":"Spinelli","given":"John J","non-dropping-particle":"","parse-names":false,"suffix":""},{"dropping-particle":"","family":"Slager","given":"Susan L","non-dropping-particle":"","parse-names":false,"suffix":""},{"dropping-particle":"","family":"Roos","given":"Anneclaire J","non-dropping-particle":"De","parse-names":false,"suffix":""},{"dropping-particle":"","family":"Smith","given":"Martyn T","non-dropping-particle":"","parse-names":false,"suffix":""},{"dropping-particle":"","family":"Roman","given":"Eve","non-dropping-particle":"","parse-names":false,"suffix":""},{"dropping-particle":"","family":"Cozen","given":"Wendy","non-dropping-particle":"","parse-names":false,"suffix":""},{"dropping-particle":"","family":"Boffetta","given":"Paolo","non-dropping-particle":"","parse-names":false,"suffix":""},{"dropping-particle":"","family":"Kricker","given":"Anne","non-dropping-particle":"","parse-names":false,"suffix":""},{"dropping-particle":"","family":"Zheng","given":"Tongzhang","non-dropping-particle":"","parse-names":false,"suffix":""},{"dropping-particle":"","family":"Lightfoot","given":"Tracy","non-dropping-particle":"","parse-names":false,"suffix":""},{"dropping-particle":"","family":"Cocco","given":"Pierluigi","non-dropping-particle":"","parse-names":false,"suffix":""},{"dropping-particle":"","family":"Benavente","given":"Yolanda","non-dropping-particle":"","parse-names":false,"suffix":""},{"dropping-particle":"","family":"Zhang","given":"Yawei","non-dropping-particle":"","parse-names":false,"suffix":""},{"dropping-particle":"","family":"Hartge","given":"Patricia","non-dropping-particle":"","parse-names":false,"suffix":""},{"dropping-particle":"","family":"Linet","given":"Martha S","non-dropping-particle":"","parse-names":false,"suffix":""},{"dropping-particle":"","family":"Becker","given":"Nikolaus","non-dropping-particle":"","parse-names":false,"suffix":""},{"dropping-particle":"","family":"Brennan","given":"Paul","non-dropping-particle":"","parse-names":false,"suffix":""},{"dropping-particle":"","family":"Zhang","given":"Luoping","non-dropping-particle":"","parse-names":false,"suffix":""},{"dropping-particle":"","family":"Armstrong","given":"Bruce","non-dropping-particle":"","parse-names":false,"suffix":""},{"dropping-particle":"","family":"Smith","given":"Alex","non-dropping-particle":"","parse-names":false,"suffix":""},{"dropping-particle":"","family":"Shiao","given":"Renee","non-dropping-particle":"","parse-names":false,"suffix":""},{"dropping-particle":"","family":"Novak","given":"Anne J","non-dropping-particle":"","parse-names":false,"suffix":""},{"dropping-particle":"","family":"Maynadie","given":"Marc","non-dropping-particle":"","parse-names":false,"suffix":""},{"dropping-particle":"","family":"Chanock","given":"Stephen J","non-dropping-particle":"","parse-names":false,"suffix":""},{"dropping-particle":"","family":"Staines","given":"Anthony","non-dropping-particle":"","parse-names":false,"suffix":""},{"dropping-particle":"","family":"Holford","given":"Theodore R","non-dropping-particle":"","parse-names":false,"suffix":""},{"dropping-particle":"","family":"Holly","given":"Elizabeth A","non-dropping-particle":"","parse-names":false,"suffix":""},{"dropping-particle":"","family":"Rothman","given":"Nathaniel","non-dropping-particle":"","parse-names":false,"suffix":""},{"dropping-particle":"","family":"Wang","given":"Sophia S","non-dropping-particle":"","parse-names":false,"suffix":""}],"container-title":"American journal of epidemiology","id":"ITEM-5","issued":{"date-parts":[["2010"]]},"page":"267-276","title":"Tumor necrosis factor (TNF) and lymphotoxin-alpha (LTA) polymorphisms and risk of non-Hodgkin lymphoma in the InterLymph Consortium.","type":"article-journal","volume":"171"},"uris":["http://www.mendeley.com/documents/?uuid=22bf699d-a8d0-4e47-b78d-cda2951c8273"]}],"mendeley":{"formattedCitation":"[8,9,25–27]","plainTextFormattedCitation":"[8,9,25–27]","previouslyFormattedCitation":"[8,9,24–26]"},"properties":{"noteIndex":0},"schema":"https://github.com/citation-style-language/schema/raw/master/csl-citation.json"}</w:instrText>
      </w:r>
      <w:r w:rsidR="006C6C38">
        <w:rPr>
          <w:rFonts w:cs="Arial"/>
        </w:rPr>
        <w:fldChar w:fldCharType="separate"/>
      </w:r>
      <w:r w:rsidR="00BB3BE7" w:rsidRPr="00BB3BE7">
        <w:rPr>
          <w:rFonts w:cs="Arial"/>
          <w:noProof/>
        </w:rPr>
        <w:t>[8,9,25–27]</w:t>
      </w:r>
      <w:r w:rsidR="006C6C38">
        <w:rPr>
          <w:rFonts w:cs="Arial"/>
        </w:rPr>
        <w:fldChar w:fldCharType="end"/>
      </w:r>
      <w:r w:rsidRPr="003D037E">
        <w:rPr>
          <w:rFonts w:cs="Arial"/>
        </w:rPr>
        <w:t xml:space="preserve">. </w:t>
      </w:r>
      <w:r w:rsidR="00A6374B">
        <w:rPr>
          <w:rFonts w:cs="Arial"/>
        </w:rPr>
        <w:t>The effect</w:t>
      </w:r>
      <w:r w:rsidR="005D6DCC">
        <w:rPr>
          <w:rFonts w:cs="Arial"/>
        </w:rPr>
        <w:t>s</w:t>
      </w:r>
      <w:r w:rsidR="00A6374B">
        <w:rPr>
          <w:rFonts w:cs="Arial"/>
        </w:rPr>
        <w:t xml:space="preserve"> of</w:t>
      </w:r>
      <w:r w:rsidR="003B2895">
        <w:rPr>
          <w:rFonts w:cs="Arial"/>
        </w:rPr>
        <w:t xml:space="preserve"> these</w:t>
      </w:r>
      <w:r w:rsidR="00A6374B">
        <w:rPr>
          <w:rFonts w:cs="Arial"/>
        </w:rPr>
        <w:t xml:space="preserve"> </w:t>
      </w:r>
      <w:r w:rsidR="005D6DCC">
        <w:rPr>
          <w:rFonts w:cs="Arial"/>
        </w:rPr>
        <w:t>1</w:t>
      </w:r>
      <w:r w:rsidR="000C7191">
        <w:rPr>
          <w:rFonts w:cs="Arial"/>
        </w:rPr>
        <w:t>2</w:t>
      </w:r>
      <w:r w:rsidR="00A6374B">
        <w:rPr>
          <w:rFonts w:cs="Arial"/>
        </w:rPr>
        <w:t xml:space="preserve"> genetic</w:t>
      </w:r>
      <w:r w:rsidR="00056718" w:rsidRPr="003D037E">
        <w:rPr>
          <w:rFonts w:cs="Arial"/>
        </w:rPr>
        <w:t xml:space="preserve"> </w:t>
      </w:r>
      <w:r w:rsidR="0090063C">
        <w:rPr>
          <w:rFonts w:cs="Arial"/>
        </w:rPr>
        <w:t>variant</w:t>
      </w:r>
      <w:r w:rsidR="00056718" w:rsidRPr="003D037E">
        <w:rPr>
          <w:rFonts w:cs="Arial"/>
        </w:rPr>
        <w:t xml:space="preserve">s </w:t>
      </w:r>
      <w:r w:rsidR="001C4719">
        <w:rPr>
          <w:rFonts w:cs="Arial"/>
        </w:rPr>
        <w:t>located</w:t>
      </w:r>
      <w:r w:rsidR="00056718" w:rsidRPr="003D037E">
        <w:rPr>
          <w:rFonts w:cs="Arial"/>
        </w:rPr>
        <w:t xml:space="preserve"> </w:t>
      </w:r>
      <w:r w:rsidR="00B6797A">
        <w:rPr>
          <w:rFonts w:cs="Arial"/>
        </w:rPr>
        <w:t>in or near</w:t>
      </w:r>
      <w:r w:rsidR="00B6797A" w:rsidRPr="003D037E">
        <w:rPr>
          <w:rFonts w:cs="Arial"/>
        </w:rPr>
        <w:t xml:space="preserve"> </w:t>
      </w:r>
      <w:r w:rsidR="00056718" w:rsidRPr="003D037E">
        <w:rPr>
          <w:rFonts w:cs="Arial"/>
        </w:rPr>
        <w:t xml:space="preserve">nine </w:t>
      </w:r>
      <w:r w:rsidR="00D2259D" w:rsidRPr="003D037E">
        <w:rPr>
          <w:rFonts w:cs="Arial"/>
        </w:rPr>
        <w:t xml:space="preserve">immune-response </w:t>
      </w:r>
      <w:r w:rsidR="00056718" w:rsidRPr="003D037E">
        <w:rPr>
          <w:rFonts w:cs="Arial"/>
        </w:rPr>
        <w:t xml:space="preserve">genes </w:t>
      </w:r>
      <w:r w:rsidR="00A6374B" w:rsidRPr="003D037E">
        <w:rPr>
          <w:rFonts w:cs="Arial"/>
        </w:rPr>
        <w:t>w</w:t>
      </w:r>
      <w:r w:rsidR="005D6DCC">
        <w:rPr>
          <w:rFonts w:cs="Arial"/>
        </w:rPr>
        <w:t>ere</w:t>
      </w:r>
      <w:r w:rsidR="00A6374B" w:rsidRPr="003D037E">
        <w:rPr>
          <w:rFonts w:cs="Arial"/>
        </w:rPr>
        <w:t xml:space="preserve"> </w:t>
      </w:r>
      <w:r w:rsidR="00A6374B">
        <w:rPr>
          <w:rFonts w:cs="Arial"/>
        </w:rPr>
        <w:t>assessed</w:t>
      </w:r>
      <w:r w:rsidR="003F6D5F" w:rsidRPr="003D037E">
        <w:rPr>
          <w:rFonts w:cs="Arial"/>
        </w:rPr>
        <w:t xml:space="preserve">: </w:t>
      </w:r>
      <w:r w:rsidR="00424802" w:rsidRPr="001456E8">
        <w:rPr>
          <w:rFonts w:cs="Arial"/>
          <w:i/>
        </w:rPr>
        <w:t>IL1A</w:t>
      </w:r>
      <w:r w:rsidR="0021029F">
        <w:rPr>
          <w:rFonts w:cs="Arial"/>
        </w:rPr>
        <w:t>-</w:t>
      </w:r>
      <w:r w:rsidR="00424802">
        <w:rPr>
          <w:rFonts w:cs="Arial"/>
        </w:rPr>
        <w:t>889C&gt;</w:t>
      </w:r>
      <w:r w:rsidR="00424802" w:rsidRPr="00424802">
        <w:rPr>
          <w:rFonts w:cs="Arial"/>
        </w:rPr>
        <w:t>T</w:t>
      </w:r>
      <w:r w:rsidR="001A0CAB">
        <w:rPr>
          <w:rFonts w:cs="Arial"/>
        </w:rPr>
        <w:t xml:space="preserve"> (</w:t>
      </w:r>
      <w:r w:rsidR="00424802" w:rsidRPr="00424802">
        <w:rPr>
          <w:rFonts w:cs="Arial"/>
        </w:rPr>
        <w:t xml:space="preserve">rs1800587), </w:t>
      </w:r>
      <w:r w:rsidR="00424802" w:rsidRPr="001456E8">
        <w:rPr>
          <w:rFonts w:cs="Arial"/>
          <w:i/>
        </w:rPr>
        <w:t>IL1B</w:t>
      </w:r>
      <w:r w:rsidR="00424802">
        <w:rPr>
          <w:rFonts w:cs="Arial"/>
        </w:rPr>
        <w:t>–511C&gt;</w:t>
      </w:r>
      <w:r w:rsidR="00424802" w:rsidRPr="00424802">
        <w:rPr>
          <w:rFonts w:cs="Arial"/>
        </w:rPr>
        <w:t>T</w:t>
      </w:r>
      <w:r w:rsidR="001A0CAB">
        <w:rPr>
          <w:rFonts w:cs="Arial"/>
        </w:rPr>
        <w:t xml:space="preserve"> (</w:t>
      </w:r>
      <w:r w:rsidR="00424802" w:rsidRPr="00424802">
        <w:rPr>
          <w:rFonts w:cs="Arial"/>
        </w:rPr>
        <w:t>rs16944</w:t>
      </w:r>
      <w:r w:rsidR="00424802">
        <w:rPr>
          <w:rFonts w:cs="Arial"/>
        </w:rPr>
        <w:t xml:space="preserve">), </w:t>
      </w:r>
      <w:r w:rsidR="00424802" w:rsidRPr="001456E8">
        <w:rPr>
          <w:rFonts w:cs="Arial"/>
          <w:i/>
        </w:rPr>
        <w:t>IL1B</w:t>
      </w:r>
      <w:r w:rsidR="00424802">
        <w:rPr>
          <w:rFonts w:cs="Arial"/>
        </w:rPr>
        <w:t>–</w:t>
      </w:r>
      <w:r w:rsidR="00651E47">
        <w:rPr>
          <w:rFonts w:cs="Arial"/>
        </w:rPr>
        <w:t>31T&gt;C</w:t>
      </w:r>
      <w:r w:rsidR="001A0CAB">
        <w:rPr>
          <w:rFonts w:cs="Arial"/>
        </w:rPr>
        <w:t xml:space="preserve"> (</w:t>
      </w:r>
      <w:r w:rsidR="00424802" w:rsidRPr="00424802">
        <w:rPr>
          <w:rFonts w:cs="Arial"/>
        </w:rPr>
        <w:t>rs1143627</w:t>
      </w:r>
      <w:r w:rsidR="0095306B">
        <w:rPr>
          <w:rFonts w:cs="Arial"/>
        </w:rPr>
        <w:t>)</w:t>
      </w:r>
      <w:r>
        <w:rPr>
          <w:rFonts w:cs="Arial"/>
        </w:rPr>
        <w:t>,</w:t>
      </w:r>
      <w:r w:rsidR="0095306B">
        <w:rPr>
          <w:rFonts w:cs="Arial"/>
        </w:rPr>
        <w:t xml:space="preserve"> </w:t>
      </w:r>
      <w:r w:rsidR="0095306B" w:rsidRPr="001456E8">
        <w:rPr>
          <w:rFonts w:cs="Arial"/>
          <w:i/>
        </w:rPr>
        <w:t>IL1RN</w:t>
      </w:r>
      <w:r w:rsidR="0095306B">
        <w:rPr>
          <w:rFonts w:cs="Arial"/>
        </w:rPr>
        <w:t>–</w:t>
      </w:r>
      <w:r w:rsidR="00424802" w:rsidRPr="00424802">
        <w:rPr>
          <w:rFonts w:cs="Arial"/>
        </w:rPr>
        <w:t>9589A</w:t>
      </w:r>
      <w:r w:rsidR="00424802">
        <w:rPr>
          <w:rFonts w:cs="Arial"/>
        </w:rPr>
        <w:t>&gt;</w:t>
      </w:r>
      <w:r w:rsidR="00424802" w:rsidRPr="00424802">
        <w:rPr>
          <w:rFonts w:cs="Arial"/>
        </w:rPr>
        <w:t>T</w:t>
      </w:r>
      <w:r w:rsidR="00E0796B">
        <w:rPr>
          <w:rFonts w:cs="Arial"/>
        </w:rPr>
        <w:t xml:space="preserve"> </w:t>
      </w:r>
      <w:r w:rsidR="00E0796B" w:rsidRPr="00E0796B">
        <w:rPr>
          <w:rFonts w:cs="Arial"/>
        </w:rPr>
        <w:t>(rs454078)</w:t>
      </w:r>
      <w:r>
        <w:rPr>
          <w:rFonts w:cs="Arial"/>
        </w:rPr>
        <w:t>,</w:t>
      </w:r>
      <w:r w:rsidR="00424802" w:rsidRPr="00424802">
        <w:rPr>
          <w:rFonts w:cs="Arial"/>
        </w:rPr>
        <w:t xml:space="preserve"> </w:t>
      </w:r>
      <w:r w:rsidR="00DC0767" w:rsidRPr="001456E8">
        <w:rPr>
          <w:rFonts w:cs="Arial"/>
          <w:i/>
        </w:rPr>
        <w:t>IL2</w:t>
      </w:r>
      <w:r w:rsidR="00DC0767">
        <w:rPr>
          <w:rFonts w:cs="Arial"/>
        </w:rPr>
        <w:t>–</w:t>
      </w:r>
      <w:r w:rsidR="00424802" w:rsidRPr="00424802">
        <w:rPr>
          <w:rFonts w:cs="Arial"/>
        </w:rPr>
        <w:t>384T</w:t>
      </w:r>
      <w:r w:rsidR="00424802">
        <w:rPr>
          <w:rFonts w:cs="Arial"/>
        </w:rPr>
        <w:t>&gt;</w:t>
      </w:r>
      <w:r w:rsidR="00424802" w:rsidRPr="00424802">
        <w:rPr>
          <w:rFonts w:cs="Arial"/>
        </w:rPr>
        <w:t>G</w:t>
      </w:r>
      <w:r w:rsidR="001A0CAB">
        <w:rPr>
          <w:rFonts w:cs="Arial"/>
        </w:rPr>
        <w:t xml:space="preserve"> (</w:t>
      </w:r>
      <w:r w:rsidR="00424802" w:rsidRPr="00424802">
        <w:rPr>
          <w:rFonts w:cs="Arial"/>
        </w:rPr>
        <w:t>rs2069762)</w:t>
      </w:r>
      <w:r>
        <w:rPr>
          <w:rFonts w:cs="Arial"/>
        </w:rPr>
        <w:t>,</w:t>
      </w:r>
      <w:r w:rsidR="00424802">
        <w:rPr>
          <w:rFonts w:cs="Arial"/>
        </w:rPr>
        <w:t xml:space="preserve"> </w:t>
      </w:r>
      <w:r w:rsidR="00424802" w:rsidRPr="001456E8">
        <w:rPr>
          <w:rFonts w:cs="Arial"/>
          <w:i/>
        </w:rPr>
        <w:t>IL6</w:t>
      </w:r>
      <w:r w:rsidR="0095306B">
        <w:rPr>
          <w:rFonts w:cs="Arial"/>
        </w:rPr>
        <w:t>–</w:t>
      </w:r>
      <w:r w:rsidR="00424802" w:rsidRPr="00424802">
        <w:rPr>
          <w:rFonts w:cs="Arial"/>
        </w:rPr>
        <w:t>174G</w:t>
      </w:r>
      <w:r w:rsidR="00424802">
        <w:rPr>
          <w:rFonts w:cs="Arial"/>
        </w:rPr>
        <w:t>&gt;</w:t>
      </w:r>
      <w:r w:rsidR="00424802" w:rsidRPr="00424802">
        <w:rPr>
          <w:rFonts w:cs="Arial"/>
        </w:rPr>
        <w:t>C</w:t>
      </w:r>
      <w:r w:rsidR="001A0CAB">
        <w:rPr>
          <w:rFonts w:cs="Arial"/>
        </w:rPr>
        <w:t xml:space="preserve"> (</w:t>
      </w:r>
      <w:r w:rsidR="00424802" w:rsidRPr="00424802">
        <w:rPr>
          <w:rFonts w:cs="Arial"/>
        </w:rPr>
        <w:t>rs1800795</w:t>
      </w:r>
      <w:r w:rsidR="00DC0767">
        <w:rPr>
          <w:rFonts w:cs="Arial"/>
        </w:rPr>
        <w:t>)</w:t>
      </w:r>
      <w:r w:rsidR="006D017A">
        <w:rPr>
          <w:rFonts w:cs="Arial"/>
        </w:rPr>
        <w:t>,</w:t>
      </w:r>
      <w:r w:rsidR="00DC0767">
        <w:rPr>
          <w:rFonts w:cs="Arial"/>
        </w:rPr>
        <w:t xml:space="preserve"> </w:t>
      </w:r>
      <w:r w:rsidR="00DC0767" w:rsidRPr="001456E8">
        <w:rPr>
          <w:rFonts w:cs="Arial"/>
          <w:i/>
        </w:rPr>
        <w:t>IL6</w:t>
      </w:r>
      <w:r w:rsidR="00DC0767">
        <w:rPr>
          <w:rFonts w:cs="Arial"/>
        </w:rPr>
        <w:t>–</w:t>
      </w:r>
      <w:r w:rsidR="00424802" w:rsidRPr="00424802">
        <w:rPr>
          <w:rFonts w:cs="Arial"/>
        </w:rPr>
        <w:t>597G</w:t>
      </w:r>
      <w:r w:rsidR="00424802">
        <w:rPr>
          <w:rFonts w:cs="Arial"/>
        </w:rPr>
        <w:t>&gt;</w:t>
      </w:r>
      <w:r w:rsidR="00424802" w:rsidRPr="00424802">
        <w:rPr>
          <w:rFonts w:cs="Arial"/>
        </w:rPr>
        <w:t>A</w:t>
      </w:r>
      <w:r w:rsidR="001A0CAB">
        <w:rPr>
          <w:rFonts w:cs="Arial"/>
        </w:rPr>
        <w:t xml:space="preserve"> (</w:t>
      </w:r>
      <w:r w:rsidR="00424802" w:rsidRPr="00424802">
        <w:rPr>
          <w:rFonts w:cs="Arial"/>
        </w:rPr>
        <w:t>rs1800797)</w:t>
      </w:r>
      <w:r>
        <w:rPr>
          <w:rFonts w:cs="Arial"/>
        </w:rPr>
        <w:t>,</w:t>
      </w:r>
      <w:r w:rsidR="00424802" w:rsidRPr="00424802">
        <w:rPr>
          <w:rFonts w:cs="Arial"/>
        </w:rPr>
        <w:t xml:space="preserve"> </w:t>
      </w:r>
      <w:r w:rsidR="00424802" w:rsidRPr="001456E8">
        <w:rPr>
          <w:rFonts w:cs="Arial"/>
          <w:i/>
        </w:rPr>
        <w:t>IL10</w:t>
      </w:r>
      <w:r w:rsidR="00DC0767">
        <w:rPr>
          <w:rFonts w:cs="Arial"/>
        </w:rPr>
        <w:t>–</w:t>
      </w:r>
      <w:r w:rsidR="00424802" w:rsidRPr="00424802">
        <w:rPr>
          <w:rFonts w:cs="Arial"/>
        </w:rPr>
        <w:t>3575T</w:t>
      </w:r>
      <w:r w:rsidR="00424802">
        <w:rPr>
          <w:rFonts w:cs="Arial"/>
        </w:rPr>
        <w:t>&gt;</w:t>
      </w:r>
      <w:r w:rsidR="00424802" w:rsidRPr="00424802">
        <w:rPr>
          <w:rFonts w:cs="Arial"/>
        </w:rPr>
        <w:t>A</w:t>
      </w:r>
      <w:r w:rsidR="001A0CAB">
        <w:rPr>
          <w:rFonts w:cs="Arial"/>
        </w:rPr>
        <w:t xml:space="preserve"> (</w:t>
      </w:r>
      <w:r w:rsidR="00424802" w:rsidRPr="00424802">
        <w:rPr>
          <w:rFonts w:cs="Arial"/>
        </w:rPr>
        <w:t>rs1800890)</w:t>
      </w:r>
      <w:r>
        <w:rPr>
          <w:rFonts w:cs="Arial"/>
        </w:rPr>
        <w:t>,</w:t>
      </w:r>
      <w:r w:rsidR="00424802" w:rsidRPr="00424802">
        <w:rPr>
          <w:rFonts w:cs="Arial"/>
        </w:rPr>
        <w:t xml:space="preserve"> </w:t>
      </w:r>
      <w:r w:rsidR="00424802" w:rsidRPr="001456E8">
        <w:rPr>
          <w:rFonts w:cs="Arial"/>
          <w:i/>
        </w:rPr>
        <w:t>IL10</w:t>
      </w:r>
      <w:r w:rsidR="00F16B35">
        <w:rPr>
          <w:rFonts w:cs="Arial"/>
        </w:rPr>
        <w:t>–</w:t>
      </w:r>
      <w:r w:rsidR="00424802" w:rsidRPr="00424802">
        <w:rPr>
          <w:rFonts w:cs="Arial"/>
        </w:rPr>
        <w:t>1082A</w:t>
      </w:r>
      <w:r w:rsidR="00424802">
        <w:rPr>
          <w:rFonts w:cs="Arial"/>
        </w:rPr>
        <w:t>&gt;</w:t>
      </w:r>
      <w:r w:rsidR="00424802" w:rsidRPr="00424802">
        <w:rPr>
          <w:rFonts w:cs="Arial"/>
        </w:rPr>
        <w:t>G</w:t>
      </w:r>
      <w:r w:rsidR="001A0CAB">
        <w:rPr>
          <w:rFonts w:cs="Arial"/>
        </w:rPr>
        <w:t xml:space="preserve"> (</w:t>
      </w:r>
      <w:r w:rsidR="00424802" w:rsidRPr="00424802">
        <w:rPr>
          <w:rFonts w:cs="Arial"/>
        </w:rPr>
        <w:t>rs1800896)</w:t>
      </w:r>
      <w:r>
        <w:rPr>
          <w:rFonts w:cs="Arial"/>
        </w:rPr>
        <w:t>,</w:t>
      </w:r>
      <w:r w:rsidR="00424802" w:rsidRPr="00424802">
        <w:rPr>
          <w:rFonts w:cs="Arial"/>
        </w:rPr>
        <w:t xml:space="preserve"> </w:t>
      </w:r>
      <w:r w:rsidR="00424802" w:rsidRPr="001456E8">
        <w:rPr>
          <w:rFonts w:cs="Arial"/>
          <w:i/>
        </w:rPr>
        <w:t>TNF</w:t>
      </w:r>
      <w:r w:rsidR="00DC0767">
        <w:rPr>
          <w:rFonts w:cs="Arial"/>
        </w:rPr>
        <w:t>–</w:t>
      </w:r>
      <w:r w:rsidR="00424802" w:rsidRPr="00424802">
        <w:rPr>
          <w:rFonts w:cs="Arial"/>
        </w:rPr>
        <w:t>308G</w:t>
      </w:r>
      <w:r w:rsidR="00424802">
        <w:rPr>
          <w:rFonts w:cs="Arial"/>
        </w:rPr>
        <w:t>&gt;</w:t>
      </w:r>
      <w:r w:rsidR="00424802" w:rsidRPr="00424802">
        <w:rPr>
          <w:rFonts w:cs="Arial"/>
        </w:rPr>
        <w:t>A</w:t>
      </w:r>
      <w:r w:rsidR="001A0CAB">
        <w:rPr>
          <w:rFonts w:cs="Arial"/>
        </w:rPr>
        <w:t xml:space="preserve"> (</w:t>
      </w:r>
      <w:r w:rsidR="00424802" w:rsidRPr="00424802">
        <w:rPr>
          <w:rFonts w:cs="Arial"/>
        </w:rPr>
        <w:t>rs1800629</w:t>
      </w:r>
      <w:r w:rsidR="00947404">
        <w:rPr>
          <w:rFonts w:cs="Arial"/>
        </w:rPr>
        <w:t>)</w:t>
      </w:r>
      <w:r>
        <w:rPr>
          <w:rFonts w:cs="Arial"/>
        </w:rPr>
        <w:t>,</w:t>
      </w:r>
      <w:r w:rsidR="0095306B">
        <w:rPr>
          <w:rFonts w:cs="Arial"/>
        </w:rPr>
        <w:t xml:space="preserve"> </w:t>
      </w:r>
      <w:r w:rsidR="0095306B" w:rsidRPr="001456E8">
        <w:rPr>
          <w:rFonts w:cs="Arial"/>
          <w:i/>
        </w:rPr>
        <w:t>HLA</w:t>
      </w:r>
      <w:r w:rsidR="001C4719" w:rsidRPr="001456E8">
        <w:rPr>
          <w:rFonts w:cs="Arial"/>
          <w:i/>
        </w:rPr>
        <w:t xml:space="preserve"> class </w:t>
      </w:r>
      <w:r w:rsidR="0095306B" w:rsidRPr="001456E8">
        <w:rPr>
          <w:rFonts w:cs="Arial"/>
          <w:i/>
        </w:rPr>
        <w:t>I</w:t>
      </w:r>
      <w:r w:rsidR="0095306B">
        <w:rPr>
          <w:rFonts w:cs="Arial"/>
        </w:rPr>
        <w:t xml:space="preserve"> </w:t>
      </w:r>
      <w:r w:rsidR="000515AC">
        <w:rPr>
          <w:rFonts w:cs="Arial"/>
        </w:rPr>
        <w:t>C&gt;</w:t>
      </w:r>
      <w:r w:rsidR="0095306B">
        <w:rPr>
          <w:rFonts w:cs="Arial"/>
        </w:rPr>
        <w:t>A</w:t>
      </w:r>
      <w:r w:rsidR="001A0CAB">
        <w:rPr>
          <w:rFonts w:cs="Arial"/>
        </w:rPr>
        <w:t xml:space="preserve"> (</w:t>
      </w:r>
      <w:r w:rsidR="0095306B" w:rsidRPr="0095306B">
        <w:rPr>
          <w:rFonts w:cs="Arial"/>
        </w:rPr>
        <w:t>rs6457327</w:t>
      </w:r>
      <w:r w:rsidR="0095306B">
        <w:rPr>
          <w:rFonts w:cs="Arial"/>
        </w:rPr>
        <w:t>)</w:t>
      </w:r>
      <w:r w:rsidR="00E95A12">
        <w:rPr>
          <w:rFonts w:cs="Arial"/>
        </w:rPr>
        <w:t xml:space="preserve">, and </w:t>
      </w:r>
      <w:r w:rsidR="00E95A12" w:rsidRPr="001456E8">
        <w:rPr>
          <w:rFonts w:cs="Arial"/>
          <w:i/>
        </w:rPr>
        <w:t>HLA class II</w:t>
      </w:r>
      <w:r w:rsidR="00E95A12">
        <w:rPr>
          <w:rFonts w:cs="Arial"/>
        </w:rPr>
        <w:t xml:space="preserve"> T&gt;G (rs10484561)</w:t>
      </w:r>
      <w:r w:rsidR="00056718" w:rsidRPr="003D037E">
        <w:rPr>
          <w:rFonts w:cs="Arial"/>
        </w:rPr>
        <w:t xml:space="preserve">. </w:t>
      </w:r>
      <w:r w:rsidR="006520FE">
        <w:rPr>
          <w:rFonts w:cs="Arial"/>
        </w:rPr>
        <w:t xml:space="preserve"> </w:t>
      </w:r>
      <w:r w:rsidR="00056718" w:rsidRPr="003D037E">
        <w:rPr>
          <w:rFonts w:cs="Arial"/>
        </w:rPr>
        <w:t>Genotyping was</w:t>
      </w:r>
      <w:r w:rsidR="004A33FE" w:rsidRPr="003D037E">
        <w:rPr>
          <w:rFonts w:cs="Arial"/>
        </w:rPr>
        <w:t xml:space="preserve"> performed using </w:t>
      </w:r>
      <w:r w:rsidR="00D2259D" w:rsidRPr="003D037E">
        <w:rPr>
          <w:rFonts w:cs="Arial"/>
        </w:rPr>
        <w:t xml:space="preserve">either </w:t>
      </w:r>
      <w:r w:rsidR="004A33FE" w:rsidRPr="003D037E">
        <w:rPr>
          <w:rFonts w:cs="Arial"/>
        </w:rPr>
        <w:t>TaqMan</w:t>
      </w:r>
      <w:r w:rsidR="00570F98">
        <w:rPr>
          <w:rFonts w:cs="Arial"/>
        </w:rPr>
        <w:t xml:space="preserve"> </w:t>
      </w:r>
      <w:r w:rsidR="00570F98" w:rsidRPr="00570F98">
        <w:rPr>
          <w:rFonts w:cs="Arial"/>
        </w:rPr>
        <w:t>(Applied Biosystems, Inc., Foster City, California)</w:t>
      </w:r>
      <w:r w:rsidR="004A33FE" w:rsidRPr="003D037E">
        <w:rPr>
          <w:rFonts w:cs="Arial"/>
        </w:rPr>
        <w:t xml:space="preserve">, </w:t>
      </w:r>
      <w:r w:rsidR="00570F98" w:rsidRPr="00570F98">
        <w:rPr>
          <w:rFonts w:cs="Arial"/>
        </w:rPr>
        <w:t xml:space="preserve">Pyrosequencing (Qiagen </w:t>
      </w:r>
      <w:r w:rsidR="00570F98">
        <w:rPr>
          <w:rFonts w:cs="Arial"/>
        </w:rPr>
        <w:t>NV, Hilden, Germany)</w:t>
      </w:r>
      <w:r w:rsidR="00056718" w:rsidRPr="003D037E">
        <w:rPr>
          <w:rFonts w:cs="Arial"/>
        </w:rPr>
        <w:t xml:space="preserve">, </w:t>
      </w:r>
      <w:r w:rsidR="00C66274" w:rsidRPr="003D037E">
        <w:rPr>
          <w:rFonts w:cs="Arial"/>
        </w:rPr>
        <w:t xml:space="preserve">or </w:t>
      </w:r>
      <w:r w:rsidR="00056718" w:rsidRPr="003D037E">
        <w:rPr>
          <w:rFonts w:cs="Arial"/>
        </w:rPr>
        <w:t>Illumina</w:t>
      </w:r>
      <w:r w:rsidR="00F16B35">
        <w:rPr>
          <w:rFonts w:cs="Arial"/>
        </w:rPr>
        <w:t xml:space="preserve"> Goldengate</w:t>
      </w:r>
      <w:r w:rsidR="00570F98">
        <w:rPr>
          <w:rFonts w:cs="Arial"/>
        </w:rPr>
        <w:t xml:space="preserve"> </w:t>
      </w:r>
      <w:r w:rsidR="0022191F">
        <w:t xml:space="preserve">(Illumina, Inc., San Diego, California) </w:t>
      </w:r>
      <w:r w:rsidR="00481A15">
        <w:rPr>
          <w:rFonts w:cs="Arial"/>
        </w:rPr>
        <w:t>genotyping assays</w:t>
      </w:r>
      <w:r w:rsidR="003B2895">
        <w:rPr>
          <w:rFonts w:cs="Arial"/>
        </w:rPr>
        <w:t>.</w:t>
      </w:r>
      <w:r w:rsidR="00DE45CB" w:rsidRPr="00570F98">
        <w:rPr>
          <w:rFonts w:cs="Arial"/>
        </w:rPr>
        <w:t xml:space="preserve"> </w:t>
      </w:r>
      <w:r w:rsidR="003B2895">
        <w:rPr>
          <w:rFonts w:cs="Arial"/>
        </w:rPr>
        <w:t>A</w:t>
      </w:r>
      <w:r w:rsidR="003B2895" w:rsidRPr="00570F98">
        <w:rPr>
          <w:rFonts w:cs="Arial"/>
        </w:rPr>
        <w:t xml:space="preserve">dditional </w:t>
      </w:r>
      <w:r w:rsidR="003B2895">
        <w:rPr>
          <w:rFonts w:cs="Arial"/>
        </w:rPr>
        <w:t>technical</w:t>
      </w:r>
      <w:r w:rsidR="003B2895" w:rsidRPr="00570F98">
        <w:rPr>
          <w:rFonts w:cs="Arial"/>
        </w:rPr>
        <w:t xml:space="preserve"> </w:t>
      </w:r>
      <w:r w:rsidR="00056718" w:rsidRPr="00570F98">
        <w:rPr>
          <w:rFonts w:cs="Arial"/>
        </w:rPr>
        <w:t>d</w:t>
      </w:r>
      <w:r w:rsidR="00056718" w:rsidRPr="003D037E">
        <w:rPr>
          <w:rFonts w:cs="Arial"/>
        </w:rPr>
        <w:t xml:space="preserve">etails about genotyping methods </w:t>
      </w:r>
      <w:r w:rsidR="003B2895">
        <w:rPr>
          <w:rFonts w:cs="Arial"/>
        </w:rPr>
        <w:t xml:space="preserve">used in each contributing study </w:t>
      </w:r>
      <w:r w:rsidR="00056718" w:rsidRPr="003D037E">
        <w:rPr>
          <w:rFonts w:cs="Arial"/>
        </w:rPr>
        <w:t>are included in previous publications</w:t>
      </w:r>
      <w:r w:rsidR="002E5E00">
        <w:rPr>
          <w:rFonts w:cs="Arial"/>
        </w:rPr>
        <w:t xml:space="preserve"> </w:t>
      </w:r>
      <w:r w:rsidR="009F46FC">
        <w:rPr>
          <w:rFonts w:cs="Arial"/>
        </w:rPr>
        <w:fldChar w:fldCharType="begin" w:fldLock="1"/>
      </w:r>
      <w:r w:rsidR="00BB3BE7">
        <w:rPr>
          <w:rFonts w:cs="Arial"/>
        </w:rPr>
        <w:instrText>ADDIN CSL_CITATION {"citationItems":[{"id":"ITEM-1","itemData":{"DOI":"10.1111/j.1365-2141.2010.08518.x","ISSN":"1365-2141","PMID":"21250972","abstract":"Genetic variation in immune-related genes may play a role in the development of non-Hodgkin lymphoma (NHL). To test the hypothesis that innate immunity polymorphisms may be associated with NHL risk, we genotyped 144 tag single nucleotide polymorphisms (tagSNPs) capturing common genetic variation within 12 innate immunity gene regions in three independent population-based case-control studies (1946 cases and 1808 controls). Gene-based analyses found IL1RN to be associated with NHL risk (minP = 0·03); specifically, IL1RN rs2637988 was associated with an increased risk of NHL (per-allele odds ratio = 1·15, 95% confidence interval = 1·05-1·27; P(trend) = 0·003), which was consistent across study, subtype, and gender. FCGR2A was also associated with a decreased risk of the follicular lymphoma NHL subtype (minP = 0·03). Our findings suggest that genetic variation in IL1RN and FCGR2A may play a role in lymphomagenesis. Given that conflicting results have been reported regarding the association between IL1RN SNPs and NHL risk, a larger number of innate immunity genes with sufficient genomic coverage should be evaluated systematically across many studies.","author":[{"dropping-particle":"","family":"Hosgood","given":"H Dean","non-dropping-particle":"","parse-names":false,"suffix":""},{"dropping-particle":"","family":"Purdue","given":"Mark P","non-dropping-particle":"","parse-names":false,"suffix":""},{"dropping-particle":"","family":"Wang","given":"Sophia S","non-dropping-particle":"","parse-names":false,"suffix":""},{"dropping-particle":"","family":"Zheng","given":"Tongzhang","non-dropping-particle":"","parse-names":false,"suffix":""},{"dropping-particle":"","family":"Morton","given":"Lindsay M","non-dropping-particle":"","parse-names":false,"suffix":""},{"dropping-particle":"","family":"Lan","given":"Qing","non-dropping-particle":"","parse-names":false,"suffix":""},{"dropping-particle":"","family":"Menashe","given":"Idan","non-dropping-particle":"","parse-names":false,"suffix":""},{"dropping-particle":"","family":"Zhang","given":"Yawei","non-dropping-particle":"","parse-names":false,"suffix":""},{"dropping-particle":"","family":"Cerhan","given":"James R","non-dropping-particle":"","parse-names":false,"suffix":""},{"dropping-particle":"","family":"Grulich","given":"Andrew","non-dropping-particle":"","parse-names":false,"suffix":""},{"dropping-particle":"","family":"Cozen","given":"Wendy","non-dropping-particle":"","parse-names":false,"suffix":""},{"dropping-particle":"","family":"Yeager","given":"Meredith","non-dropping-particle":"","parse-names":false,"suffix":""},{"dropping-particle":"","family":"Holford","given":"Theodore R","non-dropping-particle":"","parse-names":false,"suffix":""},{"dropping-particle":"","family":"Vajdic","given":"Claire M","non-dropping-particle":"","parse-names":false,"suffix":""},{"dropping-particle":"","family":"Davis","given":"Scott","non-dropping-particle":"","parse-names":false,"suffix":""},{"dropping-particle":"","family":"Leaderer","given":"Brian","non-dropping-particle":"","parse-names":false,"suffix":""},{"dropping-particle":"","family":"Kricker","given":"Anne","non-dropping-particle":"","parse-names":false,"suffix":""},{"dropping-particle":"","family":"Schenk","given":"Maryjean","non-dropping-particle":"","parse-names":false,"suffix":""},{"dropping-particle":"","family":"Zahm","given":"Shelia H","non-dropping-particle":"","parse-names":false,"suffix":""},{"dropping-particle":"","family":"Chatterjee","given":"Nilanjan","non-dropping-particle":"","parse-names":false,"suffix":""},{"dropping-particle":"","family":"Chanock","given":"Stephen J","non-dropping-particle":"","parse-names":false,"suffix":""},{"dropping-particle":"","family":"Rothman","given":"Nathaniel","non-dropping-particle":"","parse-names":false,"suffix":""},{"dropping-particle":"","family":"Hartge","given":"Patricia","non-dropping-particle":"","parse-names":false,"suffix":""},{"dropping-particle":"","family":"Armstrong","given":"Bruce","non-dropping-particle":"","parse-names":false,"suffix":""}],"container-title":"British journal of haematology","id":"ITEM-1","issue":"6","issued":{"date-parts":[["2011","3"]]},"page":"721-6","title":"A pooled analysis of three studies evaluating genetic variation in innate immunity genes and non-Hodgkin lymphoma risk.","type":"article-journal","volume":"152"},"uris":["http://www.mendeley.com/documents/?uuid=28a6c2e9-f4cc-4cbd-a973-8fa8e004737a"]},{"id":"ITEM-2","itemData":{"DOI":"10.1016/S1470-2045(05)70434-4","ISSN":"14702045","PMID":"16389181","abstract":"Background: Common genetic variants in immune and inflammatory response genes can affect the risk of developing non-Hodgkin lymphoma. We aimed to test this hypothesis using previously unpublished data from eight European, Canadian, and US case-control studies of the International Lymphoma Epidemiology Consortium (InterLymph). Methods: We selected 12 single-nucleotide polymorphisms for analysis, on the basis of previous functional or association data, in nine genes that have important roles in lymphoid development, Th1/Th2 balance, and proinflammatory or anti-inflammatory pathways (IL1A, IL1RN, IL1B, IL2, IL6, IL10, TNF, LTA, and CARD15). Genotype data for one or more single-nucleotide polymorphisms were available for 3586 cases of non-Hodgkin lymphoma and for 4018 controls, and were assessed in a pooled analysis by use of a random-effects logistic regression model. Findings: The tu</w:instrText>
      </w:r>
      <w:r w:rsidR="00BB3BE7">
        <w:rPr>
          <w:rFonts w:cs="Arial" w:hint="eastAsia"/>
        </w:rPr>
        <w:instrText>mour necrosis factor (TNF) -308G</w:instrText>
      </w:r>
      <w:r w:rsidR="00BB3BE7">
        <w:rPr>
          <w:rFonts w:cs="Arial" w:hint="eastAsia"/>
        </w:rPr>
        <w:instrText>→</w:instrText>
      </w:r>
      <w:r w:rsidR="00BB3BE7">
        <w:rPr>
          <w:rFonts w:cs="Arial" w:hint="eastAsia"/>
        </w:rPr>
        <w:instrText>A polymorphism was associated with increased risk of non-Hodgkin lymphoma (p for trend=0.005), particularly for diffuse large B-cell lymphoma, the main histological subtype (odds ratio 1.29 [95% CI 1.10-1.51] for GA and 1.65 [1.16-2.34] for AA, p for trend &lt;0.0001), but not for follicular lymphoma. The interleukin 10 (IL10) -3575T</w:instrText>
      </w:r>
      <w:r w:rsidR="00BB3BE7">
        <w:rPr>
          <w:rFonts w:cs="Arial" w:hint="eastAsia"/>
        </w:rPr>
        <w:instrText>→</w:instrText>
      </w:r>
      <w:r w:rsidR="00BB3BE7">
        <w:rPr>
          <w:rFonts w:cs="Arial" w:hint="eastAsia"/>
        </w:rPr>
        <w:instrText>A polymorphism was also associated with increased risk of non-Hodgkin lymphoma (p for trend=0.02), again particularly for diffuse large B-cell l</w:instrText>
      </w:r>
      <w:r w:rsidR="00BB3BE7">
        <w:rPr>
          <w:rFonts w:cs="Arial"/>
        </w:rPr>
        <w:instrText>ymphoma (p for trend=0.006). For individuals homozygous for the TNF -308A allele and carrying at least one IL10 -3575A allele, risk of diffuse large B-cell lymphoma doubled (2.13 [1.37-3.32], p=0.00083). Interpretation: Common polymorphisms in TNF and IL10, key cytokines for the inflammatory response and Th1/Th2 balance, could be susceptibility loci for non-Hodgkin lymphoma. Moreover, our results underscore the importance of consortia for investigating the genetic basis of chronic diseases like cancer.","author":[{"dropping-particle":"","family":"Rothman","given":"Nathaniel","non-dropping-particle":"","parse-names":false,"suffix":""},{"dropping-particle":"","family":"Skibola","given":"Christine F.","non-dropping-particle":"","parse-names":false,"suffix":""},{"dropping-particle":"","family":"Wang","given":"Sophia S.","non-dropping-particle":"","parse-names":false,"suffix":""},{"dropping-particle":"","family":"Morgan","given":"Gareth","non-dropping-particle":"","parse-names":false,"suffix":""},{"dropping-particle":"","family":"Lan","given":"Qing","non-dropping-particle":"","parse-names":false,"suffix":""},{"dropping-particle":"","family":"Smith","given":"Martyn T.","non-dropping-particle":"","parse-names":false,"suffix":""},{"dropping-particle":"","family":"Spinelli","given":"John J.","non-dropping-particle":"","parse-names":false,"suffix":""},{"dropping-particle":"","family":"Willett","given":"Eleanor","non-dropping-particle":"","parse-names":false,"suffix":""},{"dropping-particle":"","family":"Sanjose","given":"Silvia","non-dropping-particle":"De","parse-names":false,"suffix":""},{"dropping-particle":"","family":"Cocco","given":"Pierluigi","non-dropping-particle":"","parse-names":false,"suffix":""},{"dropping-particle":"","family":"Berndt","given":"Sonja I.","non-dropping-particle":"","parse-names":false,"suffix":""},{"dropping-particle":"","family":"Brennan","given":"Paul","non-dropping-particle":"","parse-names":false,"suffix":""},{"dropping-particle":"","family":"Brooks-Wilson","given":"Angela","non-dropping-particle":"","parse-names":false,"suffix":""},{"dropping-particle":"","family":"Wacholder","given":"Sholom","non-dropping-particle":"","parse-names":false,"suffix":""},{"dropping-particle":"","family":"Becker","given":"Nikolaus","non-dropping-particle":"","parse-names":false,"suffix":""},{"dropping-particle":"","family":"Hartge","given":"Patricia","non-dropping-particle":"","parse-names":false,"suffix":""},{"dropping-particle":"","family":"Zheng","given":"Tongzhang","non-dropping-particle":"","parse-names":false,"suffix":""},{"dropping-particle":"","family":"Roman","given":"Eve","non-dropping-particle":"","parse-names":false,"suffix":""},{"dropping-particle":"","family":"Holly","given":"Elizabeth A.","non-dropping-particle":"","parse-names":false,"suffix":""},{"dropping-particle":"","family":"Boffetta","given":"Paolo","non-dropping-particle":"","parse-names":false,"suffix":""},{"dropping-particle":"","family":"Armstrong","given":"Bruce","non-dropping-particle":"","parse-names":false,"suffix":""},{"dropping-particle":"","family":"Cozen","given":"Wendy","non-dropping-particle":"","parse-names":false,"suffix":""},{"dropping-particle":"","family":"Linet","given":"Martha","non-dropping-particle":"","parse-names":false,"suffix":""},{"dropping-particle":"","family":"Bosch","given":"Xavier F.","non-dropping-particle":"","parse-names":false,"suffix":""},{"dropping-particle":"","family":"Ennas","given":"Maria Grazia","non-dropping-particle":"","parse-names":false,"suffix":""},{"dropping-particle":"","family":"Holford","given":"Theodore R.","non-dropping-particle":"","parse-names":false,"suffix":""},{"dropping-particle":"","family":"Gallagher","given":"Richard P.","non-dropping-particle":"","parse-names":false,"suffix":""},{"dropping-particle":"","family":"Rollinson","given":"Sara","non-dropping-particle":"","parse-names":false,"suffix":""},{"dropping-particle":"","family":"Bracci","given":"Paige M.","non-dropping-particle":"","parse-names":false,"suffix":""},{"dropping-particle":"","family":"Cerhan","given":"James R.","non-dropping-particle":"","parse-names":false,"suffix":""},{"dropping-particle":"","family":"Whitby","given":"Denise","non-dropping-particle":"","parse-names":false,"suffix":""},{"dropping-particle":"","family":"Moore","given":"Patrick S.","non-dropping-particle":"","parse-names":false,"suffix":""},{"dropping-particle":"","family":"Leaderer","given":"Brian","non-dropping-particle":"","parse-names":false,"suffix":""},{"dropping-particle":"","family":"Lai","given":"Agnes","non-dropping-particle":"","parse-names":false,"suffix":""},{"dropping-particle":"","family":"Spink","given":"Charlotte","non-dropping-particle":"","parse-names":false,"suffix":""},{"dropping-particle":"","family":"Davis","given":"Scott","non-dropping-particle":"","parse-names":false,"suffix":""},{"dropping-particle":"","family":"Bosch","given":"Ramon","non-dropping-particle":"","parse-names":false,"suffix":""},{"dropping-particle":"","family":"Scarpa","given":"Aldo","non-dropping-particle":"","parse-names":false,"suffix":""},{"dropping-particle":"","family":"Zhang","given":"Yawei","non-dropping-particle":"","parse-names":false,"suffix":""},{"dropping-particle":"","family":"Severson","given":"Richard K.","non-dropping-particle":"","parse-names":false,"suffix":""},{"dropping-particle":"","family":"Yeager","given":"Meredith","non-dropping-particle":"","parse-names":false,"suffix":""},{"dropping-particle":"","family":"Chanock","given":"Stephen","non-dropping-particle":"","parse-names":false,"suffix":""},{"dropping-particle":"","family":"Nieters","given":"Alexandra","non-dropping-particle":"","parse-names":false,"suffix":""}],"container-title":"Lancet Oncology","id":"ITEM-2","issued":{"date-parts":[["2006"]]},"page":"27-38","title":"Genetic variation in TNF and IL10 and risk of non-Hodgkin lymphoma: A report from the InterLymph Consortium","type":"article-journal","volume":"7"},"uris":["http://www.mendeley.com/documents/?uuid=d5a7315f-5e95-47ea-b607-60f9e869c8ac"]},{"id":"ITEM-3","itemData":{"DOI":"10.1093/aje/kwp383","ISBN":"1476-6256 (Electronic)\\r0002-9262 (Linking)","ISSN":"1476-6256","PMID":"20047977","abstract":"In an International Lymphoma Epidemiology Consortium pooled analysis, polymorphisms in 2 immune-system-related genes, tumor necrosis factor (TNF) and interleukin-10 (IL10), were associated with non-Hodgkin lymphoma (NHL) risk. Here, 8,847 participants were added to previous data (patients diagnosed from 1989 to 2005 in 14 case-control studies; 7,999 cases, 8,452 controls) for testing of polymorphisms in the TNF -308G&gt;A (rs1800629), lymphotoxin-alpha (LTA) 252A&gt;G (rs909253), IL10 -3575T&gt;A (rs1800890, rs1800896), and nucleotide-binding oligomerization domain containing 2 (NOD2) 3020insC (rs2066847) genes. Odds ratios were estimated for non-Hispanic whites and several ethnic subgroups using 2-sided tests. Consistent with previous findings, odds ratios were increased for \"new\" participant TNF -308A carriers (NHL: per-allele odds ratio (OR(allelic)) = 1.10, P(trend) = 0.001; diffuse large B-cell lymphoma (DLBCL): OR(allelic) = 1.23, P(trend) = 0.004). In the combined population, odds ratios were increased for TNF -308A carriers (NHL: OR(allelic) = 1.13, P(trend) = 0.0001; DLBCL: OR(allelic) = 1.25, P(trend) = 3.7 x 10(-6); marginal zone lymphoma: OR(allelic) = 1.35, P(trend) = 0.004) and LTA 252G carriers (DLBCL: OR(allelic) = 1.12, P(trend) = 0.006; mycosis fungoides: OR(allelic) = 1.44, P(trend) = 0.015). The LTA 252A&gt;G/TNF -308G&gt;A haplotype containing the LTA/TNF variant alleles was strongly associated with DLBCL (P = 2.9 x 10(-8)). Results suggested associations between IL10 -3575T&gt;A and DLBCL (P(trend) = 0.02) and IL10 -1082A&gt;G and mantle cell lymphoma (P(trend) = 0.04). These findings strengthen previous results for DLBCL and the LTA 252A&gt;G/TNF -308A locus and provide robust evidence that these TNF/LTA gene variants, or others in linkage disequilibrium, are involved in NHL etiology.","author":[{"dropping-particle":"","family":"Skibola","given":"Christine F","non-dropping-particle":"","parse-names":false,"suffix":""},{"dropping-particle":"","family":"Bracci","given":"Paige M","non-dropping-particle":"","parse-names":false,"suffix":""},{"dropping-particle":"","family":"Nieters","given":"Alexandra","non-dropping-particle":"","parse-names":false,"suffix":""},{"dropping-particle":"","family":"Brooks-Wilson","given":"Angela","non-dropping-particle":"","parse-names":false,"suffix":""},{"dropping-particle":"","family":"Sanjosé","given":"Silvia","non-dropping-particle":"de","parse-names":false,"suffix":""},{"dropping-particle":"","family":"Hughes","given":"Ann Maree","non-dropping-particle":"","parse-names":false,"suffix":""},{"dropping-particle":"","family":"Cerhan","given":"James R","non-dropping-particle":"","parse-names":false,"suffix":""},{"dropping-particle":"","family":"Skibola","given":"Danica R","non-dropping-particle":"","parse-names":false,"suffix":""},{"dropping-particle":"","family":"Purdue","given":"Mark","non-dropping-particle":"","parse-names":false,"suffix":""},{"dropping-particle":"","family":"Kane","given":"Eleanor","non-dropping-particle":"","parse-names":false,"suffix":""},{"dropping-particle":"","family":"Lan","given":"Qing","non-dropping-particle":"","parse-names":false,"suffix":""},{"dropping-particle":"","family":"Foretova","given":"Lenka","non-dropping-particle":"","parse-names":false,"suffix":""},{"dropping-particle":"","family":"Schenk","given":"Maryjean","non-dropping-particle":"","parse-names":false,"suffix":""},{"dropping-particle":"","family":"Spinelli","given":"John J","non-dropping-particle":"","parse-names":false,"suffix":""},{"dropping-particle":"","family":"Slager","given":"Susan L","non-dropping-particle":"","parse-names":false,"suffix":""},{"dropping-particle":"","family":"Roos","given":"Anneclaire J","non-dropping-particle":"De","parse-names":false,"suffix":""},{"dropping-particle":"","family":"Smith","given":"Martyn T","non-dropping-particle":"","parse-names":false,"suffix":""},{"dropping-particle":"","family":"Roman","given":"Eve","non-dropping-particle":"","parse-names":false,"suffix":""},{"dropping-particle":"","family":"Cozen","given":"Wendy","non-dropping-particle":"","parse-names":false,"suffix":""},{"dropping-particle":"","family":"Boffetta","given":"Paolo","non-dropping-particle":"","parse-names":false,"suffix":""},{"dropping-particle":"","family":"Kricker","given":"Anne","non-dropping-particle":"","parse-names":false,"suffix":""},{"dropping-particle":"","family":"Zheng","given":"Tongzhang","non-dropping-particle":"","parse-names":false,"suffix":""},{"dropping-particle":"","family":"Lightfoot","given":"Tracy","non-dropping-particle":"","parse-names":false,"suffix":""},{"dropping-particle":"","family":"Cocco","given":"Pierluigi","non-dropping-particle":"","parse-names":false,"suffix":""},{"dropping-particle":"","family":"Benavente","given":"Yolanda","non-dropping-particle":"","parse-names":false,"suffix":""},{"dropping-particle":"","family":"Zhang","given":"Yawei","non-dropping-particle":"","parse-names":false,"suffix":""},{"dropping-particle":"","family":"Hartge","given":"Patricia","non-dropping-particle":"","parse-names":false,"suffix":""},{"dropping-particle":"","family":"Linet","given":"Martha S","non-dropping-particle":"","parse-names":false,"suffix":""},{"dropping-particle":"","family":"Becker","given":"Nikolaus","non-dropping-particle":"","parse-names":false,"suffix":""},{"dropping-particle":"","family":"Brennan","given":"Paul","non-dropping-particle":"","parse-names":false,"suffix":""},{"dropping-particle":"","family":"Zhang","given":"Luoping","non-dropping-particle":"","parse-names":false,"suffix":""},{"dropping-particle":"","family":"Armstrong","given":"Bruce","non-dropping-particle":"","parse-names":false,"suffix":""},{"dropping-particle":"","family":"Smith","given":"Alex","non-dropping-particle":"","parse-names":false,"suffix":""},{"dropping-particle":"","family":"Shiao","given":"Renee","non-dropping-particle":"","parse-names":false,"suffix":""},{"dropping-particle":"","family":"Novak","given":"Anne J","non-dropping-particle":"","parse-names":false,"suffix":""},{"dropping-particle":"","family":"Maynadie","given":"Marc","non-dropping-particle":"","parse-names":false,"suffix":""},{"dropping-particle":"","family":"Chanock","given":"Stephen J","non-dropping-particle":"","parse-names":false,"suffix":""},{"dropping-particle":"","family":"Staines","given":"Anthony","non-dropping-particle":"","parse-names":false,"suffix":""},{"dropping-particle":"","family":"Holford","given":"Theodore R","non-dropping-particle":"","parse-names":false,"suffix":""},{"dropping-particle":"","family":"Holly","given":"Elizabeth A","non-dropping-particle":"","parse-names":false,"suffix":""},{"dropping-particle":"","family":"Rothman","given":"Nathaniel","non-dropping-particle":"","parse-names":false,"suffix":""},{"dropping-particle":"","family":"Wang","given":"Sophia S","non-dropping-particle":"","parse-names":false,"suffix":""}],"container-title":"American journal of epidemiology","id":"ITEM-3","issued":{"date-parts":[["2010"]]},"page":"267-276","title":"Tumor necrosis factor (TNF) and lymphotoxin-alpha (LTA) polymorphisms and risk of non-Hodgkin lymphoma in the InterLymph Consortium.","type":"article-journal","volume":"171"},"uris":["http://www.mendeley.com/documents/?uuid=22bf699d-a8d0-4e47-b78d-cda2951c8273"]},{"id":"ITEM-4","itemData":{"DOI":"10.1038/ng.626","ISBN":"1546-1718 (Electronic)\\r1061-4036 (Linking)","ISSN":"1061-4036","PMID":"20639881","abstract":"To identify susceptibility loci for non-Hodgkin lymphoma subtypes, we conducted a three-stage genome-wide association study. We identified two variants associated with follicular lymphoma at 6p21.32 (rs10484561, combined P = 1.12 x 10(-29) and rs7755224, combined P = 2.00 x 10(-19); r(2) = 1.0), supporting the idea that major histocompatibility complex genetic variation influences follicular lymphoma susceptibility. We also found confirmatory evidence of a previously reported association between chronic lymphocytic leukemia/small lymphocytic lymphoma and rs735665 (combined P = 4.24 x 10(-9)).","author":[{"dropping-particle":"","family":"Conde","given":"Lucia","non-dropping-particle":"","parse-names":false,"suffix":""},{"dropping-particle":"","family":"Halperin","given":"Eran","non-dropping-particle":"","parse-names":false,"suffix":""},{"dropping-particle":"","family":"Akers","given":"Nicholas K","non-dropping-particle":"","parse-names":false,"suffix":""},{"dropping-particle":"","family":"Brown","given":"Kevin M","non-dropping-particle":"","parse-names":false,"suffix":""},{"dropping-particle":"","family":"Smedby","given":"Karin E","non-dropping-particle":"","parse-names":false,"suffix":""},{"dropping-particle":"","family":"Rothman","given":"Nathaniel","non-dropping-particle":"","parse-names":false,"suffix":""},{"dropping-particle":"","family":"Nieters","given":"Alexandra","non-dropping-particle":"","parse-names":false,"suffix":""},{"dropping-particle":"","family":"Slager","given":"Susan L","non-dropping-particle":"","parse-names":false,"suffix":""},{"dropping-particle":"","family":"Brooks-Wilson","given":"Angela","non-dropping-particle":"","parse-names":false,"suffix":""},{"dropping-particle":"","family":"Agana","given":"Luz","non-dropping-particle":"","parse-names":false,"suffix":""},{"dropping-particle":"","family":"Riby","given":"Jacques","non-dropping-particle":"","parse-names":false,"suffix":""},{"dropping-particle":"","family":"Liu","given":"Jianjun","non-dropping-particle":"","parse-names":false,"suffix":""},{"dropping-particle":"","family":"Adami","given":"Hans-Olov","non-dropping-particle":"","parse-names":false,"suffix":""},{"dropping-particle":"","family":"Darabi","given":"Hatef","non-dropping-particle":"","parse-names":false,"suffix":""},{"dropping-particle":"","family":"Hjalgrim","given":"Henrik","non-dropping-particle":"","parse-names":false,"suffix":""},{"dropping-particle":"","family":"Low","given":"Hui-Qi","non-dropping-particle":"","parse-names":false,"suffix":""},{"dropping-particle":"","family":"Humphreys","given":"Keith","non-dropping-particle":"","parse-names":false,"suffix":""},{"dropping-particle":"","family":"Melbye","given":"Mads","non-dropping-particle":"","parse-names":false,"suffix":""},{"dropping-particle":"","family":"Chang","given":"Ellen T","non-dropping-particle":"","parse-names":false,"suffix":""},{"dropping-particle":"","family":"Glimelius","given":"Bengt","non-dropping-particle":"","parse-names":false,"suffix":""},{"dropping-particle":"","family":"Cozen","given":"Wendy","non-dropping-particle":"","parse-names":false,"suffix":""},{"dropping-particle":"","family":"Davis","given":"Scott","non-dropping-particle":"","parse-names":false,"suffix":""},{"dropping-particle":"","family":"Hartge","given":"Patricia","non-dropping-particle":"","parse-names":false,"suffix":""},{"dropping-particle":"","family":"Morton","given":"Lindsay M","non-dropping-particle":"","parse-names":false,"suffix":""},{"dropping-particle":"","family":"Schenk","given":"Maryjean","non-dropping-particle":"","parse-names":false,"suffix":""},{"dropping-particle":"","family":"Wang","given":"Sophia S","non-dropping-particle":"","parse-names":false,"suffix":""},{"dropping-particle":"","family":"Armstrong","given":"Bruce","non-dropping-particle":"","parse-names":false,"suffix":""},{"dropping-particle":"","family":"Kricker","given":"Anne","non-dropping-particle":"","parse-names":false,"suffix":""},{"dropping-particle":"","family":"Milliken","given":"Sam","non-dropping-particle":"","parse-names":false,"suffix":""},{"dropping-particle":"","family":"Purdue","given":"Mark P","non-dropping-particle":"","parse-names":false,"suffix":""},{"dropping-particle":"","family":"Vajdic","given":"Claire M","non-dropping-particle":"","parse-names":false,"suffix":""},{"dropping-particle":"","family":"Boyle","given":"Peter","non-dropping-particle":"","parse-names":false,"suffix":""},{"dropping-particle":"","family":"Lan","given":"Qing","non-dropping-particle":"","parse-names":false,"suffix":""},{"dropping-particle":"","family":"Zahm","given":"Shelia H","non-dropping-particle":"","parse-names":false,"suffix":""},{"dropping-particle":"","family":"Zhang","given":"Yawei","non-dropping-particle":"","parse-names":false,"suffix":""},{"dropping-particle":"","family":"Zheng","given":"Tongzhang","non-dropping-particle":"","parse-names":false,"suffix":""},{"dropping-particle":"","family":"Becker","given":"Nikolaus","non-dropping-particle":"","parse-names":false,"suffix":""},{"dropping-particle":"","family":"Benavente","given":"Yolanda","non-dropping-particle":"","parse-names":false,"suffix":""},{"dropping-particle":"","family":"Boffetta","given":"Paolo","non-dropping-particle":"","parse-names":false,"suffix":""},{"dropping-particle":"","family":"Brennan","given":"Paul","non-dropping-particle":"","parse-names":false,"suffix":""},{"dropping-particle":"","family":"Butterbach","given":"Katja","non-dropping-particle":"","parse-names":false,"suffix":""},{"dropping-particle":"","family":"Cocco","given":"Pierluigi","non-dropping-particle":"","parse-names":false,"suffix":""},{"dropping-particle":"","family":"Foretova","given":"Lenka","non-dropping-particle":"","parse-names":false,"suffix":""},{"dropping-particle":"","family":"Maynadié","given":"Marc","non-dropping-particle":"","parse-names":false,"suffix":""},{"dropping-particle":"","family":"Sanjosé","given":"Silvia","non-dropping-particle":"de","parse-names":false,"suffix":""},{"dropping-particle":"","family":"Staines","given":"Anthony","non-dropping-particle":"","parse-names":false,"suffix":""},{"dropping-particle":"","family":"Spinelli","given":"John J","non-dropping-particle":"","parse-names":false,"suffix":""},{"dropping-particle":"","family":"Achenbach","given":"Sara J","non-dropping-particle":"","parse-names":false,"suffix":""},{"dropping-particle":"","family":"Call","given":"Timothy G","non-dropping-particle":"","parse-names":false,"suffix":""},{"dropping-particle":"","family":"Camp","given":"Nicola J","non-dropping-particle":"","parse-names":false,"suffix":""},{"dropping-particle":"","family":"Glenn","given":"Martha","non-dropping-particle":"","parse-names":false,"suffix":""},{"dropping-particle":"","family":"Caporaso","given":"Neil E","non-dropping-particle":"","parse-names":false,"suffix":""},{"dropping-particle":"","family":"Cerhan","given":"James R","non-dropping-particle":"","parse-names":false,"suffix":""},{"dropping-particle":"","family":"Cunningham","given":"Julie M","non-dropping-particle":"","parse-names":false,"suffix":""},{"dropping-particle":"","family":"Goldin","given":"Lynn R","non-dropping-particle":"","parse-names":false,"suffix":""},{"dropping-particle":"","family":"Hanson","given":"Curtis A","non-dropping-particle":"","parse-names":false,"suffix":""},{"dropping-particle":"","family":"Kay","given":"Neil E","non-dropping-particle":"","parse-names":false,"suffix":""},{"dropping-particle":"","family":"Lanasa","given":"Mark C","non-dropping-particle":"","parse-names":false,"suffix":""},{"dropping-particle":"","family":"Leis","given":"Jose F","non-dropping-particle":"","parse-names":false,"suffix":""},{"dropping-particle":"","family":"Marti","given":"Gerald E","non-dropping-particle":"","parse-names":false,"suffix":""},{"dropping-particle":"","family":"Rabe","given":"Kari G","non-dropping-particle":"","parse-names":false,"suffix":""},{"dropping-particle":"","family":"Rassenti","given":"Laura Z","non-dropping-particle":"","parse-names":false,"suffix":""},{"dropping-particle":"","family":"Spector","given":"Logan G","non-dropping-particle":"","parse-names":false,"suffix":""},{"dropping-particle":"","family":"Strom","given":"Sara S","non-dropping-particle":"","parse-names":false,"suffix":""},{"dropping-particle":"","family":"Vachon","given":"Celine M","non-dropping-particle":"","parse-names":false,"suffix":""},{"dropping-particle":"","family":"Weinberg","given":"J Brice","non-dropping-particle":"","parse-names":false,"suffix":""},{"dropping-particle":"","family":"Holly","given":"Elizabeth A","non-dropping-particle":"","parse-names":false,"suffix":""},{"dropping-particle":"","family":"Chanock","given":"Stephen","non-dropping-particle":"","parse-names":false,"suffix":""},{"dropping-particle":"","family":"Smith","given":"Martyn T","non-dropping-particle":"","parse-names":false,"suffix":""},{"dropping-particle":"","family":"Bracci","given":"Paige M","non-dropping-particle":"","parse-names":false,"suffix":""},{"dropping-particle":"","family":"Skibola","given":"Christine F","non-dropping-particle":"","parse-names":false,"suffix":""}],"container-title":"Nature genetics","id":"ITEM-4","issued":{"date-parts":[["2010"]]},"page":"661-664","title":"Genome-wide association study of follicular lymphoma identifies a risk locus at 6p21.32.","type":"article-journal","volume":"42"},"uris":["http://www.mendeley.com/documents/?uuid=5f3f24d1-9328-44f9-87fb-e2ca1908ee7a"]},{"id":"ITEM-5","itemData":{"DOI":"10.1371/journal.pgen.1001378","ISBN":"1553-7404 (Electronic)\\r1553-7390 (Linking)","ISSN":"15537390","PMID":"21533074","abstract":"Non-Hodgkin lymphoma (NHL) represents a diverse group of hematological malignancies, of which follicular lymphoma (FL) is a prevalent subtype. A previous genome-wide association study has established a marker, rs10484561 in the human leukocyte antigen (HLA) class II region on 6p21.32 associated with increased FL risk. Here, in a three-stage genome-wide association study, starting with a genome-wide scan of 379 FL cases and 791 controls followed by validation in 1,049 cases and 5,790 controls, we identified a second independent FL-associated locus on 6p21.32, rs2647012 (OR(combined) = 0.64, P(combined) = 2 × 10(-21)) located 962 bp away from rs10484561 (r(2)&lt;0.1 in controls). After mutual adjustment, the associations at the two SNPs remained genome-wide significant (rs2647012:OR(adjusted) = 0.70, P(adjusted) = 4 × 10(-12); rs10484561:OR(adjusted) = 1.64, P(adjusted) = 5 × 10(-15)). Haplotype and coalescence analyses indicated that rs2647012 arose on an evolutionarily distinct haplotype from that of rs10484561 and tags a novel allele with an opposite (protective) effect on FL risk. Moreover, in a follow-up analysis of the top 6 FL-associated SNPs in 4,449 cases of other NHL subtypes, rs10484561 was associated with risk of diffuse large B-cell lymphoma (OR(combined) = 1.36, P(combined) = 1.4 × 10(-7)). Our results reveal the presence of allelic heterogeneity within the HLA class II region influencing FL susceptibility and indicate a possible shared genetic etiology with diffuse large B-cell lymphoma. These findings suggest that the HLA class II region plays a complex yet important role in NHL.","author":[{"dropping-particle":"","family":"Smedby","given":"Karin E.","non-dropping-particle":"","parse-names":false,"suffix":""},{"dropping-particle":"","family":"Foo","given":"Jia Nee","non-dropping-particle":"","parse-names":false,"suffix":""},{"dropping-particle":"","family":"Skibola","given":"Christine F.","non-dropping-particle":"","parse-names":false,"suffix":""},{"dropping-particle":"","family":"Darabi","given":"Hatef","non-dropping-particle":"","parse-names":false,"suffix":""},{"dropping-particle":"","family":"Conde","given":"Lucia","non-dropping-particle":"","parse-names":false,"suffix":""},{"dropping-particle":"","family":"Hjalgrim","given":"Henrik","non-dropping-particle":"","parse-names":false,"suffix":""},{"dropping-particle":"","family":"Kumar","given":"Vikrant","non-dropping-particle":"","parse-names":false,"suffix":""},{"dropping-particle":"","family":"Chang","given":"Ellen T.","non-dropping-particle":"","parse-names":false,"suffix":""},{"dropping-particle":"","family":"Rothman","given":"Nathaniel","non-dropping-particle":"","parse-names":false,"suffix":""},{"dropping-particle":"","family":"Cerhan","given":"James R.","non-dropping-particle":"","parse-names":false,"suffix":""},{"dropping-particle":"","family":"Brooks-Wilson","given":"Angela R.","non-dropping-particle":"","parse-names":false,"suffix":""},{"dropping-particle":"","family":"Rehnberg","given":"Emil","non-dropping-particle":"","parse-names":false,"suffix":""},{"dropping-particle":"","family":"Irwan","given":"Ishak D.","non-dropping-particle":"","parse-names":false,"suffix":""},{"dropping-particle":"","family":"Ryder","given":"Lars P.","non-dropping-particle":"","parse-names":false,"suffix":""},{"dropping-particle":"","family":"Brown","given":"Peter N.","non-dropping-particle":"","parse-names":false,"suffix":""},{"dropping-particle":"","family":"Bracci","given":"Paige M.","non-dropping-particle":"","parse-names":false,"suffix":""},{"dropping-particle":"","family":"Agana","given":"Luz","non-dropping-particle":"","parse-names":false,"suffix":""},{"dropping-particle":"","family":"Riby","given":"Jacques","non-dropping-particle":"","parse-names":false,"suffix":""},{"dropping-particle":"","family":"Cozen","given":"Wendy","non-dropping-particle":"","parse-names":false,"suffix":""},{"dropping-particle":"","family":"Davis","given":"Scott","non-dropping-particle":"","parse-names":false,"suffix":""},{"dropping-particle":"","family":"Hartge","given":"Patricia","non-dropping-particle":"","parse-names":false,"suffix":""},{"dropping-particle":"","family":"Morton","given":"Lindsay M.","non-dropping-particle":"","parse-names":false,"suffix":""},{"dropping-particle":"","family":"Severson","given":"Richard K.","non-dropping-particle":"","parse-names":false,"suffix":""},{"dropping-particle":"","family":"Wang","given":"Sophia S.","non-dropping-particle":"","parse-names":false,"suffix":""},{"dropping-particle":"","family":"Slager","given":"Susan L.","non-dropping-particle":"","parse-names":false,"suffix":""},{"dropping-particle":"","family":"Fredericksen","given":"Zachary S.","non-dropping-particle":"","parse-names":false,"suffix":""},{"dropping-particle":"","family":"Novak","given":"Anne J.","non-dropping-particle":"","parse-names":false,"suffix":""},{"dropping-particle":"","family":"Kay","given":"Neil E.","non-dropping-particle":"","parse-names":false,"suffix":""},{"dropping-particle":"","family":"Habermann","given":"Thomas M.","non-dropping-particle":"","parse-names":false,"suffix":""},{"dropping-particle":"","family":"Armstrong","given":"Bruce","non-dropping-particle":"","parse-names":false,"suffix":""},{"dropping-particle":"","family":"Kricker","given":"Anne","non-dropping-particle":"","parse-names":false,"suffix":""},{"dropping-particle":"","family":"Milliken","given":"Sam","non-dropping-particle":"","parse-names":false,"suffix":""},{"dropping-particle":"","family":"Purdue","given":"Mark P.","non-dropping-particle":"","parse-names":false,"suffix":""},{"dropping-particle":"","family":"Vajdic","given":"Claire M.","non-dropping-particle":"","parse-names":false,"suffix":""},{"dropping-particle":"","family":"Boyle","given":"Peter","non-dropping-particle":"","parse-names":false,"suffix":""},{"dropping-particle":"","family":"Lan","given":"Qing","non-dropping-particle":"","parse-names":false,"suffix":""},{"dropping-particle":"","family":"Zahm","given":"Shelia H.","non-dropping-particle":"","parse-names":false,"suffix":""},{"dropping-particle":"","family":"Zhang","given":"Yawei","non-dropping-particle":"","parse-names":false,"suffix":""},{"dropping-particle":"","family":"Zheng","given":"Tongzhang","non-dropping-particle":"","parse-names":false,"suffix":""},{"dropping-particle":"","family":"Leach","given":"Stephen","non-dropping-particle":"","parse-names":false,"suffix":""},{"dropping-particle":"","family":"Spinelli","given":"John J.","non-dropping-particle":"","parse-names":false,"suffix":""},{"dropping-particle":"","family":"Smith","given":"Martyn T.","non-dropping-particle":"","parse-names":false,"suffix":""},{"dropping-particle":"","family":"Chanock","given":"Stephen J.","non-dropping-particle":"","parse-names":false,"suffix":""},{"dropping-particle":"","family":"Padyukov","given":"Leonid","non-dropping-particle":"","parse-names":false,"suffix":""},{"dropping-particle":"","family":"Alfredsson","given":"Lars","non-dropping-particle":"","parse-names":false,"suffix":""},{"dropping-particle":"","family":"Klareskog","given":"Lars","non-dropping-particle":"","parse-names":false,"suffix":""},{"dropping-particle":"","family":"Glimelius","given":"Bengt","non-dropping-particle":"","parse-names":false,"suffix":""},{"dropping-particle":"","family":"Melbye","given":"Mads","non-dropping-particle":"","parse-names":false,"suffix":""},{"dropping-particle":"","family":"Liu","given":"Edison T.","non-dropping-particle":"","parse-names":false,"suffix":""},{"dropping-particle":"","family":"Adami","given":"Hans Olov","non-dropping-particle":"","parse-names":false,"suffix":""},{"dropping-particle":"","family":"Humphreys","given":"Keith","non-dropping-particle":"","parse-names":false,"suffix":""},{"dropping-particle":"","family":"Liu","given":"Jianjun","non-dropping-particle":"","parse-names":false,"suffix":""}],"container-title":"PLoS Genetics","id":"ITEM-5","issued":{"date-parts":[["2011"]]},"note":"SCALE: Blood\nYale: Blood?","title":"GWAS of follicular lymphoma reveals allelic heterogeneity at 6p21.32 and suggests shared genetic susceptibility with diffuse large B-cell lymphoma","type":"article-journal","volume":"7"},"uris":["http://www.mendeley.com/documents/?uuid=7b872f4b-ad9d-4dfc-97e0-a64cc3a729e9"]}],"mendeley":{"formattedCitation":"[8,26,27,39,41]","plainTextFormattedCitation":"[8,26,27,39,41]","previouslyFormattedCitation":"[8,25,26,29,40]"},"properties":{"noteIndex":0},"schema":"https://github.com/citation-style-language/schema/raw/master/csl-citation.json"}</w:instrText>
      </w:r>
      <w:r w:rsidR="009F46FC">
        <w:rPr>
          <w:rFonts w:cs="Arial"/>
        </w:rPr>
        <w:fldChar w:fldCharType="separate"/>
      </w:r>
      <w:r w:rsidR="00BB3BE7" w:rsidRPr="00BB3BE7">
        <w:rPr>
          <w:rFonts w:cs="Arial"/>
          <w:noProof/>
        </w:rPr>
        <w:t>[8,26,27,39,41]</w:t>
      </w:r>
      <w:r w:rsidR="009F46FC">
        <w:rPr>
          <w:rFonts w:cs="Arial"/>
        </w:rPr>
        <w:fldChar w:fldCharType="end"/>
      </w:r>
      <w:r w:rsidR="00C91079" w:rsidRPr="003D037E">
        <w:rPr>
          <w:rFonts w:cs="Arial"/>
        </w:rPr>
        <w:t>.</w:t>
      </w:r>
      <w:r w:rsidR="001650FA">
        <w:rPr>
          <w:rFonts w:cs="Arial"/>
        </w:rPr>
        <w:t xml:space="preserve"> </w:t>
      </w:r>
    </w:p>
    <w:p w14:paraId="4B599E15" w14:textId="1287F2BC" w:rsidR="00111110" w:rsidRPr="003D037E" w:rsidRDefault="00DE45CB" w:rsidP="00887B34">
      <w:pPr>
        <w:spacing w:line="480" w:lineRule="auto"/>
        <w:ind w:firstLine="720"/>
        <w:rPr>
          <w:rFonts w:cs="Arial"/>
        </w:rPr>
      </w:pPr>
      <w:r>
        <w:rPr>
          <w:rFonts w:cs="Arial"/>
        </w:rPr>
        <w:t>A</w:t>
      </w:r>
      <w:r w:rsidR="00883C5C" w:rsidRPr="003D037E">
        <w:rPr>
          <w:rFonts w:cs="Arial"/>
        </w:rPr>
        <w:t>ll NHL diagnoses were confirmed</w:t>
      </w:r>
      <w:r w:rsidR="0089565E">
        <w:rPr>
          <w:rFonts w:cs="Arial"/>
        </w:rPr>
        <w:t xml:space="preserve"> by pathology report review, with </w:t>
      </w:r>
      <w:r w:rsidR="003B2895">
        <w:rPr>
          <w:rFonts w:cs="Arial"/>
        </w:rPr>
        <w:t>the majority</w:t>
      </w:r>
      <w:r w:rsidR="0089565E">
        <w:rPr>
          <w:rFonts w:cs="Arial"/>
        </w:rPr>
        <w:t xml:space="preserve"> re-reviewed by a hematopathologist</w:t>
      </w:r>
      <w:r w:rsidR="00186969">
        <w:rPr>
          <w:rFonts w:cs="Arial"/>
        </w:rPr>
        <w:t>,</w:t>
      </w:r>
      <w:r w:rsidR="004760FD">
        <w:rPr>
          <w:rFonts w:cs="Arial"/>
        </w:rPr>
        <w:t xml:space="preserve"> </w:t>
      </w:r>
      <w:r w:rsidR="0089565E">
        <w:rPr>
          <w:rFonts w:cs="Arial"/>
        </w:rPr>
        <w:t>depending on the study</w:t>
      </w:r>
      <w:r w:rsidR="00B12F52">
        <w:rPr>
          <w:rFonts w:cs="Arial"/>
        </w:rPr>
        <w:t xml:space="preserve">. </w:t>
      </w:r>
      <w:r>
        <w:rPr>
          <w:rFonts w:cs="Arial"/>
        </w:rPr>
        <w:t xml:space="preserve">NHL subtypes were classified according to the </w:t>
      </w:r>
      <w:r w:rsidR="00CB1093" w:rsidRPr="003D037E">
        <w:rPr>
          <w:rFonts w:cs="Arial"/>
        </w:rPr>
        <w:t>World Health Organization</w:t>
      </w:r>
      <w:r w:rsidR="001A0CAB">
        <w:rPr>
          <w:rFonts w:cs="Arial"/>
        </w:rPr>
        <w:t xml:space="preserve"> (</w:t>
      </w:r>
      <w:r w:rsidR="00CB1093" w:rsidRPr="003D037E">
        <w:rPr>
          <w:rFonts w:cs="Arial"/>
        </w:rPr>
        <w:t>WHO) classification</w:t>
      </w:r>
      <w:r w:rsidR="00D91E11">
        <w:rPr>
          <w:rFonts w:cs="Arial"/>
        </w:rPr>
        <w:t xml:space="preserve"> in </w:t>
      </w:r>
      <w:r w:rsidR="002B226C">
        <w:rPr>
          <w:rFonts w:cs="Arial"/>
        </w:rPr>
        <w:t xml:space="preserve">2001 and </w:t>
      </w:r>
      <w:r w:rsidR="00D91E11">
        <w:rPr>
          <w:rFonts w:cs="Arial"/>
        </w:rPr>
        <w:t>2008</w:t>
      </w:r>
      <w:r w:rsidR="002E5E00">
        <w:rPr>
          <w:rFonts w:cs="Arial"/>
        </w:rPr>
        <w:t xml:space="preserve"> </w:t>
      </w:r>
      <w:r w:rsidR="00762360">
        <w:rPr>
          <w:rFonts w:cs="Arial"/>
        </w:rPr>
        <w:fldChar w:fldCharType="begin" w:fldLock="1"/>
      </w:r>
      <w:r w:rsidR="00BB3BE7">
        <w:rPr>
          <w:rFonts w:cs="Arial"/>
        </w:rPr>
        <w:instrText>ADDIN CSL_CITATION {"citationItems":[{"id":"ITEM-1","itemData":{"DOI":"10.1182/blood-2006-11-051672","ISSN":"0006-4971","PMID":"17389762","abstract":"Recent evidence suggests that there is etiologic heterogeneity among the various subtypes of lymphoid neoplasms. However, epidemiologic analyses by disease subtype have proven challenging due to the numerous clinical and pathologic schemes used to classify lymphomas and lymphoid leukemias over the last several decades. On behalf of the International Lymphoma Epidemiology Consortium (InterLymph) Pathology Working Group, we present a proposed nested classification of lymphoid neoplasms to facilitate the analysis of lymphoid neoplasm subtypes in epidemiologic research. The proposed classification is based on the World Health Organization classification of lymphoid neoplasms and the International Classification of Diseases-Oncology, Third Edition (ICD-O-3). We also provide a translation into the proposed classification from previous classifications, including the Working Formulation, Revised European-American Lymphoma (REAL) classification, and ICD-O-2. We recommend that epidemiologic studies include analyses by lymphoma subtype to the most detailed extent allowable by sample size. The standardization of groupings for epidemiologic research of lymphoma subtypes is essential for comparing subtype-specific reports in the literature, harmonizing cases within a single study diagnosed using different systems, as well as combining data from multiple studies for the purpose of pooled analysis or meta-analysis, and will probably prove to be critical for elucidating etiologies of the various lymphoid neoplasms.","author":[{"dropping-particle":"","family":"Morton","given":"Lindsay M","non-dropping-particle":"","parse-names":false,"suffix":""},{"dropping-particle":"","family":"Turner","given":"Jennifer J","non-dropping-particle":"","parse-names":false,"suffix":""},{"dropping-particle":"","family":"Cerhan","given":"James R","non-dropping-particle":"","parse-names":false,"suffix":""},{"dropping-particle":"","family":"Linet","given":"Martha S","non-dropping-particle":"","parse-names":false,"suffix":""},{"dropping-particle":"","family":"Treseler","given":"Patrick A","non-dropping-particle":"","parse-names":false,"suffix":""},{"dropping-particle":"","family":"Clarke","given":"Christina A","non-dropping-particle":"","parse-names":false,"suffix":""},{"dropping-particle":"","family":"Jack","given":"Andrew","non-dropping-particle":"","parse-names":false,"suffix":""},{"dropping-particle":"","family":"Cozen","given":"Wendy","non-dropping-particle":"","parse-names":false,"suffix":""},{"dropping-particle":"","family":"Maynadié","given":"Marc","non-dropping-particle":"","parse-names":false,"suffix":""},{"dropping-particle":"","family":"Spinelli","given":"John J","non-dropping-particle":"","parse-names":false,"suffix":""},{"dropping-particle":"","family":"Costantini","given":"Adele Seniori","non-dropping-particle":"","parse-names":false,"suffix":""},{"dropping-particle":"","family":"Rüdiger","given":"Thomas","non-dropping-particle":"","parse-names":false,"suffix":""},{"dropping-particle":"","family":"Scarpa","given":"Aldo","non-dropping-particle":"","parse-names":false,"suffix":""},{"dropping-particle":"","family":"Zheng","given":"Tongzhang","non-dropping-particle":"","parse-names":false,"suffix":""},{"dropping-particle":"","family":"Weisenburger","given":"Dennis D","non-dropping-particle":"","parse-names":false,"suffix":""}],"container-title":"Blood","id":"ITEM-1","issue":"2","issued":{"date-parts":[["2007","7","15"]]},"page":"695-708","title":"Proposed classification of lymphoid neoplasms for epidemiologic research from the Pathology Working Group of the International Lymphoma Epidemiology Consortium (InterLymph).","type":"article-journal","volume":"110"},"uris":["http://www.mendeley.com/documents/?uuid=9bde3013-cdb7-46bf-8485-08e03970862a"]},{"id":"ITEM-2","itemData":{"PMID":"20699439","abstract":"After publication of the updated World Health Organization (WHO) classification of tumors of hematopoietic and lymphoid tissues in 2008, the Pathology Working Group of the International Lymphoma Epidemiology Consortium (InterLymph) now presents an update of the hierarchical classification of lymphoid neoplasms for epidemiologic research based on the 2001 WHO classification, which we published in 2007. The updated hierarchical classification incorporates all of the major and provisional entities in the 2008 WHO classification, including newly defined entities based on age, site, certain infections, and molecular characteristics, as well as borderline categories, early and \"in situ\" lesions, disorders with limited capacity for clinical progression, lesions without current International Classification of Diseases for Oncology, 3rd Edition codes, and immunodeficiency-associated lymphoproliferative disorders. WHO subtypes are defined in hierarchical groupings, with newly defined groups for small B-cell lymphomas with plasmacytic differentiation and for primary cutaneous T-cell lymphomas. We suggest approaches for applying the hierarchical classification in various epidemiologic settings, including strategies for dealing with multiple coexisting lymphoma subtypes in one patient, and cases with incomplete pathologic information. The pathology materials useful for state-of-the-art epidemiology studies are also discussed. We encourage epidemiologists to adopt the updated InterLymph hierarchical classification, which incorporates the most recent WHO entities while demonstrating their relationship to older classifications.","author":[{"dropping-particle":"","family":"Turner","given":"Jennifer J.","non-dropping-particle":"","parse-names":false,"suffix":""},{"dropping-particle":"","family":"Morton","given":"Lindsay M.","non-dropping-particle":"","parse-names":false,"suffix":""},{"dropping-particle":"","family":"Linet","given":"Martha S.","non-dropping-particle":"","parse-names":false,"suffix":""},{"dropping-particle":"","family":"Clarke","given":"Christina A.","non-dropping-particle":"","parse-names":false,"suffix":""},{"dropping-particle":"","family":"Kadin","given":"Marshall E.","non-dropping-particle":"","parse-names":false,"suffix":""},{"dropping-particle":"","family":"Vajdic","given":"Claire M.","non-dropping-particle":"","parse-names":false,"suffix":""},{"dropping-particle":"","family":"Monnereau","given":"Alain","non-dropping-particle":"","parse-names":false,"suffix":""},{"dropping-particle":"","family":"Maynadiè","given":"Marc","non-dropping-particle":"","parse-names":false,"suffix":""},{"dropping-particle":"","family":"Chiu","given":"Brian C H","non-dropping-particle":"","parse-names":false,"suffix":""},{"dropping-particle":"","family":"Marcos-Gragera","given":"Rafael","non-dropping-particle":"","parse-names":false,"suffix":""},{"dropping-particle":"","family":"Costantini","given":"Adele Seniori","non-dropping-particle":"","parse-names":false,"suffix":""},{"dropping-particle":"","family":"Cerhan","given":"James R.","non-dropping-particle":"","parse-names":false,"suffix":""},{"dropping-particle":"","family":"Weisenburger","given":"Dennis D.","non-dropping-particle":"","parse-names":false,"suffix":""}],"container-title":"Blood","id":"ITEM-2","issue":"20","issued":{"date-parts":[["2010"]]},"title":"InterLymph hierarchical classification of lymphoid neoplasms for epidemiologic research based on the WHO classification (2008): Update and future directions","type":"article-journal","volume":"116"},"uris":["http://www.mendeley.com/documents/?uuid=2565c340-a90c-4532-920c-52d0a521efa6"]},{"id":"ITEM-3","itemData":{"DOI":"10.1017/CBO9781107415324.004","ISBN":"9789283224310","ISSN":"1098-6596","PMID":"25246403","abstract":"WHO Classification of Tumours of Haematopoietic and Lymphoid Tissueis the third volume in the new WHO series on histological and genetic typing of human tumors. This authoritative, concise reference book covers the entire range of leukaemias and lymphomas. It provides an international standard for oncologists and pathologists and will serve as an indispensable guide for use in the design of studies monitoring response to therapy and clinical outcome. Diagnostic criteria, pathological features, and associated genetic alterations are described in a strictly disease-oriented manner. Sections on all recognized neoplasms and their variants include new ICD-O codes, incidence, age and sex distribution, location, clinical signs and symptoms, pathology, genetics, and predictive factors. The book, prepared by 130 authors from 22 countries, contains more than 1,000 color photographs, numerous magnetic resonance and ultrasound images, CT scans, charts, and 2,500 references. This book is in the series commonly referred to as the \"Blue Book\" series. Who Classification of Tumors of Haematopoietic and Lymphoid Tissue Contributors:Dr Cem Akin, Dr Loannis Anagnostopoulos, Dr Katsuyuki Aozasa, Dr Daniel A. Arber, Dr Michele Baccarani, Dr Barbara J. Bain, Dr Giovanni Barosi, Dr Lrith Baumann, Dr Marie-Christine Bene, Dr Daniel Benharroch, Dr John M. Bennett, Dr Francoise Berger, Dr Emillo Berti, Dr Gunnar Birgegard, Dr Clara D. Bloomfield, Dr Bettina Borisch, Dr Michael J. Borowitz, Dr Richard D. Brunning, Dr Walter Burgdorf, Dr Elias Campo, Dr Daniel Catovsky, Dr Lorenzo Cerroni, Dr Ethel Cesarman, Dr Amv Chadburn, Dr John K.C. Chan, Dr Wing Chung Chan, Dr Andreas Chott, Dr Robert W. Coupland, Dr Daphne De Jong, Dr Christiane De Wolf-Peeters, Dr Martina Deckert, Dr Jan Delabie, Dr Georges Delsol, Dr Ahmet Dogan, Dr Lyn M. Duncan, Dr Kojo S.J. Elenitoba-Johnson, Dr Luis Escribano, Dr Fabio Facchetti, Dr Brunangelo Falini, Dr Judith A. Ferry, Dr Christopher D.M. Fletcher, Dr Katheryn Foucar, Dr Randy D. Gascoyne, Dr Kevin C. Gatter, Dr Norbert Gattermann, Dr Phillippe Gaulard, Dr Ulrich Germing, Dr D. Gary Gilliland, Dr Heinz Gisslinger, Dr Peter L. Greenberg, Dr Thomas M. Grogan, Dr. Karen L. Grogg, Dr Margarita Guenova, Dr Nancy Lee Harris, Dr Robert Paul Hasserjian, Dr Eva Hellstrom-Lindberg, Dr Hans-Peter Horny, Dr Peter G. Isaacson, Dr Elaine S. Jaffe, Dr Ronald Jaffe, Dr Daniel M. Jones, Dr Marshall E. Kadin, Dr Masahiro Kikuchi, Dr Hiroshi Kimura, Dr Marsha C. Kinney…","author":[{"dropping-particle":"","family":"Swerdlow","given":"S.H.","non-dropping-particle":"","parse-names":false,"suffix":""},{"dropping-particle":"","family":"Campo","given":"E.","non-dropping-particle":"","parse-names":false,"suffix":""},{"dropping-particle":"","family":"Harris","given":"N.L.","non-dropping-particle":"","parse-names":false,"suffix":""},{"dropping-particle":"","family":"Jaffe","given":"E.S.","non-dropping-particle":"","parse-names":false,"suffix":""},{"dropping-particle":"","family":"Pileri","given":"S.A.","non-dropping-particle":"","parse-names":false,"suffix":""},{"dropping-particle":"","family":"Stein","given":"H.","non-dropping-particle":"","parse-names":false,"suffix":""},{"dropping-particle":"","family":"Thiele","given":"J.","non-dropping-particle":"","parse-names":false,"suffix":""},{"dropping-particle":"","family":"Vardiman","given":"J.W","non-dropping-particle":"","parse-names":false,"suffix":""}],"container-title":"World Health Organization Calssification of Tumours of Haematopoietic and Lymphoid Tissue","edition":"4","editor":[{"dropping-particle":"","family":"Swerdlow","given":"Steven H.","non-dropping-particle":"","parse-names":false,"suffix":""}],"id":"ITEM-3","issued":{"date-parts":[["2008"]]},"number-of-pages":"326","publisher":"International Agency for Research on Cancer","title":"WHO Classification of Tumours of Haematopoietic and Lymphoid Tissues","type":"book","volume":"2"},"uris":["http://www.mendeley.com/documents/?uuid=2d8b5b01-bf9a-329c-abcc-369204a3bff2"]}],"mendeley":{"formattedCitation":"[42–44]","plainTextFormattedCitation":"[42–44]","previouslyFormattedCitation":"[41–43]"},"properties":{"noteIndex":0},"schema":"https://github.com/citation-style-language/schema/raw/master/csl-citation.json"}</w:instrText>
      </w:r>
      <w:r w:rsidR="00762360">
        <w:rPr>
          <w:rFonts w:cs="Arial"/>
        </w:rPr>
        <w:fldChar w:fldCharType="separate"/>
      </w:r>
      <w:r w:rsidR="00BB3BE7" w:rsidRPr="00BB3BE7">
        <w:rPr>
          <w:rFonts w:cs="Arial"/>
          <w:noProof/>
        </w:rPr>
        <w:t>[42–44]</w:t>
      </w:r>
      <w:r w:rsidR="00762360">
        <w:rPr>
          <w:rFonts w:cs="Arial"/>
        </w:rPr>
        <w:fldChar w:fldCharType="end"/>
      </w:r>
      <w:r w:rsidR="0089565E">
        <w:rPr>
          <w:rFonts w:cs="Arial"/>
        </w:rPr>
        <w:t xml:space="preserve"> and </w:t>
      </w:r>
      <w:r w:rsidR="00662332">
        <w:rPr>
          <w:rFonts w:cs="Arial"/>
        </w:rPr>
        <w:t>include</w:t>
      </w:r>
      <w:r w:rsidR="0089565E">
        <w:rPr>
          <w:rFonts w:cs="Arial"/>
        </w:rPr>
        <w:t xml:space="preserve"> </w:t>
      </w:r>
      <w:r w:rsidR="0078285A">
        <w:rPr>
          <w:rFonts w:cs="Arial"/>
        </w:rPr>
        <w:t>chronic lymphocytic leuke</w:t>
      </w:r>
      <w:r w:rsidR="00A606C3" w:rsidRPr="00A606C3">
        <w:rPr>
          <w:rFonts w:cs="Arial"/>
        </w:rPr>
        <w:t>mia/small lymphocytic</w:t>
      </w:r>
      <w:r w:rsidR="00D61502">
        <w:rPr>
          <w:rFonts w:cs="Arial"/>
        </w:rPr>
        <w:t xml:space="preserve"> </w:t>
      </w:r>
      <w:r w:rsidR="00A606C3" w:rsidRPr="00A606C3">
        <w:rPr>
          <w:rFonts w:cs="Arial"/>
        </w:rPr>
        <w:t>lymphoma</w:t>
      </w:r>
      <w:r w:rsidR="0078285A">
        <w:rPr>
          <w:rFonts w:cs="Arial"/>
        </w:rPr>
        <w:t xml:space="preserve"> </w:t>
      </w:r>
      <w:r w:rsidR="00A606C3" w:rsidRPr="00A606C3">
        <w:rPr>
          <w:rFonts w:cs="Arial"/>
        </w:rPr>
        <w:t xml:space="preserve">(CLL/SLL: </w:t>
      </w:r>
      <w:r w:rsidR="00120A0C">
        <w:rPr>
          <w:rFonts w:cs="Arial"/>
        </w:rPr>
        <w:t>ICD</w:t>
      </w:r>
      <w:r w:rsidR="005D6DCC">
        <w:rPr>
          <w:rFonts w:cs="Arial"/>
        </w:rPr>
        <w:t>-</w:t>
      </w:r>
      <w:r w:rsidR="00120A0C">
        <w:rPr>
          <w:rFonts w:cs="Arial"/>
        </w:rPr>
        <w:t>O</w:t>
      </w:r>
      <w:r w:rsidR="005D6DCC">
        <w:rPr>
          <w:rFonts w:cs="Arial"/>
        </w:rPr>
        <w:t>-</w:t>
      </w:r>
      <w:r w:rsidR="00120A0C">
        <w:rPr>
          <w:rFonts w:cs="Arial"/>
        </w:rPr>
        <w:t xml:space="preserve">3 codes </w:t>
      </w:r>
      <w:r w:rsidR="00A606C3" w:rsidRPr="00A606C3">
        <w:rPr>
          <w:rFonts w:cs="Arial"/>
        </w:rPr>
        <w:t>9670, 9823)</w:t>
      </w:r>
      <w:r w:rsidR="0078285A">
        <w:rPr>
          <w:rFonts w:cs="Arial"/>
        </w:rPr>
        <w:t xml:space="preserve">, </w:t>
      </w:r>
      <w:r w:rsidR="00662332" w:rsidRPr="00662332">
        <w:rPr>
          <w:rFonts w:cs="Arial"/>
        </w:rPr>
        <w:t>diffuse large B-cell lymphoma (DLBCL</w:t>
      </w:r>
      <w:r w:rsidR="00662332">
        <w:rPr>
          <w:rFonts w:cs="Arial"/>
        </w:rPr>
        <w:t xml:space="preserve">: 9679, 9680, 9684), </w:t>
      </w:r>
      <w:r w:rsidR="00662332" w:rsidRPr="00662332">
        <w:rPr>
          <w:rFonts w:cs="Arial"/>
        </w:rPr>
        <w:t xml:space="preserve">follicular lymphoma (FL: 9690, 9691, 9695, 9698), </w:t>
      </w:r>
      <w:r w:rsidR="00120A0C">
        <w:rPr>
          <w:rFonts w:cs="Arial"/>
        </w:rPr>
        <w:t xml:space="preserve">mantle cell lymphoma </w:t>
      </w:r>
      <w:r w:rsidR="00120A0C">
        <w:rPr>
          <w:rFonts w:cs="Arial"/>
        </w:rPr>
        <w:lastRenderedPageBreak/>
        <w:t xml:space="preserve">(MCL: </w:t>
      </w:r>
      <w:r w:rsidR="00120A0C" w:rsidRPr="00662332">
        <w:rPr>
          <w:rFonts w:cs="Arial"/>
        </w:rPr>
        <w:t>9673</w:t>
      </w:r>
      <w:r w:rsidR="00120A0C">
        <w:rPr>
          <w:rFonts w:cs="Arial"/>
        </w:rPr>
        <w:t xml:space="preserve">), </w:t>
      </w:r>
      <w:r w:rsidR="00DE13CE">
        <w:rPr>
          <w:rFonts w:cs="Arial"/>
        </w:rPr>
        <w:t>TCL</w:t>
      </w:r>
      <w:r w:rsidR="00120A0C">
        <w:rPr>
          <w:rFonts w:cs="Arial"/>
        </w:rPr>
        <w:t xml:space="preserve"> (</w:t>
      </w:r>
      <w:r w:rsidR="00120A0C" w:rsidRPr="00662332">
        <w:rPr>
          <w:rFonts w:cs="Arial"/>
        </w:rPr>
        <w:t>9702, 9705, 9708,</w:t>
      </w:r>
      <w:r w:rsidR="00120A0C">
        <w:rPr>
          <w:rFonts w:cs="Arial"/>
        </w:rPr>
        <w:t xml:space="preserve"> 9709,</w:t>
      </w:r>
      <w:r w:rsidR="00120A0C" w:rsidRPr="00662332">
        <w:rPr>
          <w:rFonts w:cs="Arial"/>
        </w:rPr>
        <w:t xml:space="preserve"> 9714, 9716, 9717,</w:t>
      </w:r>
      <w:r w:rsidR="00120A0C" w:rsidRPr="00120A0C">
        <w:rPr>
          <w:rFonts w:cs="Arial"/>
        </w:rPr>
        <w:t xml:space="preserve"> </w:t>
      </w:r>
      <w:r w:rsidR="00120A0C" w:rsidRPr="00662332">
        <w:rPr>
          <w:rFonts w:cs="Arial"/>
        </w:rPr>
        <w:t>9718, 9719,</w:t>
      </w:r>
      <w:r w:rsidR="00120A0C" w:rsidRPr="00120A0C">
        <w:rPr>
          <w:rFonts w:cs="Arial"/>
        </w:rPr>
        <w:t xml:space="preserve"> </w:t>
      </w:r>
      <w:r w:rsidR="00120A0C">
        <w:rPr>
          <w:rFonts w:cs="Arial"/>
        </w:rPr>
        <w:t xml:space="preserve">9729, </w:t>
      </w:r>
      <w:r w:rsidR="00120A0C" w:rsidRPr="00662332">
        <w:rPr>
          <w:rFonts w:cs="Arial"/>
        </w:rPr>
        <w:t>9827</w:t>
      </w:r>
      <w:r w:rsidR="00120A0C">
        <w:rPr>
          <w:rFonts w:cs="Arial"/>
        </w:rPr>
        <w:t xml:space="preserve">, </w:t>
      </w:r>
      <w:r w:rsidR="00954142">
        <w:rPr>
          <w:rFonts w:cs="Arial"/>
        </w:rPr>
        <w:t>9834</w:t>
      </w:r>
      <w:r w:rsidR="00120A0C">
        <w:rPr>
          <w:rFonts w:cs="Arial"/>
        </w:rPr>
        <w:t xml:space="preserve">), </w:t>
      </w:r>
      <w:r w:rsidR="00662332" w:rsidRPr="00662332">
        <w:rPr>
          <w:rFonts w:cs="Arial"/>
        </w:rPr>
        <w:t>and</w:t>
      </w:r>
      <w:r w:rsidR="00662332">
        <w:rPr>
          <w:rFonts w:cs="Arial"/>
        </w:rPr>
        <w:t xml:space="preserve"> </w:t>
      </w:r>
      <w:r w:rsidR="00662332" w:rsidRPr="00662332">
        <w:rPr>
          <w:rFonts w:cs="Arial"/>
        </w:rPr>
        <w:t xml:space="preserve">all </w:t>
      </w:r>
      <w:r w:rsidR="00662332">
        <w:rPr>
          <w:rFonts w:cs="Arial"/>
        </w:rPr>
        <w:t xml:space="preserve">NHL </w:t>
      </w:r>
      <w:r w:rsidR="00662332" w:rsidRPr="00662332">
        <w:rPr>
          <w:rFonts w:cs="Arial"/>
        </w:rPr>
        <w:t>combined (defined by the above ICDO3 codes and 9671, 9675, 9687, 9689, 9699, 9700, 9701, 9728, 9826, 9832, 9833, 9591, and 9727)</w:t>
      </w:r>
      <w:r w:rsidR="00B12F52">
        <w:rPr>
          <w:rFonts w:cs="Arial"/>
        </w:rPr>
        <w:t xml:space="preserve">. </w:t>
      </w:r>
      <w:r w:rsidR="008A0E64">
        <w:rPr>
          <w:rFonts w:cs="Arial"/>
        </w:rPr>
        <w:t>Patients</w:t>
      </w:r>
      <w:r w:rsidR="008A0E64" w:rsidRPr="00662332">
        <w:rPr>
          <w:rFonts w:cs="Arial"/>
        </w:rPr>
        <w:t xml:space="preserve"> </w:t>
      </w:r>
      <w:r w:rsidR="00662332" w:rsidRPr="00662332">
        <w:rPr>
          <w:rFonts w:cs="Arial"/>
        </w:rPr>
        <w:t xml:space="preserve">with </w:t>
      </w:r>
      <w:r w:rsidR="00A6374B">
        <w:rPr>
          <w:rFonts w:cs="Arial"/>
        </w:rPr>
        <w:t>AIDS</w:t>
      </w:r>
      <w:r w:rsidR="00662332" w:rsidRPr="00662332">
        <w:rPr>
          <w:rFonts w:cs="Arial"/>
        </w:rPr>
        <w:t>-</w:t>
      </w:r>
      <w:r w:rsidR="00A345EF">
        <w:rPr>
          <w:rFonts w:cs="Arial"/>
        </w:rPr>
        <w:t>related</w:t>
      </w:r>
      <w:r w:rsidR="00A345EF" w:rsidRPr="00662332">
        <w:rPr>
          <w:rFonts w:cs="Arial"/>
        </w:rPr>
        <w:t xml:space="preserve"> </w:t>
      </w:r>
      <w:r w:rsidR="00662332">
        <w:rPr>
          <w:rFonts w:cs="Arial"/>
        </w:rPr>
        <w:t>lymphomas</w:t>
      </w:r>
      <w:r w:rsidR="00662332" w:rsidRPr="00662332">
        <w:rPr>
          <w:rFonts w:cs="Arial"/>
        </w:rPr>
        <w:t xml:space="preserve"> were excluded.</w:t>
      </w:r>
    </w:p>
    <w:p w14:paraId="48126731" w14:textId="77777777" w:rsidR="00C417FD" w:rsidRPr="003D037E" w:rsidRDefault="00C417FD" w:rsidP="00887B34">
      <w:pPr>
        <w:spacing w:line="480" w:lineRule="auto"/>
        <w:ind w:firstLine="720"/>
        <w:rPr>
          <w:rFonts w:cs="Arial"/>
        </w:rPr>
      </w:pPr>
    </w:p>
    <w:p w14:paraId="050D9B4C" w14:textId="77777777" w:rsidR="000017F1" w:rsidRPr="003D037E" w:rsidRDefault="00C417FD" w:rsidP="00887B34">
      <w:pPr>
        <w:pStyle w:val="Heading3"/>
      </w:pPr>
      <w:r w:rsidRPr="003D037E">
        <w:t>Statistical Analysis</w:t>
      </w:r>
    </w:p>
    <w:p w14:paraId="760B5393" w14:textId="05E58BBB" w:rsidR="003D051C" w:rsidRPr="003D051C" w:rsidRDefault="00F5611E" w:rsidP="00887B34">
      <w:pPr>
        <w:spacing w:line="480" w:lineRule="auto"/>
        <w:ind w:firstLine="720"/>
        <w:rPr>
          <w:rFonts w:cs="Arial"/>
          <w:i/>
        </w:rPr>
      </w:pPr>
      <w:r>
        <w:rPr>
          <w:rFonts w:cs="Arial"/>
          <w:i/>
        </w:rPr>
        <w:t>C</w:t>
      </w:r>
      <w:r w:rsidR="003D051C" w:rsidRPr="003D051C">
        <w:rPr>
          <w:rFonts w:cs="Arial"/>
          <w:i/>
        </w:rPr>
        <w:t>andidate variants</w:t>
      </w:r>
      <w:r>
        <w:rPr>
          <w:rFonts w:cs="Arial"/>
          <w:i/>
        </w:rPr>
        <w:t xml:space="preserve"> in linkage disequilibrium (LD)</w:t>
      </w:r>
      <w:r w:rsidR="003D051C" w:rsidRPr="003D051C">
        <w:rPr>
          <w:rFonts w:cs="Arial"/>
          <w:i/>
        </w:rPr>
        <w:t>:</w:t>
      </w:r>
      <w:r w:rsidR="003D051C">
        <w:rPr>
          <w:rFonts w:cs="Arial"/>
          <w:i/>
        </w:rPr>
        <w:t xml:space="preserve"> </w:t>
      </w:r>
      <w:r w:rsidR="003D051C" w:rsidRPr="001456E8">
        <w:rPr>
          <w:rFonts w:cs="Arial"/>
        </w:rPr>
        <w:t>S</w:t>
      </w:r>
      <w:r w:rsidR="003D051C" w:rsidRPr="003D051C">
        <w:rPr>
          <w:rFonts w:cs="Arial"/>
        </w:rPr>
        <w:t>NP Annotation and Proxy Search (SNAP)</w:t>
      </w:r>
      <w:r w:rsidR="003D051C">
        <w:rPr>
          <w:rFonts w:cs="Arial"/>
        </w:rPr>
        <w:t xml:space="preserve"> </w:t>
      </w:r>
      <w:r w:rsidR="003D051C">
        <w:rPr>
          <w:rFonts w:cs="Arial"/>
        </w:rPr>
        <w:fldChar w:fldCharType="begin" w:fldLock="1"/>
      </w:r>
      <w:r w:rsidR="00BB3BE7">
        <w:rPr>
          <w:rFonts w:cs="Arial"/>
        </w:rPr>
        <w:instrText>ADDIN CSL_CITATION {"citationItems":[{"id":"ITEM-1","itemData":{"DOI":"10.1093/bioinformatics/btn564","ISBN":"1367-4811 (Electronic)\\r1367-4803 (Linking)","ISSN":"13674803","PMID":"18974171","abstract":"The interpretation of genome-wide association results is confounded by linkage disequilibrium between nearby alleles. We have developed a flexible bioinformatics query tool for single-nucleotide polymorphisms (SNPs) to identify and to annotate nearby SNPs in linkage disequilibrium (proxies) based on HapMap. By offering functionality to generate graphical plots for these data, the SNAP server will facilitate interpretation and comparison of genome-wide association study results, and the design of fine-mapping experiments (by delineating genomic regions harboring associated variants and their proxies). Availability: SNAP server is available at","author":[{"dropping-particle":"","family":"Johnson","given":"Andrew D","non-dropping-particle":"","parse-names":false,"suffix":""},{"dropping-particle":"","family":"Handsaker","given":"Robert E","non-dropping-particle":"","parse-names":false,"suffix":""},{"dropping-particle":"","family":"Pulit","given":"Sara L","non-dropping-particle":"","parse-names":false,"suffix":""},{"dropping-particle":"","family":"Nizzari","given":"Marcia M","non-dropping-particle":"","parse-names":false,"suffix":""},{"dropping-particle":"","family":"O'Donnell","given":"Christopher J","non-dropping-particle":"","parse-names":false,"suffix":""},{"dropping-particle":"","family":"Bakker","given":"Paul I W","non-dropping-particle":"De","parse-names":false,"suffix":""}],"container-title":"Bioinformatics","id":"ITEM-1","issue":"24","issued":{"date-parts":[["2008","12","15"]]},"page":"2938-2939","publisher":"Oxford University Press","title":"SNAP: A web-based tool for identification and annotation of proxy SNPs using HapMap","type":"article-journal","volume":"24"},"uris":["http://www.mendeley.com/documents/?uuid=4412a017-2b03-3d81-8e8d-cecd4ecc8993"]}],"mendeley":{"formattedCitation":"[45]","plainTextFormattedCitation":"[45]","previouslyFormattedCitation":"[44]"},"properties":{"noteIndex":0},"schema":"https://github.com/citation-style-language/schema/raw/master/csl-citation.json"}</w:instrText>
      </w:r>
      <w:r w:rsidR="003D051C">
        <w:rPr>
          <w:rFonts w:cs="Arial"/>
        </w:rPr>
        <w:fldChar w:fldCharType="separate"/>
      </w:r>
      <w:r w:rsidR="00BB3BE7" w:rsidRPr="00BB3BE7">
        <w:rPr>
          <w:rFonts w:cs="Arial"/>
          <w:noProof/>
        </w:rPr>
        <w:t>[45]</w:t>
      </w:r>
      <w:r w:rsidR="003D051C">
        <w:rPr>
          <w:rFonts w:cs="Arial"/>
        </w:rPr>
        <w:fldChar w:fldCharType="end"/>
      </w:r>
      <w:r w:rsidR="003D051C" w:rsidRPr="003D051C">
        <w:rPr>
          <w:rFonts w:cs="Arial"/>
        </w:rPr>
        <w:t xml:space="preserve"> </w:t>
      </w:r>
      <w:r w:rsidR="00C8631E">
        <w:rPr>
          <w:rFonts w:cs="Arial"/>
        </w:rPr>
        <w:t>was</w:t>
      </w:r>
      <w:r w:rsidR="00C8631E" w:rsidRPr="003D051C">
        <w:rPr>
          <w:rFonts w:cs="Arial"/>
        </w:rPr>
        <w:t xml:space="preserve"> </w:t>
      </w:r>
      <w:r w:rsidR="003D051C" w:rsidRPr="003D051C">
        <w:rPr>
          <w:rFonts w:cs="Arial"/>
        </w:rPr>
        <w:t xml:space="preserve">used to </w:t>
      </w:r>
      <w:r>
        <w:rPr>
          <w:rFonts w:cs="Arial"/>
        </w:rPr>
        <w:t>assess LD via</w:t>
      </w:r>
      <w:r w:rsidRPr="003D051C">
        <w:rPr>
          <w:rFonts w:cs="Arial"/>
        </w:rPr>
        <w:t xml:space="preserve"> </w:t>
      </w:r>
      <w:r w:rsidR="003D051C">
        <w:rPr>
          <w:rFonts w:cs="Arial"/>
        </w:rPr>
        <w:t xml:space="preserve">correlations between </w:t>
      </w:r>
      <w:r w:rsidR="003D051C" w:rsidRPr="003D051C">
        <w:rPr>
          <w:rFonts w:cs="Arial"/>
        </w:rPr>
        <w:t xml:space="preserve">all pairs of candidate variants </w:t>
      </w:r>
      <w:r w:rsidR="003D051C">
        <w:rPr>
          <w:rFonts w:cs="Arial"/>
        </w:rPr>
        <w:t>in the same gene</w:t>
      </w:r>
      <w:r w:rsidR="003D051C" w:rsidRPr="003B5361">
        <w:rPr>
          <w:rFonts w:cs="Arial"/>
        </w:rPr>
        <w:t>.</w:t>
      </w:r>
      <w:r w:rsidR="003D051C">
        <w:rPr>
          <w:rFonts w:cs="Arial"/>
        </w:rPr>
        <w:t xml:space="preserve">  </w:t>
      </w:r>
    </w:p>
    <w:p w14:paraId="2B922B9C" w14:textId="5170ED4C" w:rsidR="000017F1" w:rsidRPr="003D037E" w:rsidRDefault="00FD3B1A" w:rsidP="00887B34">
      <w:pPr>
        <w:spacing w:line="480" w:lineRule="auto"/>
        <w:ind w:firstLine="720"/>
        <w:rPr>
          <w:rFonts w:cs="Arial"/>
        </w:rPr>
      </w:pPr>
      <w:r>
        <w:rPr>
          <w:rFonts w:cs="Arial"/>
          <w:i/>
        </w:rPr>
        <w:t>Main effect NHL associations</w:t>
      </w:r>
      <w:r w:rsidR="00995DC4" w:rsidRPr="003D037E">
        <w:rPr>
          <w:rFonts w:cs="Arial"/>
          <w:i/>
        </w:rPr>
        <w:t>:</w:t>
      </w:r>
      <w:r w:rsidR="00995DC4" w:rsidRPr="003D037E">
        <w:rPr>
          <w:rFonts w:cs="Arial"/>
        </w:rPr>
        <w:t xml:space="preserve"> </w:t>
      </w:r>
      <w:r w:rsidR="0089565E">
        <w:rPr>
          <w:rFonts w:cs="Arial"/>
        </w:rPr>
        <w:t>U</w:t>
      </w:r>
      <w:r w:rsidR="00944A71" w:rsidRPr="003D037E">
        <w:rPr>
          <w:rFonts w:cs="Arial"/>
        </w:rPr>
        <w:t>nconditional logistic regression</w:t>
      </w:r>
      <w:r w:rsidR="0089565E">
        <w:rPr>
          <w:rFonts w:cs="Arial"/>
        </w:rPr>
        <w:t xml:space="preserve"> was used</w:t>
      </w:r>
      <w:r w:rsidR="00944A71" w:rsidRPr="003D037E">
        <w:rPr>
          <w:rFonts w:cs="Arial"/>
        </w:rPr>
        <w:t xml:space="preserve"> to </w:t>
      </w:r>
      <w:r w:rsidR="0089565E">
        <w:rPr>
          <w:rFonts w:cs="Arial"/>
        </w:rPr>
        <w:t>estimate</w:t>
      </w:r>
      <w:r w:rsidR="0089565E" w:rsidRPr="003D037E">
        <w:rPr>
          <w:rFonts w:cs="Arial"/>
        </w:rPr>
        <w:t xml:space="preserve"> </w:t>
      </w:r>
      <w:r w:rsidR="00944A71" w:rsidRPr="003D037E">
        <w:rPr>
          <w:rFonts w:cs="Arial"/>
        </w:rPr>
        <w:t>odds ratios</w:t>
      </w:r>
      <w:r w:rsidR="001A0CAB">
        <w:rPr>
          <w:rFonts w:cs="Arial"/>
        </w:rPr>
        <w:t xml:space="preserve"> (</w:t>
      </w:r>
      <w:r w:rsidR="00944A71" w:rsidRPr="003D037E">
        <w:rPr>
          <w:rFonts w:cs="Arial"/>
        </w:rPr>
        <w:t>ORs) and 95% confidence intervals</w:t>
      </w:r>
      <w:r w:rsidR="001A0CAB">
        <w:rPr>
          <w:rFonts w:cs="Arial"/>
        </w:rPr>
        <w:t xml:space="preserve"> (</w:t>
      </w:r>
      <w:r w:rsidR="00944A71" w:rsidRPr="003D037E">
        <w:rPr>
          <w:rFonts w:cs="Arial"/>
        </w:rPr>
        <w:t>CIs) for the association</w:t>
      </w:r>
      <w:r w:rsidR="00E0736A" w:rsidRPr="003D037E">
        <w:rPr>
          <w:rFonts w:cs="Arial"/>
        </w:rPr>
        <w:t xml:space="preserve"> between IM and NHL and </w:t>
      </w:r>
      <w:r w:rsidR="002911F3">
        <w:rPr>
          <w:rFonts w:cs="Arial"/>
        </w:rPr>
        <w:t xml:space="preserve">for </w:t>
      </w:r>
      <w:r w:rsidR="00E0736A" w:rsidRPr="003D037E">
        <w:rPr>
          <w:rFonts w:cs="Arial"/>
        </w:rPr>
        <w:t>as</w:t>
      </w:r>
      <w:r w:rsidR="00944A71" w:rsidRPr="003D037E">
        <w:rPr>
          <w:rFonts w:cs="Arial"/>
        </w:rPr>
        <w:t>s</w:t>
      </w:r>
      <w:r w:rsidR="00E0736A" w:rsidRPr="003D037E">
        <w:rPr>
          <w:rFonts w:cs="Arial"/>
        </w:rPr>
        <w:t>ociations</w:t>
      </w:r>
      <w:r w:rsidR="00944A71" w:rsidRPr="003D037E">
        <w:rPr>
          <w:rFonts w:cs="Arial"/>
        </w:rPr>
        <w:t xml:space="preserve"> between candidate </w:t>
      </w:r>
      <w:r w:rsidR="00F6283E">
        <w:rPr>
          <w:rFonts w:cs="Arial"/>
        </w:rPr>
        <w:t>genetic variants</w:t>
      </w:r>
      <w:r w:rsidR="00F6283E" w:rsidRPr="003D037E">
        <w:rPr>
          <w:rFonts w:cs="Arial"/>
        </w:rPr>
        <w:t xml:space="preserve"> </w:t>
      </w:r>
      <w:r w:rsidR="00944A71" w:rsidRPr="003D037E">
        <w:rPr>
          <w:rFonts w:cs="Arial"/>
        </w:rPr>
        <w:t>and NHL</w:t>
      </w:r>
      <w:r w:rsidR="00B12F52">
        <w:rPr>
          <w:rFonts w:cs="Arial"/>
        </w:rPr>
        <w:t xml:space="preserve">. </w:t>
      </w:r>
      <w:r w:rsidR="00066B8B">
        <w:rPr>
          <w:rFonts w:cs="Arial"/>
        </w:rPr>
        <w:t>Consistent</w:t>
      </w:r>
      <w:r w:rsidR="00DE45CB">
        <w:rPr>
          <w:rFonts w:cs="Arial"/>
        </w:rPr>
        <w:t xml:space="preserve"> with other</w:t>
      </w:r>
      <w:r w:rsidR="00270B8D">
        <w:rPr>
          <w:rFonts w:cs="Arial"/>
        </w:rPr>
        <w:t xml:space="preserve"> InterLymph </w:t>
      </w:r>
      <w:r w:rsidR="00ED6BE0">
        <w:rPr>
          <w:rFonts w:cs="Arial"/>
        </w:rPr>
        <w:t>publications</w:t>
      </w:r>
      <w:r w:rsidR="00662332">
        <w:rPr>
          <w:rFonts w:cs="Arial"/>
        </w:rPr>
        <w:t xml:space="preserve"> </w:t>
      </w:r>
      <w:r w:rsidR="00D2057E">
        <w:rPr>
          <w:rFonts w:cs="Arial"/>
        </w:rPr>
        <w:fldChar w:fldCharType="begin" w:fldLock="1"/>
      </w:r>
      <w:r w:rsidR="00BB3BE7">
        <w:rPr>
          <w:rFonts w:cs="Arial"/>
        </w:rPr>
        <w:instrText>ADDIN CSL_CITATION {"citationItems":[{"id":"ITEM-1","itemData":{"DOI":"10.1016/S1470-2045(05)70434-4","ISSN":"14702045","PMID":"16389181","abstract":"Background: Common genetic variants in immune and inflammatory response genes can affect the risk of developing non-Hodgkin lymphoma. We aimed to test this hypothesis using previously unpublished data from eight European, Canadian, and US case-control studies of the International Lymphoma Epidemiology Consortium (InterLymph). Methods: We selected 12 single-nucleotide polymorphisms for analysis, on the basis of previous functional or association data, in nine genes that have important roles in lymphoid development, Th1/Th2 balance, and proinflammatory or anti-inflammatory pathways (IL1A, IL1RN, IL1B, IL2, IL6, IL10, TNF, LTA, and CARD15). Genotype data for one or more single-nucleotide polymorphisms were available for 3586 cases of non-Hodgkin lymphoma and for 4018 controls, and were assessed in a pooled analysis by use of a random-effects logistic regression</w:instrText>
      </w:r>
      <w:r w:rsidR="00BB3BE7">
        <w:rPr>
          <w:rFonts w:cs="Arial" w:hint="eastAsia"/>
        </w:rPr>
        <w:instrText xml:space="preserve"> model. Findings: The tumour necrosis factor (TNF) -308G</w:instrText>
      </w:r>
      <w:r w:rsidR="00BB3BE7">
        <w:rPr>
          <w:rFonts w:cs="Arial" w:hint="eastAsia"/>
        </w:rPr>
        <w:instrText>→</w:instrText>
      </w:r>
      <w:r w:rsidR="00BB3BE7">
        <w:rPr>
          <w:rFonts w:cs="Arial" w:hint="eastAsia"/>
        </w:rPr>
        <w:instrText>A polymorphism was associated with increased risk of non-Hodgkin lymphoma (p for trend=0.005), particularly for diffuse large B-cell lymphoma, the main histological subtype (odds ratio 1.29 [95% CI 1.10-1.51] for GA and 1.65 [1.16-2.34] for AA, p for trend &lt;0.0001), but not for follicular lymphoma. The interleukin 10 (IL10) -3575T</w:instrText>
      </w:r>
      <w:r w:rsidR="00BB3BE7">
        <w:rPr>
          <w:rFonts w:cs="Arial" w:hint="eastAsia"/>
        </w:rPr>
        <w:instrText>→</w:instrText>
      </w:r>
      <w:r w:rsidR="00BB3BE7">
        <w:rPr>
          <w:rFonts w:cs="Arial" w:hint="eastAsia"/>
        </w:rPr>
        <w:instrText>A polymorphism was also associated with increased risk of non-Hodgkin lymphoma (p for trend=0.02), again particularly fo</w:instrText>
      </w:r>
      <w:r w:rsidR="00BB3BE7">
        <w:rPr>
          <w:rFonts w:cs="Arial"/>
        </w:rPr>
        <w:instrText>r diffuse large B-cell lymphoma (p for trend=0.006). For individuals homozygous for the TNF -308A allele and carrying at least one IL10 -3575A allele, risk of diffuse large B-cell lymphoma doubled (2.13 [1.37-3.32], p=0.00083). Interpretation: Common polymorphisms in TNF and IL10, key cytokines for the inflammatory response and Th1/Th2 balance, could be susceptibility loci for non-Hodgkin lymphoma. Moreover, our results underscore the importance of consortia for investigating the genetic basis of chronic diseases like cancer.","author":[{"dropping-particle":"","family":"Rothman","given":"Nathaniel","non-dropping-particle":"","parse-names":false,"suffix":""},{"dropping-particle":"","family":"Skibola","given":"Christine F.","non-dropping-particle":"","parse-names":false,"suffix":""},{"dropping-particle":"","family":"Wang","given":"Sophia S.","non-dropping-particle":"","parse-names":false,"suffix":""},{"dropping-particle":"","family":"Morgan","given":"Gareth","non-dropping-particle":"","parse-names":false,"suffix":""},{"dropping-particle":"","family":"Lan","given":"Qing","non-dropping-particle":"","parse-names":false,"suffix":""},{"dropping-particle":"","family":"Smith","given":"Martyn T.","non-dropping-particle":"","parse-names":false,"suffix":""},{"dropping-particle":"","family":"Spinelli","given":"John J.","non-dropping-particle":"","parse-names":false,"suffix":""},{"dropping-particle":"","family":"Willett","given":"Eleanor","non-dropping-particle":"","parse-names":false,"suffix":""},{"dropping-particle":"","family":"Sanjose","given":"Silvia","non-dropping-particle":"De","parse-names":false,"suffix":""},{"dropping-particle":"","family":"Cocco","given":"Pierluigi","non-dropping-particle":"","parse-names":false,"suffix":""},{"dropping-particle":"","family":"Berndt","given":"Sonja I.","non-dropping-particle":"","parse-names":false,"suffix":""},{"dropping-particle":"","family":"Brennan","given":"Paul","non-dropping-particle":"","parse-names":false,"suffix":""},{"dropping-particle":"","family":"Brooks-Wilson","given":"Angela","non-dropping-particle":"","parse-names":false,"suffix":""},{"dropping-particle":"","family":"Wacholder","given":"Sholom","non-dropping-particle":"","parse-names":false,"suffix":""},{"dropping-particle":"","family":"Becker","given":"Nikolaus","non-dropping-particle":"","parse-names":false,"suffix":""},{"dropping-particle":"","family":"Hartge","given":"Patricia","non-dropping-particle":"","parse-names":false,"suffix":""},{"dropping-particle":"","family":"Zheng","given":"Tongzhang","non-dropping-particle":"","parse-names":false,"suffix":""},{"dropping-particle":"","family":"Roman","given":"Eve","non-dropping-particle":"","parse-names":false,"suffix":""},{"dropping-particle":"","family":"Holly","given":"Elizabeth A.","non-dropping-particle":"","parse-names":false,"suffix":""},{"dropping-particle":"","family":"Boffetta","given":"Paolo","non-dropping-particle":"","parse-names":false,"suffix":""},{"dropping-particle":"","family":"Armstrong","given":"Bruce","non-dropping-particle":"","parse-names":false,"suffix":""},{"dropping-particle":"","family":"Cozen","given":"Wendy","non-dropping-particle":"","parse-names":false,"suffix":""},{"dropping-particle":"","family":"Linet","given":"Martha","non-dropping-particle":"","parse-names":false,"suffix":""},{"dropping-particle":"","family":"Bosch","given":"Xavier F.","non-dropping-particle":"","parse-names":false,"suffix":""},{"dropping-particle":"","family":"Ennas","given":"Maria Grazia","non-dropping-particle":"","parse-names":false,"suffix":""},{"dropping-particle":"","family":"Holford","given":"Theodore R.","non-dropping-particle":"","parse-names":false,"suffix":""},{"dropping-particle":"","family":"Gallagher","given":"Richard P.","non-dropping-particle":"","parse-names":false,"suffix":""},{"dropping-particle":"","family":"Rollinson","given":"Sara","non-dropping-particle":"","parse-names":false,"suffix":""},{"dropping-particle":"","family":"Bracci","given":"Paige M.","non-dropping-particle":"","parse-names":false,"suffix":""},{"dropping-particle":"","family":"Cerhan","given":"James R.","non-dropping-particle":"","parse-names":false,"suffix":""},{"dropping-particle":"","family":"Whitby","given":"Denise","non-dropping-particle":"","parse-names":false,"suffix":""},{"dropping-particle":"","family":"Moore","given":"Patrick S.","non-dropping-particle":"","parse-names":false,"suffix":""},{"dropping-particle":"","family":"Leaderer","given":"Brian","non-dropping-particle":"","parse-names":false,"suffix":""},{"dropping-particle":"","family":"Lai","given":"Agnes","non-dropping-particle":"","parse-names":false,"suffix":""},{"dropping-particle":"","family":"Spink","given":"Charlotte","non-dropping-particle":"","parse-names":false,"suffix":""},{"dropping-particle":"","family":"Davis","given":"Scott","non-dropping-particle":"","parse-names":false,"suffix":""},{"dropping-particle":"","family":"Bosch","given":"Ramon","non-dropping-particle":"","parse-names":false,"suffix":""},{"dropping-particle":"","family":"Scarpa","given":"Aldo","non-dropping-particle":"","parse-names":false,"suffix":""},{"dropping-particle":"","family":"Zhang","given":"Yawei","non-dropping-particle":"","parse-names":false,"suffix":""},{"dropping-particle":"","family":"Severson","given":"Richard K.","non-dropping-particle":"","parse-names":false,"suffix":""},{"dropping-particle":"","family":"Yeager","given":"Meredith","non-dropping-particle":"","parse-names":false,"suffix":""},{"dropping-particle":"","family":"Chanock","given":"Stephen","non-dropping-particle":"","parse-names":false,"suffix":""},{"dropping-particle":"","family":"Nieters","given":"Alexandra","non-dropping-particle":"","parse-names":false,"suffix":""}],"container-title":"Lancet Oncology","id":"ITEM-1","issued":{"date-parts":[["2006"]]},"page":"27-38","title":"Genetic variation in TNF and IL10 and risk of non-Hodgkin lymphoma: A report from the InterLymph Consortium","type":"article-journal","volume":"7"},"uris":["http://www.mendeley.com/documents/?uuid=d5a7315f-5e95-47ea-b607-60f9e869c8ac"]},{"id":"ITEM-2","itemData":{"DOI":"10.1093/aje/kwp383","ISBN":"1476-6256 (Electronic)\\r0002-9262 (Linking)","ISSN":"1476-6256","PMID":"20047977","abstract":"In an International Lymphoma Epidemiology Consortium pooled analysis, polymorphisms in 2 immune-system-related genes, tumor necrosis factor (TNF) and interleukin-10 (IL10), were associated with non-Hodgkin lymphoma (NHL) risk. Here, 8,847 participants were added to previous data (patients diagnosed from 1989 to 2005 in 14 case-control studies; 7,999 cases, 8,452 controls) for testing of polymorphisms in the TNF -308G&gt;A (rs1800629), lymphotoxin-alpha (LTA) 252A&gt;G (rs909253), IL10 -3575T&gt;A (rs1800890, rs1800896), and nucleotide-binding oligomerization domain containing 2 (NOD2) 3020insC (rs2066847) genes. Odds ratios were estimated for non-Hispanic whites and several ethnic subgroups using 2-sided tests. Consistent with previous findings, odds ratios were increased for \"new\" participant TNF -308A carriers (NHL: per-allele odds ratio (OR(allelic)) = 1.10, P(trend) = 0.001; diffuse large B-cell lymphoma (DLBCL): OR(allelic) = 1.23, P(trend) = 0.004). In the combined population, odds ratios were increased for TNF -308A carriers (NHL: OR(allelic) = 1.13, P(trend) = 0.0001; DLBCL: OR(allelic) = 1.25, P(trend) = 3.7 x 10(-6); marginal zone lymphoma: OR(allelic) = 1.35, P(trend) = 0.004) and LTA 252G carriers (DLBCL: OR(allelic) = 1.12, P(trend) = 0.006; mycosis fungoides: OR(allelic) = 1.44, P(trend) = 0.015). The LTA 252A&gt;G/TNF -308G&gt;A haplotype containing the LTA/TNF variant alleles was strongly associated with DLBCL (P = 2.9 x 10(-8)). Results suggested associations between IL10 -3575T&gt;A and DLBCL (P(trend) = 0.02) and IL10 -1082A&gt;G and mantle cell lymphoma (P(trend) = 0.04). These findings strengthen previous results for DLBCL and the LTA 252A&gt;G/TNF -308A locus and provide robust evidence that these TNF/LTA gene variants, or others in linkage disequilibrium, are involved in NHL etiology.","author":[{"dropping-particle":"","family":"Skibola","given":"Christine F","non-dropping-particle":"","parse-names":false,"suffix":""},{"dropping-particle":"","family":"Bracci","given":"Paige M","non-dropping-particle":"","parse-names":false,"suffix":""},{"dropping-particle":"","family":"Nieters","given":"Alexandra","non-dropping-particle":"","parse-names":false,"suffix":""},{"dropping-particle":"","family":"Brooks-Wilson","given":"Angela","non-dropping-particle":"","parse-names":false,"suffix":""},{"dropping-particle":"","family":"Sanjosé","given":"Silvia","non-dropping-particle":"de","parse-names":false,"suffix":""},{"dropping-particle":"","family":"Hughes","given":"Ann Maree","non-dropping-particle":"","parse-names":false,"suffix":""},{"dropping-particle":"","family":"Cerhan","given":"James R","non-dropping-particle":"","parse-names":false,"suffix":""},{"dropping-particle":"","family":"Skibola","given":"Danica R","non-dropping-particle":"","parse-names":false,"suffix":""},{"dropping-particle":"","family":"Purdue","given":"Mark","non-dropping-particle":"","parse-names":false,"suffix":""},{"dropping-particle":"","family":"Kane","given":"Eleanor","non-dropping-particle":"","parse-names":false,"suffix":""},{"dropping-particle":"","family":"Lan","given":"Qing","non-dropping-particle":"","parse-names":false,"suffix":""},{"dropping-particle":"","family":"Foretova","given":"Lenka","non-dropping-particle":"","parse-names":false,"suffix":""},{"dropping-particle":"","family":"Schenk","given":"Maryjean","non-dropping-particle":"","parse-names":false,"suffix":""},{"dropping-particle":"","family":"Spinelli","given":"John J","non-dropping-particle":"","parse-names":false,"suffix":""},{"dropping-particle":"","family":"Slager","given":"Susan L","non-dropping-particle":"","parse-names":false,"suffix":""},{"dropping-particle":"","family":"Roos","given":"Anneclaire J","non-dropping-particle":"De","parse-names":false,"suffix":""},{"dropping-particle":"","family":"Smith","given":"Martyn T","non-dropping-particle":"","parse-names":false,"suffix":""},{"dropping-particle":"","family":"Roman","given":"Eve","non-dropping-particle":"","parse-names":false,"suffix":""},{"dropping-particle":"","family":"Cozen","given":"Wendy","non-dropping-particle":"","parse-names":false,"suffix":""},{"dropping-particle":"","family":"Boffetta","given":"Paolo","non-dropping-particle":"","parse-names":false,"suffix":""},{"dropping-particle":"","family":"Kricker","given":"Anne","non-dropping-particle":"","parse-names":false,"suffix":""},{"dropping-particle":"","family":"Zheng","given":"Tongzhang","non-dropping-particle":"","parse-names":false,"suffix":""},{"dropping-particle":"","family":"Lightfoot","given":"Tracy","non-dropping-particle":"","parse-names":false,"suffix":""},{"dropping-particle":"","family":"Cocco","given":"Pierluigi","non-dropping-particle":"","parse-names":false,"suffix":""},{"dropping-particle":"","family":"Benavente","given":"Yolanda","non-dropping-particle":"","parse-names":false,"suffix":""},{"dropping-particle":"","family":"Zhang","given":"Yawei","non-dropping-particle":"","parse-names":false,"suffix":""},{"dropping-particle":"","family":"Hartge","given":"Patricia","non-dropping-particle":"","parse-names":false,"suffix":""},{"dropping-particle":"","family":"Linet","given":"Martha S","non-dropping-particle":"","parse-names":false,"suffix":""},{"dropping-particle":"","family":"Becker","given":"Nikolaus","non-dropping-particle":"","parse-names":false,"suffix":""},{"dropping-particle":"","family":"Brennan","given":"Paul","non-dropping-particle":"","parse-names":false,"suffix":""},{"dropping-particle":"","family":"Zhang","given":"Luoping","non-dropping-particle":"","parse-names":false,"suffix":""},{"dropping-particle":"","family":"Armstrong","given":"Bruce","non-dropping-particle":"","parse-names":false,"suffix":""},{"dropping-particle":"","family":"Smith","given":"Alex","non-dropping-particle":"","parse-names":false,"suffix":""},{"dropping-particle":"","family":"Shiao","given":"Renee","non-dropping-particle":"","parse-names":false,"suffix":""},{"dropping-particle":"","family":"Novak","given":"Anne J","non-dropping-particle":"","parse-names":false,"suffix":""},{"dropping-particle":"","family":"Maynadie","given":"Marc","non-dropping-particle":"","parse-names":false,"suffix":""},{"dropping-particle":"","family":"Chanock","given":"Stephen J","non-dropping-particle":"","parse-names":false,"suffix":""},{"dropping-particle":"","family":"Staines","given":"Anthony","non-dropping-particle":"","parse-names":false,"suffix":""},{"dropping-particle":"","family":"Holford","given":"Theodore R","non-dropping-particle":"","parse-names":false,"suffix":""},{"dropping-particle":"","family":"Holly","given":"Elizabeth A","non-dropping-particle":"","parse-names":false,"suffix":""},{"dropping-particle":"","family":"Rothman","given":"Nathaniel","non-dropping-particle":"","parse-names":false,"suffix":""},{"dropping-particle":"","family":"Wang","given":"Sophia S","non-dropping-particle":"","parse-names":false,"suffix":""}],"container-title":"American journal of epidemiology","id":"ITEM-2","issued":{"date-parts":[["2010"]]},"page":"267-276","title":"Tumor necrosis factor (TNF) and lymphotoxin-alpha (LTA) polymorphisms and risk of non-Hodgkin lymphoma in the InterLymph Consortium.","type":"article-journal","volume":"171"},"uris":["http://www.mendeley.com/documents/?uuid=22bf699d-a8d0-4e47-b78d-cda2951c8273"]}],"mendeley":{"formattedCitation":"[26,27]","plainTextFormattedCitation":"[26,27]","previouslyFormattedCitation":"[25,26]"},"properties":{"noteIndex":0},"schema":"https://github.com/citation-style-language/schema/raw/master/csl-citation.json"}</w:instrText>
      </w:r>
      <w:r w:rsidR="00D2057E">
        <w:rPr>
          <w:rFonts w:cs="Arial"/>
        </w:rPr>
        <w:fldChar w:fldCharType="separate"/>
      </w:r>
      <w:r w:rsidR="00BB3BE7" w:rsidRPr="00BB3BE7">
        <w:rPr>
          <w:rFonts w:cs="Arial"/>
          <w:noProof/>
        </w:rPr>
        <w:t>[26,27]</w:t>
      </w:r>
      <w:r w:rsidR="00D2057E">
        <w:rPr>
          <w:rFonts w:cs="Arial"/>
        </w:rPr>
        <w:fldChar w:fldCharType="end"/>
      </w:r>
      <w:r w:rsidR="00270B8D">
        <w:rPr>
          <w:rFonts w:cs="Arial"/>
        </w:rPr>
        <w:t>, a</w:t>
      </w:r>
      <w:r w:rsidR="00944A71" w:rsidRPr="003D037E">
        <w:rPr>
          <w:rFonts w:cs="Arial"/>
        </w:rPr>
        <w:t xml:space="preserve">ll </w:t>
      </w:r>
      <w:r w:rsidR="00F6283E">
        <w:rPr>
          <w:rFonts w:cs="Arial"/>
        </w:rPr>
        <w:t>genetic variants</w:t>
      </w:r>
      <w:r w:rsidR="00F6283E" w:rsidRPr="003D037E">
        <w:rPr>
          <w:rFonts w:cs="Arial"/>
        </w:rPr>
        <w:t xml:space="preserve"> </w:t>
      </w:r>
      <w:r w:rsidR="00944A71" w:rsidRPr="003D037E">
        <w:rPr>
          <w:rFonts w:cs="Arial"/>
        </w:rPr>
        <w:t xml:space="preserve">were </w:t>
      </w:r>
      <w:r w:rsidR="00463806">
        <w:rPr>
          <w:rFonts w:cs="Arial"/>
        </w:rPr>
        <w:t>coded</w:t>
      </w:r>
      <w:r w:rsidR="00463806" w:rsidRPr="003D037E">
        <w:rPr>
          <w:rFonts w:cs="Arial"/>
        </w:rPr>
        <w:t xml:space="preserve"> </w:t>
      </w:r>
      <w:r w:rsidR="00944A71" w:rsidRPr="003D037E">
        <w:rPr>
          <w:rFonts w:cs="Arial"/>
        </w:rPr>
        <w:t xml:space="preserve">as </w:t>
      </w:r>
      <w:r w:rsidR="00270B8D">
        <w:rPr>
          <w:rFonts w:cs="Arial"/>
        </w:rPr>
        <w:t>dichotomous variables assuming</w:t>
      </w:r>
      <w:r w:rsidR="00463806">
        <w:rPr>
          <w:rFonts w:cs="Arial"/>
        </w:rPr>
        <w:t xml:space="preserve"> a</w:t>
      </w:r>
      <w:r w:rsidR="003C52B4">
        <w:rPr>
          <w:rFonts w:cs="Arial"/>
        </w:rPr>
        <w:t xml:space="preserve"> dominant</w:t>
      </w:r>
      <w:r w:rsidR="00270B8D">
        <w:rPr>
          <w:rFonts w:cs="Arial"/>
        </w:rPr>
        <w:t xml:space="preserve"> </w:t>
      </w:r>
      <w:r w:rsidR="00463806">
        <w:rPr>
          <w:rFonts w:cs="Arial"/>
        </w:rPr>
        <w:t xml:space="preserve">model </w:t>
      </w:r>
      <w:r w:rsidR="001A0CAB">
        <w:rPr>
          <w:rFonts w:cs="Arial"/>
        </w:rPr>
        <w:t>(</w:t>
      </w:r>
      <w:r w:rsidR="00F86BB3">
        <w:rPr>
          <w:rFonts w:cs="Arial"/>
        </w:rPr>
        <w:t>absence or presence of minor allel</w:t>
      </w:r>
      <w:r w:rsidR="00ED6BE0">
        <w:rPr>
          <w:rFonts w:cs="Arial"/>
        </w:rPr>
        <w:t>e</w:t>
      </w:r>
      <w:r w:rsidR="00ED6BE0" w:rsidRPr="003B5361">
        <w:rPr>
          <w:rFonts w:cs="Arial"/>
        </w:rPr>
        <w:t>)</w:t>
      </w:r>
      <w:r w:rsidR="00B12F52" w:rsidRPr="003B5361">
        <w:rPr>
          <w:rFonts w:cs="Arial"/>
        </w:rPr>
        <w:t xml:space="preserve">. </w:t>
      </w:r>
      <w:r w:rsidR="00C22667" w:rsidRPr="003B5361">
        <w:rPr>
          <w:rFonts w:cs="Arial"/>
        </w:rPr>
        <w:t xml:space="preserve"> </w:t>
      </w:r>
      <w:r w:rsidR="00944A71" w:rsidRPr="003D037E">
        <w:rPr>
          <w:rFonts w:cs="Arial"/>
        </w:rPr>
        <w:t xml:space="preserve">All models were adjusted for </w:t>
      </w:r>
      <w:r w:rsidR="00E0736A" w:rsidRPr="003D037E">
        <w:rPr>
          <w:rFonts w:cs="Arial"/>
        </w:rPr>
        <w:t>age</w:t>
      </w:r>
      <w:r w:rsidR="004F2C04" w:rsidRPr="003D037E">
        <w:rPr>
          <w:rFonts w:cs="Arial"/>
        </w:rPr>
        <w:t xml:space="preserve"> at </w:t>
      </w:r>
      <w:r w:rsidR="00CC0534">
        <w:rPr>
          <w:rFonts w:cs="Arial"/>
        </w:rPr>
        <w:t xml:space="preserve">NHL </w:t>
      </w:r>
      <w:r w:rsidR="004F2C04" w:rsidRPr="003D037E">
        <w:rPr>
          <w:rFonts w:cs="Arial"/>
        </w:rPr>
        <w:t>diagnosis/enrollment</w:t>
      </w:r>
      <w:r w:rsidR="00E0736A" w:rsidRPr="003D037E">
        <w:rPr>
          <w:rFonts w:cs="Arial"/>
        </w:rPr>
        <w:t>, sex, study center, and SES</w:t>
      </w:r>
      <w:r w:rsidR="00B12F52">
        <w:rPr>
          <w:rFonts w:cs="Arial"/>
        </w:rPr>
        <w:t xml:space="preserve">. </w:t>
      </w:r>
    </w:p>
    <w:p w14:paraId="219FC73B" w14:textId="7F65B810" w:rsidR="000B51CF" w:rsidRPr="003D037E" w:rsidRDefault="00431A4A" w:rsidP="00887B34">
      <w:pPr>
        <w:spacing w:line="480" w:lineRule="auto"/>
        <w:ind w:firstLine="720"/>
        <w:rPr>
          <w:rFonts w:cs="Arial"/>
        </w:rPr>
      </w:pPr>
      <w:r w:rsidRPr="003D037E">
        <w:rPr>
          <w:rFonts w:cs="Arial"/>
          <w:i/>
        </w:rPr>
        <w:t>Gene</w:t>
      </w:r>
      <w:r w:rsidR="000B51CF" w:rsidRPr="003D037E">
        <w:rPr>
          <w:rFonts w:cs="Arial"/>
          <w:i/>
        </w:rPr>
        <w:t>-environment interaction</w:t>
      </w:r>
      <w:r w:rsidR="0010667A" w:rsidRPr="003D037E">
        <w:rPr>
          <w:rFonts w:cs="Arial"/>
          <w:i/>
        </w:rPr>
        <w:t xml:space="preserve"> in NHL risk</w:t>
      </w:r>
      <w:r w:rsidR="000B51CF" w:rsidRPr="003D037E">
        <w:rPr>
          <w:rFonts w:cs="Arial"/>
          <w:i/>
        </w:rPr>
        <w:t>:</w:t>
      </w:r>
      <w:r w:rsidR="000B51CF" w:rsidRPr="003D037E">
        <w:rPr>
          <w:rFonts w:cs="Arial"/>
        </w:rPr>
        <w:t xml:space="preserve"> </w:t>
      </w:r>
      <w:r w:rsidR="0089565E">
        <w:rPr>
          <w:rFonts w:cs="Arial"/>
        </w:rPr>
        <w:t>The effect of i</w:t>
      </w:r>
      <w:r w:rsidR="006E6133">
        <w:rPr>
          <w:rFonts w:cs="Arial"/>
        </w:rPr>
        <w:t xml:space="preserve">nteraction </w:t>
      </w:r>
      <w:r w:rsidR="0089565E">
        <w:rPr>
          <w:rFonts w:cs="Arial"/>
        </w:rPr>
        <w:t>between IM and immune</w:t>
      </w:r>
      <w:r w:rsidR="0047531B">
        <w:rPr>
          <w:rFonts w:cs="Arial"/>
        </w:rPr>
        <w:t>-related</w:t>
      </w:r>
      <w:r w:rsidR="0089565E">
        <w:rPr>
          <w:rFonts w:cs="Arial"/>
        </w:rPr>
        <w:t xml:space="preserve"> genotypes on NHL risk was assessed </w:t>
      </w:r>
      <w:r w:rsidR="004A4891">
        <w:rPr>
          <w:rFonts w:cs="Arial"/>
        </w:rPr>
        <w:t>using the</w:t>
      </w:r>
      <w:r w:rsidR="004A4891" w:rsidRPr="004A4891">
        <w:rPr>
          <w:rFonts w:cs="Arial"/>
        </w:rPr>
        <w:t xml:space="preserve"> </w:t>
      </w:r>
      <w:r w:rsidR="0001634C">
        <w:rPr>
          <w:rFonts w:cs="Arial"/>
        </w:rPr>
        <w:t>empirical Bayes</w:t>
      </w:r>
      <w:r w:rsidR="004A4891" w:rsidRPr="004A4891">
        <w:rPr>
          <w:rFonts w:cs="Arial"/>
        </w:rPr>
        <w:t xml:space="preserve"> approach </w:t>
      </w:r>
      <w:r w:rsidR="001C4719">
        <w:rPr>
          <w:rFonts w:cs="Arial"/>
        </w:rPr>
        <w:t>described</w:t>
      </w:r>
      <w:r w:rsidR="001C4719" w:rsidRPr="004A4891">
        <w:rPr>
          <w:rFonts w:cs="Arial"/>
        </w:rPr>
        <w:t xml:space="preserve"> </w:t>
      </w:r>
      <w:r w:rsidR="004A4891" w:rsidRPr="004A4891">
        <w:rPr>
          <w:rFonts w:cs="Arial"/>
        </w:rPr>
        <w:t xml:space="preserve">by </w:t>
      </w:r>
      <w:r w:rsidR="0001634C">
        <w:rPr>
          <w:rFonts w:cs="Arial"/>
        </w:rPr>
        <w:t>Mukherjee</w:t>
      </w:r>
      <w:r w:rsidR="004A4891" w:rsidRPr="004A4891">
        <w:rPr>
          <w:rFonts w:cs="Arial"/>
        </w:rPr>
        <w:t xml:space="preserve"> et al.</w:t>
      </w:r>
      <w:r w:rsidR="00CE249A">
        <w:rPr>
          <w:rFonts w:cs="Arial"/>
        </w:rPr>
        <w:t xml:space="preserve"> </w:t>
      </w:r>
      <w:r w:rsidR="00D2057E">
        <w:rPr>
          <w:rFonts w:cs="Arial"/>
        </w:rPr>
        <w:fldChar w:fldCharType="begin" w:fldLock="1"/>
      </w:r>
      <w:r w:rsidR="00BB3BE7">
        <w:rPr>
          <w:rFonts w:cs="Arial"/>
        </w:rPr>
        <w:instrText>ADDIN CSL_CITATION {"citationItems":[{"id":"ITEM-1","itemData":{"DOI":"10.1002/gepi.20337","ISSN":"1098-2272","PMID":"18473390","abstract":"To evaluate the risk of a disease associated with the joint effects of genetic susceptibility and environmental exposures, epidemiologic researchers often test for non-multiplicative gene-environment effects from case-control studies. In this article, we present a comparative study of four alternative tests for interactions: (i) the standard case-control method; (ii) the case-only method, which requires an assumption of gene-environment independence for the underlying population; (iii) a two-step method that decides between the case-only and case-control estimators depending on a statistical test for the gene-environment independence assumption and (iv) a novel empirical-Bayes (EB) method that combines the case-control and case-only estimators depending on the sample size and strength of the gene-environment association in the data. We evaluate the methods in terms of integrated Type I error and power, averaged with respect to varying scenarios for gene-environment association that are likely to appear in practice. These unique studies suggest that the novel EB procedure overall is a promising approach for detection of gene-environment interactions from case-control studies. In particular, the EB procedure, unlike the case-only or two-step methods, can closely maintain a desired Type I error under realistic scenarios of gene-environment dependence and yet can be substantially more powerful than the traditional case-control analysis when the gene-environment independence assumption is satisfied, exactly or approximately. Our studies also reveal potential utility of some non-traditional case-control designs that samples controls at a smaller rate than the cases. Apart from the simulation studies, we also illustrate the different methods by analyzing interactions of two commonly studied genes, N-acetyl transferase type 2 and glutathione s-transferase M1, with smoking and dietary exposures, in a large case-control study of colorectal cancer.","author":[{"dropping-particle":"","family":"Mukherjee","given":"Bhramar","non-dropping-particle":"","parse-names":false,"suffix":""},{"dropping-particle":"","family":"Ahn","given":"Jaeil","non-dropping-particle":"","parse-names":false,"suffix":""},{"dropping-particle":"","family":"Gruber","given":"Stephen B","non-dropping-particle":"","parse-names":false,"suffix":""},{"dropping-particle":"","family":"Rennert","given":"Gad","non-dropping-particle":"","parse-names":false,"suffix":""},{"dropping-particle":"","family":"Moreno","given":"Victor","non-dropping-particle":"","parse-names":false,"suffix":""},{"dropping-particle":"","family":"Chatterjee","given":"Nilanjan","non-dropping-particle":"","parse-names":false,"suffix":""}],"container-title":"Genetic epidemiology","id":"ITEM-1","issue":"7","issued":{"date-parts":[["2008","11"]]},"page":"615-26","title":"Tests for gene-environment interaction from case-control data: a novel study of type I error, power and designs.","type":"article-journal","volume":"32"},"uris":["http://www.mendeley.com/documents/?uuid=be008ceb-7b59-4533-b7bc-fdcd7ba2dec4"]}],"mendeley":{"formattedCitation":"[46]","plainTextFormattedCitation":"[46]","previouslyFormattedCitation":"[45]"},"properties":{"noteIndex":0},"schema":"https://github.com/citation-style-language/schema/raw/master/csl-citation.json"}</w:instrText>
      </w:r>
      <w:r w:rsidR="00D2057E">
        <w:rPr>
          <w:rFonts w:cs="Arial"/>
        </w:rPr>
        <w:fldChar w:fldCharType="separate"/>
      </w:r>
      <w:r w:rsidR="00BB3BE7" w:rsidRPr="00BB3BE7">
        <w:rPr>
          <w:rFonts w:cs="Arial"/>
          <w:noProof/>
        </w:rPr>
        <w:t>[46]</w:t>
      </w:r>
      <w:r w:rsidR="00D2057E">
        <w:rPr>
          <w:rFonts w:cs="Arial"/>
        </w:rPr>
        <w:fldChar w:fldCharType="end"/>
      </w:r>
      <w:r w:rsidR="004A4891" w:rsidRPr="004A4891">
        <w:rPr>
          <w:rFonts w:cs="Arial"/>
        </w:rPr>
        <w:t xml:space="preserve">. </w:t>
      </w:r>
      <w:r w:rsidR="0089565E">
        <w:rPr>
          <w:rFonts w:cs="Arial"/>
        </w:rPr>
        <w:t>S</w:t>
      </w:r>
      <w:r w:rsidR="006C5B90">
        <w:rPr>
          <w:rFonts w:cs="Arial"/>
        </w:rPr>
        <w:t>ensitivity analys</w:t>
      </w:r>
      <w:r w:rsidR="003558D8">
        <w:rPr>
          <w:rFonts w:cs="Arial"/>
        </w:rPr>
        <w:t>e</w:t>
      </w:r>
      <w:r w:rsidR="006C5B90">
        <w:rPr>
          <w:rFonts w:cs="Arial"/>
        </w:rPr>
        <w:t xml:space="preserve">s </w:t>
      </w:r>
      <w:r w:rsidR="00592955">
        <w:rPr>
          <w:rFonts w:cs="Arial"/>
        </w:rPr>
        <w:t>w</w:t>
      </w:r>
      <w:r w:rsidR="003558D8">
        <w:rPr>
          <w:rFonts w:cs="Arial"/>
        </w:rPr>
        <w:t>ere</w:t>
      </w:r>
      <w:r w:rsidR="0089565E">
        <w:rPr>
          <w:rFonts w:cs="Arial"/>
        </w:rPr>
        <w:t xml:space="preserve"> then </w:t>
      </w:r>
      <w:r w:rsidR="001B44D8">
        <w:rPr>
          <w:rFonts w:cs="Arial"/>
        </w:rPr>
        <w:t xml:space="preserve">performed </w:t>
      </w:r>
      <w:r w:rsidR="006C5B90">
        <w:rPr>
          <w:rFonts w:cs="Arial"/>
        </w:rPr>
        <w:t xml:space="preserve">using unconditional </w:t>
      </w:r>
      <w:r w:rsidR="006C5B90" w:rsidRPr="003D037E">
        <w:rPr>
          <w:rFonts w:cs="Arial"/>
        </w:rPr>
        <w:t xml:space="preserve">logistic regression to test the association between </w:t>
      </w:r>
      <w:r w:rsidR="006C5B90">
        <w:rPr>
          <w:rFonts w:cs="Arial"/>
        </w:rPr>
        <w:t xml:space="preserve">IM and </w:t>
      </w:r>
      <w:r w:rsidR="006C5B90" w:rsidRPr="003D037E">
        <w:rPr>
          <w:rFonts w:cs="Arial"/>
        </w:rPr>
        <w:t xml:space="preserve">NHL stratified by each candidate </w:t>
      </w:r>
      <w:r w:rsidR="00F6283E">
        <w:rPr>
          <w:rFonts w:cs="Arial"/>
        </w:rPr>
        <w:t xml:space="preserve">variant </w:t>
      </w:r>
      <w:r w:rsidR="0089565E">
        <w:rPr>
          <w:rFonts w:cs="Arial"/>
        </w:rPr>
        <w:t>genotype</w:t>
      </w:r>
      <w:r w:rsidR="006C5B90">
        <w:rPr>
          <w:rFonts w:cs="Arial"/>
        </w:rPr>
        <w:t xml:space="preserve">. </w:t>
      </w:r>
      <w:r w:rsidR="006C5B90" w:rsidRPr="003D037E">
        <w:rPr>
          <w:rFonts w:cs="Arial"/>
        </w:rPr>
        <w:t>Likelihood ratio tests were used to estimate p-value</w:t>
      </w:r>
      <w:r w:rsidR="006C5B90">
        <w:rPr>
          <w:rFonts w:cs="Arial"/>
        </w:rPr>
        <w:t>s</w:t>
      </w:r>
      <w:r w:rsidR="006C5B90" w:rsidRPr="003D037E">
        <w:rPr>
          <w:rFonts w:cs="Arial"/>
        </w:rPr>
        <w:t xml:space="preserve"> for interaction</w:t>
      </w:r>
      <w:r w:rsidR="00B9024C">
        <w:rPr>
          <w:rFonts w:cs="Arial"/>
        </w:rPr>
        <w:t>s against a</w:t>
      </w:r>
      <w:r w:rsidR="00AB382B">
        <w:rPr>
          <w:rFonts w:cs="Arial"/>
        </w:rPr>
        <w:t xml:space="preserve"> baseline</w:t>
      </w:r>
      <w:r w:rsidR="00B9024C">
        <w:rPr>
          <w:rFonts w:cs="Arial"/>
        </w:rPr>
        <w:t xml:space="preserve"> model assuming multiplicativity of odds ratios</w:t>
      </w:r>
      <w:r w:rsidR="00CC0534">
        <w:rPr>
          <w:rFonts w:cs="Arial"/>
        </w:rPr>
        <w:t>. Models were</w:t>
      </w:r>
      <w:r w:rsidR="00B9024C">
        <w:rPr>
          <w:rFonts w:cs="Arial"/>
        </w:rPr>
        <w:t xml:space="preserve"> adjust</w:t>
      </w:r>
      <w:r w:rsidR="00CC0534">
        <w:rPr>
          <w:rFonts w:cs="Arial"/>
        </w:rPr>
        <w:t>ed</w:t>
      </w:r>
      <w:r w:rsidR="00B9024C">
        <w:rPr>
          <w:rFonts w:cs="Arial"/>
        </w:rPr>
        <w:t xml:space="preserve"> for</w:t>
      </w:r>
      <w:r w:rsidR="00AB382B">
        <w:rPr>
          <w:rFonts w:cs="Arial"/>
        </w:rPr>
        <w:t xml:space="preserve"> the</w:t>
      </w:r>
      <w:r w:rsidR="00B9024C">
        <w:rPr>
          <w:rFonts w:cs="Arial"/>
        </w:rPr>
        <w:t xml:space="preserve"> covariates listed above</w:t>
      </w:r>
      <w:r w:rsidR="00AE7C42">
        <w:rPr>
          <w:rFonts w:cs="Arial"/>
        </w:rPr>
        <w:t>. Associations were examined for all NHL combined</w:t>
      </w:r>
      <w:r w:rsidR="006C5B90" w:rsidRPr="003D037E">
        <w:rPr>
          <w:rFonts w:cs="Arial"/>
        </w:rPr>
        <w:t xml:space="preserve"> and</w:t>
      </w:r>
      <w:r w:rsidR="00A345EF">
        <w:rPr>
          <w:rFonts w:cs="Arial"/>
        </w:rPr>
        <w:t xml:space="preserve"> by NHL subtype</w:t>
      </w:r>
      <w:r w:rsidR="006C5B90">
        <w:rPr>
          <w:rFonts w:cs="Arial"/>
        </w:rPr>
        <w:t>.</w:t>
      </w:r>
    </w:p>
    <w:p w14:paraId="09AAE7D2" w14:textId="77777777" w:rsidR="00E0736A" w:rsidRPr="003D037E" w:rsidRDefault="00E0736A" w:rsidP="00887B34">
      <w:pPr>
        <w:spacing w:line="480" w:lineRule="auto"/>
        <w:ind w:firstLine="720"/>
        <w:rPr>
          <w:rFonts w:cs="Arial"/>
          <w:i/>
        </w:rPr>
      </w:pPr>
      <w:r w:rsidRPr="003D037E">
        <w:rPr>
          <w:rFonts w:cs="Arial"/>
          <w:i/>
        </w:rPr>
        <w:lastRenderedPageBreak/>
        <w:t>Association with age at NHL diagnosis:</w:t>
      </w:r>
      <w:r w:rsidRPr="003D037E">
        <w:rPr>
          <w:rFonts w:cs="Arial"/>
        </w:rPr>
        <w:t xml:space="preserve"> </w:t>
      </w:r>
      <w:r w:rsidR="00B94701" w:rsidRPr="003D037E">
        <w:rPr>
          <w:rFonts w:cs="Arial"/>
        </w:rPr>
        <w:t>We performed a case-only analysis</w:t>
      </w:r>
      <w:r w:rsidR="001825CF">
        <w:rPr>
          <w:rFonts w:cs="Arial"/>
        </w:rPr>
        <w:t xml:space="preserve"> </w:t>
      </w:r>
      <w:r w:rsidR="001825CF" w:rsidRPr="003D037E">
        <w:rPr>
          <w:rFonts w:cs="Arial"/>
        </w:rPr>
        <w:t>stratified by NHL subtype</w:t>
      </w:r>
      <w:r w:rsidR="00B94701" w:rsidRPr="003D037E">
        <w:rPr>
          <w:rFonts w:cs="Arial"/>
        </w:rPr>
        <w:t xml:space="preserve"> </w:t>
      </w:r>
      <w:r w:rsidR="00DE45CB">
        <w:rPr>
          <w:rFonts w:cs="Arial"/>
        </w:rPr>
        <w:t>to assess</w:t>
      </w:r>
      <w:r w:rsidR="00DE45CB" w:rsidRPr="003D037E">
        <w:rPr>
          <w:rFonts w:cs="Arial"/>
        </w:rPr>
        <w:t xml:space="preserve"> </w:t>
      </w:r>
      <w:r w:rsidR="00B94701" w:rsidRPr="003D037E">
        <w:rPr>
          <w:rFonts w:cs="Arial"/>
        </w:rPr>
        <w:t xml:space="preserve">the </w:t>
      </w:r>
      <w:r w:rsidR="000515AC">
        <w:rPr>
          <w:rFonts w:cs="Arial"/>
        </w:rPr>
        <w:t xml:space="preserve">association between </w:t>
      </w:r>
      <w:r w:rsidR="00B94701" w:rsidRPr="003D037E">
        <w:rPr>
          <w:rFonts w:cs="Arial"/>
        </w:rPr>
        <w:t xml:space="preserve">IM </w:t>
      </w:r>
      <w:r w:rsidR="000515AC">
        <w:rPr>
          <w:rFonts w:cs="Arial"/>
        </w:rPr>
        <w:t>and</w:t>
      </w:r>
      <w:r w:rsidR="000515AC" w:rsidRPr="003D037E">
        <w:rPr>
          <w:rFonts w:cs="Arial"/>
        </w:rPr>
        <w:t xml:space="preserve"> </w:t>
      </w:r>
      <w:r w:rsidR="00B94701" w:rsidRPr="003D037E">
        <w:rPr>
          <w:rFonts w:cs="Arial"/>
        </w:rPr>
        <w:t>age at NHL diagnosis using linear regression</w:t>
      </w:r>
      <w:r w:rsidR="0001634C">
        <w:rPr>
          <w:rFonts w:cs="Arial"/>
        </w:rPr>
        <w:t xml:space="preserve"> models</w:t>
      </w:r>
      <w:r w:rsidR="004F2C04" w:rsidRPr="003D037E">
        <w:rPr>
          <w:rFonts w:cs="Arial"/>
        </w:rPr>
        <w:t xml:space="preserve"> adjusted for sex, study center, </w:t>
      </w:r>
      <w:r w:rsidR="001825CF" w:rsidRPr="003D037E">
        <w:rPr>
          <w:rFonts w:cs="Arial"/>
        </w:rPr>
        <w:t>SES</w:t>
      </w:r>
      <w:r w:rsidR="001825CF">
        <w:rPr>
          <w:rFonts w:cs="Arial"/>
        </w:rPr>
        <w:t xml:space="preserve">, and </w:t>
      </w:r>
      <w:r w:rsidR="005F2958">
        <w:rPr>
          <w:rFonts w:cs="Arial"/>
        </w:rPr>
        <w:t>year of birth (to account for a potential birth cohort effect)</w:t>
      </w:r>
      <w:r w:rsidR="004F2C04" w:rsidRPr="003D037E">
        <w:rPr>
          <w:rFonts w:cs="Arial"/>
        </w:rPr>
        <w:t xml:space="preserve">. </w:t>
      </w:r>
    </w:p>
    <w:p w14:paraId="7C8C1E67" w14:textId="72D0387D" w:rsidR="00D816FD" w:rsidRPr="003D037E" w:rsidRDefault="00EC4544" w:rsidP="00887B34">
      <w:pPr>
        <w:spacing w:line="480" w:lineRule="auto"/>
        <w:ind w:firstLine="720"/>
        <w:rPr>
          <w:rFonts w:cs="Arial"/>
        </w:rPr>
      </w:pPr>
      <w:r w:rsidRPr="003D037E">
        <w:rPr>
          <w:rFonts w:cs="Arial"/>
          <w:i/>
        </w:rPr>
        <w:t>Risk factors for IM</w:t>
      </w:r>
      <w:r w:rsidR="00DE45CB">
        <w:rPr>
          <w:rFonts w:cs="Arial"/>
          <w:i/>
        </w:rPr>
        <w:t xml:space="preserve"> among controls</w:t>
      </w:r>
      <w:r w:rsidRPr="003D037E">
        <w:rPr>
          <w:rFonts w:cs="Arial"/>
          <w:i/>
        </w:rPr>
        <w:t>:</w:t>
      </w:r>
      <w:r w:rsidRPr="003D037E">
        <w:rPr>
          <w:rFonts w:cs="Arial"/>
        </w:rPr>
        <w:t xml:space="preserve"> </w:t>
      </w:r>
      <w:r w:rsidR="00BF43CA" w:rsidRPr="003D037E">
        <w:rPr>
          <w:rFonts w:cs="Arial"/>
        </w:rPr>
        <w:t>We</w:t>
      </w:r>
      <w:r w:rsidRPr="003D037E">
        <w:rPr>
          <w:rFonts w:cs="Arial"/>
        </w:rPr>
        <w:t xml:space="preserve"> evaluated the associations between </w:t>
      </w:r>
      <w:r w:rsidR="002911F3">
        <w:rPr>
          <w:rFonts w:cs="Arial"/>
        </w:rPr>
        <w:t xml:space="preserve">IM and </w:t>
      </w:r>
      <w:r w:rsidRPr="003D037E">
        <w:rPr>
          <w:rFonts w:cs="Arial"/>
        </w:rPr>
        <w:t>demographic factors</w:t>
      </w:r>
      <w:r w:rsidR="001A0CAB">
        <w:rPr>
          <w:rFonts w:cs="Arial"/>
        </w:rPr>
        <w:t xml:space="preserve"> (</w:t>
      </w:r>
      <w:r w:rsidRPr="003D037E">
        <w:rPr>
          <w:rFonts w:cs="Arial"/>
        </w:rPr>
        <w:t xml:space="preserve">SES and sex), </w:t>
      </w:r>
      <w:r w:rsidR="00752E6A">
        <w:rPr>
          <w:rFonts w:cs="Arial"/>
        </w:rPr>
        <w:t>family structure</w:t>
      </w:r>
      <w:r w:rsidR="00AC7E9B">
        <w:rPr>
          <w:rFonts w:cs="Arial"/>
        </w:rPr>
        <w:t xml:space="preserve"> </w:t>
      </w:r>
      <w:r w:rsidR="001A0CAB">
        <w:rPr>
          <w:rFonts w:cs="Arial"/>
        </w:rPr>
        <w:t>(</w:t>
      </w:r>
      <w:r w:rsidR="00F336F2" w:rsidRPr="003D037E">
        <w:rPr>
          <w:rFonts w:cs="Arial"/>
        </w:rPr>
        <w:t xml:space="preserve">birth order and sibship size), </w:t>
      </w:r>
      <w:r w:rsidR="00A47098" w:rsidRPr="003D037E">
        <w:rPr>
          <w:rFonts w:cs="Arial"/>
        </w:rPr>
        <w:t xml:space="preserve">and </w:t>
      </w:r>
      <w:r w:rsidR="00F336F2" w:rsidRPr="003D037E">
        <w:rPr>
          <w:rFonts w:cs="Arial"/>
        </w:rPr>
        <w:t>genetic f</w:t>
      </w:r>
      <w:r w:rsidR="00A47098" w:rsidRPr="003D037E">
        <w:rPr>
          <w:rFonts w:cs="Arial"/>
        </w:rPr>
        <w:t>actors</w:t>
      </w:r>
      <w:r w:rsidR="001A0CAB">
        <w:rPr>
          <w:rFonts w:cs="Arial"/>
        </w:rPr>
        <w:t xml:space="preserve"> (</w:t>
      </w:r>
      <w:r w:rsidR="00613165">
        <w:rPr>
          <w:rFonts w:cs="Arial"/>
        </w:rPr>
        <w:t>candidate</w:t>
      </w:r>
      <w:r w:rsidR="00A6374B">
        <w:rPr>
          <w:rFonts w:cs="Arial"/>
        </w:rPr>
        <w:t xml:space="preserve"> genetic</w:t>
      </w:r>
      <w:r w:rsidR="00613165">
        <w:rPr>
          <w:rFonts w:cs="Arial"/>
        </w:rPr>
        <w:t xml:space="preserve"> </w:t>
      </w:r>
      <w:r w:rsidR="00F6283E">
        <w:rPr>
          <w:rFonts w:cs="Arial"/>
        </w:rPr>
        <w:t>variant</w:t>
      </w:r>
      <w:r w:rsidR="00F6283E" w:rsidRPr="003D037E">
        <w:rPr>
          <w:rFonts w:cs="Arial"/>
        </w:rPr>
        <w:t xml:space="preserve">s </w:t>
      </w:r>
      <w:r w:rsidR="00A6374B">
        <w:rPr>
          <w:rFonts w:cs="Arial"/>
        </w:rPr>
        <w:t>mentioned above</w:t>
      </w:r>
      <w:r w:rsidR="00A47098" w:rsidRPr="003D037E">
        <w:rPr>
          <w:rFonts w:cs="Arial"/>
        </w:rPr>
        <w:t xml:space="preserve">) </w:t>
      </w:r>
      <w:r w:rsidR="00F336F2" w:rsidRPr="003D037E">
        <w:rPr>
          <w:rFonts w:cs="Arial"/>
        </w:rPr>
        <w:t xml:space="preserve">using unconditional </w:t>
      </w:r>
      <w:r w:rsidR="00752E6A">
        <w:rPr>
          <w:rFonts w:cs="Arial"/>
        </w:rPr>
        <w:t xml:space="preserve">multivariable </w:t>
      </w:r>
      <w:r w:rsidR="00F336F2" w:rsidRPr="003D037E">
        <w:rPr>
          <w:rFonts w:cs="Arial"/>
        </w:rPr>
        <w:t>logistic regression</w:t>
      </w:r>
      <w:r w:rsidR="0001634C" w:rsidRPr="0001634C">
        <w:rPr>
          <w:rFonts w:cs="Arial"/>
        </w:rPr>
        <w:t xml:space="preserve"> </w:t>
      </w:r>
      <w:r w:rsidR="0001634C" w:rsidRPr="003D037E">
        <w:rPr>
          <w:rFonts w:cs="Arial"/>
        </w:rPr>
        <w:t>models adjusted for age</w:t>
      </w:r>
      <w:r w:rsidR="006225C8">
        <w:rPr>
          <w:rFonts w:cs="Arial"/>
        </w:rPr>
        <w:t xml:space="preserve"> and study center. Models </w:t>
      </w:r>
      <w:r w:rsidR="00752E6A">
        <w:rPr>
          <w:rFonts w:cs="Arial"/>
        </w:rPr>
        <w:t>including</w:t>
      </w:r>
      <w:r w:rsidR="006225C8">
        <w:rPr>
          <w:rFonts w:cs="Arial"/>
        </w:rPr>
        <w:t xml:space="preserve"> SES, </w:t>
      </w:r>
      <w:r w:rsidR="00752E6A">
        <w:rPr>
          <w:rFonts w:cs="Arial"/>
        </w:rPr>
        <w:t>family structure</w:t>
      </w:r>
      <w:r w:rsidR="00AC7E9B">
        <w:rPr>
          <w:rFonts w:cs="Arial"/>
        </w:rPr>
        <w:t>,</w:t>
      </w:r>
      <w:r w:rsidR="006225C8">
        <w:rPr>
          <w:rFonts w:cs="Arial"/>
        </w:rPr>
        <w:t xml:space="preserve"> </w:t>
      </w:r>
      <w:r w:rsidR="00AC7E9B">
        <w:rPr>
          <w:rFonts w:cs="Arial"/>
        </w:rPr>
        <w:t>or</w:t>
      </w:r>
      <w:r w:rsidR="006225C8">
        <w:rPr>
          <w:rFonts w:cs="Arial"/>
        </w:rPr>
        <w:t xml:space="preserve"> </w:t>
      </w:r>
      <w:r w:rsidR="00752E6A">
        <w:rPr>
          <w:rFonts w:cs="Arial"/>
        </w:rPr>
        <w:t xml:space="preserve">genetic variants as the </w:t>
      </w:r>
      <w:r w:rsidR="00AC7E9B">
        <w:rPr>
          <w:rFonts w:cs="Arial"/>
        </w:rPr>
        <w:t>exposure</w:t>
      </w:r>
      <w:r w:rsidR="00752E6A">
        <w:rPr>
          <w:rFonts w:cs="Arial"/>
        </w:rPr>
        <w:t xml:space="preserve"> variable</w:t>
      </w:r>
      <w:r w:rsidR="00AC7E9B">
        <w:rPr>
          <w:rFonts w:cs="Arial"/>
        </w:rPr>
        <w:t xml:space="preserve"> of interest</w:t>
      </w:r>
      <w:r w:rsidR="006225C8">
        <w:rPr>
          <w:rFonts w:cs="Arial"/>
        </w:rPr>
        <w:t xml:space="preserve"> were adjusted for</w:t>
      </w:r>
      <w:r w:rsidR="0001634C" w:rsidRPr="003D037E">
        <w:rPr>
          <w:rFonts w:cs="Arial"/>
        </w:rPr>
        <w:t xml:space="preserve"> sex</w:t>
      </w:r>
      <w:r w:rsidR="00AC7E9B">
        <w:rPr>
          <w:rFonts w:cs="Arial"/>
        </w:rPr>
        <w:t>. M</w:t>
      </w:r>
      <w:r w:rsidR="00752E6A">
        <w:rPr>
          <w:rFonts w:cs="Arial"/>
        </w:rPr>
        <w:t xml:space="preserve">odels including </w:t>
      </w:r>
      <w:r w:rsidR="006225C8">
        <w:rPr>
          <w:rFonts w:cs="Arial"/>
        </w:rPr>
        <w:t>sex</w:t>
      </w:r>
      <w:r w:rsidR="00D02651">
        <w:rPr>
          <w:rFonts w:cs="Arial"/>
        </w:rPr>
        <w:t xml:space="preserve"> </w:t>
      </w:r>
      <w:r w:rsidR="00AC7E9B">
        <w:rPr>
          <w:rFonts w:cs="Arial"/>
        </w:rPr>
        <w:t>or</w:t>
      </w:r>
      <w:r w:rsidR="006225C8">
        <w:rPr>
          <w:rFonts w:cs="Arial"/>
        </w:rPr>
        <w:t xml:space="preserve"> genetic factors </w:t>
      </w:r>
      <w:r w:rsidR="00752E6A">
        <w:rPr>
          <w:rFonts w:cs="Arial"/>
        </w:rPr>
        <w:t xml:space="preserve">as the </w:t>
      </w:r>
      <w:r w:rsidR="00AC7E9B">
        <w:rPr>
          <w:rFonts w:cs="Arial"/>
        </w:rPr>
        <w:t>exposure</w:t>
      </w:r>
      <w:r w:rsidR="00752E6A">
        <w:rPr>
          <w:rFonts w:cs="Arial"/>
        </w:rPr>
        <w:t xml:space="preserve"> variable</w:t>
      </w:r>
      <w:r w:rsidR="00AC7E9B">
        <w:rPr>
          <w:rFonts w:cs="Arial"/>
        </w:rPr>
        <w:t xml:space="preserve"> of interest</w:t>
      </w:r>
      <w:r w:rsidR="00752E6A">
        <w:rPr>
          <w:rFonts w:cs="Arial"/>
        </w:rPr>
        <w:t xml:space="preserve"> </w:t>
      </w:r>
      <w:r w:rsidR="006225C8">
        <w:rPr>
          <w:rFonts w:cs="Arial"/>
        </w:rPr>
        <w:t xml:space="preserve">were </w:t>
      </w:r>
      <w:r w:rsidR="00AC7E9B">
        <w:rPr>
          <w:rFonts w:cs="Arial"/>
        </w:rPr>
        <w:t xml:space="preserve">further </w:t>
      </w:r>
      <w:r w:rsidR="006225C8">
        <w:rPr>
          <w:rFonts w:cs="Arial"/>
        </w:rPr>
        <w:t xml:space="preserve">adjusted for </w:t>
      </w:r>
      <w:r w:rsidR="0001634C" w:rsidRPr="003D037E">
        <w:rPr>
          <w:rFonts w:cs="Arial"/>
        </w:rPr>
        <w:t>SES</w:t>
      </w:r>
      <w:r w:rsidR="00B12F52">
        <w:rPr>
          <w:rFonts w:cs="Arial"/>
        </w:rPr>
        <w:t xml:space="preserve">. </w:t>
      </w:r>
      <w:r w:rsidR="00AC7E9B">
        <w:rPr>
          <w:rFonts w:cs="Arial"/>
        </w:rPr>
        <w:t>A</w:t>
      </w:r>
      <w:r w:rsidR="00752E6A">
        <w:rPr>
          <w:rFonts w:cs="Arial"/>
        </w:rPr>
        <w:t xml:space="preserve">nalyses </w:t>
      </w:r>
      <w:r w:rsidR="00AC7E9B">
        <w:rPr>
          <w:rFonts w:cs="Arial"/>
        </w:rPr>
        <w:t>with</w:t>
      </w:r>
      <w:r w:rsidR="00752E6A">
        <w:rPr>
          <w:rFonts w:cs="Arial"/>
        </w:rPr>
        <w:t xml:space="preserve"> family structure </w:t>
      </w:r>
      <w:r w:rsidR="00AC7E9B">
        <w:rPr>
          <w:rFonts w:cs="Arial"/>
        </w:rPr>
        <w:t>as the exposure variable of interest were</w:t>
      </w:r>
      <w:r w:rsidR="00752E6A">
        <w:rPr>
          <w:rFonts w:cs="Arial"/>
        </w:rPr>
        <w:t xml:space="preserve"> </w:t>
      </w:r>
      <w:r w:rsidR="0042752A">
        <w:rPr>
          <w:rFonts w:cs="Arial"/>
        </w:rPr>
        <w:t>stratified by year of birth</w:t>
      </w:r>
      <w:r w:rsidR="00B9357D">
        <w:rPr>
          <w:rFonts w:cs="Arial"/>
        </w:rPr>
        <w:t xml:space="preserve"> (1901-1960, 1961-1990</w:t>
      </w:r>
      <w:r w:rsidR="00FD76BD">
        <w:rPr>
          <w:rFonts w:cs="Arial"/>
        </w:rPr>
        <w:t xml:space="preserve"> </w:t>
      </w:r>
      <w:r w:rsidR="00A42715">
        <w:rPr>
          <w:rFonts w:cs="Arial"/>
        </w:rPr>
        <w:t xml:space="preserve">based on a historical shift in attitudes and policies about preschool </w:t>
      </w:r>
      <w:r w:rsidR="004071B6">
        <w:rPr>
          <w:rFonts w:cs="Arial"/>
        </w:rPr>
        <w:t xml:space="preserve">attendance </w:t>
      </w:r>
      <w:r w:rsidR="00A42715">
        <w:rPr>
          <w:rFonts w:cs="Arial"/>
        </w:rPr>
        <w:t>in the 1960s</w:t>
      </w:r>
      <w:r w:rsidR="001C69F2">
        <w:rPr>
          <w:rFonts w:cs="Arial"/>
        </w:rPr>
        <w:t xml:space="preserve"> </w:t>
      </w:r>
      <w:r w:rsidR="001C69F2">
        <w:rPr>
          <w:rFonts w:cs="Arial"/>
        </w:rPr>
        <w:fldChar w:fldCharType="begin" w:fldLock="1"/>
      </w:r>
      <w:r w:rsidR="00BB3BE7">
        <w:rPr>
          <w:rFonts w:cs="Arial"/>
        </w:rPr>
        <w:instrText>ADDIN CSL_CITATION {"citationItems":[{"id":"ITEM-1","itemData":{"DOI":"10.1080/19338244.2013.879564","ISSN":"1933-8244","abstract":"This paper was commissioned by the Education for All Global Monitoring Report as background information to assist in drafting the 2007 report. It has not been edited by the team. The views and opinions expressed in this paper are those of the author(s) and should not be attributed to the EFA Global Monitoring Report or to UNESCO.","author":[{"dropping-particle":"","family":"Kamerman","given":"Sheila B","non-dropping-particle":"","parse-names":false,"suffix":""}],"container-title":"Paper commissioned for the EFA Global Monitoring Report 2007, Strong foundations: early childhood care and education","id":"ITEM-1","issued":{"date-parts":[["2006"]]},"number-of-pages":"1-92","title":"A global history of early childhood education and care","type":"report"},"uris":["http://www.mendeley.com/documents/?uuid=f672aba9-a3da-4fcc-bcfc-f2ca2b627c2d"]}],"mendeley":{"formattedCitation":"[47]","plainTextFormattedCitation":"[47]","previouslyFormattedCitation":"[46]"},"properties":{"noteIndex":0},"schema":"https://github.com/citation-style-language/schema/raw/master/csl-citation.json"}</w:instrText>
      </w:r>
      <w:r w:rsidR="001C69F2">
        <w:rPr>
          <w:rFonts w:cs="Arial"/>
        </w:rPr>
        <w:fldChar w:fldCharType="separate"/>
      </w:r>
      <w:r w:rsidR="00BB3BE7" w:rsidRPr="00BB3BE7">
        <w:rPr>
          <w:rFonts w:cs="Arial"/>
          <w:noProof/>
        </w:rPr>
        <w:t>[47]</w:t>
      </w:r>
      <w:r w:rsidR="001C69F2">
        <w:rPr>
          <w:rFonts w:cs="Arial"/>
        </w:rPr>
        <w:fldChar w:fldCharType="end"/>
      </w:r>
      <w:r w:rsidR="00A42715">
        <w:rPr>
          <w:rFonts w:cs="Arial"/>
        </w:rPr>
        <w:t xml:space="preserve">) </w:t>
      </w:r>
      <w:r w:rsidR="00FD76BD">
        <w:rPr>
          <w:rFonts w:cs="Arial"/>
        </w:rPr>
        <w:t xml:space="preserve">and restricted to sites </w:t>
      </w:r>
      <w:r w:rsidR="0009601B">
        <w:rPr>
          <w:rFonts w:cs="Arial"/>
        </w:rPr>
        <w:t>with year of birth data for controls (</w:t>
      </w:r>
      <w:r w:rsidR="00AB2859">
        <w:rPr>
          <w:rFonts w:cs="Arial"/>
        </w:rPr>
        <w:t xml:space="preserve">Mayo Clinic; British </w:t>
      </w:r>
      <w:r w:rsidR="0009601B">
        <w:rPr>
          <w:rFonts w:cs="Arial"/>
        </w:rPr>
        <w:t>C</w:t>
      </w:r>
      <w:r w:rsidR="00AB2859">
        <w:rPr>
          <w:rFonts w:cs="Arial"/>
        </w:rPr>
        <w:t>olumbia, Canada;</w:t>
      </w:r>
      <w:r w:rsidR="0009601B">
        <w:rPr>
          <w:rFonts w:cs="Arial"/>
        </w:rPr>
        <w:t xml:space="preserve"> and all EpiLymph sites)</w:t>
      </w:r>
      <w:r w:rsidR="0042752A">
        <w:rPr>
          <w:rFonts w:cs="Arial"/>
        </w:rPr>
        <w:t xml:space="preserve">. All </w:t>
      </w:r>
      <w:r w:rsidR="00F336F2" w:rsidRPr="003D037E">
        <w:rPr>
          <w:rFonts w:cs="Arial"/>
        </w:rPr>
        <w:t>analys</w:t>
      </w:r>
      <w:r w:rsidR="00DE45CB">
        <w:rPr>
          <w:rFonts w:cs="Arial"/>
        </w:rPr>
        <w:t>e</w:t>
      </w:r>
      <w:r w:rsidR="00F336F2" w:rsidRPr="003D037E">
        <w:rPr>
          <w:rFonts w:cs="Arial"/>
        </w:rPr>
        <w:t xml:space="preserve">s </w:t>
      </w:r>
      <w:r w:rsidR="0042752A">
        <w:rPr>
          <w:rFonts w:cs="Arial"/>
        </w:rPr>
        <w:t xml:space="preserve">of risk factors for IM </w:t>
      </w:r>
      <w:r w:rsidR="00DE45CB" w:rsidRPr="003D037E">
        <w:rPr>
          <w:rFonts w:cs="Arial"/>
        </w:rPr>
        <w:t>w</w:t>
      </w:r>
      <w:r w:rsidR="00DE45CB">
        <w:rPr>
          <w:rFonts w:cs="Arial"/>
        </w:rPr>
        <w:t>ere</w:t>
      </w:r>
      <w:r w:rsidR="00DE45CB" w:rsidRPr="003D037E">
        <w:rPr>
          <w:rFonts w:cs="Arial"/>
        </w:rPr>
        <w:t xml:space="preserve"> </w:t>
      </w:r>
      <w:r w:rsidR="00F336F2" w:rsidRPr="003D037E">
        <w:rPr>
          <w:rFonts w:cs="Arial"/>
        </w:rPr>
        <w:t xml:space="preserve">restricted </w:t>
      </w:r>
      <w:r w:rsidR="00DE45CB">
        <w:rPr>
          <w:rFonts w:cs="Arial"/>
        </w:rPr>
        <w:t>to controls</w:t>
      </w:r>
      <w:r w:rsidR="00F320FC" w:rsidRPr="003D037E">
        <w:rPr>
          <w:rFonts w:cs="Arial"/>
        </w:rPr>
        <w:t xml:space="preserve">. </w:t>
      </w:r>
    </w:p>
    <w:p w14:paraId="267761B0" w14:textId="1AA86E9D" w:rsidR="002911F3" w:rsidRDefault="004F2C04" w:rsidP="00887B34">
      <w:pPr>
        <w:spacing w:line="480" w:lineRule="auto"/>
        <w:ind w:firstLine="720"/>
        <w:rPr>
          <w:rFonts w:cs="Arial"/>
        </w:rPr>
      </w:pPr>
      <w:r w:rsidRPr="003D037E">
        <w:rPr>
          <w:rFonts w:cs="Arial"/>
          <w:i/>
        </w:rPr>
        <w:t>Goodness of fit</w:t>
      </w:r>
      <w:r w:rsidR="00B53BDE">
        <w:rPr>
          <w:rFonts w:cs="Arial"/>
          <w:i/>
        </w:rPr>
        <w:t xml:space="preserve">, </w:t>
      </w:r>
      <w:r w:rsidRPr="003D037E">
        <w:rPr>
          <w:rFonts w:cs="Arial"/>
          <w:i/>
        </w:rPr>
        <w:t>sensitivity analysis</w:t>
      </w:r>
      <w:r w:rsidR="00B53BDE">
        <w:rPr>
          <w:rFonts w:cs="Arial"/>
          <w:i/>
        </w:rPr>
        <w:t>, and multiple comparisons</w:t>
      </w:r>
      <w:r w:rsidRPr="003D037E">
        <w:rPr>
          <w:rFonts w:cs="Arial"/>
          <w:i/>
        </w:rPr>
        <w:t>:</w:t>
      </w:r>
      <w:r w:rsidRPr="003D037E">
        <w:rPr>
          <w:rFonts w:cs="Arial"/>
        </w:rPr>
        <w:t xml:space="preserve"> </w:t>
      </w:r>
      <w:r w:rsidR="002D54DE" w:rsidRPr="003D037E">
        <w:rPr>
          <w:rFonts w:cs="Arial"/>
        </w:rPr>
        <w:t xml:space="preserve">All genetic data </w:t>
      </w:r>
      <w:r w:rsidR="00422E51" w:rsidRPr="003D037E">
        <w:rPr>
          <w:rFonts w:cs="Arial"/>
        </w:rPr>
        <w:t xml:space="preserve">were </w:t>
      </w:r>
      <w:r w:rsidR="002D54DE" w:rsidRPr="003D037E">
        <w:rPr>
          <w:rFonts w:cs="Arial"/>
        </w:rPr>
        <w:t xml:space="preserve">assessed for deviations from allele frequencies expected under Hardy-Weinberg </w:t>
      </w:r>
      <w:r w:rsidR="00613165">
        <w:rPr>
          <w:rFonts w:cs="Arial"/>
        </w:rPr>
        <w:t>e</w:t>
      </w:r>
      <w:r w:rsidR="002D54DE" w:rsidRPr="003D037E">
        <w:rPr>
          <w:rFonts w:cs="Arial"/>
        </w:rPr>
        <w:t>quilibrium</w:t>
      </w:r>
      <w:r w:rsidR="00370A18" w:rsidRPr="003D037E">
        <w:rPr>
          <w:rFonts w:cs="Arial"/>
        </w:rPr>
        <w:t xml:space="preserve"> among controls</w:t>
      </w:r>
      <w:r w:rsidR="000C7C8B">
        <w:rPr>
          <w:rFonts w:cs="Arial"/>
        </w:rPr>
        <w:t xml:space="preserve">, and </w:t>
      </w:r>
      <w:r w:rsidR="00730C41">
        <w:rPr>
          <w:rFonts w:cs="Arial"/>
        </w:rPr>
        <w:t xml:space="preserve">a </w:t>
      </w:r>
      <w:r w:rsidR="000C7C8B">
        <w:rPr>
          <w:rFonts w:cs="Arial"/>
        </w:rPr>
        <w:t xml:space="preserve">sensitivity analysis was conducted in which we excluded study centers from the analysis of </w:t>
      </w:r>
      <w:r w:rsidR="007A1C42">
        <w:rPr>
          <w:rFonts w:cs="Arial"/>
        </w:rPr>
        <w:t xml:space="preserve">the specific </w:t>
      </w:r>
      <w:r w:rsidR="00F6283E">
        <w:rPr>
          <w:rFonts w:cs="Arial"/>
        </w:rPr>
        <w:t xml:space="preserve">genetic variants </w:t>
      </w:r>
      <w:r w:rsidR="000C7C8B">
        <w:rPr>
          <w:rFonts w:cs="Arial"/>
        </w:rPr>
        <w:t xml:space="preserve">for which within-center allele frequencies were </w:t>
      </w:r>
      <w:r w:rsidR="00730C41">
        <w:rPr>
          <w:rFonts w:cs="Arial"/>
        </w:rPr>
        <w:t>in</w:t>
      </w:r>
      <w:r w:rsidR="000C7C8B">
        <w:rPr>
          <w:rFonts w:cs="Arial"/>
        </w:rPr>
        <w:t xml:space="preserve">consistent with Hardy-Weinberg equilibrium at p&lt;0.05. </w:t>
      </w:r>
      <w:r w:rsidR="005143A3" w:rsidRPr="003D037E">
        <w:rPr>
          <w:rFonts w:cs="Arial"/>
        </w:rPr>
        <w:t xml:space="preserve">Hosmer-Lemeshow goodness-of-fit tests were performed to assess </w:t>
      </w:r>
      <w:r w:rsidRPr="003D037E">
        <w:rPr>
          <w:rFonts w:cs="Arial"/>
        </w:rPr>
        <w:t>all</w:t>
      </w:r>
      <w:r w:rsidR="005143A3" w:rsidRPr="003D037E">
        <w:rPr>
          <w:rFonts w:cs="Arial"/>
        </w:rPr>
        <w:t xml:space="preserve"> logistic regression model</w:t>
      </w:r>
      <w:r w:rsidRPr="003D037E">
        <w:rPr>
          <w:rFonts w:cs="Arial"/>
        </w:rPr>
        <w:t>s</w:t>
      </w:r>
      <w:r w:rsidR="005E1638">
        <w:rPr>
          <w:rFonts w:cs="Arial"/>
        </w:rPr>
        <w:t xml:space="preserve"> </w:t>
      </w:r>
      <w:r w:rsidR="00D2057E">
        <w:rPr>
          <w:rFonts w:cs="Arial"/>
        </w:rPr>
        <w:fldChar w:fldCharType="begin" w:fldLock="1"/>
      </w:r>
      <w:r w:rsidR="00BB3BE7">
        <w:rPr>
          <w:rFonts w:cs="Arial"/>
        </w:rPr>
        <w:instrText>ADDIN CSL_CITATION {"citationItems":[{"id":"ITEM-1","itemData":{"abstract":"Several statistics have recently been proposed for the purpose of assessing the goodness of fit of an estimated logistic regression model. These statistics are reviewed and compared to other, less formal, procedures in the context of applications in epidemiologic research. One statistic is recommended for use and its computation is illustrated using data from a recent study of mortality of intensive care unit patients.","author":[{"dropping-particle":"","family":"Lemeshow","given":"Stanley","non-dropping-particle":"","parse-names":false,"suffix":""},{"dropping-particle":"","family":"Hosmer","given":"David W.","non-dropping-particle":"","parse-names":false,"suffix":""}],"container-title":"Am. J. Epidemiol.","id":"ITEM-1","issue":"1","issued":{"date-parts":[["1982","1","1"]]},"page":"92-106","title":"A review of goodness of fit statistics for use in the development of logistic regression models","type":"article-journal","volume":"115"},"uris":["http://www.mendeley.com/documents/?uuid=7cc3f173-e5fb-43a0-a86c-643f82bffe5a"]}],"mendeley":{"formattedCitation":"[48]","plainTextFormattedCitation":"[48]","previouslyFormattedCitation":"[47]"},"properties":{"noteIndex":0},"schema":"https://github.com/citation-style-language/schema/raw/master/csl-citation.json"}</w:instrText>
      </w:r>
      <w:r w:rsidR="00D2057E">
        <w:rPr>
          <w:rFonts w:cs="Arial"/>
        </w:rPr>
        <w:fldChar w:fldCharType="separate"/>
      </w:r>
      <w:r w:rsidR="00BB3BE7" w:rsidRPr="00BB3BE7">
        <w:rPr>
          <w:rFonts w:cs="Arial"/>
          <w:noProof/>
        </w:rPr>
        <w:t>[48]</w:t>
      </w:r>
      <w:r w:rsidR="00D2057E">
        <w:rPr>
          <w:rFonts w:cs="Arial"/>
        </w:rPr>
        <w:fldChar w:fldCharType="end"/>
      </w:r>
      <w:r w:rsidR="002911F3">
        <w:rPr>
          <w:rFonts w:cs="Arial"/>
        </w:rPr>
        <w:t>, and r</w:t>
      </w:r>
      <w:r w:rsidRPr="003D037E">
        <w:rPr>
          <w:rFonts w:cs="Arial"/>
        </w:rPr>
        <w:t xml:space="preserve">esidual analysis was </w:t>
      </w:r>
      <w:r w:rsidR="002E103E" w:rsidRPr="003D037E">
        <w:rPr>
          <w:rFonts w:cs="Arial"/>
        </w:rPr>
        <w:t xml:space="preserve">conducted to </w:t>
      </w:r>
      <w:r w:rsidR="003F052B" w:rsidRPr="003D037E">
        <w:rPr>
          <w:rFonts w:cs="Arial"/>
        </w:rPr>
        <w:t xml:space="preserve">ensure linear regression </w:t>
      </w:r>
      <w:r w:rsidR="003F052B" w:rsidRPr="003D037E">
        <w:rPr>
          <w:rFonts w:cs="Arial"/>
        </w:rPr>
        <w:lastRenderedPageBreak/>
        <w:t>models satisfie</w:t>
      </w:r>
      <w:r w:rsidR="002E103E" w:rsidRPr="003D037E">
        <w:rPr>
          <w:rFonts w:cs="Arial"/>
        </w:rPr>
        <w:t>d the appropriate assumptions</w:t>
      </w:r>
      <w:r w:rsidR="00B12F52">
        <w:rPr>
          <w:rFonts w:cs="Arial"/>
        </w:rPr>
        <w:t xml:space="preserve">. </w:t>
      </w:r>
      <w:r w:rsidR="00730C41">
        <w:rPr>
          <w:rFonts w:cs="Arial"/>
        </w:rPr>
        <w:t>Additional s</w:t>
      </w:r>
      <w:r w:rsidR="0019304B" w:rsidRPr="003D037E">
        <w:rPr>
          <w:rFonts w:cs="Arial"/>
        </w:rPr>
        <w:t>ensitivity analys</w:t>
      </w:r>
      <w:r w:rsidR="006F6F42">
        <w:rPr>
          <w:rFonts w:cs="Arial"/>
        </w:rPr>
        <w:t>e</w:t>
      </w:r>
      <w:r w:rsidR="0019304B" w:rsidRPr="003D037E">
        <w:rPr>
          <w:rFonts w:cs="Arial"/>
        </w:rPr>
        <w:t>s w</w:t>
      </w:r>
      <w:r w:rsidR="006F6F42">
        <w:rPr>
          <w:rFonts w:cs="Arial"/>
        </w:rPr>
        <w:t>ere</w:t>
      </w:r>
      <w:r w:rsidR="0019304B" w:rsidRPr="003D037E">
        <w:rPr>
          <w:rFonts w:cs="Arial"/>
        </w:rPr>
        <w:t xml:space="preserve"> </w:t>
      </w:r>
      <w:r w:rsidR="005143A3" w:rsidRPr="003D037E">
        <w:rPr>
          <w:rFonts w:cs="Arial"/>
        </w:rPr>
        <w:t xml:space="preserve">conducted </w:t>
      </w:r>
      <w:r w:rsidR="002F54F4">
        <w:rPr>
          <w:rFonts w:cs="Arial"/>
        </w:rPr>
        <w:t xml:space="preserve">excluding studies using clinic-based </w:t>
      </w:r>
      <w:r w:rsidR="005E1638">
        <w:rPr>
          <w:rFonts w:cs="Arial"/>
        </w:rPr>
        <w:t xml:space="preserve">control </w:t>
      </w:r>
      <w:r w:rsidR="002F54F4">
        <w:rPr>
          <w:rFonts w:cs="Arial"/>
        </w:rPr>
        <w:t>recruitment methods</w:t>
      </w:r>
      <w:r w:rsidR="005143A3" w:rsidRPr="003D037E">
        <w:rPr>
          <w:rFonts w:cs="Arial"/>
        </w:rPr>
        <w:t xml:space="preserve">. </w:t>
      </w:r>
    </w:p>
    <w:p w14:paraId="4CEB519D" w14:textId="77A3056A" w:rsidR="00C417FD" w:rsidRPr="003D037E" w:rsidRDefault="005143A3" w:rsidP="00887B34">
      <w:pPr>
        <w:spacing w:line="480" w:lineRule="auto"/>
        <w:ind w:firstLine="720"/>
        <w:rPr>
          <w:rFonts w:cs="Arial"/>
        </w:rPr>
      </w:pPr>
      <w:r w:rsidRPr="003D037E">
        <w:rPr>
          <w:rFonts w:cs="Arial"/>
        </w:rPr>
        <w:t>All statistical tests were two-sided</w:t>
      </w:r>
      <w:r w:rsidR="00B12F52">
        <w:rPr>
          <w:rFonts w:cs="Arial"/>
        </w:rPr>
        <w:t xml:space="preserve">. </w:t>
      </w:r>
      <w:r w:rsidR="007A78F6">
        <w:rPr>
          <w:rFonts w:cs="Arial"/>
        </w:rPr>
        <w:t>For genetic analyses, t</w:t>
      </w:r>
      <w:r w:rsidR="00321C9E">
        <w:rPr>
          <w:rFonts w:cs="Arial"/>
        </w:rPr>
        <w:t>he p</w:t>
      </w:r>
      <w:r w:rsidR="00321C9E" w:rsidRPr="001456E8">
        <w:rPr>
          <w:rFonts w:cs="Arial"/>
          <w:vertAlign w:val="subscript"/>
        </w:rPr>
        <w:t>ACT</w:t>
      </w:r>
      <w:r w:rsidR="00321C9E">
        <w:rPr>
          <w:rFonts w:cs="Arial"/>
        </w:rPr>
        <w:t xml:space="preserve"> </w:t>
      </w:r>
      <w:r w:rsidR="0047531B">
        <w:rPr>
          <w:rFonts w:cs="Arial"/>
        </w:rPr>
        <w:t xml:space="preserve">statistic </w:t>
      </w:r>
      <w:r w:rsidR="00321C9E">
        <w:rPr>
          <w:rFonts w:cs="Arial"/>
        </w:rPr>
        <w:t xml:space="preserve">was used to account for multiple comparisons and correlated tests from variants within the same region </w:t>
      </w:r>
      <w:r w:rsidR="00321C9E">
        <w:rPr>
          <w:rFonts w:cs="Arial"/>
        </w:rPr>
        <w:fldChar w:fldCharType="begin" w:fldLock="1"/>
      </w:r>
      <w:r w:rsidR="00BB3BE7">
        <w:rPr>
          <w:rFonts w:cs="Arial"/>
        </w:rPr>
        <w:instrText>ADDIN CSL_CITATION {"citationItems":[{"id":"ITEM-1","itemData":{"DOI":"10.1086/522036","ISSN":"0002-9297","abstract":"Contemporary genetic association studies may test hundreds of thousands of genetic variants for association, often with multiple binary and continuous traits or under more than one model of inheritance. Many of these association tests may be correlated with one another because of linkage disequilibrium between nearby markers and correlation between traits and models. Permutation tests and simulation-based methods are often employed to adjust groups of correlated tests for multiple testing, since conventional methods such as Bonferroni correction are overly conservative when tests are correlated. We present here a method of computing P values adjusted for correlated tests (PACT) that attains the accuracy of permutation or simulation-based tests in much less computation time, and we show that our method applies to many common association tests that are based on multiple traits, markers, and genetic models. Simulation demonstrates that PACT attains the power of permutation testing and provides a valid adjustment for hundreds of correlated association tests. In data analyzed as part of the Finland–United States Investigation of NIDDM Genetics (FUSION) study, we observe a near one-to-one relationship (r2&gt;.999) between PACT and the corresponding permutation-based P values, achieving the same precision as permutation testing but thousands of times faster.","author":[{"dropping-particle":"","family":"Conneely","given":"Karen N.","non-dropping-particle":"","parse-names":false,"suffix":""},{"dropping-particle":"","family":"Boehnke","given":"Michael","non-dropping-particle":"","parse-names":false,"suffix":""}],"container-title":"The American Journal of Human Genetics","id":"ITEM-1","issue":"6","issued":{"date-parts":[["2007","12","1"]]},"page":"1158-1168","publisher":"Cell Press","title":"So Many Correlated Tests, So Little Time! Rapid Adjustment of P Values for Multiple Correlated Tests","type":"article-journal","volume":"81"},"uris":["http://www.mendeley.com/documents/?uuid=2b12f3c1-5367-31c0-b571-f35ecd4c550f"]}],"mendeley":{"formattedCitation":"[49]","plainTextFormattedCitation":"[49]","previouslyFormattedCitation":"[48]"},"properties":{"noteIndex":0},"schema":"https://github.com/citation-style-language/schema/raw/master/csl-citation.json"}</w:instrText>
      </w:r>
      <w:r w:rsidR="00321C9E">
        <w:rPr>
          <w:rFonts w:cs="Arial"/>
        </w:rPr>
        <w:fldChar w:fldCharType="separate"/>
      </w:r>
      <w:r w:rsidR="00BB3BE7" w:rsidRPr="00BB3BE7">
        <w:rPr>
          <w:rFonts w:cs="Arial"/>
          <w:noProof/>
        </w:rPr>
        <w:t>[49]</w:t>
      </w:r>
      <w:r w:rsidR="00321C9E">
        <w:rPr>
          <w:rFonts w:cs="Arial"/>
        </w:rPr>
        <w:fldChar w:fldCharType="end"/>
      </w:r>
      <w:r w:rsidR="00321C9E">
        <w:rPr>
          <w:rFonts w:cs="Arial"/>
        </w:rPr>
        <w:t>.</w:t>
      </w:r>
      <w:r w:rsidR="00BA47A5">
        <w:rPr>
          <w:rFonts w:cs="Arial"/>
        </w:rPr>
        <w:t xml:space="preserve"> </w:t>
      </w:r>
      <w:r w:rsidR="007D2704">
        <w:rPr>
          <w:rFonts w:cs="Arial"/>
        </w:rPr>
        <w:t>For analyses of demographic and familial factors, a Bonferroni correction was used to account for multiple comparisons.</w:t>
      </w:r>
      <w:r w:rsidR="00321C9E">
        <w:rPr>
          <w:rFonts w:cs="Arial"/>
        </w:rPr>
        <w:t xml:space="preserve"> Un</w:t>
      </w:r>
      <w:r w:rsidR="001105D7">
        <w:rPr>
          <w:rFonts w:cs="Arial"/>
        </w:rPr>
        <w:t>corrected</w:t>
      </w:r>
      <w:r w:rsidR="00321C9E">
        <w:rPr>
          <w:rFonts w:cs="Arial"/>
        </w:rPr>
        <w:t xml:space="preserve"> p-values are reported in tables</w:t>
      </w:r>
      <w:r w:rsidR="001105D7">
        <w:rPr>
          <w:rFonts w:cs="Arial"/>
        </w:rPr>
        <w:t xml:space="preserve">. </w:t>
      </w:r>
      <w:r w:rsidR="001105D7" w:rsidRPr="001105D7">
        <w:rPr>
          <w:rFonts w:cs="Arial"/>
        </w:rPr>
        <w:t>F</w:t>
      </w:r>
      <w:r w:rsidR="0057360B" w:rsidRPr="001105D7">
        <w:rPr>
          <w:rFonts w:eastAsia="MS Mincho" w:cs="Arial"/>
        </w:rPr>
        <w:t xml:space="preserve">or those associations </w:t>
      </w:r>
      <w:r w:rsidR="001105D7" w:rsidRPr="001105D7">
        <w:rPr>
          <w:rFonts w:eastAsia="MS Mincho" w:cs="Arial"/>
        </w:rPr>
        <w:t>with</w:t>
      </w:r>
      <w:r w:rsidR="0057360B" w:rsidRPr="001105D7">
        <w:rPr>
          <w:rFonts w:eastAsia="MS Mincho" w:cs="Arial"/>
        </w:rPr>
        <w:t xml:space="preserve"> </w:t>
      </w:r>
      <w:r w:rsidR="001105D7" w:rsidRPr="001105D7">
        <w:rPr>
          <w:rFonts w:eastAsia="MS Mincho" w:cs="Arial"/>
        </w:rPr>
        <w:t>uncorrected p-values</w:t>
      </w:r>
      <w:r w:rsidR="00874EDC" w:rsidRPr="001105D7">
        <w:rPr>
          <w:rFonts w:eastAsia="MS Mincho" w:cs="Arial"/>
        </w:rPr>
        <w:t xml:space="preserve"> &lt;0.05, </w:t>
      </w:r>
      <w:r w:rsidR="001105D7" w:rsidRPr="001105D7">
        <w:rPr>
          <w:rFonts w:eastAsia="MS Mincho" w:cs="Arial"/>
        </w:rPr>
        <w:t xml:space="preserve">Bonferroni-corrected p-values </w:t>
      </w:r>
      <w:r w:rsidR="00EB285C">
        <w:rPr>
          <w:rFonts w:eastAsia="MS Mincho" w:cs="Arial"/>
        </w:rPr>
        <w:t>(p</w:t>
      </w:r>
      <w:r w:rsidR="00EB285C" w:rsidRPr="001456E8">
        <w:rPr>
          <w:rFonts w:eastAsia="MS Mincho" w:cs="Arial"/>
          <w:vertAlign w:val="subscript"/>
        </w:rPr>
        <w:t>Bon</w:t>
      </w:r>
      <w:r w:rsidR="00EB285C">
        <w:rPr>
          <w:rFonts w:eastAsia="MS Mincho" w:cs="Arial"/>
        </w:rPr>
        <w:t xml:space="preserve">) </w:t>
      </w:r>
      <w:r w:rsidR="001105D7" w:rsidRPr="001105D7">
        <w:rPr>
          <w:rFonts w:eastAsia="MS Mincho" w:cs="Arial"/>
        </w:rPr>
        <w:t>or p</w:t>
      </w:r>
      <w:r w:rsidR="001105D7" w:rsidRPr="001105D7">
        <w:rPr>
          <w:rFonts w:eastAsia="MS Mincho" w:cs="Arial"/>
          <w:vertAlign w:val="subscript"/>
        </w:rPr>
        <w:t>ACT</w:t>
      </w:r>
      <w:r w:rsidR="0057360B" w:rsidRPr="001105D7">
        <w:rPr>
          <w:rFonts w:eastAsia="MS Mincho" w:cs="Arial"/>
        </w:rPr>
        <w:t xml:space="preserve"> </w:t>
      </w:r>
      <w:r w:rsidR="001105D7" w:rsidRPr="001105D7">
        <w:rPr>
          <w:rFonts w:eastAsia="MS Mincho" w:cs="Arial"/>
        </w:rPr>
        <w:t xml:space="preserve">statistics </w:t>
      </w:r>
      <w:r w:rsidR="0057360B" w:rsidRPr="001105D7">
        <w:rPr>
          <w:rFonts w:eastAsia="MS Mincho" w:cs="Arial"/>
        </w:rPr>
        <w:t>are noted in the text</w:t>
      </w:r>
      <w:r w:rsidR="00321C9E" w:rsidRPr="001105D7">
        <w:rPr>
          <w:rFonts w:cs="Arial"/>
        </w:rPr>
        <w:t>.</w:t>
      </w:r>
      <w:r w:rsidR="00321C9E">
        <w:rPr>
          <w:rFonts w:cs="Arial"/>
        </w:rPr>
        <w:t xml:space="preserve"> </w:t>
      </w:r>
      <w:r w:rsidRPr="003D037E">
        <w:rPr>
          <w:rFonts w:cs="Arial"/>
        </w:rPr>
        <w:t>Statistical analysis was performed using Stata, version 1</w:t>
      </w:r>
      <w:r w:rsidR="009138A7">
        <w:rPr>
          <w:rFonts w:cs="Arial"/>
        </w:rPr>
        <w:t>3</w:t>
      </w:r>
      <w:r w:rsidR="001A0CAB">
        <w:rPr>
          <w:rFonts w:cs="Arial"/>
        </w:rPr>
        <w:t xml:space="preserve"> (</w:t>
      </w:r>
      <w:r w:rsidRPr="003D037E">
        <w:rPr>
          <w:rFonts w:cs="Arial"/>
        </w:rPr>
        <w:t>StataCorp, LP, College Station, TX).</w:t>
      </w:r>
    </w:p>
    <w:p w14:paraId="7AA6C21B" w14:textId="77777777" w:rsidR="00E05901" w:rsidRPr="003D037E" w:rsidRDefault="00E05901" w:rsidP="005B4846">
      <w:pPr>
        <w:spacing w:line="480" w:lineRule="auto"/>
        <w:rPr>
          <w:rFonts w:cs="Arial"/>
          <w:b/>
        </w:rPr>
      </w:pPr>
    </w:p>
    <w:p w14:paraId="6A719059" w14:textId="77777777" w:rsidR="003D051C" w:rsidRPr="003D051C" w:rsidRDefault="00BA60D0" w:rsidP="00043B50">
      <w:pPr>
        <w:pStyle w:val="Heading2"/>
      </w:pPr>
      <w:r>
        <w:t>Results</w:t>
      </w:r>
    </w:p>
    <w:p w14:paraId="21BBA0FE" w14:textId="77777777" w:rsidR="004C5C70" w:rsidRPr="003D037E" w:rsidRDefault="00C13F36" w:rsidP="00887B34">
      <w:pPr>
        <w:pStyle w:val="Heading3"/>
      </w:pPr>
      <w:r w:rsidRPr="003D037E">
        <w:t>Main NHL associations</w:t>
      </w:r>
    </w:p>
    <w:p w14:paraId="361BF103" w14:textId="55ABD414" w:rsidR="008D2BEF" w:rsidRDefault="00C8631E" w:rsidP="00ED16A5">
      <w:pPr>
        <w:spacing w:line="480" w:lineRule="auto"/>
        <w:ind w:firstLine="720"/>
        <w:rPr>
          <w:rFonts w:cs="Arial"/>
        </w:rPr>
      </w:pPr>
      <w:r w:rsidRPr="00696B26">
        <w:rPr>
          <w:rFonts w:eastAsia="MS Mincho" w:cs="Arial"/>
        </w:rPr>
        <w:t>7926</w:t>
      </w:r>
      <w:r w:rsidR="000565EF" w:rsidRPr="00346A51">
        <w:rPr>
          <w:rFonts w:eastAsia="MS Mincho" w:cs="Arial"/>
        </w:rPr>
        <w:t xml:space="preserve"> </w:t>
      </w:r>
      <w:r w:rsidR="00440833" w:rsidRPr="00346A51">
        <w:rPr>
          <w:rFonts w:cs="Arial"/>
        </w:rPr>
        <w:t>NHL</w:t>
      </w:r>
      <w:r w:rsidR="00E05901" w:rsidRPr="003D037E">
        <w:rPr>
          <w:rFonts w:cs="Arial"/>
        </w:rPr>
        <w:t xml:space="preserve"> </w:t>
      </w:r>
      <w:r w:rsidR="008A0E64">
        <w:rPr>
          <w:rFonts w:cs="Arial"/>
        </w:rPr>
        <w:t>patients</w:t>
      </w:r>
      <w:r w:rsidR="008A0E64" w:rsidRPr="003D037E">
        <w:rPr>
          <w:rFonts w:cs="Arial"/>
        </w:rPr>
        <w:t xml:space="preserve"> </w:t>
      </w:r>
      <w:r w:rsidR="00E05901" w:rsidRPr="003D037E">
        <w:rPr>
          <w:rFonts w:cs="Arial"/>
        </w:rPr>
        <w:t xml:space="preserve">and </w:t>
      </w:r>
      <w:r w:rsidR="00D22625">
        <w:rPr>
          <w:rFonts w:cs="Arial"/>
        </w:rPr>
        <w:t>10</w:t>
      </w:r>
      <w:r w:rsidR="005B4846">
        <w:rPr>
          <w:rFonts w:cs="Arial"/>
        </w:rPr>
        <w:t xml:space="preserve"> </w:t>
      </w:r>
      <w:r>
        <w:rPr>
          <w:rFonts w:eastAsia="MS Mincho" w:cs="Arial"/>
        </w:rPr>
        <w:t>018</w:t>
      </w:r>
      <w:r w:rsidR="000565EF">
        <w:rPr>
          <w:rFonts w:eastAsia="MS Mincho" w:cs="Arial"/>
        </w:rPr>
        <w:t xml:space="preserve"> </w:t>
      </w:r>
      <w:r w:rsidR="00E05901" w:rsidRPr="003D037E">
        <w:rPr>
          <w:rFonts w:cs="Arial"/>
        </w:rPr>
        <w:t xml:space="preserve">controls from </w:t>
      </w:r>
      <w:r w:rsidR="00A62D9A">
        <w:rPr>
          <w:rFonts w:cs="Arial"/>
        </w:rPr>
        <w:t>1</w:t>
      </w:r>
      <w:r>
        <w:rPr>
          <w:rFonts w:cs="Arial"/>
        </w:rPr>
        <w:t>2</w:t>
      </w:r>
      <w:r w:rsidR="00A62D9A" w:rsidRPr="003D037E">
        <w:rPr>
          <w:rFonts w:cs="Arial"/>
        </w:rPr>
        <w:t xml:space="preserve"> </w:t>
      </w:r>
      <w:r w:rsidR="00440833" w:rsidRPr="003D037E">
        <w:rPr>
          <w:rFonts w:cs="Arial"/>
        </w:rPr>
        <w:t>InterLymph studies met the inclusion criteria</w:t>
      </w:r>
      <w:r w:rsidR="00B12F52">
        <w:rPr>
          <w:rFonts w:cs="Arial"/>
        </w:rPr>
        <w:t xml:space="preserve">. </w:t>
      </w:r>
      <w:r w:rsidR="004C17EC" w:rsidRPr="003D037E">
        <w:rPr>
          <w:rFonts w:cs="Arial"/>
        </w:rPr>
        <w:t xml:space="preserve">The distribution of NHL </w:t>
      </w:r>
      <w:r w:rsidR="008A0E64">
        <w:rPr>
          <w:rFonts w:cs="Arial"/>
        </w:rPr>
        <w:t>patients</w:t>
      </w:r>
      <w:r w:rsidR="008A0E64" w:rsidRPr="003D037E">
        <w:rPr>
          <w:rFonts w:cs="Arial"/>
        </w:rPr>
        <w:t xml:space="preserve"> </w:t>
      </w:r>
      <w:r w:rsidR="004C17EC" w:rsidRPr="003D037E">
        <w:rPr>
          <w:rFonts w:cs="Arial"/>
        </w:rPr>
        <w:t xml:space="preserve">and </w:t>
      </w:r>
      <w:r w:rsidR="00D156FE">
        <w:rPr>
          <w:rFonts w:cs="Arial"/>
        </w:rPr>
        <w:t>controls</w:t>
      </w:r>
      <w:r w:rsidR="007E5C8D" w:rsidRPr="003D037E">
        <w:rPr>
          <w:rFonts w:cs="Arial"/>
        </w:rPr>
        <w:t xml:space="preserve"> </w:t>
      </w:r>
      <w:r w:rsidR="004C17EC" w:rsidRPr="003D037E">
        <w:rPr>
          <w:rFonts w:cs="Arial"/>
        </w:rPr>
        <w:t xml:space="preserve">by selected demographic and clinical characteristics </w:t>
      </w:r>
      <w:r w:rsidR="00006037">
        <w:rPr>
          <w:rFonts w:cs="Arial"/>
        </w:rPr>
        <w:t>is</w:t>
      </w:r>
      <w:r w:rsidR="00006037" w:rsidRPr="003D037E">
        <w:rPr>
          <w:rFonts w:cs="Arial"/>
        </w:rPr>
        <w:t xml:space="preserve"> </w:t>
      </w:r>
      <w:r w:rsidR="008C0A1E">
        <w:rPr>
          <w:rFonts w:cs="Arial"/>
        </w:rPr>
        <w:t>shown</w:t>
      </w:r>
      <w:r w:rsidR="008C0A1E" w:rsidRPr="003D037E">
        <w:rPr>
          <w:rFonts w:cs="Arial"/>
        </w:rPr>
        <w:t xml:space="preserve"> </w:t>
      </w:r>
      <w:r w:rsidR="004C17EC" w:rsidRPr="003D037E">
        <w:rPr>
          <w:rFonts w:cs="Arial"/>
        </w:rPr>
        <w:t xml:space="preserve">in </w:t>
      </w:r>
      <w:r w:rsidR="0078285A">
        <w:fldChar w:fldCharType="begin"/>
      </w:r>
      <w:r w:rsidR="0078285A">
        <w:rPr>
          <w:rFonts w:cs="Arial"/>
        </w:rPr>
        <w:instrText xml:space="preserve"> REF _Ref455771333 </w:instrText>
      </w:r>
      <w:r w:rsidR="0078285A">
        <w:fldChar w:fldCharType="separate"/>
      </w:r>
      <w:r w:rsidR="00B06E70">
        <w:t xml:space="preserve">Table </w:t>
      </w:r>
      <w:r w:rsidR="00B06E70">
        <w:rPr>
          <w:noProof/>
        </w:rPr>
        <w:t>1</w:t>
      </w:r>
      <w:r w:rsidR="0078285A">
        <w:fldChar w:fldCharType="end"/>
      </w:r>
      <w:r w:rsidR="00B12F52">
        <w:rPr>
          <w:rFonts w:cs="Arial"/>
        </w:rPr>
        <w:t xml:space="preserve">. </w:t>
      </w:r>
      <w:r w:rsidR="006D22DE">
        <w:rPr>
          <w:rFonts w:cs="Arial"/>
        </w:rPr>
        <w:t>The majority</w:t>
      </w:r>
      <w:r w:rsidR="001A0CAB">
        <w:rPr>
          <w:rFonts w:cs="Arial"/>
        </w:rPr>
        <w:t xml:space="preserve"> (</w:t>
      </w:r>
      <w:r w:rsidR="00CA3728">
        <w:rPr>
          <w:rFonts w:cs="Arial"/>
        </w:rPr>
        <w:t>8</w:t>
      </w:r>
      <w:r w:rsidR="00AB77BE">
        <w:rPr>
          <w:rFonts w:cs="Arial"/>
        </w:rPr>
        <w:t>3</w:t>
      </w:r>
      <w:r w:rsidR="007C7FBD" w:rsidRPr="003D037E">
        <w:rPr>
          <w:rFonts w:cs="Arial"/>
        </w:rPr>
        <w:t xml:space="preserve">%) of </w:t>
      </w:r>
      <w:r w:rsidR="00333FCA">
        <w:rPr>
          <w:rFonts w:cs="Arial"/>
        </w:rPr>
        <w:t>patient</w:t>
      </w:r>
      <w:r w:rsidR="008A0E64" w:rsidRPr="003D037E">
        <w:rPr>
          <w:rFonts w:cs="Arial"/>
        </w:rPr>
        <w:t xml:space="preserve">s </w:t>
      </w:r>
      <w:r w:rsidR="007C7FBD" w:rsidRPr="003D037E">
        <w:rPr>
          <w:rFonts w:cs="Arial"/>
        </w:rPr>
        <w:t>were diagnosed with mature B-cell lymphoma</w:t>
      </w:r>
      <w:r w:rsidR="001A0CAB">
        <w:rPr>
          <w:rFonts w:cs="Arial"/>
        </w:rPr>
        <w:t xml:space="preserve"> (</w:t>
      </w:r>
      <w:r w:rsidR="00670ACC">
        <w:rPr>
          <w:rFonts w:cs="Arial"/>
        </w:rPr>
        <w:fldChar w:fldCharType="begin"/>
      </w:r>
      <w:r w:rsidR="00670ACC">
        <w:rPr>
          <w:rFonts w:cs="Arial"/>
        </w:rPr>
        <w:instrText xml:space="preserve"> REF _Ref440144263 </w:instrText>
      </w:r>
      <w:r w:rsidR="00670ACC">
        <w:rPr>
          <w:rFonts w:cs="Arial"/>
        </w:rPr>
        <w:fldChar w:fldCharType="separate"/>
      </w:r>
      <w:r w:rsidR="00B06E70">
        <w:t xml:space="preserve">Table </w:t>
      </w:r>
      <w:r w:rsidR="00B06E70">
        <w:rPr>
          <w:noProof/>
        </w:rPr>
        <w:t>2</w:t>
      </w:r>
      <w:r w:rsidR="00670ACC">
        <w:rPr>
          <w:rFonts w:cs="Arial"/>
        </w:rPr>
        <w:fldChar w:fldCharType="end"/>
      </w:r>
      <w:r w:rsidR="008A6109" w:rsidRPr="003D037E">
        <w:rPr>
          <w:rFonts w:cs="Arial"/>
        </w:rPr>
        <w:t>)</w:t>
      </w:r>
      <w:r w:rsidR="00592DAE">
        <w:rPr>
          <w:rFonts w:cs="Arial"/>
        </w:rPr>
        <w:t xml:space="preserve">; </w:t>
      </w:r>
      <w:r w:rsidR="004760FD">
        <w:rPr>
          <w:rFonts w:cs="Arial"/>
        </w:rPr>
        <w:t xml:space="preserve">the remainder </w:t>
      </w:r>
      <w:r w:rsidR="00592DAE">
        <w:rPr>
          <w:rFonts w:cs="Arial"/>
        </w:rPr>
        <w:t xml:space="preserve">were </w:t>
      </w:r>
      <w:r w:rsidR="004760FD" w:rsidRPr="003D037E">
        <w:rPr>
          <w:rFonts w:cs="Arial"/>
        </w:rPr>
        <w:t>diagnose</w:t>
      </w:r>
      <w:r w:rsidR="004760FD">
        <w:rPr>
          <w:rFonts w:cs="Arial"/>
        </w:rPr>
        <w:t>d</w:t>
      </w:r>
      <w:r w:rsidR="004760FD" w:rsidRPr="003D037E">
        <w:rPr>
          <w:rFonts w:cs="Arial"/>
        </w:rPr>
        <w:t xml:space="preserve"> </w:t>
      </w:r>
      <w:r w:rsidR="004760FD">
        <w:rPr>
          <w:rFonts w:cs="Arial"/>
        </w:rPr>
        <w:t>with</w:t>
      </w:r>
      <w:r w:rsidR="004760FD" w:rsidRPr="003D037E">
        <w:rPr>
          <w:rFonts w:cs="Arial"/>
        </w:rPr>
        <w:t xml:space="preserve"> </w:t>
      </w:r>
      <w:r w:rsidR="007C7FBD" w:rsidRPr="003D037E">
        <w:rPr>
          <w:rFonts w:cs="Arial"/>
        </w:rPr>
        <w:t>mature T-cell</w:t>
      </w:r>
      <w:r w:rsidR="00E15412">
        <w:rPr>
          <w:rFonts w:cs="Arial"/>
        </w:rPr>
        <w:t xml:space="preserve">, </w:t>
      </w:r>
      <w:r w:rsidR="005B7653">
        <w:rPr>
          <w:rFonts w:cs="Arial"/>
        </w:rPr>
        <w:t>p</w:t>
      </w:r>
      <w:r w:rsidR="005B7653" w:rsidRPr="003D037E">
        <w:rPr>
          <w:rFonts w:cs="Arial"/>
        </w:rPr>
        <w:t>recursor</w:t>
      </w:r>
      <w:r w:rsidR="008A0E64">
        <w:rPr>
          <w:rFonts w:cs="Arial"/>
        </w:rPr>
        <w:t xml:space="preserve"> cell</w:t>
      </w:r>
      <w:r w:rsidR="00E15412">
        <w:rPr>
          <w:rFonts w:cs="Arial"/>
        </w:rPr>
        <w:t xml:space="preserve">, and </w:t>
      </w:r>
      <w:r w:rsidR="00BF479D">
        <w:rPr>
          <w:rFonts w:cs="Arial"/>
        </w:rPr>
        <w:t>not otherwise s</w:t>
      </w:r>
      <w:r w:rsidR="00BF479D" w:rsidRPr="00BF479D">
        <w:rPr>
          <w:rFonts w:cs="Arial"/>
        </w:rPr>
        <w:t>pecified</w:t>
      </w:r>
      <w:r w:rsidR="00BF479D">
        <w:rPr>
          <w:rFonts w:cs="Arial"/>
        </w:rPr>
        <w:t xml:space="preserve"> (</w:t>
      </w:r>
      <w:r w:rsidR="00E15412">
        <w:rPr>
          <w:rFonts w:cs="Arial"/>
        </w:rPr>
        <w:t>NOS</w:t>
      </w:r>
      <w:r w:rsidR="00BF479D">
        <w:rPr>
          <w:rFonts w:cs="Arial"/>
        </w:rPr>
        <w:t>)</w:t>
      </w:r>
      <w:r w:rsidR="00E15412">
        <w:rPr>
          <w:rFonts w:cs="Arial"/>
        </w:rPr>
        <w:t xml:space="preserve"> </w:t>
      </w:r>
      <w:r w:rsidR="007C7FBD" w:rsidRPr="003D037E">
        <w:rPr>
          <w:rFonts w:cs="Arial"/>
        </w:rPr>
        <w:t>lymphomas</w:t>
      </w:r>
      <w:r w:rsidR="00F62E99" w:rsidRPr="003D037E">
        <w:rPr>
          <w:rFonts w:cs="Arial"/>
        </w:rPr>
        <w:t>.</w:t>
      </w:r>
      <w:r w:rsidR="008D2BEF">
        <w:rPr>
          <w:rFonts w:cs="Arial"/>
        </w:rPr>
        <w:t xml:space="preserve"> </w:t>
      </w:r>
    </w:p>
    <w:p w14:paraId="68F9D787" w14:textId="3B9A2837" w:rsidR="00752E6A" w:rsidRPr="001B7318" w:rsidRDefault="00752E6A" w:rsidP="00696B26">
      <w:pPr>
        <w:pStyle w:val="Heading3"/>
        <w:ind w:firstLine="720"/>
        <w:rPr>
          <w:b w:val="0"/>
          <w:i w:val="0"/>
        </w:rPr>
      </w:pPr>
      <w:r w:rsidRPr="001B7318">
        <w:rPr>
          <w:b w:val="0"/>
          <w:i w:val="0"/>
        </w:rPr>
        <w:t>Analysis with SNAP indicated candidate risk</w:t>
      </w:r>
      <w:r w:rsidRPr="003F33CE">
        <w:rPr>
          <w:b w:val="0"/>
        </w:rPr>
        <w:t xml:space="preserve"> </w:t>
      </w:r>
      <w:r w:rsidRPr="001B7318">
        <w:rPr>
          <w:b w:val="0"/>
          <w:i w:val="0"/>
        </w:rPr>
        <w:t xml:space="preserve">variants in </w:t>
      </w:r>
      <w:r w:rsidRPr="001B7318">
        <w:rPr>
          <w:b w:val="0"/>
        </w:rPr>
        <w:t>IL1B</w:t>
      </w:r>
      <w:r w:rsidR="000D2AFB">
        <w:rPr>
          <w:b w:val="0"/>
        </w:rPr>
        <w:t xml:space="preserve"> </w:t>
      </w:r>
      <w:r w:rsidR="000D2AFB" w:rsidRPr="001B7318">
        <w:rPr>
          <w:b w:val="0"/>
          <w:i w:val="0"/>
        </w:rPr>
        <w:t>(r</w:t>
      </w:r>
      <w:r w:rsidR="000D2AFB" w:rsidRPr="001B7318">
        <w:rPr>
          <w:b w:val="0"/>
          <w:i w:val="0"/>
          <w:vertAlign w:val="superscript"/>
        </w:rPr>
        <w:t>2</w:t>
      </w:r>
      <w:r w:rsidR="000D2AFB" w:rsidRPr="001B7318">
        <w:rPr>
          <w:b w:val="0"/>
          <w:vertAlign w:val="subscript"/>
        </w:rPr>
        <w:t>IL1B</w:t>
      </w:r>
      <w:r w:rsidR="000D2AFB" w:rsidRPr="001B7318">
        <w:rPr>
          <w:b w:val="0"/>
          <w:i w:val="0"/>
          <w:vertAlign w:val="subscript"/>
        </w:rPr>
        <w:t>: rs16944, rs1143627</w:t>
      </w:r>
      <w:r w:rsidR="000D2AFB">
        <w:rPr>
          <w:b w:val="0"/>
          <w:i w:val="0"/>
        </w:rPr>
        <w:t xml:space="preserve"> = 0.96)</w:t>
      </w:r>
      <w:r w:rsidRPr="003F33CE">
        <w:rPr>
          <w:b w:val="0"/>
        </w:rPr>
        <w:t xml:space="preserve"> </w:t>
      </w:r>
      <w:r w:rsidRPr="001B7318">
        <w:rPr>
          <w:b w:val="0"/>
          <w:i w:val="0"/>
        </w:rPr>
        <w:t>and in</w:t>
      </w:r>
      <w:r w:rsidRPr="003F33CE">
        <w:rPr>
          <w:b w:val="0"/>
        </w:rPr>
        <w:t xml:space="preserve"> </w:t>
      </w:r>
      <w:r w:rsidRPr="00043B50">
        <w:rPr>
          <w:b w:val="0"/>
        </w:rPr>
        <w:t>IL6</w:t>
      </w:r>
      <w:r w:rsidRPr="003F33CE">
        <w:rPr>
          <w:b w:val="0"/>
        </w:rPr>
        <w:t xml:space="preserve"> </w:t>
      </w:r>
      <w:r w:rsidRPr="001B7318">
        <w:rPr>
          <w:b w:val="0"/>
          <w:i w:val="0"/>
        </w:rPr>
        <w:t xml:space="preserve"> </w:t>
      </w:r>
      <w:r w:rsidR="000D2AFB">
        <w:rPr>
          <w:b w:val="0"/>
          <w:i w:val="0"/>
        </w:rPr>
        <w:t>(</w:t>
      </w:r>
      <w:r w:rsidRPr="001B7318">
        <w:rPr>
          <w:b w:val="0"/>
          <w:i w:val="0"/>
        </w:rPr>
        <w:t>r</w:t>
      </w:r>
      <w:r w:rsidRPr="001B7318">
        <w:rPr>
          <w:b w:val="0"/>
          <w:i w:val="0"/>
          <w:vertAlign w:val="superscript"/>
        </w:rPr>
        <w:t>2</w:t>
      </w:r>
      <w:r w:rsidRPr="001B7318">
        <w:rPr>
          <w:b w:val="0"/>
          <w:vertAlign w:val="subscript"/>
        </w:rPr>
        <w:t>IL6</w:t>
      </w:r>
      <w:r w:rsidRPr="001B7318">
        <w:rPr>
          <w:b w:val="0"/>
          <w:i w:val="0"/>
          <w:vertAlign w:val="subscript"/>
        </w:rPr>
        <w:t>: rs1800795, rs1800797</w:t>
      </w:r>
      <w:r w:rsidRPr="001B7318">
        <w:rPr>
          <w:b w:val="0"/>
          <w:i w:val="0"/>
        </w:rPr>
        <w:t xml:space="preserve"> = 0.97)</w:t>
      </w:r>
      <w:r w:rsidR="000D2AFB" w:rsidRPr="000D2AFB">
        <w:rPr>
          <w:b w:val="0"/>
          <w:i w:val="0"/>
        </w:rPr>
        <w:t xml:space="preserve"> </w:t>
      </w:r>
      <w:r w:rsidR="000D2AFB" w:rsidRPr="001B7318">
        <w:rPr>
          <w:b w:val="0"/>
          <w:i w:val="0"/>
        </w:rPr>
        <w:t xml:space="preserve">were </w:t>
      </w:r>
      <w:r w:rsidR="000D2AFB">
        <w:rPr>
          <w:b w:val="0"/>
          <w:i w:val="0"/>
        </w:rPr>
        <w:t>in</w:t>
      </w:r>
      <w:r w:rsidR="000D2AFB" w:rsidRPr="001B7318">
        <w:rPr>
          <w:b w:val="0"/>
          <w:i w:val="0"/>
        </w:rPr>
        <w:t xml:space="preserve"> high</w:t>
      </w:r>
      <w:r w:rsidR="000D2AFB">
        <w:rPr>
          <w:b w:val="0"/>
          <w:i w:val="0"/>
        </w:rPr>
        <w:t xml:space="preserve"> LD</w:t>
      </w:r>
      <w:r w:rsidRPr="001B7318">
        <w:rPr>
          <w:b w:val="0"/>
          <w:i w:val="0"/>
        </w:rPr>
        <w:t>, and candidate variants in</w:t>
      </w:r>
      <w:r w:rsidRPr="003F33CE">
        <w:rPr>
          <w:b w:val="0"/>
        </w:rPr>
        <w:t xml:space="preserve"> </w:t>
      </w:r>
      <w:r w:rsidRPr="001B7318">
        <w:rPr>
          <w:b w:val="0"/>
        </w:rPr>
        <w:t>IL10</w:t>
      </w:r>
      <w:r w:rsidRPr="003F33CE">
        <w:rPr>
          <w:b w:val="0"/>
        </w:rPr>
        <w:t xml:space="preserve"> </w:t>
      </w:r>
      <w:r w:rsidRPr="001B7318">
        <w:rPr>
          <w:b w:val="0"/>
          <w:i w:val="0"/>
        </w:rPr>
        <w:t xml:space="preserve">were </w:t>
      </w:r>
      <w:r w:rsidR="00AF6D03">
        <w:rPr>
          <w:b w:val="0"/>
          <w:i w:val="0"/>
        </w:rPr>
        <w:t>in</w:t>
      </w:r>
      <w:r w:rsidRPr="001B7318">
        <w:rPr>
          <w:b w:val="0"/>
          <w:i w:val="0"/>
        </w:rPr>
        <w:t xml:space="preserve"> moderate</w:t>
      </w:r>
      <w:r w:rsidR="00AF6D03">
        <w:rPr>
          <w:b w:val="0"/>
          <w:i w:val="0"/>
        </w:rPr>
        <w:t xml:space="preserve"> LD</w:t>
      </w:r>
      <w:r w:rsidRPr="001B7318">
        <w:rPr>
          <w:b w:val="0"/>
          <w:i w:val="0"/>
        </w:rPr>
        <w:t xml:space="preserve"> (r</w:t>
      </w:r>
      <w:r w:rsidRPr="001B7318">
        <w:rPr>
          <w:b w:val="0"/>
          <w:i w:val="0"/>
          <w:vertAlign w:val="superscript"/>
        </w:rPr>
        <w:t>2</w:t>
      </w:r>
      <w:r w:rsidRPr="001B7318">
        <w:rPr>
          <w:b w:val="0"/>
          <w:vertAlign w:val="subscript"/>
        </w:rPr>
        <w:t>IL10</w:t>
      </w:r>
      <w:r w:rsidRPr="001B7318">
        <w:rPr>
          <w:b w:val="0"/>
          <w:i w:val="0"/>
          <w:vertAlign w:val="subscript"/>
        </w:rPr>
        <w:t>: rs1800890, rs1800896</w:t>
      </w:r>
      <w:r w:rsidRPr="001B7318">
        <w:rPr>
          <w:b w:val="0"/>
          <w:i w:val="0"/>
        </w:rPr>
        <w:t xml:space="preserve"> = 0.66).  </w:t>
      </w:r>
    </w:p>
    <w:p w14:paraId="53CE5545" w14:textId="40777C9B" w:rsidR="00D87C72" w:rsidRPr="003D037E" w:rsidRDefault="00336615" w:rsidP="001105D7">
      <w:pPr>
        <w:spacing w:line="480" w:lineRule="auto"/>
        <w:ind w:firstLine="720"/>
        <w:rPr>
          <w:rFonts w:cs="Arial"/>
        </w:rPr>
      </w:pPr>
      <w:r>
        <w:rPr>
          <w:rFonts w:cs="Arial"/>
        </w:rPr>
        <w:t>A</w:t>
      </w:r>
      <w:r w:rsidR="008C0A1E" w:rsidRPr="00A15FC8">
        <w:rPr>
          <w:rFonts w:cs="Arial"/>
        </w:rPr>
        <w:t>fter adjustment for multiple comparisons</w:t>
      </w:r>
      <w:r>
        <w:rPr>
          <w:rFonts w:cs="Arial"/>
        </w:rPr>
        <w:t>, we observed strong m</w:t>
      </w:r>
      <w:r w:rsidRPr="00A15FC8">
        <w:rPr>
          <w:rFonts w:cs="Arial"/>
        </w:rPr>
        <w:t>ain effect</w:t>
      </w:r>
      <w:r w:rsidR="00195021">
        <w:rPr>
          <w:rFonts w:cs="Arial"/>
        </w:rPr>
        <w:t>s for</w:t>
      </w:r>
      <w:r w:rsidRPr="00A15FC8">
        <w:rPr>
          <w:rFonts w:cs="Arial"/>
        </w:rPr>
        <w:t xml:space="preserve"> associations between </w:t>
      </w:r>
      <w:r w:rsidRPr="00043B50">
        <w:rPr>
          <w:rFonts w:cs="Arial"/>
          <w:i/>
        </w:rPr>
        <w:t>HLA</w:t>
      </w:r>
      <w:r w:rsidRPr="00A15FC8">
        <w:rPr>
          <w:rFonts w:cs="Arial"/>
        </w:rPr>
        <w:t xml:space="preserve"> variants and NHL</w:t>
      </w:r>
      <w:r w:rsidR="00142AAD">
        <w:rPr>
          <w:rFonts w:cs="Arial"/>
        </w:rPr>
        <w:t xml:space="preserve"> (p</w:t>
      </w:r>
      <w:r w:rsidR="00142AAD">
        <w:rPr>
          <w:rFonts w:cs="Arial"/>
          <w:vertAlign w:val="subscript"/>
        </w:rPr>
        <w:t>ACT</w:t>
      </w:r>
      <w:r w:rsidR="00142AAD">
        <w:rPr>
          <w:rFonts w:cs="Arial"/>
        </w:rPr>
        <w:t>&lt;0.001 and p</w:t>
      </w:r>
      <w:r w:rsidR="00142AAD">
        <w:rPr>
          <w:rFonts w:cs="Arial"/>
          <w:vertAlign w:val="subscript"/>
        </w:rPr>
        <w:t>ACT</w:t>
      </w:r>
      <w:r w:rsidR="00142AAD">
        <w:rPr>
          <w:rFonts w:cs="Arial"/>
        </w:rPr>
        <w:t xml:space="preserve">=0.004), an </w:t>
      </w:r>
      <w:r w:rsidR="00142AAD" w:rsidRPr="00043B50">
        <w:rPr>
          <w:rFonts w:cs="Arial"/>
          <w:i/>
        </w:rPr>
        <w:t>IL1RN</w:t>
      </w:r>
      <w:r w:rsidR="00981F44">
        <w:rPr>
          <w:rFonts w:cs="Arial"/>
        </w:rPr>
        <w:t xml:space="preserve"> variant and NHL (p</w:t>
      </w:r>
      <w:r w:rsidR="00981F44">
        <w:rPr>
          <w:rFonts w:cs="Arial"/>
          <w:vertAlign w:val="subscript"/>
        </w:rPr>
        <w:t>ACT</w:t>
      </w:r>
      <w:r w:rsidR="00981F44">
        <w:rPr>
          <w:rFonts w:cs="Arial"/>
        </w:rPr>
        <w:t>=0.04),</w:t>
      </w:r>
      <w:r w:rsidRPr="00A15FC8">
        <w:rPr>
          <w:rFonts w:cs="Arial"/>
        </w:rPr>
        <w:t xml:space="preserve"> IM and </w:t>
      </w:r>
      <w:r w:rsidR="00981F44">
        <w:rPr>
          <w:rFonts w:cs="Arial"/>
        </w:rPr>
        <w:t>CLL/SLL (p</w:t>
      </w:r>
      <w:r w:rsidR="00981F44">
        <w:rPr>
          <w:rFonts w:cs="Arial"/>
          <w:vertAlign w:val="subscript"/>
        </w:rPr>
        <w:t>Bon</w:t>
      </w:r>
      <w:r w:rsidR="00981F44">
        <w:rPr>
          <w:rFonts w:cs="Arial"/>
        </w:rPr>
        <w:t xml:space="preserve">=0.04), and IM and </w:t>
      </w:r>
      <w:r w:rsidRPr="00A15FC8">
        <w:rPr>
          <w:rFonts w:cs="Arial"/>
        </w:rPr>
        <w:t>MCL</w:t>
      </w:r>
      <w:r>
        <w:rPr>
          <w:rFonts w:cs="Arial"/>
        </w:rPr>
        <w:t xml:space="preserve"> </w:t>
      </w:r>
      <w:r w:rsidR="00A354D9">
        <w:rPr>
          <w:rFonts w:cs="Arial"/>
        </w:rPr>
        <w:t>(p</w:t>
      </w:r>
      <w:r w:rsidR="00A354D9">
        <w:rPr>
          <w:rFonts w:cs="Arial"/>
          <w:vertAlign w:val="subscript"/>
        </w:rPr>
        <w:t>Bon</w:t>
      </w:r>
      <w:r w:rsidR="00981F44">
        <w:rPr>
          <w:rFonts w:cs="Arial"/>
        </w:rPr>
        <w:t>=</w:t>
      </w:r>
      <w:r w:rsidR="00A354D9">
        <w:rPr>
          <w:rFonts w:cs="Arial"/>
        </w:rPr>
        <w:t>0.0</w:t>
      </w:r>
      <w:r w:rsidR="00981F44">
        <w:rPr>
          <w:rFonts w:cs="Arial"/>
        </w:rPr>
        <w:t>1</w:t>
      </w:r>
      <w:r w:rsidR="00841685">
        <w:rPr>
          <w:rFonts w:cs="Arial"/>
        </w:rPr>
        <w:t>)</w:t>
      </w:r>
      <w:r w:rsidR="00FD724C">
        <w:rPr>
          <w:rFonts w:cs="Arial"/>
        </w:rPr>
        <w:t xml:space="preserve"> (</w:t>
      </w:r>
      <w:r w:rsidR="00FD724C">
        <w:rPr>
          <w:rFonts w:cs="Arial"/>
        </w:rPr>
        <w:fldChar w:fldCharType="begin"/>
      </w:r>
      <w:r w:rsidR="00FD724C">
        <w:rPr>
          <w:rFonts w:cs="Arial"/>
        </w:rPr>
        <w:instrText xml:space="preserve"> REF _Ref440146271 </w:instrText>
      </w:r>
      <w:r w:rsidR="00FD724C">
        <w:rPr>
          <w:rFonts w:cs="Arial"/>
        </w:rPr>
        <w:fldChar w:fldCharType="separate"/>
      </w:r>
      <w:r w:rsidR="00FD724C">
        <w:t xml:space="preserve">Supplemental Table </w:t>
      </w:r>
      <w:r w:rsidR="00FD724C">
        <w:rPr>
          <w:noProof/>
        </w:rPr>
        <w:t>2</w:t>
      </w:r>
      <w:r w:rsidR="00FD724C">
        <w:rPr>
          <w:rFonts w:cs="Arial"/>
        </w:rPr>
        <w:fldChar w:fldCharType="end"/>
      </w:r>
      <w:r w:rsidR="00FD724C">
        <w:rPr>
          <w:rFonts w:cs="Arial"/>
        </w:rPr>
        <w:t>)</w:t>
      </w:r>
      <w:r w:rsidR="008C0A1E" w:rsidRPr="00A15FC8">
        <w:rPr>
          <w:rFonts w:cs="Arial"/>
        </w:rPr>
        <w:t xml:space="preserve">.  </w:t>
      </w:r>
      <w:r w:rsidR="00FD724C" w:rsidRPr="001105D7">
        <w:rPr>
          <w:rFonts w:cs="Arial"/>
        </w:rPr>
        <w:t>A history of IM was associated with all NHL combined</w:t>
      </w:r>
      <w:r w:rsidR="00FD724C" w:rsidRPr="001105D7">
        <w:t xml:space="preserve">, </w:t>
      </w:r>
      <w:r w:rsidR="00FD724C" w:rsidRPr="001105D7">
        <w:lastRenderedPageBreak/>
        <w:t>CLL/SLL, and MCL</w:t>
      </w:r>
      <w:r w:rsidR="00FD724C">
        <w:rPr>
          <w:rFonts w:cs="Arial"/>
        </w:rPr>
        <w:t xml:space="preserve"> </w:t>
      </w:r>
      <w:r w:rsidR="00FD724C" w:rsidRPr="001105D7">
        <w:t>(</w:t>
      </w:r>
      <w:r w:rsidR="00FD724C" w:rsidRPr="001105D7">
        <w:fldChar w:fldCharType="begin"/>
      </w:r>
      <w:r w:rsidR="00FD724C" w:rsidRPr="001105D7">
        <w:instrText xml:space="preserve"> REF _Ref440146549 </w:instrText>
      </w:r>
      <w:r w:rsidR="00FD724C">
        <w:rPr>
          <w:highlight w:val="yellow"/>
        </w:rPr>
        <w:instrText xml:space="preserve"> \* MERGEFORMAT </w:instrText>
      </w:r>
      <w:r w:rsidR="00FD724C" w:rsidRPr="001105D7">
        <w:rPr>
          <w:noProof/>
        </w:rPr>
        <w:fldChar w:fldCharType="separate"/>
      </w:r>
      <w:r w:rsidR="00FD724C" w:rsidRPr="001105D7">
        <w:t xml:space="preserve">Supplemental Table </w:t>
      </w:r>
      <w:r w:rsidR="00FD724C" w:rsidRPr="001105D7">
        <w:rPr>
          <w:noProof/>
        </w:rPr>
        <w:t>3</w:t>
      </w:r>
      <w:r w:rsidR="00FD724C" w:rsidRPr="001105D7">
        <w:rPr>
          <w:noProof/>
        </w:rPr>
        <w:fldChar w:fldCharType="end"/>
      </w:r>
      <w:r w:rsidR="00FD724C" w:rsidRPr="001105D7">
        <w:rPr>
          <w:noProof/>
        </w:rPr>
        <w:t>)</w:t>
      </w:r>
      <w:r w:rsidR="00FD724C" w:rsidRPr="001105D7">
        <w:rPr>
          <w:rFonts w:cs="Arial"/>
        </w:rPr>
        <w:t>.</w:t>
      </w:r>
      <w:r w:rsidR="00FD724C">
        <w:t xml:space="preserve"> </w:t>
      </w:r>
      <w:r w:rsidR="00C470F0" w:rsidRPr="00A15FC8">
        <w:rPr>
          <w:rFonts w:cs="Arial"/>
        </w:rPr>
        <w:t>The</w:t>
      </w:r>
      <w:r w:rsidR="00D87C72" w:rsidRPr="00A15FC8">
        <w:rPr>
          <w:rFonts w:cs="Arial"/>
        </w:rPr>
        <w:t xml:space="preserve"> </w:t>
      </w:r>
      <w:r w:rsidR="00C6765A" w:rsidRPr="00A15FC8">
        <w:rPr>
          <w:rFonts w:cs="Arial"/>
        </w:rPr>
        <w:t xml:space="preserve">direction of the </w:t>
      </w:r>
      <w:r w:rsidR="00E27045" w:rsidRPr="00A15FC8">
        <w:rPr>
          <w:rFonts w:cs="Arial"/>
        </w:rPr>
        <w:t>association</w:t>
      </w:r>
      <w:r w:rsidR="008C0A1E" w:rsidRPr="00A15FC8">
        <w:rPr>
          <w:rFonts w:cs="Arial"/>
        </w:rPr>
        <w:t xml:space="preserve"> between IM and NHL ris</w:t>
      </w:r>
      <w:r w:rsidR="008C0A1E" w:rsidRPr="001105D7">
        <w:rPr>
          <w:rFonts w:cs="Arial"/>
        </w:rPr>
        <w:t>k was</w:t>
      </w:r>
      <w:r w:rsidR="00C6765A" w:rsidRPr="001105D7">
        <w:rPr>
          <w:rFonts w:cs="Arial"/>
        </w:rPr>
        <w:t xml:space="preserve"> consistent </w:t>
      </w:r>
      <w:r w:rsidR="00D816FD" w:rsidRPr="001105D7">
        <w:rPr>
          <w:rFonts w:cs="Arial"/>
        </w:rPr>
        <w:t xml:space="preserve">when restricted to </w:t>
      </w:r>
      <w:r w:rsidR="00D87C72" w:rsidRPr="001105D7">
        <w:rPr>
          <w:rFonts w:cs="Arial"/>
        </w:rPr>
        <w:t>population-based studies</w:t>
      </w:r>
      <w:r w:rsidR="007C239B" w:rsidRPr="001105D7">
        <w:rPr>
          <w:rFonts w:cs="Arial"/>
        </w:rPr>
        <w:t xml:space="preserve"> (not shown in table</w:t>
      </w:r>
      <w:r w:rsidR="005C23F1">
        <w:rPr>
          <w:rFonts w:cs="Arial"/>
        </w:rPr>
        <w:t>s</w:t>
      </w:r>
      <w:r w:rsidR="007C239B" w:rsidRPr="001105D7">
        <w:rPr>
          <w:rFonts w:cs="Arial"/>
        </w:rPr>
        <w:t>)</w:t>
      </w:r>
      <w:r w:rsidR="007E3A95" w:rsidRPr="001105D7">
        <w:rPr>
          <w:rFonts w:cs="Arial"/>
        </w:rPr>
        <w:t>.</w:t>
      </w:r>
      <w:r w:rsidR="007E3A95">
        <w:rPr>
          <w:rFonts w:cs="Arial"/>
        </w:rPr>
        <w:t xml:space="preserve"> </w:t>
      </w:r>
      <w:r w:rsidR="00754C0F">
        <w:rPr>
          <w:rFonts w:cs="Arial"/>
        </w:rPr>
        <w:t>Th</w:t>
      </w:r>
      <w:r w:rsidR="00C6765A">
        <w:rPr>
          <w:rFonts w:cs="Arial"/>
        </w:rPr>
        <w:t>us</w:t>
      </w:r>
      <w:r w:rsidR="005B7653">
        <w:rPr>
          <w:rFonts w:cs="Arial"/>
        </w:rPr>
        <w:t>,</w:t>
      </w:r>
      <w:r w:rsidR="00C6765A">
        <w:rPr>
          <w:rFonts w:cs="Arial"/>
        </w:rPr>
        <w:t xml:space="preserve"> the main </w:t>
      </w:r>
      <w:r w:rsidR="008C0A1E">
        <w:rPr>
          <w:rFonts w:cs="Arial"/>
        </w:rPr>
        <w:t>effect</w:t>
      </w:r>
      <w:r w:rsidR="00195021">
        <w:rPr>
          <w:rFonts w:cs="Arial"/>
        </w:rPr>
        <w:t>s of</w:t>
      </w:r>
      <w:r w:rsidR="008C0A1E">
        <w:rPr>
          <w:rFonts w:cs="Arial"/>
        </w:rPr>
        <w:t xml:space="preserve"> </w:t>
      </w:r>
      <w:r w:rsidR="00C6765A">
        <w:rPr>
          <w:rFonts w:cs="Arial"/>
        </w:rPr>
        <w:t xml:space="preserve">genotype and IM </w:t>
      </w:r>
      <w:r w:rsidR="00195021">
        <w:rPr>
          <w:rFonts w:cs="Arial"/>
        </w:rPr>
        <w:t>for</w:t>
      </w:r>
      <w:r w:rsidR="00C6765A">
        <w:rPr>
          <w:rFonts w:cs="Arial"/>
        </w:rPr>
        <w:t xml:space="preserve"> </w:t>
      </w:r>
      <w:r w:rsidR="00754C0F">
        <w:rPr>
          <w:rFonts w:cs="Arial"/>
        </w:rPr>
        <w:t>association</w:t>
      </w:r>
      <w:r w:rsidR="00195021">
        <w:rPr>
          <w:rFonts w:cs="Arial"/>
        </w:rPr>
        <w:t>s</w:t>
      </w:r>
      <w:r w:rsidR="00754C0F">
        <w:rPr>
          <w:rFonts w:cs="Arial"/>
        </w:rPr>
        <w:t xml:space="preserve"> </w:t>
      </w:r>
      <w:r w:rsidR="00C6765A">
        <w:rPr>
          <w:rFonts w:cs="Arial"/>
        </w:rPr>
        <w:t xml:space="preserve">with </w:t>
      </w:r>
      <w:r w:rsidR="001F7E3A">
        <w:rPr>
          <w:rFonts w:cs="Arial"/>
        </w:rPr>
        <w:t xml:space="preserve">all NHL and </w:t>
      </w:r>
      <w:r w:rsidR="00C6765A">
        <w:rPr>
          <w:rFonts w:cs="Arial"/>
        </w:rPr>
        <w:t>NHL</w:t>
      </w:r>
      <w:r w:rsidR="007E3A95">
        <w:rPr>
          <w:rFonts w:cs="Arial"/>
        </w:rPr>
        <w:t xml:space="preserve"> subtypes</w:t>
      </w:r>
      <w:r w:rsidR="00C6765A">
        <w:rPr>
          <w:rFonts w:cs="Arial"/>
        </w:rPr>
        <w:t xml:space="preserve"> </w:t>
      </w:r>
      <w:r w:rsidR="00754C0F">
        <w:rPr>
          <w:rFonts w:cs="Arial"/>
        </w:rPr>
        <w:t xml:space="preserve">were </w:t>
      </w:r>
      <w:r w:rsidR="007E3A95">
        <w:rPr>
          <w:rFonts w:cs="Arial"/>
        </w:rPr>
        <w:t xml:space="preserve">largely </w:t>
      </w:r>
      <w:r w:rsidR="00754C0F">
        <w:rPr>
          <w:rFonts w:cs="Arial"/>
        </w:rPr>
        <w:t xml:space="preserve">consistent with previously reported results from a subset of the same InterLymph studies </w:t>
      </w:r>
      <w:r w:rsidR="0024507C">
        <w:rPr>
          <w:rFonts w:cs="Arial"/>
        </w:rPr>
        <w:fldChar w:fldCharType="begin" w:fldLock="1"/>
      </w:r>
      <w:r w:rsidR="00BB3BE7">
        <w:rPr>
          <w:rFonts w:cs="Arial"/>
        </w:rPr>
        <w:instrText xml:space="preserve">ADDIN CSL_CITATION {"citationItems":[{"id":"ITEM-1","itemData":{"DOI":"10.1002/ijc.27438","ISSN":"00207136","PMID":"22266776","abstract":"We performed a pooled analysis of data on self-reported history of infections in relation to the risk of non-Hodgkin lymphoma (NHL) from 17 case-control studies that included 12,585 cases and 15,416 controls aged 16-96 years at recruitment. Pooled odds ratios (OR) and 95% confidence intervals (95% CI) were estimated in two-stage random-effect or joint fixed-effect models, adjusting for age, sex and study centre. Data from the two years prior to diagnosis (or date of interview for controls) were excluded. A self-reported history of infectious mononucleosis (IM) was associated with an excess risk of NHL (OR=1.26, 95% CI=1.01-1.57 based on data from 16 studies); study-specific results indicate significant (I(2) =51%, p=0.01) heterogeneity. A self-reported history of measles or whooping cough was associated with an approximate 15% reduction in risk. History of other infection was not associated with NHL. We find little clear evidence of an association between NHL risk and infection although the limitations of data based on self-reported medical history (particularly of childhood illness reported by older people) are well recognised. © 2012 Wiley-Liss, Inc.","author":[{"dropping-particle":"","family":"Becker","given":"Nikolaus","non-dropping-particle":"","parse-names":false,"suffix":""},{"dropping-particle":"","family":"Falster","given":"Michael O.","non-dropping-particle":"","parse-names":false,"suffix":""},{"dropping-particle":"","family":"Vajdic","given":"Claire M.","non-dropping-particle":"","parse-names":false,"suffix":""},{"dropping-particle":"","family":"Sanjose","given":"Silvia","non-dropping-particle":"De","parse-names":false,"suffix":""},{"dropping-particle":"","family":"Martínez-Maza","given":"Otoniel","non-dropping-particle":"","parse-names":false,"suffix":""},{"dropping-particle":"","family":"Bracci","given":"Paige M.","non-dropping-particle":"","parse-names":false,"suffix":""},{"dropping-particle":"","family":"Melbye","given":"Mads","non-dropping-particle":"","parse-names":false,"suffix":""},{"dropping-particle":"","family":"Smedby","given":"Karin Ekström","non-dropping-particle":"","parse-names":false,"suffix":""},{"dropping-particle":"","family":"Engels","given":"Eric a.","non-dropping-particle":"","parse-names":false,"suffix":""},{"dropping-particle":"","family":"Turner","given":"Jennifer","non-dropping-particle":"","parse-names":false,"suffix":""},{"dropping-particle":"","family":"Vineis","given":"Paolo","non-dropping-particle":"","parse-names":false,"suffix":""},{"dropping-particle":"","family":"Costantini","given":"Adele Seniori","non-dropping-particle":"","parse-names":false,"suffix":""},{"dropping-particle":"","family":"Holly","given":"Elizabeth a.","non-dropping-particle":"","parse-names":false,"suffix":""},{"dropping-particle":"","family":"Spinelli","given":"John J.","non-dropping-particle":"","parse-names":false,"suffix":""},{"dropping-particle":"La","family":"Vecchia","given":"Carlo","non-dropping-particle":"","parse-names":false,"suffix":""},{"dropping-particle":"","family":"Zheng","given":"Tongzhang","non-dropping-particle":"","parse-names":false,"suffix":""},{"dropping-particle":"","family":"Chiu","given":"Brian C H","non-dropping-particle":"","parse-names":false,"suffix":""},{"dropping-particle":"","family":"Montella","given":"Maurizio","non-dropping-particle":"","parse-names":false,"suffix":""},{"dropping-particle":"","family":"Cocco","given":"Pierluigi","non-dropping-particle":"","parse-names":false,"suffix":""},{"dropping-particle":"","family":"Maynadié","given":"Marc","non-dropping-particle":"","parse-names":false,"suffix":""},{"dropping-particle":"","family":"Foretova","given":"Lenka","non-dropping-particle":"","parse-names":false,"suffix":""},{"dropping-particle":"","family":"Staines","given":"Anthony","non-dropping-particle":"","parse-names":false,"suffix":""},{"dropping-particle":"","family":"Brennan","given":"Paul","non-dropping-particle":"","parse-names":false,"suffix":""},{"dropping-particle":"","family":"Davis","given":"Scott","non-dropping-particle":"","parse-names":false,"suffix":""},{"dropping-particle":"","family":"Severson","given":"Richard","non-dropping-particle":"","parse-names":false,"suffix":""},{"dropping-particle":"","family":"Cerhan","given":"James R.","non-dropping-particle":"","parse-names":false,"suffix":""},{"dropping-particle":"","family":"Breen","given":"Elizabeth C.","non-dropping-particle":"","parse-names":false,"suffix":""},{"dropping-particle":"","family":"Birmann","given":"Brenda","non-dropping-particle":"","parse-names":false,"suffix":""},{"dropping-particle":"","family":"Cozen","given":"Wendy","non-dropping-particle":"","parse-names":false,"suffix":""},{"dropping-particle":"","family":"Grulich","given":"Andrew E.","non-dropping-particle":"","parse-names":false,"suffix":""},{"dropping-particle":"","family":"Newton","given":"Robert","non-dropping-particle":"","parse-names":false,"suffix":""}],"container-title":"International Journal of Cancer","id":"ITEM-1","issue":"May 2011","issued":{"date-parts":[["2012"]]},"page":"2342-2348","title":"Self-reported history of infections and the risk of non-Hodgkin lymphoma: An InterLymph pooled analysis","type":"article-journal","volume":"131"},"uris":["http://www.mendeley.com/documents/?uuid=9aad532c-428f-4218-9fd2-36983e77dc46"]},{"id":"ITEM-2","itemData":{"DOI":"10.1158/1055-9965.EPI-14-1355","ISSN":"1538-7755","PMID":"25962811","abstract":"BACKGROUND: Excess adiposity has been associated with lymphomagenesis, possibly mediated by increased cytokine production causing a chronic inflammatory state. The relationship between obesity, cytokine polymorphisms, and selected mature B-cell neoplasms is reported. METHOD: Data on 4,979 cases and 4,752 controls from nine American/European studies from the InterLymph consortium (1988-2008) were pooled. For diffuse large B-cell lymphoma (DLBCL), follicular lymphoma (FL), and chronic lymphocytic leukemia/small lymphocytic lymphoma (CLL/SLL), joint associations of body mass index (from self-reported height and weight) and 12 polymorphisms in cytokines IL1A (rs1800587), IL1B (rs16944, rs1143627), IL1RN (rs454078), IL2 (rs2069762), IL6 (rs1800795, rs1800797), IL10 (rs1800890, rs1800896), TNF (rs1800629), LTA (rs909253), and CARD15 (rs2066847) were investigated using unconditional logistic regression. BMI-polymorphism interaction effects were estimated using the relative excess risk due to interaction (RERI). RESULTS: Obesity (BMI ≥ 30 kg/m(2)) was associated with DLBCL risk [OR = 1.33; 95% confidence interval (CI), 1.02-1.73], as was TNF-308GA+AA (OR = 1.24; 95% CI, 1.07-1.44). Together, being obese and TNF-308GA+AA increased DLBCL risk almost 2-fold relative to those of normal weight and TNF-308GG (OR = 1.93; 95% CI, 1.27-2.94), with a RERI of 0.41 (95% CI, -0.05-0.84; Pinteraction = 0.13). For FL and CLL/SLL, no associations with obesity or TNF-308GA+AA, either singly or jointly, were observed. No evidence of interactions between obesity and the other polymorphisms were detected. CONCLUSIONS: Our results suggest that cytokine polymorphisms do not generally interact with BMI to increase lymphoma risk but obesity and TNF-308GA+AA may interact to increase DLBCL risk. IMPACT: Studies using better measures of adiposity are needed to further investigate the interactions between obesity and TNF-308G&gt;A in the pathogenesis of lymphoma.","author":[{"dropping-particle":"","family":"Kane","given":"Eleanor","non-dropping-particle":"","parse-names":false,"suffix":""},{"dropping-particle":"","family":"Skibola","given":"Christine F","non-dropping-particle":"","parse-names":false,"suffix":""},{"dropping-particle":"","family":"Bracci","given":"Paige M","non-dropping-particle":"","parse-names":false,"suffix":""},{"dropping-particle":"","family":"Cerhan","given":"James R","non-dropping-particle":"","parse-names":false,"suffix":""},{"dropping-particle":"","family":"Costas","given":"Laura","non-dropping-particle":"","parse-names":false,"suffix":""},{"dropping-particle":"","family":"Smedby","given":"Karin Ekström","non-dropping-particle":"","parse-names":false,"suffix":""},{"dropping-particle":"","family":"Holly","given":"Elizabeth A","non-dropping-particle":"","parse-names":false,"suffix":""},{"dropping-particle":"","family":"Maynadié","given":"Marc","non-dropping-particle":"","parse-names":false,"suffix":""},{"dropping-particle":"","family":"Novak","given":"Anne J","non-dropping-particle":"","parse-names":false,"suffix":""},{"dropping-particle":"","family":"Lightfoot","given":"Tracy J","non-dropping-particle":"","parse-names":false,"suffix":""},{"dropping-particle":"","family":"Ansell","given":"Stephen M","non-dropping-particle":"","parse-names":false,"suffix":""},{"dropping-particle":"","family":"Smith","given":"Alex G","non-dropping-particle":"","parse-names":false,"suffix":""},{"dropping-particle":"","family":"Liebow","given":"Mark","non-dropping-particle":"","parse-names":false,"suffix":""},{"dropping-particle":"","family":"Melbye","given":"Mads","non-dropping-particle":"","parse-names":false,"suffix":""},{"dropping-particle":"","family":"Morton","given":"Lindsay","non-dropping-particle":"","parse-names":false,"suffix":""},{"dropping-particle":"","family":"Sanjosé","given":"Silvia","non-dropping-particle":"de","parse-names":false,"suffix":""},{"dropping-particle":"","family":"Slager","given":"Susan L","non-dropping-particle":"","parse-names":false,"suffix":""},{"dropping-particle":"","family":"Wang","given":"Sophia S","non-dropping-particle":"","parse-names":false,"suffix":""},{"dropping-particle":"","family":"Zhang","given":"Yawei","non-dropping-particle":"","parse-names":false,"suffix":""},{"dropping-particle":"","family":"Zheng","given":"Tongzhang","non-dropping-particle":"","parse-names":false,"suffix":""},{"dropping-particle":"","family":"Roman","given":"Eve","non-dropping-particle":"","parse-names":false,"suffix":""}],"container-title":"Cancer epidemiology, biomarkers &amp; prevention : a publication of the American Association for Cancer Research, cosponsored by the American Society of Preventive Oncology","id":"ITEM-2","issue":"7","issued":{"date-parts":[["2015","7","1"]]},"page":"1061-70","title":"Non-Hodgkin Lymphoma, Body Mass Index, and Cytokine Polymorphisms: A Pooled Analysis from the InterLymph Consortium.","type":"article-journal","volume":"24"},"uris":["http://www.mendeley.com/documents/?uuid=7879de91-c34d-4298-aa1a-12b06348bc90"]},{"id":"ITEM-3","itemData":{"DOI":"10.1093/aje/kwp383","ISBN":"1476-6256 (Electronic)\\r0002-9262 (Linking)","ISSN":"1476-6256","PMID":"20047977","abstract":"In an International Lymphoma Epidemiology Consortium pooled analysis, polymorphisms in 2 immune-system-related genes, tumor necrosis factor (TNF) and interleukin-10 (IL10), were associated with non-Hodgkin lymphoma (NHL) risk. Here, 8,847 participants were added to previous data (patients diagnosed from 1989 to 2005 in 14 case-control studies; 7,999 cases, 8,452 controls) for testing of polymorphisms in the TNF -308G&gt;A (rs1800629), lymphotoxin-alpha (LTA) 252A&gt;G (rs909253), IL10 -3575T&gt;A (rs1800890, rs1800896), and nucleotide-binding oligomerization domain containing 2 (NOD2) 3020insC (rs2066847) genes. Odds ratios were estimated for non-Hispanic whites and several ethnic subgroups using 2-sided tests. Consistent with previous findings, odds ratios were increased for \"new\" participant TNF -308A carriers (NHL: per-allele odds ratio (OR(allelic)) = 1.10, P(trend) = 0.001; diffuse large B-cell lymphoma (DLBCL): OR(allelic) = 1.23, P(trend) = 0.004). In the combined population, odds ratios were increased for TNF -308A carriers (NHL: OR(allelic) = 1.13, P(trend) = 0.0001; DLBCL: OR(allelic) = 1.25, P(trend) = 3.7 x 10(-6); marginal zone lymphoma: OR(allelic) = 1.35, P(trend) = 0.004) and LTA 252G carriers (DLBCL: OR(allelic) = 1.12, P(trend) = 0.006; mycosis fungoides: OR(allelic) = 1.44, P(trend) = 0.015). The LTA 252A&gt;G/TNF -308G&gt;A haplotype containing the LTA/TNF variant alleles was strongly associated with DLBCL (P = 2.9 x 10(-8)). Results suggested associations between IL10 -3575T&gt;A and DLBCL (P(trend) = 0.02) and IL10 -1082A&gt;G and mantle cell lymphoma (P(trend) = 0.04). These findings strengthen previous results for DLBCL and the LTA 252A&gt;G/TNF -308A locus and provide robust evidence that these TNF/LTA gene variants, or others in linkage disequilibrium, are involved in NHL etiology.","author":[{"dropping-particle":"","family":"Skibola","given":"Christine F","non-dropping-particle":"","parse-names":false,"suffix":""},{"dropping-particle":"","family":"Bracci","given":"Paige M","non-dropping-particle":"","parse-names":false,"suffix":""},{"dropping-particle":"","family":"Nieters","given":"Alexandra","non-dropping-particle":"","parse-names":false,"suffix":""},{"dropping-particle":"","family":"Brooks-Wilson","given":"Angela","non-dropping-particle":"","parse-names":false,"suffix":""},{"dropping-particle":"","family":"Sanjosé","given":"Silvia","non-dropping-particle":"de","parse-names":false,"suffix":""},{"dropping-particle":"","family":"Hughes","given":"Ann Maree","non-dropping-particle":"","parse-names":false,"suffix":""},{"dropping-particle":"","family":"Cerhan","given":"James R","non-dropping-particle":"","parse-names":false,"suffix":""},{"dropping-particle":"","family":"Skibola","given":"Danica R","non-dropping-particle":"","parse-names":false,"suffix":""},{"dropping-particle":"","family":"Purdue","given":"Mark","non-dropping-particle":"","parse-names":false,"suffix":""},{"dropping-particle":"","family":"Kane","given":"Eleanor","non-dropping-particle":"","parse-names":false,"suffix":""},{"dropping-particle":"","family":"Lan","given":"Qing","non-dropping-particle":"","parse-names":false,"suffix":""},{"dropping-particle":"","family":"Foretova","given":"Lenka","non-dropping-particle":"","parse-names":false,"suffix":""},{"dropping-particle":"","family":"Schenk","given":"Maryjean","non-dropping-particle":"","parse-names":false,"suffix":""},{"dropping-particle":"","family":"Spinelli","given":"John J","non-dropping-particle":"","parse-names":false,"suffix":""},{"dropping-particle":"","family":"Slager","given":"Susan L","non-dropping-particle":"","parse-names":false,"suffix":""},{"dropping-particle":"","family":"Roos","given":"Anneclaire J","non-dropping-particle":"De","parse-names":false,"suffix":""},{"dropping-particle":"","family":"Smith","given":"Martyn T","non-dropping-particle":"","parse-names":false,"suffix":""},{"dropping-particle":"","family":"Roman","given":"Eve","non-dropping-particle":"","parse-names":false,"suffix":""},{"dropping-particle":"","family":"Cozen","given":"Wendy","non-dropping-particle":"","parse-names":false,"suffix":""},{"dropping-particle":"","family":"Boffetta","given":"Paolo","non-dropping-particle":"","parse-names":false,"suffix":""},{"dropping-particle":"","family":"Kricker","given":"Anne","non-dropping-particle":"","parse-names":false,"suffix":""},{"dropping-particle":"","family":"Zheng","given":"Tongzhang","non-dropping-particle":"","parse-names":false,"suffix":""},{"dropping-particle":"","family":"Lightfoot","given":"Tracy","non-dropping-particle":"","parse-names":false,"suffix":""},{"dropping-particle":"","family":"Cocco","given":"Pierluigi","non-dropping-particle":"","parse-names":false,"suffix":""},{"dropping-particle":"","family":"Benavente","given":"Yolanda","non-dropping-particle":"","parse-names":false,"suffix":""},{"dropping-particle":"","family":"Zhang","given":"Yawei","non-dropping-particle":"","parse-names":false,"suffix":""},{"dropping-particle":"","family":"Hartge","given":"Patricia","non-dropping-particle":"","parse-names":false,"suffix":""},{"dropping-particle":"","family":"Linet","given":"Martha S","non-dropping-particle":"","parse-names":false,"suffix":""},{"dropping-particle":"","family":"Becker","given":"Nikolaus","non-dropping-particle":"","parse-names":false,"suffix":""},{"dropping-particle":"","family":"Brennan","given":"Paul","non-dropping-particle":"","parse-names":false,"suffix":""},{"dropping-particle":"","family":"Zhang","given":"Luoping","non-dropping-particle":"","parse-names":false,"suffix":""},{"dropping-particle":"","family":"Armstrong","given":"Bruce","non-dropping-particle":"","parse-names":false,"suffix":""},{"dropping-particle":"","family":"Smith","given":"Alex","non-dropping-particle":"","parse-names":false,"suffix":""},{"dropping-particle":"","family":"Shiao","given":"Renee","non-dropping-particle":"","parse-names":false,"suffix":""},{"dropping-particle":"","family":"Novak","given":"Anne J","non-dropping-particle":"","parse-names":false,"suffix":""},{"dropping-particle":"","family":"Maynadie","given":"Marc","non-dropping-particle":"","parse-names":false,"suffix":""},{"dropping-particle":"","family":"Chanock","given":"Stephen J","non-dropping-particle":"","parse-names":false,"suffix":""},{"dropping-particle":"","family":"Staines","given":"Anthony","non-dropping-particle":"","parse-names":false,"suffix":""},{"dropping-particle":"","family":"Holford","given":"Theodore R","non-dropping-particle":"","parse-names":false,"suffix":""},{"dropping-particle":"","family":"Holly","given":"Elizabeth A","non-dropping-particle":"","parse-names":false,"suffix":""},{"dropping-particle":"","family":"Rothman","given":"Nathaniel","non-dropping-particle":"","parse-names":false,"suffix":""},{"dropping-particle":"","family":"Wang","given":"Sophia S","non-dropping-particle":"","parse-names":false,"suffix":""}],"container-title":"American journal of epidemiology","id":"ITEM-3","issued":{"date-parts":[["2010"]]},"page":"267-276","title":"Tumor necrosis factor (TNF) and lymphotoxin-alpha (LTA) polymorphisms and risk of non-Hodgkin lymphoma in the InterLymph Consortium.","type":"article-journal","volume":"171"},"uris":["http://www.mendeley.com/documents/?uuid=22bf699d-a8d0-4e47-b78d-cda2951c8273"]},{"id":"ITEM-4","itemData":{"DOI":"10.1016/S1470-2045(05)70434-4","ISSN":"14702045","PMID":"16389181","abstract":"Background: Common genetic variants in immune and inflammatory response genes can affect the risk of developing non-Hodgkin lymphoma. We aimed to test this hypothesis using previously unpublished data from eight European, Canadian, and US case-control studies of the International Lymphoma Epidemiology Consortium (InterLymph). Methods: We selected 12 single-nucleotide polymorphisms for analysis, on the basis of previous functional or association data, in nine genes that have important roles in lymphoid development, Th1/Th2 balance, and proinflammatory or anti-inflammatory pathways (IL1A, IL1RN, IL1B, IL2, IL6, IL10, TNF, LTA, and CARD15). Genotype data for one or more single-nucleotide polymorphisms were available for </w:instrText>
      </w:r>
      <w:r w:rsidR="00BB3BE7">
        <w:rPr>
          <w:rFonts w:cs="Arial" w:hint="eastAsia"/>
        </w:rPr>
        <w:instrText>3586 cases of non-Hodgkin lymphoma and for 4018 controls, and were assessed in a pooled analysis by use of a random-effects logistic regression model. Findings: The tumour necrosis factor (TNF) -308G</w:instrText>
      </w:r>
      <w:r w:rsidR="00BB3BE7">
        <w:rPr>
          <w:rFonts w:cs="Arial" w:hint="eastAsia"/>
        </w:rPr>
        <w:instrText>→</w:instrText>
      </w:r>
      <w:r w:rsidR="00BB3BE7">
        <w:rPr>
          <w:rFonts w:cs="Arial" w:hint="eastAsia"/>
        </w:rPr>
        <w:instrText>A polymorphism was associated with increased risk of no</w:instrText>
      </w:r>
      <w:r w:rsidR="00BB3BE7">
        <w:rPr>
          <w:rFonts w:cs="Arial"/>
        </w:rPr>
        <w:instrText>n-Hodgkin lymphoma (p for trend=0.005), particularly for diffuse large B-cell lymphoma, the main histological subtype (odds ratio 1.29 [95% CI 1.10-1.51] for GA and 1.65 [1.16-2.34] for AA, p for trend &lt;0.0001), but not for follicular lymphoma. The interl</w:instrText>
      </w:r>
      <w:r w:rsidR="00BB3BE7">
        <w:rPr>
          <w:rFonts w:cs="Arial" w:hint="eastAsia"/>
        </w:rPr>
        <w:instrText>eukin 10 (IL10) -3575T</w:instrText>
      </w:r>
      <w:r w:rsidR="00BB3BE7">
        <w:rPr>
          <w:rFonts w:cs="Arial" w:hint="eastAsia"/>
        </w:rPr>
        <w:instrText>→</w:instrText>
      </w:r>
      <w:r w:rsidR="00BB3BE7">
        <w:rPr>
          <w:rFonts w:cs="Arial" w:hint="eastAsia"/>
        </w:rPr>
        <w:instrText>A polymorphism was also associated with increased risk of non-Hodgkin lymphoma (p for trend=0.02), again particularly for diffuse large B-cell lymphoma (p for trend=0.006). For individuals homozygous for the TNF -308A allele and car</w:instrText>
      </w:r>
      <w:r w:rsidR="00BB3BE7">
        <w:rPr>
          <w:rFonts w:cs="Arial"/>
        </w:rPr>
        <w:instrText>rying at least one IL10 -3575A allele, risk of diffuse large B-cell lymphoma doubled (2.13 [1.37-3.32], p=0.00083). Interpretation: Common polymorphisms in TNF and IL10, key cytokines for the inflammatory response and Th1/Th2 balance, could be susceptibility loci for non-Hodgkin lymphoma. Moreover, our results underscore the importance of consortia for investigating the genetic basis of chronic diseases like cancer.","author":[{"dropping-particle":"","family":"Rothman","given":"Nathaniel","non-dropping-particle":"","parse-names":false,"suffix":""},{"dropping-particle":"","family":"Skibola","given":"Christine F.","non-dropping-particle":"","parse-names":false,"suffix":""},{"dropping-particle":"","family":"Wang","given":"Sophia S.","non-dropping-particle":"","parse-names":false,"suffix":""},{"dropping-particle":"","family":"Morgan","given":"Gareth","non-dropping-particle":"","parse-names":false,"suffix":""},{"dropping-particle":"","family":"Lan","given":"Qing","non-dropping-particle":"","parse-names":false,"suffix":""},{"dropping-particle":"","family":"Smith","given":"Martyn T.","non-dropping-particle":"","parse-names":false,"suffix":""},{"dropping-particle":"","family":"Spinelli","given":"John J.","non-dropping-particle":"","parse-names":false,"suffix":""},{"dropping-particle":"","family":"Willett","given":"Eleanor","non-dropping-particle":"","parse-names":false,"suffix":""},{"dropping-particle":"","family":"Sanjose","given":"Silvia","non-dropping-particle":"De","parse-names":false,"suffix":""},{"dropping-particle":"","family":"Cocco","given":"Pierluigi","non-dropping-particle":"","parse-names":false,"suffix":""},{"dropping-particle":"","family":"Berndt","given":"Sonja I.","non-dropping-particle":"","parse-names":false,"suffix":""},{"dropping-particle":"","family":"Brennan","given":"Paul","non-dropping-particle":"","parse-names":false,"suffix":""},{"dropping-particle":"","family":"Brooks-Wilson","given":"Angela","non-dropping-particle":"","parse-names":false,"suffix":""},{"dropping-particle":"","family":"Wacholder","given":"Sholom","non-dropping-particle":"","parse-names":false,"suffix":""},{"dropping-particle":"","family":"Becker","given":"Nikolaus","non-dropping-particle":"","parse-names":false,"suffix":""},{"dropping-particle":"","family":"Hartge","given":"Patricia","non-dropping-particle":"","parse-names":false,"suffix":""},{"dropping-particle":"","family":"Zheng","given":"Tongzhang","non-dropping-particle":"","parse-names":false,"suffix":""},{"dropping-particle":"","family":"Roman","given":"Eve","non-dropping-particle":"","parse-names":false,"suffix":""},{"dropping-particle":"","family":"Holly","given":"Elizabeth A.","non-dropping-particle":"","parse-names":false,"suffix":""},{"dropping-particle":"","family":"Boffetta","given":"Paolo","non-dropping-particle":"","parse-names":false,"suffix":""},{"dropping-particle":"","family":"Armstrong","given":"Bruce","non-dropping-particle":"","parse-names":false,"suffix":""},{"dropping-particle":"","family":"Cozen","given":"Wendy","non-dropping-particle":"","parse-names":false,"suffix":""},{"dropping-particle":"","family":"Linet","given":"Martha","non-dropping-particle":"","parse-names":false,"suffix":""},{"dropping-particle":"","family":"Bosch","given":"Xavier F.","non-dropping-particle":"","parse-names":false,"suffix":""},{"dropping-particle":"","family":"Ennas","given":"Maria Grazia","non-dropping-particle":"","parse-names":false,"suffix":""},{"dropping-particle":"","family":"Holford","given":"Theodore R.","non-dropping-particle":"","parse-names":false,"suffix":""},{"dropping-particle":"","family":"Gallagher","given":"Richard P.","non-dropping-particle":"","parse-names":false,"suffix":""},{"dropping-particle":"","family":"Rollinson","given":"Sara","non-dropping-particle":"","parse-names":false,"suffix":""},{"dropping-particle":"","family":"Bracci","given":"Paige M.","non-dropping-particle":"","parse-names":false,"suffix":""},{"dropping-particle":"","family":"Cerhan","given":"James R.","non-dropping-particle":"","parse-names":false,"suffix":""},{"dropping-particle":"","family":"Whitby","given":"Denise","non-dropping-particle":"","parse-names":false,"suffix":""},{"dropping-particle":"","family":"Moore","given":"Patrick S.","non-dropping-particle":"","parse-names":false,"suffix":""},{"dropping-particle":"","family":"Leaderer","given":"Brian","non-dropping-particle":"","parse-names":false,"suffix":""},{"dropping-particle":"","family":"Lai","given":"Agnes","non-dropping-particle":"","parse-names":false,"suffix":""},{"dropping-particle":"","family":"Spink","given":"Charlotte","non-dropping-particle":"","parse-names":false,"suffix":""},{"dropping-particle":"","family":"Davis","given":"Scott","non-dropping-particle":"","parse-names":false,"suffix":""},{"dropping-particle":"","family":"Bosch","given":"Ramon","non-dropping-particle":"","parse-names":false,"suffix":""},{"dropping-particle":"","family":"Scarpa","given":"Aldo","non-dropping-particle":"","parse-names":false,"suffix":""},{"dropping-particle":"","family":"Zhang","given":"Yawei","non-dropping-particle":"","parse-names":false,"suffix":""},{"dropping-particle":"","family":"Severson","given":"Richard K.","non-dropping-particle":"","parse-names":false,"suffix":""},{"dropping-particle":"","family":"Yeager","given":"Meredith","non-dropping-particle":"","parse-names":false,"suffix":""},{"dropping-particle":"","family":"Chanock","given":"Stephen","non-dropping-particle":"","parse-names":false,"suffix":""},{"dropping-particle":"","family":"Nieters","given":"Alexandra","non-dropping-particle":"","parse-names":false,"suffix":""}],"container-title":"Lancet Oncology","id":"ITEM-4","issued":{"date-parts":[["2006"]]},"page":"27-38","title":"Genetic variation in TNF and IL10 and risk of non-Hodgkin lymphoma: A report from the InterLymph Consortium","type":"article-journal","volume":"7"},"uris":["http://www.mendeley.com/documents/?uuid=d5a7315f-5e95-47ea-b607-60f9e869c8ac"]},{"id":"ITEM-5","itemData":{"DOI":"10.1182/blood-2007-05-088682","ISSN":"0006-4971","PMID":"17827388","abstract":"Smaller-scale evaluations suggest that common genetic variation in candidate genes related to immune function may predispose to the development of non-Hodgkin lymphoma (NHL). We report an analysis of variants within genes associated with immunity and inflammation and risk of NHL using a panel of 9412 single-nucleotide polymorphisms (SNPs) from 1253 genes in a study of 458 patients with NHL and 484 frequency-matched controls. We modeled haplotypes and risk of NHL, as well as the main effects for all independent SNPs from a gene in multivariate logistic regression models; we separately report results for nonsynonymous (ns) SNPs. In gene-level analyses, the strongest findings (P &lt; or = .001) were for CREB1, FGG, MAP3K5, RIPK3, LSP1, TRAF1, DUSP2, and ITGB3. In nsSNP analyses, the strongest findings (P &lt; or = .01) were for ITGB3 L59P (odds ratio [OR] = 0.66; 95% confidence interval [CI] 0.52-0.85), TLR6 V427A (OR = 5.20; CI 1.77-15.3), SELPLG M264V (OR = 3.20; CI 1.48-6.91), UNC84B G671S (OR = 1.50; CI 1.12-2.00), B3GNT3 H328R (OR = 0.74; CI 0.59-0.93), and BAT2 V1883L (OR = 0.64; CI 0.45-0.90). Our results suggest that genetic variation in genes associated with immune response (TRAF1, RIPK3, BAT2, and TLR6), mitogen-activated protein kinase (MAPK) signaling (MAP3K5, DUSP2, and CREB1), lymphocyte trafficking and migration (B3GNT3, SELPLG, and LSP1), and coagulation pathways (FGG and ITGB3) may be important in the etiology of NHL, and should be prioritized in replication studies.","author":[{"dropping-particle":"","family":"Cerhan","given":"James R","non-dropping-particle":"","parse-names":false,"suffix":""},{"dropping-particle":"","family":"Ansell","given":"Stephen M","non-dropping-particle":"","parse-names":false,"suffix":""},{"dropping-particle":"","family":"Fredericksen","given":"Zachary S","non-dropping-particle":"","parse-names":false,"suffix":""},{"dropping-particle":"","family":"Kay","given":"Neil E","non-dropping-particle":"","parse-names":false,"suffix":""},{"dropping-particle":"","family":"Liebow","given":"Mark","non-dropping-particle":"","parse-names":false,"suffix":""},{"dropping-particle":"","family":"Call","given":"Timothy G","non-dropping-particle":"","parse-names":false,"suffix":""},{"dropping-particle":"","family":"Dogan","given":"Ahmet","non-dropping-particle":"","parse-names":false,"suffix":""},{"dropping-particle":"","family":"Cunningham","given":"Julie M","non-dropping-particle":"","parse-names":false,"suffix":""},{"dropping-particle":"","family":"Wang","given":"Alice H","non-dropping-particle":"","parse-names":false,"suffix":""},{"dropping-particle":"","family":"Liu-Mares","given":"Wen","non-dropping-particle":"","parse-names":false,"suffix":""},{"dropping-particle":"","family":"Macon","given":"William R","non-dropping-particle":"","parse-names":false,"suffix":""},{"dropping-particle":"","family":"Jelinek","given":"Diane","non-dropping-particle":"","parse-names":false,"suffix":""},{"dropping-particle":"","family":"Witzig","given":"Thomas E","non-dropping-particle":"","parse-names":false,"suffix":""},{"dropping-particle":"","family":"Habermann","given":"Thomas M","non-dropping-particle":"","parse-names":false,"suffix":""},{"dropping-particle":"","family":"Slager","given":"Susan L","non-dropping-particle":"","parse-names":false,"suffix":""}],"container-title":"Blood","id":"ITEM-5","issue":"13","issued":{"date-parts":[["2007","12","15"]]},"page":"4455-63","title":"Genetic variation in 1253 immune and inflammation genes and risk of non-Hodgkin lymphoma.","type":"article-journal","volume":"110"},"uris":["http://www.mendeley.com/documents/?uuid=0c0a474b-2dcc-4e5a-81cc-2f04548819db"]},{"id":"ITEM-6","itemData":{"DOI":"10.1111/j.1399-0039.2012.01845.x","ISSN":"1399-0039","PMID":"22296171","abstract":"Follicular lymphoma (FL) is an indolent, sometimes, fatal disease characterized by recurrence at progressively shorter intervals and is frequently refractive to therapy. Genome-wide association studies have identified single nucleotide polymorphisms (SNPs) in the human leukocyte antigen (HLA) region on chromosome 6p21.32-33 that are statistically significantly associated with FL risk. Low to medium resolution typing of single or multiple HLA genes has provided an incomplete picture of the total genetic risk imparted by this highly variable region. To gain further insight into the role of HLA alleles in lymphomagenesis and to investigate the independence of validated SNPs and HLA alleles with FL risk, high-resolution HLA typing was conducted using next-generation sequencing in 222 non-Hispanic White FL cases and 220 matched controls from a larger San Francisco Bay Area population-based case-control study of lymphoma. A novel protective association was found between the DPB1*03:01 allele and FL risk [odds ratio (OR) = 0.39, 95% confidence interval (CI) = 0.21-0.68]. Extended haplotypes DRB1*01:01-DQA1*01:01-DQB1*05:01 (OR = 2.01, 95% CI = 1.22-3.38) and DRB1*15-DQA1*01-DQB1*06 (OR = 0.55, 95% CI = 0.36-0.82) also influenced FL risk. Moreover, DRB1*15-DQA1*01-DQB1*06 was highly correlated with an established FL risk locus, rs2647012. These results provide further insight into the critical roles of HLA alleles and SNPs in FL pathogenesis that involve multi-locus effects across the HLA region.","author":[{"dropping-particle":"","family":"Skibola","given":"Christine F","non-dropping-particle":"","parse-names":false,"suffix":""},{"dropping-particle":"","family":"Akers","given":"N K","non-dropping-particle":"","parse-names":false,"suffix":""},{"dropping-particle":"","family":"Conde","given":"L","non-dropping-particle":"","parse-names":false,"suffix":""},{"dropping-particle":"","family":"Ladner","given":"M","non-dropping-particle":"","parse-names":false,"suffix":""},{"dropping-particle":"","family":"Hawbecker","given":"S K","non-dropping-particle":"","parse-names":false,"suffix":""},{"dropping-particle":"","family":"Cohen","given":"F","non-dropping-particle":"","parse-names":false,"suffix":""},{"dropping-particle":"","family":"Ribas","given":"F","non-dropping-particle":"","parse-names":false,"suffix":""},{"dropping-particle":"","family":"Erlich","given":"H A","non-dropping-particle":"","parse-names":false,"suffix":""},{"dropping-particle":"","family":"Goodridge","given":"D","non-dropping-particle":"","parse-names":false,"suffix":""},{"dropping-particle":"","family":"Trachtenberg","given":"E A","non-dropping-particle":"","parse-names":false,"suffix":""},{"dropping-particle":"","family":"Smith","given":"M T","non-dropping-particle":"","parse-names":false,"suffix":""},{"dropping-particle":"","family":"Bracci","given":"P M","non-dropping-particle":"","parse-names":false,"suffix":""}],"container-title":"Tissue antigens","id":"ITEM-6","issue":"4","issued":{"date-parts":[["2012","4"]]},"page":"279-86","title":"Multi-locus HLA class I and II allele and haplotype associations with follicular lymphoma.","type":"article-journal","volume":"79"},"uris":["http://www.mendeley.com/documents/?uuid=fdd63b9b-8bb1-4f92-82d5-c10027c5a54b"]},{"id":"ITEM-7","itemData":{"DOI":"10.1111/j.1365-2141.2010.08518.x","ISSN":"1365-2141","PMID":"21250972","abstract":"Genetic variation in immune-related genes may play a role in the development of non-Hodgkin lymphoma (NHL). To test the hypothesis that innate immunity polymorphisms may be associated with NHL risk, we genotyped 144 tag single nucleotide polymorphisms (tagSNPs) capturing common genetic variation within 12 innate immunity gene regions in three independent population-based case-control studies (1946 cases and 1808 controls). Gene-based analyses found IL1RN to be associated with NHL risk (minP = 0·03); specifically, IL1RN rs2637988 was associated with an increased risk of NHL (per-allele odds ratio = 1·15, 95% confidence interval = 1·05-1·27; P(trend) = 0·003), which was consistent across study, subtype, and gender. FCGR2A was also associated with a decreased risk of the follicular lymphoma NHL subtype (minP = 0·03). Our findings suggest that genetic variation in IL1RN and FCGR2A may play a role in lymphomagenesis. Given that conflicting results have been reported regarding the association between IL1RN SNPs and NHL risk, a larger number of innate immunity genes with sufficient genomic coverage should be evaluated systematically across many studies.","author":[{"dropping-particle":"","family":"Hosgood","given":"H Dean","non-dropping-particle":"","parse-names":false,"suffix":""},{"dropping-particle":"","family":"Purdue","given":"Mark P","non-dropping-particle":"","parse-names":false,"suffix":""},{"dropping-particle":"","family":"Wang","given":"Sophia S","non-dropping-particle":"","parse-names":false,"suffix":""},{"dropping-particle":"","family":"Zheng","given":"Tongzhang","non-dropping-particle":"","parse-names":false,"suffix":""},{"dropping-particle":"","family":"Morton","given":"Lindsay M","non-dropping-particle":"","parse-names":false,"suffix":""},{"dropping-particle":"","family":"Lan","given":"Qing","non-dropping-particle":"","parse-names":false,"suffix":""},{"dropping-particle":"","family":"Menashe","given":"Idan","non-dropping-particle":"","parse-names":false,"suffix":""},{"dropping-particle":"","family":"Zhang","given":"Yawei","non-dropping-particle":"","parse-names":false,"suffix":""},{"dropping-particle":"","family":"Cerhan","given":"James R","non-dropping-particle":"","parse-names":false,"suffix":""},{"dropping-particle":"","family":"Grulich","given":"Andrew","non-dropping-particle":"","parse-names":false,"suffix":""},{"dropping-particle":"","family":"Cozen","given":"Wendy","non-dropping-particle":"","parse-names":false,"suffix":""},{"dropping-particle":"","family":"Yeager","given":"Meredith","non-dropping-particle":"","parse-names":false,"suffix":""},{"dropping-particle":"","family":"Holford","given":"Theodore R","non-dropping-particle":"","parse-names":false,"suffix":""},{"dropping-particle":"","family":"Vajdic","given":"Claire M","non-dropping-particle":"","parse-names":false,"suffix":""},{"dropping-particle":"","family":"Davis","given":"Scott","non-dropping-particle":"","parse-names":false,"suffix":""},{"dropping-particle":"","family":"Leaderer","given":"Brian","non-dropping-particle":"","parse-names":false,"suffix":""},{"dropping-particle":"","family":"Kricker","given":"Anne","non-dropping-particle":"","parse-names":false,"suffix":""},{"dropping-particle":"","family":"Schenk","given":"Maryjean","non-dropping-particle":"","parse-names":false,"suffix":""},{"dropping-particle":"","family":"Zahm","given":"Shelia H","non-dropping-particle":"","parse-names":false,"suffix":""},{"dropping-particle":"","family":"Chatterjee","given":"Nilanjan","non-dropping-particle":"","parse-names":false,"suffix":""},{"dropping-particle":"","family":"Chanock","given":"Stephen J","non-dropping-particle":"","parse-names":false,"suffix":""},{"dropping-particle":"","family":"Rothman","given":"Nathaniel","non-dropping-particle":"","parse-names":false,"suffix":""},{"dropping-particle":"","family":"Hartge","given":"Patricia","non-dropping-particle":"","parse-names":false,"suffix":""},{"dropping-particle":"","family":"Armstrong","given":"Bruce","non-dropping-particle":"","parse-names":false,"suffix":""}],"container-title":"British journal of haematology","id":"ITEM-7","issue":"6","issued":{"date-parts":[["2011","3"]]},"page":"721-6","title":"A pooled analysis of three studies evaluating genetic variation in innate immunity genes and non-Hodgkin lymphoma risk.","type":"article-journal","volume":"152"},"uris":["http://www.mendeley.com/documents/?uuid=28a6c2e9-f4cc-4cbd-a973-8fa8e004737a"]}],"mendeley":{"formattedCitation":"[8,9,22,25–28]","plainTextFormattedCitation":"[8,9,22,25–28]","previouslyFormattedCitation":"[8,9,21,24–27]"},"properties":{"noteIndex":0},"schema":"https://github.com/citation-style-language/schema/raw/master/csl-citation.json"}</w:instrText>
      </w:r>
      <w:r w:rsidR="0024507C">
        <w:rPr>
          <w:rFonts w:cs="Arial"/>
        </w:rPr>
        <w:fldChar w:fldCharType="separate"/>
      </w:r>
      <w:r w:rsidR="00BB3BE7" w:rsidRPr="00BB3BE7">
        <w:rPr>
          <w:rFonts w:cs="Arial"/>
          <w:noProof/>
        </w:rPr>
        <w:t>[8,9,22,25–28]</w:t>
      </w:r>
      <w:r w:rsidR="0024507C">
        <w:rPr>
          <w:rFonts w:cs="Arial"/>
        </w:rPr>
        <w:fldChar w:fldCharType="end"/>
      </w:r>
      <w:r w:rsidR="00754C0F">
        <w:rPr>
          <w:rFonts w:cs="Arial"/>
        </w:rPr>
        <w:t xml:space="preserve">. </w:t>
      </w:r>
    </w:p>
    <w:p w14:paraId="2DAA223E" w14:textId="77777777" w:rsidR="00D87C72" w:rsidRPr="003D037E" w:rsidRDefault="00D87C72" w:rsidP="00887B34">
      <w:pPr>
        <w:spacing w:line="480" w:lineRule="auto"/>
        <w:ind w:firstLine="720"/>
        <w:rPr>
          <w:rFonts w:cs="Arial"/>
        </w:rPr>
      </w:pPr>
    </w:p>
    <w:p w14:paraId="72F066C2" w14:textId="77777777" w:rsidR="005F4976" w:rsidRPr="003D037E" w:rsidRDefault="005F4976" w:rsidP="00887B34">
      <w:pPr>
        <w:pStyle w:val="Heading3"/>
      </w:pPr>
      <w:r w:rsidRPr="003D037E">
        <w:t>Gene-environment interaction</w:t>
      </w:r>
      <w:r w:rsidR="0010667A" w:rsidRPr="003D037E">
        <w:t xml:space="preserve"> in NHL risk</w:t>
      </w:r>
    </w:p>
    <w:p w14:paraId="0BA31033" w14:textId="04C8C45F" w:rsidR="004A4891" w:rsidRDefault="00730C41" w:rsidP="00ED16A5">
      <w:pPr>
        <w:spacing w:line="480" w:lineRule="auto"/>
        <w:ind w:firstLine="720"/>
        <w:rPr>
          <w:rFonts w:cs="Arial"/>
        </w:rPr>
      </w:pPr>
      <w:r>
        <w:rPr>
          <w:rFonts w:cs="Arial"/>
        </w:rPr>
        <w:t>T</w:t>
      </w:r>
      <w:r w:rsidR="005F44A1">
        <w:rPr>
          <w:rFonts w:cs="Arial"/>
        </w:rPr>
        <w:t>here was a</w:t>
      </w:r>
      <w:r w:rsidR="006225C8">
        <w:rPr>
          <w:rFonts w:cs="Arial"/>
        </w:rPr>
        <w:t>n</w:t>
      </w:r>
      <w:r w:rsidR="005F44A1">
        <w:rPr>
          <w:rFonts w:cs="Arial"/>
        </w:rPr>
        <w:t xml:space="preserve"> </w:t>
      </w:r>
      <w:r w:rsidR="00CF652B">
        <w:rPr>
          <w:rFonts w:cs="Arial"/>
        </w:rPr>
        <w:t xml:space="preserve">interaction </w:t>
      </w:r>
      <w:r w:rsidR="00910C5B">
        <w:rPr>
          <w:rFonts w:cs="Arial"/>
        </w:rPr>
        <w:t xml:space="preserve">effect </w:t>
      </w:r>
      <w:r w:rsidR="005F4976" w:rsidRPr="003D037E">
        <w:rPr>
          <w:rFonts w:cs="Arial"/>
        </w:rPr>
        <w:t>between</w:t>
      </w:r>
      <w:r w:rsidR="00302240">
        <w:rPr>
          <w:rFonts w:cs="Arial"/>
        </w:rPr>
        <w:t xml:space="preserve"> </w:t>
      </w:r>
      <w:r w:rsidR="00841685">
        <w:rPr>
          <w:rFonts w:cs="Arial"/>
        </w:rPr>
        <w:t xml:space="preserve">a </w:t>
      </w:r>
      <w:r w:rsidR="00592EE4">
        <w:rPr>
          <w:rFonts w:cs="Arial"/>
        </w:rPr>
        <w:t>genetic</w:t>
      </w:r>
      <w:r w:rsidR="008C0A1E">
        <w:rPr>
          <w:rFonts w:cs="Arial"/>
        </w:rPr>
        <w:t xml:space="preserve"> variant</w:t>
      </w:r>
      <w:r w:rsidR="00757364">
        <w:rPr>
          <w:rFonts w:cs="Arial"/>
        </w:rPr>
        <w:t xml:space="preserve"> </w:t>
      </w:r>
      <w:r w:rsidR="0089565E">
        <w:rPr>
          <w:rFonts w:cs="Arial"/>
        </w:rPr>
        <w:t xml:space="preserve">in the </w:t>
      </w:r>
      <w:r w:rsidR="0089565E" w:rsidRPr="00011D3F">
        <w:rPr>
          <w:rFonts w:cs="Arial"/>
          <w:i/>
        </w:rPr>
        <w:t>IL1B</w:t>
      </w:r>
      <w:r w:rsidR="0089565E">
        <w:rPr>
          <w:rFonts w:cs="Arial"/>
        </w:rPr>
        <w:t xml:space="preserve"> gene</w:t>
      </w:r>
      <w:r w:rsidR="00592EE4">
        <w:rPr>
          <w:rFonts w:cs="Arial"/>
        </w:rPr>
        <w:t xml:space="preserve"> </w:t>
      </w:r>
      <w:r w:rsidR="00757364">
        <w:rPr>
          <w:rFonts w:cs="Arial"/>
        </w:rPr>
        <w:t>(</w:t>
      </w:r>
      <w:r w:rsidR="00757364" w:rsidRPr="004F3F1F">
        <w:rPr>
          <w:rFonts w:cs="Arial"/>
        </w:rPr>
        <w:t>rs1143627T</w:t>
      </w:r>
      <w:r w:rsidR="00757364">
        <w:rPr>
          <w:rFonts w:cs="Arial"/>
        </w:rPr>
        <w:t xml:space="preserve">) </w:t>
      </w:r>
      <w:r w:rsidR="00592EE4">
        <w:rPr>
          <w:rFonts w:cs="Arial"/>
        </w:rPr>
        <w:t>and IM history</w:t>
      </w:r>
      <w:r w:rsidR="00445FB8">
        <w:rPr>
          <w:rFonts w:cs="Arial"/>
        </w:rPr>
        <w:t xml:space="preserve"> on </w:t>
      </w:r>
      <w:r w:rsidR="00DE13CE">
        <w:rPr>
          <w:rFonts w:cs="Arial"/>
        </w:rPr>
        <w:t>TCL</w:t>
      </w:r>
      <w:r w:rsidR="00445FB8">
        <w:rPr>
          <w:rFonts w:cs="Arial"/>
        </w:rPr>
        <w:t xml:space="preserve"> </w:t>
      </w:r>
      <w:r w:rsidR="00346A51">
        <w:rPr>
          <w:rFonts w:cs="Arial"/>
        </w:rPr>
        <w:t>(OR</w:t>
      </w:r>
      <w:r w:rsidR="00346A51" w:rsidRPr="00346A51">
        <w:rPr>
          <w:rFonts w:cs="Arial"/>
          <w:vertAlign w:val="subscript"/>
        </w:rPr>
        <w:t>interaction</w:t>
      </w:r>
      <w:r w:rsidR="00346A51">
        <w:rPr>
          <w:rFonts w:cs="Arial"/>
        </w:rPr>
        <w:t xml:space="preserve">=0.09, 95% CI=0.01-0.87, p=0.02), </w:t>
      </w:r>
      <w:r w:rsidR="00EC41E8">
        <w:rPr>
          <w:rFonts w:cs="Arial"/>
        </w:rPr>
        <w:t>DLBCL</w:t>
      </w:r>
      <w:r w:rsidR="00346A51">
        <w:rPr>
          <w:rFonts w:cs="Arial"/>
        </w:rPr>
        <w:t xml:space="preserve"> (OR</w:t>
      </w:r>
      <w:r w:rsidR="00346A51" w:rsidRPr="00346A51">
        <w:rPr>
          <w:rFonts w:cs="Arial"/>
          <w:vertAlign w:val="subscript"/>
        </w:rPr>
        <w:t>interaction</w:t>
      </w:r>
      <w:r w:rsidR="00346A51">
        <w:rPr>
          <w:rFonts w:cs="Arial"/>
        </w:rPr>
        <w:t xml:space="preserve">=0.61, 95% CI=0.34-1.08, p=0.04), and all NHL combined </w:t>
      </w:r>
      <w:r w:rsidR="00452F94">
        <w:rPr>
          <w:rFonts w:cs="Arial"/>
        </w:rPr>
        <w:t>(OR</w:t>
      </w:r>
      <w:r w:rsidR="00452F94" w:rsidRPr="00346A51">
        <w:rPr>
          <w:rFonts w:cs="Arial"/>
          <w:vertAlign w:val="subscript"/>
        </w:rPr>
        <w:t>interaction</w:t>
      </w:r>
      <w:r w:rsidR="00452F94">
        <w:rPr>
          <w:rFonts w:cs="Arial"/>
        </w:rPr>
        <w:t xml:space="preserve">=0.76, 95% CI=0.57-1.02, p=0.03) </w:t>
      </w:r>
      <w:r w:rsidR="00EC41E8">
        <w:rPr>
          <w:rFonts w:cs="Arial"/>
        </w:rPr>
        <w:t xml:space="preserve"> risk</w:t>
      </w:r>
      <w:r w:rsidR="008D2387">
        <w:rPr>
          <w:rFonts w:cs="Arial"/>
        </w:rPr>
        <w:t>. A</w:t>
      </w:r>
      <w:r w:rsidR="006A6B77">
        <w:rPr>
          <w:rFonts w:cs="Arial"/>
        </w:rPr>
        <w:t>n</w:t>
      </w:r>
      <w:r w:rsidR="00EC41E8">
        <w:rPr>
          <w:rFonts w:cs="Arial"/>
        </w:rPr>
        <w:t xml:space="preserve"> interaction between </w:t>
      </w:r>
      <w:r w:rsidR="009B2FE8" w:rsidRPr="00AC1624">
        <w:rPr>
          <w:rFonts w:cs="Arial"/>
        </w:rPr>
        <w:t>rs1800797</w:t>
      </w:r>
      <w:r w:rsidR="009B2FE8">
        <w:rPr>
          <w:rFonts w:cs="Arial"/>
        </w:rPr>
        <w:t xml:space="preserve">A </w:t>
      </w:r>
      <w:r w:rsidR="00422209">
        <w:rPr>
          <w:rFonts w:cs="Arial"/>
        </w:rPr>
        <w:t xml:space="preserve">in the </w:t>
      </w:r>
      <w:r w:rsidR="00422209" w:rsidRPr="00422209">
        <w:rPr>
          <w:rFonts w:cs="Arial"/>
          <w:i/>
        </w:rPr>
        <w:t>IL6</w:t>
      </w:r>
      <w:r w:rsidR="00422209">
        <w:rPr>
          <w:rFonts w:cs="Arial"/>
        </w:rPr>
        <w:t xml:space="preserve"> gene </w:t>
      </w:r>
      <w:r w:rsidR="009B2FE8">
        <w:rPr>
          <w:rFonts w:cs="Arial"/>
        </w:rPr>
        <w:t xml:space="preserve">and </w:t>
      </w:r>
      <w:r w:rsidR="00093182">
        <w:rPr>
          <w:rFonts w:cs="Arial"/>
        </w:rPr>
        <w:t>TCL</w:t>
      </w:r>
      <w:r w:rsidR="00477AF6">
        <w:rPr>
          <w:rFonts w:cs="Arial"/>
        </w:rPr>
        <w:t xml:space="preserve"> </w:t>
      </w:r>
      <w:r w:rsidR="000D21D9">
        <w:rPr>
          <w:rFonts w:cs="Arial"/>
        </w:rPr>
        <w:t>(OR</w:t>
      </w:r>
      <w:r w:rsidR="000D21D9" w:rsidRPr="00346A51">
        <w:rPr>
          <w:rFonts w:cs="Arial"/>
          <w:vertAlign w:val="subscript"/>
        </w:rPr>
        <w:t>interaction</w:t>
      </w:r>
      <w:r w:rsidR="000D21D9">
        <w:rPr>
          <w:rFonts w:cs="Arial"/>
        </w:rPr>
        <w:t xml:space="preserve"> =0.08, 95% CI= 0.01-0.80, p=0.02) </w:t>
      </w:r>
      <w:r w:rsidR="001F7E3A">
        <w:rPr>
          <w:rFonts w:cs="Arial"/>
        </w:rPr>
        <w:t>(Table 3)</w:t>
      </w:r>
      <w:r w:rsidR="00757364">
        <w:rPr>
          <w:rFonts w:cs="Arial"/>
        </w:rPr>
        <w:t>. N</w:t>
      </w:r>
      <w:r w:rsidR="00EC41E8">
        <w:rPr>
          <w:rFonts w:cs="Arial"/>
        </w:rPr>
        <w:t xml:space="preserve">one of the associations </w:t>
      </w:r>
      <w:r w:rsidR="007F1E6A">
        <w:rPr>
          <w:rFonts w:cs="Arial"/>
        </w:rPr>
        <w:t xml:space="preserve">persisted </w:t>
      </w:r>
      <w:r w:rsidR="00EC41E8">
        <w:rPr>
          <w:rFonts w:cs="Arial"/>
        </w:rPr>
        <w:t>after adjustment for multiple comparisons (</w:t>
      </w:r>
      <w:r w:rsidR="00EB285C">
        <w:rPr>
          <w:rFonts w:cs="Arial"/>
        </w:rPr>
        <w:t>p</w:t>
      </w:r>
      <w:r w:rsidR="00EB285C">
        <w:rPr>
          <w:rFonts w:cs="Arial"/>
          <w:vertAlign w:val="subscript"/>
        </w:rPr>
        <w:t>ACT</w:t>
      </w:r>
      <w:r w:rsidR="00EB285C">
        <w:rPr>
          <w:rFonts w:cs="Arial"/>
        </w:rPr>
        <w:t>&gt;0.05</w:t>
      </w:r>
      <w:r w:rsidR="00EC41E8">
        <w:rPr>
          <w:rFonts w:cs="Arial"/>
        </w:rPr>
        <w:t xml:space="preserve">). </w:t>
      </w:r>
      <w:r w:rsidR="003C077C">
        <w:rPr>
          <w:rFonts w:cs="Arial"/>
        </w:rPr>
        <w:t>These results were directionally consistent when restricted to population-based studies.</w:t>
      </w:r>
    </w:p>
    <w:p w14:paraId="09B1216A" w14:textId="77777777" w:rsidR="005F4976" w:rsidRPr="003D037E" w:rsidRDefault="005F4976" w:rsidP="000C31B7">
      <w:pPr>
        <w:spacing w:line="480" w:lineRule="auto"/>
        <w:rPr>
          <w:rFonts w:cs="Arial"/>
        </w:rPr>
      </w:pPr>
    </w:p>
    <w:p w14:paraId="6B5B8B6A" w14:textId="77777777" w:rsidR="00007B76" w:rsidRPr="003D037E" w:rsidRDefault="008E0F9B" w:rsidP="00887B34">
      <w:pPr>
        <w:pStyle w:val="Heading3"/>
      </w:pPr>
      <w:r w:rsidRPr="003D037E">
        <w:t xml:space="preserve">Age at </w:t>
      </w:r>
      <w:r w:rsidR="0010667A" w:rsidRPr="003D037E">
        <w:t xml:space="preserve">NHL </w:t>
      </w:r>
      <w:r w:rsidRPr="003D037E">
        <w:t>diagnosis</w:t>
      </w:r>
    </w:p>
    <w:p w14:paraId="32004C48" w14:textId="77777777" w:rsidR="00896E1C" w:rsidRDefault="003E7D30" w:rsidP="001520BE">
      <w:pPr>
        <w:spacing w:line="480" w:lineRule="auto"/>
        <w:ind w:firstLine="720"/>
        <w:rPr>
          <w:rFonts w:cs="Arial"/>
        </w:rPr>
      </w:pPr>
      <w:r>
        <w:rPr>
          <w:rFonts w:cs="Arial"/>
        </w:rPr>
        <w:t>Although s</w:t>
      </w:r>
      <w:r w:rsidR="00B2256A" w:rsidRPr="003D037E">
        <w:rPr>
          <w:rFonts w:cs="Arial"/>
        </w:rPr>
        <w:t xml:space="preserve">elf-reported history of </w:t>
      </w:r>
      <w:r w:rsidR="00C671A2">
        <w:rPr>
          <w:rFonts w:cs="Arial"/>
        </w:rPr>
        <w:t>IM</w:t>
      </w:r>
      <w:r w:rsidR="00B2256A" w:rsidRPr="003D037E">
        <w:rPr>
          <w:rFonts w:cs="Arial"/>
        </w:rPr>
        <w:t xml:space="preserve"> was </w:t>
      </w:r>
      <w:r w:rsidR="00A075C3">
        <w:rPr>
          <w:rFonts w:cs="Arial"/>
        </w:rPr>
        <w:t>strongly</w:t>
      </w:r>
      <w:r w:rsidR="00B2256A" w:rsidRPr="003D037E">
        <w:rPr>
          <w:rFonts w:cs="Arial"/>
        </w:rPr>
        <w:t xml:space="preserve"> associated with </w:t>
      </w:r>
      <w:r w:rsidR="00F02489" w:rsidRPr="003D037E">
        <w:rPr>
          <w:rFonts w:cs="Arial"/>
        </w:rPr>
        <w:t>age at NHL diagnosis</w:t>
      </w:r>
      <w:r w:rsidR="001A0CAB">
        <w:rPr>
          <w:rFonts w:cs="Arial"/>
        </w:rPr>
        <w:t xml:space="preserve"> </w:t>
      </w:r>
      <w:r>
        <w:rPr>
          <w:rFonts w:cs="Arial"/>
        </w:rPr>
        <w:t>among NHL patients</w:t>
      </w:r>
      <w:r w:rsidR="007A6A08">
        <w:rPr>
          <w:rFonts w:cs="Arial"/>
        </w:rPr>
        <w:t xml:space="preserve"> of each subtype</w:t>
      </w:r>
      <w:r>
        <w:rPr>
          <w:rFonts w:cs="Arial"/>
        </w:rPr>
        <w:t>,</w:t>
      </w:r>
      <w:r w:rsidRPr="003E7D30">
        <w:rPr>
          <w:rFonts w:cs="Arial"/>
        </w:rPr>
        <w:t xml:space="preserve"> </w:t>
      </w:r>
      <w:r>
        <w:rPr>
          <w:rFonts w:cs="Arial"/>
        </w:rPr>
        <w:t>the</w:t>
      </w:r>
      <w:r w:rsidR="00730C41">
        <w:rPr>
          <w:rFonts w:cs="Arial"/>
        </w:rPr>
        <w:t xml:space="preserve"> association </w:t>
      </w:r>
      <w:r w:rsidR="008D1CFD">
        <w:rPr>
          <w:rFonts w:cs="Arial"/>
        </w:rPr>
        <w:t xml:space="preserve">was not </w:t>
      </w:r>
      <w:r w:rsidR="002B53EB">
        <w:rPr>
          <w:rFonts w:cs="Arial"/>
        </w:rPr>
        <w:t>present</w:t>
      </w:r>
      <w:r w:rsidR="008D1CFD">
        <w:rPr>
          <w:rFonts w:cs="Arial"/>
        </w:rPr>
        <w:t xml:space="preserve"> </w:t>
      </w:r>
      <w:r>
        <w:rPr>
          <w:rFonts w:cs="Arial"/>
        </w:rPr>
        <w:t>after adjusting for birth year</w:t>
      </w:r>
      <w:r w:rsidR="00153581">
        <w:rPr>
          <w:rFonts w:cs="Arial"/>
        </w:rPr>
        <w:t>, suggesting a cohort effect</w:t>
      </w:r>
      <w:r>
        <w:rPr>
          <w:rFonts w:cs="Arial"/>
        </w:rPr>
        <w:t xml:space="preserve"> </w:t>
      </w:r>
      <w:r w:rsidR="001A0CAB">
        <w:rPr>
          <w:rFonts w:cs="Arial"/>
        </w:rPr>
        <w:t>(</w:t>
      </w:r>
      <w:r w:rsidR="00DB0DDA">
        <w:rPr>
          <w:rFonts w:cs="Arial"/>
        </w:rPr>
        <w:fldChar w:fldCharType="begin"/>
      </w:r>
      <w:r w:rsidR="00DB0DDA">
        <w:rPr>
          <w:rFonts w:cs="Arial"/>
        </w:rPr>
        <w:instrText xml:space="preserve"> REF _Ref497301391 </w:instrText>
      </w:r>
      <w:r w:rsidR="00DB0DDA">
        <w:rPr>
          <w:rFonts w:cs="Arial"/>
        </w:rPr>
        <w:fldChar w:fldCharType="separate"/>
      </w:r>
      <w:r w:rsidR="00B06E70">
        <w:t xml:space="preserve">Supplemental Table </w:t>
      </w:r>
      <w:r w:rsidR="00B06E70">
        <w:rPr>
          <w:noProof/>
        </w:rPr>
        <w:t>4</w:t>
      </w:r>
      <w:r w:rsidR="00DB0DDA">
        <w:rPr>
          <w:rFonts w:cs="Arial"/>
        </w:rPr>
        <w:fldChar w:fldCharType="end"/>
      </w:r>
      <w:r w:rsidRPr="003D037E">
        <w:rPr>
          <w:rFonts w:cs="Arial"/>
        </w:rPr>
        <w:t>)</w:t>
      </w:r>
      <w:r w:rsidR="00B12F52">
        <w:rPr>
          <w:rFonts w:cs="Arial"/>
        </w:rPr>
        <w:t xml:space="preserve">. </w:t>
      </w:r>
      <w:r w:rsidR="00FA7F2E">
        <w:rPr>
          <w:rFonts w:cs="Arial"/>
        </w:rPr>
        <w:t xml:space="preserve">We observed similar results when </w:t>
      </w:r>
      <w:r w:rsidR="00E43908">
        <w:rPr>
          <w:rFonts w:cs="Arial"/>
        </w:rPr>
        <w:t>the</w:t>
      </w:r>
      <w:r w:rsidR="00FA7F2E">
        <w:rPr>
          <w:rFonts w:cs="Arial"/>
        </w:rPr>
        <w:t xml:space="preserve"> analysis was restricted to population-based studies.</w:t>
      </w:r>
    </w:p>
    <w:p w14:paraId="507B39DA" w14:textId="77777777" w:rsidR="00520C9D" w:rsidRDefault="00520C9D" w:rsidP="000D00AB">
      <w:pPr>
        <w:spacing w:line="480" w:lineRule="auto"/>
        <w:ind w:firstLine="720"/>
        <w:rPr>
          <w:rFonts w:cs="Arial"/>
          <w:b/>
          <w:i/>
        </w:rPr>
      </w:pPr>
    </w:p>
    <w:p w14:paraId="226735EA" w14:textId="77777777" w:rsidR="00486CE4" w:rsidRPr="003D037E" w:rsidRDefault="00DD6B2C" w:rsidP="00887B34">
      <w:pPr>
        <w:pStyle w:val="Heading3"/>
      </w:pPr>
      <w:r w:rsidRPr="00A83547">
        <w:t>IM risk factors</w:t>
      </w:r>
      <w:r w:rsidR="003D754D" w:rsidRPr="00A83547">
        <w:t xml:space="preserve"> among </w:t>
      </w:r>
      <w:r w:rsidR="00830C67" w:rsidRPr="00A83547">
        <w:t>c</w:t>
      </w:r>
      <w:r w:rsidR="003D754D" w:rsidRPr="00A83547">
        <w:t>ontrols</w:t>
      </w:r>
    </w:p>
    <w:p w14:paraId="6C8C240D" w14:textId="77777777" w:rsidR="00BC6C44" w:rsidRPr="003D037E" w:rsidRDefault="00DD6B2C" w:rsidP="00887B34">
      <w:pPr>
        <w:spacing w:line="480" w:lineRule="auto"/>
        <w:ind w:firstLine="720"/>
        <w:rPr>
          <w:rFonts w:cs="Arial"/>
        </w:rPr>
      </w:pPr>
      <w:r w:rsidRPr="003D037E">
        <w:rPr>
          <w:rFonts w:cs="Arial"/>
        </w:rPr>
        <w:t>Among 10</w:t>
      </w:r>
      <w:r w:rsidR="001F1065">
        <w:rPr>
          <w:rFonts w:cs="Arial"/>
        </w:rPr>
        <w:t xml:space="preserve"> </w:t>
      </w:r>
      <w:r w:rsidR="0097729A">
        <w:rPr>
          <w:rFonts w:eastAsia="MS Mincho" w:cs="Arial"/>
        </w:rPr>
        <w:t xml:space="preserve">018 </w:t>
      </w:r>
      <w:r w:rsidR="003D754D">
        <w:rPr>
          <w:rFonts w:cs="Arial"/>
        </w:rPr>
        <w:t>control</w:t>
      </w:r>
      <w:r w:rsidRPr="003D037E">
        <w:rPr>
          <w:rFonts w:cs="Arial"/>
        </w:rPr>
        <w:t xml:space="preserve"> participants for whom IM history was available, 5</w:t>
      </w:r>
      <w:r w:rsidR="0097729A">
        <w:rPr>
          <w:rFonts w:cs="Arial"/>
        </w:rPr>
        <w:t>21</w:t>
      </w:r>
      <w:r w:rsidRPr="003D037E">
        <w:rPr>
          <w:rFonts w:cs="Arial"/>
        </w:rPr>
        <w:t xml:space="preserve"> reported a positive history of IM</w:t>
      </w:r>
      <w:r w:rsidR="00B12F52">
        <w:rPr>
          <w:rFonts w:cs="Arial"/>
        </w:rPr>
        <w:t xml:space="preserve">. </w:t>
      </w:r>
      <w:r w:rsidR="00FD0496" w:rsidRPr="003D037E">
        <w:rPr>
          <w:rFonts w:cs="Arial"/>
        </w:rPr>
        <w:t xml:space="preserve">Increasing </w:t>
      </w:r>
      <w:r w:rsidR="003D754D">
        <w:rPr>
          <w:rFonts w:cs="Arial"/>
        </w:rPr>
        <w:t>SES</w:t>
      </w:r>
      <w:r w:rsidR="001A0CAB">
        <w:rPr>
          <w:rFonts w:cs="Arial"/>
        </w:rPr>
        <w:t xml:space="preserve"> </w:t>
      </w:r>
      <w:r w:rsidR="00827735">
        <w:rPr>
          <w:rFonts w:cs="Arial"/>
        </w:rPr>
        <w:t xml:space="preserve">level </w:t>
      </w:r>
      <w:r w:rsidR="001A0CAB">
        <w:rPr>
          <w:rFonts w:cs="Arial"/>
        </w:rPr>
        <w:t>(</w:t>
      </w:r>
      <w:r w:rsidR="003E7D30">
        <w:rPr>
          <w:rFonts w:cs="Arial"/>
        </w:rPr>
        <w:t>OR</w:t>
      </w:r>
      <w:r w:rsidR="000F1F88" w:rsidRPr="003D037E">
        <w:rPr>
          <w:rFonts w:cs="Arial"/>
          <w:vertAlign w:val="subscript"/>
        </w:rPr>
        <w:t>trend</w:t>
      </w:r>
      <w:r w:rsidR="000F1F88" w:rsidRPr="003D037E">
        <w:rPr>
          <w:rFonts w:cs="Arial"/>
        </w:rPr>
        <w:t xml:space="preserve"> </w:t>
      </w:r>
      <w:r w:rsidR="003E7D30">
        <w:rPr>
          <w:rFonts w:cs="Arial"/>
        </w:rPr>
        <w:t xml:space="preserve">= </w:t>
      </w:r>
      <w:r w:rsidR="0097729A">
        <w:rPr>
          <w:rFonts w:cs="Arial"/>
        </w:rPr>
        <w:t>1.69, 95% CI</w:t>
      </w:r>
      <w:r w:rsidR="006F2BA3">
        <w:rPr>
          <w:rFonts w:cs="Arial"/>
        </w:rPr>
        <w:t xml:space="preserve"> </w:t>
      </w:r>
      <w:r w:rsidR="00093182">
        <w:rPr>
          <w:rFonts w:cs="Arial"/>
        </w:rPr>
        <w:t>=</w:t>
      </w:r>
      <w:r w:rsidR="006F2BA3">
        <w:rPr>
          <w:rFonts w:cs="Arial"/>
        </w:rPr>
        <w:t xml:space="preserve"> </w:t>
      </w:r>
      <w:r w:rsidR="0097729A" w:rsidRPr="00EF406E">
        <w:rPr>
          <w:rFonts w:cs="Arial"/>
        </w:rPr>
        <w:t>1.</w:t>
      </w:r>
      <w:r w:rsidR="0097729A">
        <w:rPr>
          <w:rFonts w:cs="Arial"/>
        </w:rPr>
        <w:t>48</w:t>
      </w:r>
      <w:r w:rsidR="0097729A" w:rsidRPr="00EF406E">
        <w:rPr>
          <w:rFonts w:cs="Arial"/>
        </w:rPr>
        <w:t xml:space="preserve">, </w:t>
      </w:r>
      <w:r w:rsidR="0097729A" w:rsidRPr="00EF406E">
        <w:rPr>
          <w:rFonts w:cs="Arial"/>
        </w:rPr>
        <w:lastRenderedPageBreak/>
        <w:t>1.</w:t>
      </w:r>
      <w:r w:rsidR="0097729A">
        <w:rPr>
          <w:rFonts w:cs="Arial"/>
        </w:rPr>
        <w:t xml:space="preserve">93, </w:t>
      </w:r>
      <w:r w:rsidR="0097729A">
        <w:rPr>
          <w:rFonts w:eastAsia="MS Mincho" w:cs="Arial"/>
        </w:rPr>
        <w:t>p</w:t>
      </w:r>
      <w:r w:rsidR="0097729A">
        <w:rPr>
          <w:rFonts w:eastAsia="MS Mincho" w:cs="Arial"/>
          <w:vertAlign w:val="subscript"/>
        </w:rPr>
        <w:t>Bon</w:t>
      </w:r>
      <w:r w:rsidR="0097729A">
        <w:rPr>
          <w:rFonts w:eastAsia="MS Mincho" w:cs="Arial"/>
        </w:rPr>
        <w:t>&lt;0.001</w:t>
      </w:r>
      <w:r w:rsidR="0097729A" w:rsidRPr="003D037E">
        <w:rPr>
          <w:rFonts w:cs="Arial"/>
        </w:rPr>
        <w:t>) and female sex</w:t>
      </w:r>
      <w:r w:rsidR="0097729A">
        <w:rPr>
          <w:rFonts w:cs="Arial"/>
        </w:rPr>
        <w:t xml:space="preserve"> (OR = </w:t>
      </w:r>
      <w:r w:rsidR="0097729A" w:rsidRPr="00EF406E">
        <w:rPr>
          <w:rFonts w:cs="Arial"/>
        </w:rPr>
        <w:t>1.</w:t>
      </w:r>
      <w:r w:rsidR="0097729A">
        <w:rPr>
          <w:rFonts w:cs="Arial"/>
        </w:rPr>
        <w:t>53, 95% CI</w:t>
      </w:r>
      <w:r w:rsidR="006F2BA3">
        <w:rPr>
          <w:rFonts w:cs="Arial"/>
        </w:rPr>
        <w:t xml:space="preserve"> </w:t>
      </w:r>
      <w:r w:rsidR="00093182">
        <w:rPr>
          <w:rFonts w:cs="Arial"/>
        </w:rPr>
        <w:t>=</w:t>
      </w:r>
      <w:r w:rsidR="006F2BA3">
        <w:rPr>
          <w:rFonts w:cs="Arial"/>
        </w:rPr>
        <w:t xml:space="preserve"> </w:t>
      </w:r>
      <w:r w:rsidR="0097729A" w:rsidRPr="00EF406E">
        <w:rPr>
          <w:rFonts w:cs="Arial"/>
        </w:rPr>
        <w:t>1.2</w:t>
      </w:r>
      <w:r w:rsidR="0097729A">
        <w:rPr>
          <w:rFonts w:cs="Arial"/>
        </w:rPr>
        <w:t>6</w:t>
      </w:r>
      <w:r w:rsidR="0097729A" w:rsidRPr="00EF406E">
        <w:rPr>
          <w:rFonts w:cs="Arial"/>
        </w:rPr>
        <w:t>, 1.</w:t>
      </w:r>
      <w:r w:rsidR="0097729A">
        <w:rPr>
          <w:rFonts w:cs="Arial"/>
        </w:rPr>
        <w:t>87</w:t>
      </w:r>
      <w:r w:rsidR="0097729A">
        <w:rPr>
          <w:rFonts w:eastAsia="MS Mincho" w:cs="Arial"/>
        </w:rPr>
        <w:t>, p</w:t>
      </w:r>
      <w:r w:rsidR="0097729A">
        <w:rPr>
          <w:rFonts w:eastAsia="MS Mincho" w:cs="Arial"/>
          <w:vertAlign w:val="subscript"/>
        </w:rPr>
        <w:t>Bon</w:t>
      </w:r>
      <w:r w:rsidR="0097729A">
        <w:rPr>
          <w:rFonts w:eastAsia="MS Mincho" w:cs="Arial"/>
        </w:rPr>
        <w:t>&lt;0.001</w:t>
      </w:r>
      <w:r w:rsidR="000F1F88" w:rsidRPr="003D037E">
        <w:rPr>
          <w:rFonts w:cs="Arial"/>
        </w:rPr>
        <w:t>) were positively associated with IM</w:t>
      </w:r>
      <w:r w:rsidR="001A0CAB">
        <w:rPr>
          <w:rFonts w:cs="Arial"/>
        </w:rPr>
        <w:t xml:space="preserve"> (</w:t>
      </w:r>
      <w:r w:rsidR="00F86BB3">
        <w:rPr>
          <w:rFonts w:cs="Arial"/>
        </w:rPr>
        <w:fldChar w:fldCharType="begin"/>
      </w:r>
      <w:r w:rsidR="00F86BB3">
        <w:rPr>
          <w:rFonts w:cs="Arial"/>
        </w:rPr>
        <w:instrText xml:space="preserve"> REF _Ref440147558 </w:instrText>
      </w:r>
      <w:r w:rsidR="00F86BB3">
        <w:rPr>
          <w:rFonts w:cs="Arial"/>
        </w:rPr>
        <w:fldChar w:fldCharType="separate"/>
      </w:r>
      <w:r w:rsidR="00B06E70">
        <w:t xml:space="preserve">Table </w:t>
      </w:r>
      <w:r w:rsidR="00B06E70">
        <w:rPr>
          <w:noProof/>
        </w:rPr>
        <w:t>4</w:t>
      </w:r>
      <w:r w:rsidR="00F86BB3">
        <w:rPr>
          <w:rFonts w:cs="Arial"/>
        </w:rPr>
        <w:fldChar w:fldCharType="end"/>
      </w:r>
      <w:r w:rsidR="00F02489" w:rsidRPr="003D037E">
        <w:rPr>
          <w:rFonts w:cs="Arial"/>
        </w:rPr>
        <w:t>)</w:t>
      </w:r>
      <w:r w:rsidR="000F1F88" w:rsidRPr="003D037E">
        <w:rPr>
          <w:rFonts w:cs="Arial"/>
        </w:rPr>
        <w:t xml:space="preserve">. These results were consistent </w:t>
      </w:r>
      <w:r w:rsidR="000C31B7">
        <w:rPr>
          <w:rFonts w:cs="Arial"/>
        </w:rPr>
        <w:t>when restricted to</w:t>
      </w:r>
      <w:r w:rsidR="000F1F88" w:rsidRPr="003D037E">
        <w:rPr>
          <w:rFonts w:cs="Arial"/>
        </w:rPr>
        <w:t xml:space="preserve"> participants recruited using population-based methods</w:t>
      </w:r>
      <w:r w:rsidR="00B12F52">
        <w:rPr>
          <w:rFonts w:cs="Arial"/>
        </w:rPr>
        <w:t xml:space="preserve">. </w:t>
      </w:r>
      <w:r w:rsidR="008E319D">
        <w:rPr>
          <w:rFonts w:cs="Arial"/>
        </w:rPr>
        <w:t xml:space="preserve">An association between </w:t>
      </w:r>
      <w:r w:rsidR="003D2830">
        <w:rPr>
          <w:rFonts w:cs="Arial"/>
        </w:rPr>
        <w:t>sibship size and IM history</w:t>
      </w:r>
      <w:r w:rsidR="008E319D">
        <w:rPr>
          <w:rFonts w:cs="Arial"/>
        </w:rPr>
        <w:t xml:space="preserve"> </w:t>
      </w:r>
      <w:r w:rsidR="00FA76AC">
        <w:rPr>
          <w:rFonts w:cs="Arial"/>
        </w:rPr>
        <w:t xml:space="preserve">among all controls </w:t>
      </w:r>
      <w:r w:rsidR="008E319D">
        <w:rPr>
          <w:rFonts w:cs="Arial"/>
        </w:rPr>
        <w:t>did not withstand adjustment for multiple comparisons (</w:t>
      </w:r>
      <w:r w:rsidR="005303DF">
        <w:rPr>
          <w:rFonts w:cs="Arial"/>
        </w:rPr>
        <w:fldChar w:fldCharType="begin"/>
      </w:r>
      <w:r w:rsidR="005303DF">
        <w:rPr>
          <w:rFonts w:cs="Arial"/>
        </w:rPr>
        <w:instrText xml:space="preserve"> REF _Ref517638989 </w:instrText>
      </w:r>
      <w:r w:rsidR="005303DF">
        <w:rPr>
          <w:rFonts w:cs="Arial"/>
        </w:rPr>
        <w:fldChar w:fldCharType="separate"/>
      </w:r>
      <w:r w:rsidR="005303DF">
        <w:t xml:space="preserve">Table </w:t>
      </w:r>
      <w:r w:rsidR="005303DF">
        <w:rPr>
          <w:noProof/>
        </w:rPr>
        <w:t>5</w:t>
      </w:r>
      <w:r w:rsidR="005303DF">
        <w:rPr>
          <w:rFonts w:cs="Arial"/>
        </w:rPr>
        <w:fldChar w:fldCharType="end"/>
      </w:r>
      <w:r w:rsidR="00FA76AC">
        <w:rPr>
          <w:rFonts w:cs="Arial"/>
        </w:rPr>
        <w:t xml:space="preserve">, </w:t>
      </w:r>
      <w:r w:rsidR="008E319D">
        <w:rPr>
          <w:rFonts w:cs="Arial"/>
        </w:rPr>
        <w:t>OR</w:t>
      </w:r>
      <w:r w:rsidR="0042752A">
        <w:rPr>
          <w:rFonts w:cs="Arial"/>
          <w:vertAlign w:val="subscript"/>
        </w:rPr>
        <w:t xml:space="preserve">3+ siblings </w:t>
      </w:r>
      <w:r w:rsidR="008E319D">
        <w:rPr>
          <w:rFonts w:cs="Arial"/>
        </w:rPr>
        <w:t xml:space="preserve">= </w:t>
      </w:r>
      <w:r w:rsidR="00F7090E">
        <w:rPr>
          <w:rFonts w:cs="Arial"/>
        </w:rPr>
        <w:t>0.</w:t>
      </w:r>
      <w:r w:rsidR="000011A4">
        <w:rPr>
          <w:rFonts w:cs="Arial"/>
        </w:rPr>
        <w:t>57</w:t>
      </w:r>
      <w:r w:rsidR="008E319D">
        <w:rPr>
          <w:rFonts w:cs="Arial"/>
        </w:rPr>
        <w:t xml:space="preserve">, 95% CI </w:t>
      </w:r>
      <w:r w:rsidR="006F2BA3">
        <w:rPr>
          <w:rFonts w:cs="Arial"/>
        </w:rPr>
        <w:t xml:space="preserve">= </w:t>
      </w:r>
      <w:r w:rsidR="008E319D">
        <w:rPr>
          <w:rFonts w:cs="Arial"/>
        </w:rPr>
        <w:t>0.</w:t>
      </w:r>
      <w:r w:rsidR="000011A4">
        <w:rPr>
          <w:rFonts w:cs="Arial"/>
        </w:rPr>
        <w:t>38, 0.85</w:t>
      </w:r>
      <w:r w:rsidR="008E319D">
        <w:rPr>
          <w:rFonts w:cs="Arial"/>
        </w:rPr>
        <w:t>, p</w:t>
      </w:r>
      <w:r w:rsidR="008E319D" w:rsidRPr="00043B50">
        <w:rPr>
          <w:rFonts w:cs="Arial"/>
          <w:vertAlign w:val="subscript"/>
        </w:rPr>
        <w:t>Bon</w:t>
      </w:r>
      <w:r w:rsidR="008E319D">
        <w:rPr>
          <w:rFonts w:cs="Arial"/>
        </w:rPr>
        <w:t xml:space="preserve">&gt;0.05). </w:t>
      </w:r>
      <w:r w:rsidR="00FA76AC">
        <w:rPr>
          <w:rFonts w:cs="Arial"/>
        </w:rPr>
        <w:t xml:space="preserve">However, stratification of controls by year of birth revealed a strong inverse association between </w:t>
      </w:r>
      <w:r w:rsidR="0042752A">
        <w:rPr>
          <w:rFonts w:cs="Arial"/>
        </w:rPr>
        <w:t xml:space="preserve">large </w:t>
      </w:r>
      <w:r w:rsidR="00FA76AC">
        <w:rPr>
          <w:rFonts w:cs="Arial"/>
        </w:rPr>
        <w:t xml:space="preserve">sibship size </w:t>
      </w:r>
      <w:r w:rsidR="0042752A">
        <w:rPr>
          <w:rFonts w:cs="Arial"/>
        </w:rPr>
        <w:t xml:space="preserve">(3+ siblings) </w:t>
      </w:r>
      <w:r w:rsidR="00FA76AC">
        <w:rPr>
          <w:rFonts w:cs="Arial"/>
        </w:rPr>
        <w:t xml:space="preserve">and IM among those born </w:t>
      </w:r>
      <w:r w:rsidR="002F2923">
        <w:rPr>
          <w:rFonts w:cs="Arial"/>
        </w:rPr>
        <w:t>before</w:t>
      </w:r>
      <w:r w:rsidR="00FA76AC">
        <w:rPr>
          <w:rFonts w:cs="Arial"/>
        </w:rPr>
        <w:t xml:space="preserve"> 1960 (p</w:t>
      </w:r>
      <w:r w:rsidR="00FA76AC" w:rsidRPr="00043B50">
        <w:rPr>
          <w:rFonts w:cs="Arial"/>
          <w:vertAlign w:val="subscript"/>
        </w:rPr>
        <w:t>Bon</w:t>
      </w:r>
      <w:r w:rsidR="00FA76AC">
        <w:rPr>
          <w:rFonts w:cs="Arial"/>
        </w:rPr>
        <w:t>&lt;0.001).</w:t>
      </w:r>
      <w:r w:rsidR="004720E3">
        <w:rPr>
          <w:rFonts w:cs="Arial"/>
        </w:rPr>
        <w:t xml:space="preserve"> </w:t>
      </w:r>
      <w:r w:rsidR="008E319D">
        <w:rPr>
          <w:rFonts w:cs="Arial"/>
        </w:rPr>
        <w:t>T</w:t>
      </w:r>
      <w:r w:rsidR="00BC6C44" w:rsidRPr="003D037E">
        <w:rPr>
          <w:rFonts w:cs="Arial"/>
        </w:rPr>
        <w:t>here was no evidence of an association between birth order and IM risk</w:t>
      </w:r>
      <w:r w:rsidR="003D754D">
        <w:rPr>
          <w:rFonts w:cs="Arial"/>
        </w:rPr>
        <w:t xml:space="preserve"> in controls with 2 </w:t>
      </w:r>
      <w:r w:rsidR="007F2EA8">
        <w:rPr>
          <w:rFonts w:cs="Arial"/>
        </w:rPr>
        <w:t xml:space="preserve">or more </w:t>
      </w:r>
      <w:r w:rsidR="003D754D">
        <w:rPr>
          <w:rFonts w:cs="Arial"/>
        </w:rPr>
        <w:t>siblings</w:t>
      </w:r>
      <w:r w:rsidR="00592EE4">
        <w:rPr>
          <w:rFonts w:cs="Arial"/>
        </w:rPr>
        <w:t xml:space="preserve"> (</w:t>
      </w:r>
      <w:r w:rsidR="005303DF">
        <w:rPr>
          <w:rFonts w:cs="Arial"/>
        </w:rPr>
        <w:fldChar w:fldCharType="begin"/>
      </w:r>
      <w:r w:rsidR="005303DF">
        <w:rPr>
          <w:rFonts w:cs="Arial"/>
        </w:rPr>
        <w:instrText xml:space="preserve"> REF _Ref517638989 </w:instrText>
      </w:r>
      <w:r w:rsidR="005303DF">
        <w:rPr>
          <w:rFonts w:cs="Arial"/>
        </w:rPr>
        <w:fldChar w:fldCharType="separate"/>
      </w:r>
      <w:r w:rsidR="005303DF">
        <w:t xml:space="preserve">Table </w:t>
      </w:r>
      <w:r w:rsidR="005303DF">
        <w:rPr>
          <w:noProof/>
        </w:rPr>
        <w:t>5</w:t>
      </w:r>
      <w:r w:rsidR="005303DF">
        <w:rPr>
          <w:rFonts w:cs="Arial"/>
        </w:rPr>
        <w:fldChar w:fldCharType="end"/>
      </w:r>
      <w:r w:rsidR="00592EE4">
        <w:rPr>
          <w:rFonts w:cs="Arial"/>
        </w:rPr>
        <w:t>)</w:t>
      </w:r>
      <w:r w:rsidR="00B12F52">
        <w:rPr>
          <w:rFonts w:cs="Arial"/>
        </w:rPr>
        <w:t xml:space="preserve">. </w:t>
      </w:r>
      <w:r w:rsidR="0097729A">
        <w:rPr>
          <w:rFonts w:cs="Arial"/>
        </w:rPr>
        <w:t xml:space="preserve">None of the candidate variants showed evidence of an association with IM history </w:t>
      </w:r>
      <w:r w:rsidR="00BD3ED7">
        <w:rPr>
          <w:rFonts w:cs="Arial"/>
        </w:rPr>
        <w:t xml:space="preserve"> </w:t>
      </w:r>
      <w:r w:rsidR="00A15FC8">
        <w:rPr>
          <w:rFonts w:cs="Arial"/>
        </w:rPr>
        <w:t>(</w:t>
      </w:r>
      <w:r w:rsidR="00A15FC8">
        <w:rPr>
          <w:rFonts w:cs="Arial"/>
        </w:rPr>
        <w:fldChar w:fldCharType="begin"/>
      </w:r>
      <w:r w:rsidR="00A15FC8">
        <w:rPr>
          <w:rFonts w:cs="Arial"/>
        </w:rPr>
        <w:instrText xml:space="preserve"> REF _Ref440147629 </w:instrText>
      </w:r>
      <w:r w:rsidR="00A15FC8">
        <w:rPr>
          <w:rFonts w:cs="Arial"/>
        </w:rPr>
        <w:fldChar w:fldCharType="separate"/>
      </w:r>
      <w:r w:rsidR="00785D32">
        <w:t xml:space="preserve">Table </w:t>
      </w:r>
      <w:r w:rsidR="00785D32">
        <w:rPr>
          <w:noProof/>
        </w:rPr>
        <w:t>6</w:t>
      </w:r>
      <w:r w:rsidR="00A15FC8">
        <w:rPr>
          <w:rFonts w:cs="Arial"/>
        </w:rPr>
        <w:fldChar w:fldCharType="end"/>
      </w:r>
      <w:r w:rsidR="00A15FC8">
        <w:rPr>
          <w:rFonts w:cs="Arial"/>
        </w:rPr>
        <w:t>)</w:t>
      </w:r>
      <w:r w:rsidR="007E451A">
        <w:rPr>
          <w:rFonts w:cs="Arial"/>
        </w:rPr>
        <w:t>.</w:t>
      </w:r>
    </w:p>
    <w:p w14:paraId="575002F4" w14:textId="77777777" w:rsidR="0004153F" w:rsidRPr="003D037E" w:rsidRDefault="0004153F" w:rsidP="00887B34">
      <w:pPr>
        <w:spacing w:line="480" w:lineRule="auto"/>
        <w:ind w:firstLine="720"/>
        <w:rPr>
          <w:rFonts w:cs="Arial"/>
          <w:b/>
        </w:rPr>
      </w:pPr>
    </w:p>
    <w:p w14:paraId="338E2AC6" w14:textId="77777777" w:rsidR="0004153F" w:rsidRPr="003D037E" w:rsidRDefault="00BA60D0" w:rsidP="00887B34">
      <w:pPr>
        <w:pStyle w:val="Heading2"/>
      </w:pPr>
      <w:r>
        <w:t>Discussion</w:t>
      </w:r>
    </w:p>
    <w:p w14:paraId="700BC97D" w14:textId="78856250" w:rsidR="0004732A" w:rsidRDefault="005D7968" w:rsidP="00827735">
      <w:pPr>
        <w:spacing w:line="480" w:lineRule="auto"/>
        <w:ind w:firstLine="720"/>
        <w:rPr>
          <w:rFonts w:cs="Arial"/>
        </w:rPr>
      </w:pPr>
      <w:r>
        <w:rPr>
          <w:rFonts w:cs="Arial"/>
        </w:rPr>
        <w:t xml:space="preserve">Infectious mononucleosis </w:t>
      </w:r>
      <w:r w:rsidR="007C4A0D">
        <w:rPr>
          <w:rFonts w:cs="Arial"/>
        </w:rPr>
        <w:t xml:space="preserve">was associated with an increased risk of </w:t>
      </w:r>
      <w:r w:rsidR="006F2BA3">
        <w:rPr>
          <w:rFonts w:cs="Arial"/>
        </w:rPr>
        <w:t>TCL</w:t>
      </w:r>
      <w:r w:rsidR="007C4A0D">
        <w:rPr>
          <w:rFonts w:cs="Arial"/>
        </w:rPr>
        <w:t xml:space="preserve"> in the original main effects InterLymph paper</w:t>
      </w:r>
      <w:r w:rsidR="007C4A0D" w:rsidRPr="00011D3F">
        <w:rPr>
          <w:rFonts w:cs="Arial"/>
          <w:color w:val="FF0000"/>
        </w:rPr>
        <w:t xml:space="preserve"> </w:t>
      </w:r>
      <w:r w:rsidR="00DA07A6">
        <w:rPr>
          <w:rFonts w:cs="Arial"/>
        </w:rPr>
        <w:fldChar w:fldCharType="begin" w:fldLock="1"/>
      </w:r>
      <w:r w:rsidR="00BB3BE7">
        <w:rPr>
          <w:rFonts w:cs="Arial"/>
        </w:rPr>
        <w:instrText>ADDIN CSL_CITATION {"citationItems":[{"id":"ITEM-1","itemData":{"DOI":"10.1002/ijc.27438","ISSN":"00207136","PMID":"22266776","abstract":"We performed a pooled analysis of data on self-reported history of infections in relation to the risk of non-Hodgkin lymphoma (NHL) from 17 case-control studies that included 12,585 cases and 15,416 controls aged 16-96 years at recruitment. Pooled odds ratios (OR) and 95% confidence intervals (95% CI) were estimated in two-stage random-effect or joint fixed-effect models, adjusting for age, sex and study centre. Data from the two years prior to diagnosis (or date of interview for controls) were excluded. A self-reported history of infectious mononucleosis (IM) was associated with an excess risk of NHL (OR=1.26, 95% CI=1.01-1.57 based on data from 16 studies); study-specific results indicate significant (I(2) =51%, p=0.01) heterogeneity. A self-reported history of measles or whooping cough was associated with an approximate 15% reduction in risk. History of other infection was not associated with NHL. We find little clear evidence of an association between NHL risk and infection although the limitations of data based on self-reported medical history (particularly of childhood illness reported by older people) are well recognised. © 2012 Wiley-Liss, Inc.","author":[{"dropping-particle":"","family":"Becker","given":"Nikolaus","non-dropping-particle":"","parse-names":false,"suffix":""},{"dropping-particle":"","family":"Falster","given":"Michael O.","non-dropping-particle":"","parse-names":false,"suffix":""},{"dropping-particle":"","family":"Vajdic","given":"Claire M.","non-dropping-particle":"","parse-names":false,"suffix":""},{"dropping-particle":"","family":"Sanjose","given":"Silvia","non-dropping-particle":"De","parse-names":false,"suffix":""},{"dropping-particle":"","family":"Martínez-Maza","given":"Otoniel","non-dropping-particle":"","parse-names":false,"suffix":""},{"dropping-particle":"","family":"Bracci","given":"Paige M.","non-dropping-particle":"","parse-names":false,"suffix":""},{"dropping-particle":"","family":"Melbye","given":"Mads","non-dropping-particle":"","parse-names":false,"suffix":""},{"dropping-particle":"","family":"Smedby","given":"Karin Ekström","non-dropping-particle":"","parse-names":false,"suffix":""},{"dropping-particle":"","family":"Engels","given":"Eric a.","non-dropping-particle":"","parse-names":false,"suffix":""},{"dropping-particle":"","family":"Turner","given":"Jennifer","non-dropping-particle":"","parse-names":false,"suffix":""},{"dropping-particle":"","family":"Vineis","given":"Paolo","non-dropping-particle":"","parse-names":false,"suffix":""},{"dropping-particle":"","family":"Costantini","given":"Adele Seniori","non-dropping-particle":"","parse-names":false,"suffix":""},{"dropping-particle":"","family":"Holly","given":"Elizabeth a.","non-dropping-particle":"","parse-names":false,"suffix":""},{"dropping-particle":"","family":"Spinelli","given":"John J.","non-dropping-particle":"","parse-names":false,"suffix":""},{"dropping-particle":"La","family":"Vecchia","given":"Carlo","non-dropping-particle":"","parse-names":false,"suffix":""},{"dropping-particle":"","family":"Zheng","given":"Tongzhang","non-dropping-particle":"","parse-names":false,"suffix":""},{"dropping-particle":"","family":"Chiu","given":"Brian C H","non-dropping-particle":"","parse-names":false,"suffix":""},{"dropping-particle":"","family":"Montella","given":"Maurizio","non-dropping-particle":"","parse-names":false,"suffix":""},{"dropping-particle":"","family":"Cocco","given":"Pierluigi","non-dropping-particle":"","parse-names":false,"suffix":""},{"dropping-particle":"","family":"Maynadié","given":"Marc","non-dropping-particle":"","parse-names":false,"suffix":""},{"dropping-particle":"","family":"Foretova","given":"Lenka","non-dropping-particle":"","parse-names":false,"suffix":""},{"dropping-particle":"","family":"Staines","given":"Anthony","non-dropping-particle":"","parse-names":false,"suffix":""},{"dropping-particle":"","family":"Brennan","given":"Paul","non-dropping-particle":"","parse-names":false,"suffix":""},{"dropping-particle":"","family":"Davis","given":"Scott","non-dropping-particle":"","parse-names":false,"suffix":""},{"dropping-particle":"","family":"Severson","given":"Richard","non-dropping-particle":"","parse-names":false,"suffix":""},{"dropping-particle":"","family":"Cerhan","given":"James R.","non-dropping-particle":"","parse-names":false,"suffix":""},{"dropping-particle":"","family":"Breen","given":"Elizabeth C.","non-dropping-particle":"","parse-names":false,"suffix":""},{"dropping-particle":"","family":"Birmann","given":"Brenda","non-dropping-particle":"","parse-names":false,"suffix":""},{"dropping-particle":"","family":"Cozen","given":"Wendy","non-dropping-particle":"","parse-names":false,"suffix":""},{"dropping-particle":"","family":"Grulich","given":"Andrew E.","non-dropping-particle":"","parse-names":false,"suffix":""},{"dropping-particle":"","family":"Newton","given":"Robert","non-dropping-particle":"","parse-names":false,"suffix":""}],"container-title":"International Journal of Cancer","id":"ITEM-1","issue":"May 2011","issued":{"date-parts":[["2012"]]},"page":"2342-2348","title":"Self-reported history of infections and the risk of non-Hodgkin lymphoma: An InterLymph pooled analysis","type":"article-journal","volume":"131"},"uris":["http://www.mendeley.com/documents/?uuid=9aad532c-428f-4218-9fd2-36983e77dc46"]}],"mendeley":{"formattedCitation":"[22]","plainTextFormattedCitation":"[22]","previouslyFormattedCitation":"[21]"},"properties":{"noteIndex":0},"schema":"https://github.com/citation-style-language/schema/raw/master/csl-citation.json"}</w:instrText>
      </w:r>
      <w:r w:rsidR="00DA07A6">
        <w:rPr>
          <w:rFonts w:cs="Arial"/>
        </w:rPr>
        <w:fldChar w:fldCharType="separate"/>
      </w:r>
      <w:r w:rsidR="00BB3BE7" w:rsidRPr="00BB3BE7">
        <w:rPr>
          <w:rFonts w:cs="Arial"/>
          <w:noProof/>
        </w:rPr>
        <w:t>[22]</w:t>
      </w:r>
      <w:r w:rsidR="00DA07A6">
        <w:rPr>
          <w:rFonts w:cs="Arial"/>
        </w:rPr>
        <w:fldChar w:fldCharType="end"/>
      </w:r>
      <w:r w:rsidR="00FC1A7B">
        <w:rPr>
          <w:rFonts w:cs="Arial"/>
          <w:color w:val="FF0000"/>
        </w:rPr>
        <w:t xml:space="preserve"> </w:t>
      </w:r>
      <w:r w:rsidR="007C4A0D">
        <w:rPr>
          <w:rFonts w:cs="Arial"/>
        </w:rPr>
        <w:t xml:space="preserve">and with a </w:t>
      </w:r>
      <w:r w:rsidR="0097729A">
        <w:rPr>
          <w:rFonts w:cs="Arial"/>
        </w:rPr>
        <w:t>32</w:t>
      </w:r>
      <w:r w:rsidR="007C4A0D">
        <w:rPr>
          <w:rFonts w:cs="Arial"/>
        </w:rPr>
        <w:t xml:space="preserve">% </w:t>
      </w:r>
      <w:r w:rsidR="00DC01E5">
        <w:rPr>
          <w:rFonts w:cs="Arial"/>
        </w:rPr>
        <w:t>(</w:t>
      </w:r>
      <w:r w:rsidR="007F1E6A">
        <w:rPr>
          <w:rFonts w:cs="Arial"/>
        </w:rPr>
        <w:t>p</w:t>
      </w:r>
      <w:r w:rsidR="006F2BA3">
        <w:rPr>
          <w:rFonts w:cs="Arial"/>
        </w:rPr>
        <w:t xml:space="preserve"> </w:t>
      </w:r>
      <w:r w:rsidR="007F1E6A">
        <w:rPr>
          <w:rFonts w:cs="Arial"/>
        </w:rPr>
        <w:t>=</w:t>
      </w:r>
      <w:r w:rsidR="006F2BA3">
        <w:rPr>
          <w:rFonts w:cs="Arial"/>
        </w:rPr>
        <w:t xml:space="preserve"> </w:t>
      </w:r>
      <w:r w:rsidR="007F1E6A">
        <w:rPr>
          <w:rFonts w:cs="Arial"/>
        </w:rPr>
        <w:t>0.</w:t>
      </w:r>
      <w:r w:rsidR="0097729A">
        <w:rPr>
          <w:rFonts w:cs="Arial"/>
        </w:rPr>
        <w:t>17</w:t>
      </w:r>
      <w:r w:rsidR="00DC01E5">
        <w:rPr>
          <w:rFonts w:cs="Arial"/>
        </w:rPr>
        <w:t>)</w:t>
      </w:r>
      <w:r w:rsidR="007C4A0D">
        <w:rPr>
          <w:rFonts w:cs="Arial"/>
        </w:rPr>
        <w:t xml:space="preserve"> increased risk </w:t>
      </w:r>
      <w:r w:rsidR="00121915">
        <w:rPr>
          <w:rFonts w:cs="Arial"/>
        </w:rPr>
        <w:t xml:space="preserve">among </w:t>
      </w:r>
      <w:r w:rsidR="007C4A0D">
        <w:rPr>
          <w:rFonts w:cs="Arial"/>
        </w:rPr>
        <w:t xml:space="preserve">our </w:t>
      </w:r>
      <w:r w:rsidR="006520FE">
        <w:rPr>
          <w:rFonts w:cs="Arial"/>
        </w:rPr>
        <w:t>sub</w:t>
      </w:r>
      <w:r w:rsidR="007C4A0D">
        <w:rPr>
          <w:rFonts w:cs="Arial"/>
        </w:rPr>
        <w:t>set</w:t>
      </w:r>
      <w:r w:rsidR="00121915">
        <w:rPr>
          <w:rFonts w:cs="Arial"/>
        </w:rPr>
        <w:t xml:space="preserve"> of InterLymph participants</w:t>
      </w:r>
      <w:r w:rsidR="007C4A0D">
        <w:rPr>
          <w:rFonts w:cs="Arial"/>
        </w:rPr>
        <w:t xml:space="preserve">. </w:t>
      </w:r>
      <w:r w:rsidR="006A6B77">
        <w:rPr>
          <w:rFonts w:cs="Arial"/>
        </w:rPr>
        <w:t xml:space="preserve"> </w:t>
      </w:r>
      <w:r w:rsidR="00B00436">
        <w:rPr>
          <w:rFonts w:cs="Arial"/>
        </w:rPr>
        <w:t xml:space="preserve">The </w:t>
      </w:r>
      <w:r w:rsidR="008C1AEB">
        <w:rPr>
          <w:rFonts w:cs="Arial"/>
        </w:rPr>
        <w:t>minor allele</w:t>
      </w:r>
      <w:r w:rsidR="001F1065">
        <w:rPr>
          <w:rFonts w:cs="Arial"/>
        </w:rPr>
        <w:t xml:space="preserve"> </w:t>
      </w:r>
      <w:r w:rsidR="006A6B77">
        <w:rPr>
          <w:rFonts w:cs="Arial"/>
        </w:rPr>
        <w:t xml:space="preserve">in </w:t>
      </w:r>
      <w:r w:rsidR="00D86DB9">
        <w:rPr>
          <w:rFonts w:cs="Arial"/>
        </w:rPr>
        <w:t>variant</w:t>
      </w:r>
      <w:r w:rsidR="0097729A">
        <w:rPr>
          <w:rFonts w:cs="Arial"/>
        </w:rPr>
        <w:t xml:space="preserve"> </w:t>
      </w:r>
      <w:r w:rsidR="006A6B77">
        <w:rPr>
          <w:rFonts w:cs="Arial"/>
        </w:rPr>
        <w:t>rs1143627</w:t>
      </w:r>
      <w:r w:rsidR="0068315C">
        <w:rPr>
          <w:rFonts w:cs="Arial"/>
        </w:rPr>
        <w:t xml:space="preserve"> </w:t>
      </w:r>
      <w:r w:rsidR="009D5306">
        <w:rPr>
          <w:rFonts w:cs="Arial"/>
        </w:rPr>
        <w:t>in the</w:t>
      </w:r>
      <w:r w:rsidR="00CD1E13">
        <w:rPr>
          <w:rFonts w:cs="Arial"/>
        </w:rPr>
        <w:t xml:space="preserve"> promoter region of the</w:t>
      </w:r>
      <w:r w:rsidR="009D5306">
        <w:rPr>
          <w:rFonts w:cs="Arial"/>
        </w:rPr>
        <w:t xml:space="preserve"> </w:t>
      </w:r>
      <w:r w:rsidR="00D96D4C" w:rsidRPr="00011D3F">
        <w:rPr>
          <w:rFonts w:cs="Arial"/>
          <w:i/>
        </w:rPr>
        <w:t>IL</w:t>
      </w:r>
      <w:r w:rsidR="009D5306" w:rsidRPr="00011D3F">
        <w:rPr>
          <w:rFonts w:cs="Arial"/>
          <w:i/>
        </w:rPr>
        <w:t>1</w:t>
      </w:r>
      <w:r w:rsidR="00F16B35" w:rsidRPr="00011D3F">
        <w:rPr>
          <w:rFonts w:cs="Arial"/>
          <w:i/>
        </w:rPr>
        <w:t>B</w:t>
      </w:r>
      <w:r w:rsidR="009D5306">
        <w:rPr>
          <w:rFonts w:cs="Arial"/>
        </w:rPr>
        <w:t xml:space="preserve"> </w:t>
      </w:r>
      <w:r w:rsidR="004A1AE7">
        <w:rPr>
          <w:rFonts w:cs="Arial"/>
        </w:rPr>
        <w:t>gene</w:t>
      </w:r>
      <w:r w:rsidR="00B00436">
        <w:rPr>
          <w:rFonts w:cs="Arial"/>
        </w:rPr>
        <w:t xml:space="preserve"> appeared to attenuate the effect of IM on </w:t>
      </w:r>
      <w:r w:rsidR="006F2BA3">
        <w:rPr>
          <w:rFonts w:cs="Arial"/>
        </w:rPr>
        <w:t>TCL</w:t>
      </w:r>
      <w:r w:rsidR="0004732A">
        <w:rPr>
          <w:rFonts w:cs="Arial"/>
        </w:rPr>
        <w:t xml:space="preserve"> </w:t>
      </w:r>
      <w:r w:rsidR="008C0CF9">
        <w:rPr>
          <w:rFonts w:cs="Arial"/>
        </w:rPr>
        <w:t>and DLBCL</w:t>
      </w:r>
      <w:r w:rsidR="00C22667">
        <w:rPr>
          <w:rFonts w:cs="Arial"/>
        </w:rPr>
        <w:t xml:space="preserve"> risk</w:t>
      </w:r>
      <w:r w:rsidR="008C0CF9">
        <w:rPr>
          <w:rFonts w:cs="Arial"/>
        </w:rPr>
        <w:t xml:space="preserve"> (with a much stronger magnitude for </w:t>
      </w:r>
      <w:r w:rsidR="006F2BA3">
        <w:rPr>
          <w:rFonts w:cs="Arial"/>
        </w:rPr>
        <w:t>TCL</w:t>
      </w:r>
      <w:r w:rsidR="008C0CF9">
        <w:rPr>
          <w:rFonts w:cs="Arial"/>
        </w:rPr>
        <w:t>)</w:t>
      </w:r>
      <w:r w:rsidR="00B00436">
        <w:rPr>
          <w:rFonts w:cs="Arial"/>
        </w:rPr>
        <w:t xml:space="preserve">, although the </w:t>
      </w:r>
      <w:r w:rsidR="007F1E6A">
        <w:rPr>
          <w:rFonts w:cs="Arial"/>
        </w:rPr>
        <w:t>effect</w:t>
      </w:r>
      <w:r w:rsidR="008C0CF9">
        <w:rPr>
          <w:rFonts w:cs="Arial"/>
        </w:rPr>
        <w:t>s for both subtypes</w:t>
      </w:r>
      <w:r w:rsidR="007F1E6A">
        <w:rPr>
          <w:rFonts w:cs="Arial"/>
        </w:rPr>
        <w:t xml:space="preserve"> </w:t>
      </w:r>
      <w:r w:rsidR="000540B4">
        <w:rPr>
          <w:rFonts w:cs="Arial"/>
        </w:rPr>
        <w:t xml:space="preserve">did not </w:t>
      </w:r>
      <w:r>
        <w:rPr>
          <w:rFonts w:cs="Arial"/>
        </w:rPr>
        <w:t xml:space="preserve">persist after </w:t>
      </w:r>
      <w:r w:rsidR="00B00436">
        <w:rPr>
          <w:rFonts w:cs="Arial"/>
        </w:rPr>
        <w:t>adjustment for multiple comparisons</w:t>
      </w:r>
      <w:r w:rsidR="00ED16A5">
        <w:rPr>
          <w:rFonts w:cs="Arial"/>
        </w:rPr>
        <w:t>.</w:t>
      </w:r>
      <w:r w:rsidR="006A6B77" w:rsidRPr="006A6B77">
        <w:rPr>
          <w:rFonts w:cs="Arial"/>
        </w:rPr>
        <w:t xml:space="preserve"> </w:t>
      </w:r>
      <w:r w:rsidR="00C22667">
        <w:rPr>
          <w:rFonts w:cs="Arial"/>
        </w:rPr>
        <w:t xml:space="preserve"> </w:t>
      </w:r>
      <w:r w:rsidR="008C0CF9">
        <w:rPr>
          <w:rFonts w:cs="Arial"/>
        </w:rPr>
        <w:t>A similar interaction effect was observed for all NHL combin</w:t>
      </w:r>
      <w:r w:rsidR="0004732A">
        <w:rPr>
          <w:rFonts w:cs="Arial"/>
        </w:rPr>
        <w:t>ed</w:t>
      </w:r>
      <w:r w:rsidR="00615975">
        <w:rPr>
          <w:rFonts w:cs="Arial"/>
        </w:rPr>
        <w:t xml:space="preserve"> and </w:t>
      </w:r>
      <w:r w:rsidR="0004732A">
        <w:rPr>
          <w:rFonts w:cs="Arial"/>
        </w:rPr>
        <w:t xml:space="preserve">is likely </w:t>
      </w:r>
      <w:r w:rsidR="00615975">
        <w:rPr>
          <w:rFonts w:cs="Arial"/>
        </w:rPr>
        <w:t>attributable to the preponderance of</w:t>
      </w:r>
      <w:r w:rsidR="0004732A">
        <w:rPr>
          <w:rFonts w:cs="Arial"/>
        </w:rPr>
        <w:t xml:space="preserve"> </w:t>
      </w:r>
      <w:r w:rsidR="00615975">
        <w:rPr>
          <w:rFonts w:cs="Arial"/>
        </w:rPr>
        <w:t xml:space="preserve">the </w:t>
      </w:r>
      <w:r w:rsidR="0004732A">
        <w:rPr>
          <w:rFonts w:cs="Arial"/>
        </w:rPr>
        <w:t>DLBCL</w:t>
      </w:r>
      <w:r w:rsidR="00615975">
        <w:rPr>
          <w:rFonts w:cs="Arial"/>
        </w:rPr>
        <w:t xml:space="preserve"> subtype among our sample of </w:t>
      </w:r>
      <w:r w:rsidR="007F2EA8">
        <w:rPr>
          <w:rFonts w:cs="Arial"/>
        </w:rPr>
        <w:t>NHL patients</w:t>
      </w:r>
      <w:r w:rsidR="0004732A">
        <w:rPr>
          <w:rFonts w:cs="Arial"/>
        </w:rPr>
        <w:t xml:space="preserve">. </w:t>
      </w:r>
    </w:p>
    <w:p w14:paraId="0F3DBF44" w14:textId="24270960" w:rsidR="00ED16A5" w:rsidRDefault="00A23126" w:rsidP="00043B50">
      <w:pPr>
        <w:spacing w:line="480" w:lineRule="auto"/>
        <w:rPr>
          <w:rFonts w:cs="Arial"/>
        </w:rPr>
      </w:pPr>
      <w:r>
        <w:rPr>
          <w:rFonts w:cs="Arial"/>
        </w:rPr>
        <w:tab/>
      </w:r>
      <w:r w:rsidR="00C22667">
        <w:rPr>
          <w:rFonts w:cs="Arial"/>
        </w:rPr>
        <w:t>IL</w:t>
      </w:r>
      <w:r w:rsidR="00757364">
        <w:rPr>
          <w:rFonts w:cs="Arial"/>
        </w:rPr>
        <w:t>-</w:t>
      </w:r>
      <w:r w:rsidR="00C22667">
        <w:rPr>
          <w:rFonts w:cs="Arial"/>
        </w:rPr>
        <w:t>1B</w:t>
      </w:r>
      <w:r w:rsidR="00381488">
        <w:rPr>
          <w:rFonts w:cs="Arial"/>
        </w:rPr>
        <w:t>, the</w:t>
      </w:r>
      <w:r w:rsidR="00C22667">
        <w:rPr>
          <w:rFonts w:cs="Arial"/>
        </w:rPr>
        <w:t xml:space="preserve"> cytokine en</w:t>
      </w:r>
      <w:r w:rsidR="00B571BE">
        <w:rPr>
          <w:rFonts w:cs="Arial"/>
        </w:rPr>
        <w:t>coded by this gene</w:t>
      </w:r>
      <w:r w:rsidR="00381488">
        <w:rPr>
          <w:rFonts w:cs="Arial"/>
        </w:rPr>
        <w:t>,</w:t>
      </w:r>
      <w:r w:rsidR="00C22667">
        <w:rPr>
          <w:rFonts w:cs="Arial"/>
        </w:rPr>
        <w:t xml:space="preserve"> </w:t>
      </w:r>
      <w:r w:rsidR="00B571BE">
        <w:rPr>
          <w:rFonts w:cs="Arial"/>
        </w:rPr>
        <w:t xml:space="preserve">is an inflammatory response </w:t>
      </w:r>
      <w:r w:rsidR="004D7C2E">
        <w:rPr>
          <w:rFonts w:cs="Arial"/>
        </w:rPr>
        <w:t>and fever</w:t>
      </w:r>
      <w:r w:rsidR="004E363A">
        <w:rPr>
          <w:rFonts w:cs="Arial"/>
        </w:rPr>
        <w:t xml:space="preserve"> </w:t>
      </w:r>
      <w:r w:rsidR="00B571BE">
        <w:rPr>
          <w:rFonts w:cs="Arial"/>
        </w:rPr>
        <w:t>mediator</w:t>
      </w:r>
      <w:r w:rsidR="00E1006B">
        <w:rPr>
          <w:rFonts w:cs="Arial"/>
        </w:rPr>
        <w:t>, and</w:t>
      </w:r>
      <w:r w:rsidR="00C22667">
        <w:rPr>
          <w:rFonts w:cs="Arial"/>
        </w:rPr>
        <w:t xml:space="preserve"> </w:t>
      </w:r>
      <w:r w:rsidR="00B571BE">
        <w:rPr>
          <w:rFonts w:cs="Arial"/>
        </w:rPr>
        <w:t xml:space="preserve">contributes to several </w:t>
      </w:r>
      <w:r w:rsidR="008C0CF9">
        <w:rPr>
          <w:rFonts w:cs="Arial"/>
        </w:rPr>
        <w:t>lymphocyte</w:t>
      </w:r>
      <w:r w:rsidR="00B571BE">
        <w:rPr>
          <w:rFonts w:cs="Arial"/>
        </w:rPr>
        <w:t xml:space="preserve"> activities including </w:t>
      </w:r>
      <w:r w:rsidR="00A83547">
        <w:rPr>
          <w:rFonts w:cs="Arial"/>
        </w:rPr>
        <w:t>growth and differentiation of B-cells</w:t>
      </w:r>
      <w:r>
        <w:rPr>
          <w:rFonts w:cs="Arial"/>
        </w:rPr>
        <w:t xml:space="preserve"> </w:t>
      </w:r>
      <w:r w:rsidR="00DC01E5">
        <w:rPr>
          <w:rFonts w:cs="Arial"/>
        </w:rPr>
        <w:fldChar w:fldCharType="begin" w:fldLock="1"/>
      </w:r>
      <w:r w:rsidR="00BB3BE7">
        <w:rPr>
          <w:rFonts w:cs="Arial"/>
        </w:rPr>
        <w:instrText>ADDIN CSL_CITATION {"citationItems":[{"id":"ITEM-1","itemData":{"ISSN":"0027-8424","PMID":"3877937","abstract":"Splenic B lymphocytes specifically reactive to the hapten fluorescein (FLU) were prepared from nonimmune adult mice by affinity fractionation on hapten-gelatin. These FLU-specific B cells were cultured as single cells or in small numbers in 10-microliter wells either in the absence of any feeder, filler, or accessory cell or in the presence of 3T3 fibroblasts acting as filler cells. A selected batch of a \"T-cell-independent\" antigen, FLU-Ficoll, which induces growth and differentiation only in the presence of lymphokines or cytokines acting as B-cell growth and differentiation factors (BGDF), was used as the antigenic stimulus. It was found that murine interleukin 1 prepared by recombinant DNA technology was an effective, although weak, BGDF when acting with antigen on B cells cultured either under filler cell-free conditions or in the presence of 3T3 cells. When the murine interleukin 1 was used in combination with recombinant human interleukin 2, itself a weak but effective BGDF in the system, an additive effect was observed. The results challenge the notion that interleukin 1 is exclusively or even primarily an activating cytokine. This system, in which pure factors are able to act with specific antigen on single hapten-specific B cells, will prove helpful for the further dissection of the respective roles of the various factors that can act on B cells.","author":[{"dropping-particle":"","family":"Pike","given":"B L","non-dropping-particle":"","parse-names":false,"suffix":""},{"dropping-particle":"","family":"Nossal","given":"G J","non-dropping-particle":"","parse-names":false,"suffix":""}],"container-title":"Proceedings of the National Academy of Sciences of the United States of America","id":"ITEM-1","issue":"23","issued":{"date-parts":[["1985","12"]]},"page":"8153-7","publisher":"National Academy of Sciences","title":"Interleukin 1 can act as a B-cell growth and differentiation factor.","type":"article-journal","volume":"82"},"uris":["http://www.mendeley.com/documents/?uuid=051a70ea-6e7e-318a-86c4-6311e73b51c9"]}],"mendeley":{"formattedCitation":"[50]","plainTextFormattedCitation":"[50]","previouslyFormattedCitation":"[49]"},"properties":{"noteIndex":0},"schema":"https://github.com/citation-style-language/schema/raw/master/csl-citation.json"}</w:instrText>
      </w:r>
      <w:r w:rsidR="00DC01E5">
        <w:rPr>
          <w:rFonts w:cs="Arial"/>
        </w:rPr>
        <w:fldChar w:fldCharType="separate"/>
      </w:r>
      <w:r w:rsidR="00BB3BE7" w:rsidRPr="00BB3BE7">
        <w:rPr>
          <w:rFonts w:cs="Arial"/>
          <w:noProof/>
        </w:rPr>
        <w:t>[50]</w:t>
      </w:r>
      <w:r w:rsidR="00DC01E5">
        <w:rPr>
          <w:rFonts w:cs="Arial"/>
        </w:rPr>
        <w:fldChar w:fldCharType="end"/>
      </w:r>
      <w:r w:rsidR="00A83547">
        <w:rPr>
          <w:rFonts w:cs="Arial"/>
        </w:rPr>
        <w:t xml:space="preserve">, </w:t>
      </w:r>
      <w:r w:rsidR="00F327C4">
        <w:rPr>
          <w:rFonts w:cs="Arial"/>
        </w:rPr>
        <w:t xml:space="preserve">proliferation </w:t>
      </w:r>
      <w:r w:rsidR="000011A4">
        <w:rPr>
          <w:rFonts w:cs="Arial"/>
        </w:rPr>
        <w:t xml:space="preserve">of </w:t>
      </w:r>
      <w:r w:rsidR="00F327C4">
        <w:rPr>
          <w:rFonts w:cs="Arial"/>
        </w:rPr>
        <w:t xml:space="preserve">T-helper Type </w:t>
      </w:r>
      <w:r w:rsidR="00B10E01">
        <w:rPr>
          <w:rFonts w:cs="Arial"/>
        </w:rPr>
        <w:t xml:space="preserve">2 </w:t>
      </w:r>
      <w:r w:rsidR="00F327C4">
        <w:rPr>
          <w:rFonts w:cs="Arial"/>
        </w:rPr>
        <w:t>(Th</w:t>
      </w:r>
      <w:r w:rsidR="00B10E01">
        <w:rPr>
          <w:rFonts w:cs="Arial"/>
        </w:rPr>
        <w:t>2</w:t>
      </w:r>
      <w:r w:rsidR="00F327C4">
        <w:rPr>
          <w:rFonts w:cs="Arial"/>
        </w:rPr>
        <w:t>) clones</w:t>
      </w:r>
      <w:r w:rsidR="00B10E01">
        <w:rPr>
          <w:rFonts w:cs="Arial"/>
        </w:rPr>
        <w:t xml:space="preserve"> </w:t>
      </w:r>
      <w:r w:rsidR="00B10E01">
        <w:rPr>
          <w:rFonts w:cs="Arial"/>
        </w:rPr>
        <w:fldChar w:fldCharType="begin" w:fldLock="1"/>
      </w:r>
      <w:r w:rsidR="00BB3BE7">
        <w:rPr>
          <w:rFonts w:cs="Arial"/>
        </w:rPr>
        <w:instrText>ADDIN CSL_CITATION {"citationItems":[{"id":"ITEM-1","itemData":{"ISSN":"0027-8424","PMID":"3264404","abstract":"The activation of T lymphocytes requires their stimulation via clonotypic antigen receptors as well as nonantigen-specific costimulators, the best defined of which is the cytokine interleukin 1 (IL-1). Recent studies have shown that murine CD4+ helper T lymphocytes consist of two nonoverlapping subsets that selectively utilize interleukin 2 (IL-2) or interleukin 4 as their autocrine growth factors and are called Th1 and Th2 cells, respectively. We now show that IL-1 functions as a costimulator for the proliferation of Th2 but not of Th1 clones and only Th2 cells express high-affinity receptors for IL-1. Secretion of autocrine growth-promoting lymphokines by Th1 and Th2 cells occurs after stimulation via the antigen receptor-CD3 complex and is neither dependent on nor affected by IL-1. These findings suggest that the activation of T lymphocytes can be divided into two stages, lymphokine secretion and proliferation, and only proliferation requires costimulators such as IL-1. Moreover, the prevailing view that IL-1 functions as a costimulator by inducing secretion of IL-2 or expression of IL-2 receptors may not be generally applicable, because IL-2-producing Th1 clones do not express receptors for IL-1 and are insensitive to this cytokine.","author":[{"dropping-particle":"","family":"Lichtman","given":"A H","non-dropping-particle":"","parse-names":false,"suffix":""},{"dropping-particle":"","family":"Chin","given":"J","non-dropping-particle":"","parse-names":false,"suffix":""},{"dropping-particle":"","family":"Schmidt","given":"J A","non-dropping-particle":"","parse-names":false,"suffix":""},{"dropping-particle":"","family":"Abbas","given":"A K","non-dropping-particle":"","parse-names":false,"suffix":""}],"container-title":"Proceedings of the National Academy of Sciences of the United States of America","id":"ITEM-1","issue":"24","issued":{"date-parts":[["1988","12"]]},"page":"9699-703","publisher":"National Academy of Sciences","title":"Role of interleukin 1 in the activation of T lymphocytes.","type":"article-journal","volume":"85"},"uris":["http://www.mendeley.com/documents/?uuid=ac90b496-65aa-326c-8b11-90661bf835c1"]}],"mendeley":{"formattedCitation":"[51]","plainTextFormattedCitation":"[51]","previouslyFormattedCitation":"[50]"},"properties":{"noteIndex":0},"schema":"https://github.com/citation-style-language/schema/raw/master/csl-citation.json"}</w:instrText>
      </w:r>
      <w:r w:rsidR="00B10E01">
        <w:rPr>
          <w:rFonts w:cs="Arial"/>
        </w:rPr>
        <w:fldChar w:fldCharType="separate"/>
      </w:r>
      <w:r w:rsidR="00BB3BE7" w:rsidRPr="00BB3BE7">
        <w:rPr>
          <w:rFonts w:cs="Arial"/>
          <w:noProof/>
        </w:rPr>
        <w:t>[51]</w:t>
      </w:r>
      <w:r w:rsidR="00B10E01">
        <w:rPr>
          <w:rFonts w:cs="Arial"/>
        </w:rPr>
        <w:fldChar w:fldCharType="end"/>
      </w:r>
      <w:r w:rsidR="00B10E01">
        <w:rPr>
          <w:rFonts w:cs="Arial"/>
        </w:rPr>
        <w:t>,</w:t>
      </w:r>
      <w:r w:rsidR="00B571BE">
        <w:rPr>
          <w:rFonts w:cs="Arial"/>
        </w:rPr>
        <w:t xml:space="preserve"> and </w:t>
      </w:r>
      <w:r w:rsidR="006219FC">
        <w:rPr>
          <w:rFonts w:cs="Arial"/>
        </w:rPr>
        <w:t xml:space="preserve">activation </w:t>
      </w:r>
      <w:r w:rsidR="00C22667">
        <w:rPr>
          <w:rFonts w:cs="Arial"/>
        </w:rPr>
        <w:t xml:space="preserve">of </w:t>
      </w:r>
      <w:r w:rsidR="00B10E01">
        <w:rPr>
          <w:rFonts w:cs="Arial"/>
        </w:rPr>
        <w:t>Th</w:t>
      </w:r>
      <w:r w:rsidR="006219FC" w:rsidRPr="006219FC">
        <w:rPr>
          <w:rFonts w:cs="Arial"/>
        </w:rPr>
        <w:t>17</w:t>
      </w:r>
      <w:r w:rsidR="00C22667">
        <w:rPr>
          <w:rFonts w:cs="Arial"/>
        </w:rPr>
        <w:t xml:space="preserve"> cells</w:t>
      </w:r>
      <w:r w:rsidR="006219FC">
        <w:rPr>
          <w:rFonts w:cs="Arial"/>
        </w:rPr>
        <w:t xml:space="preserve"> </w:t>
      </w:r>
      <w:r w:rsidR="006219FC">
        <w:rPr>
          <w:rFonts w:cs="Arial"/>
        </w:rPr>
        <w:fldChar w:fldCharType="begin" w:fldLock="1"/>
      </w:r>
      <w:r w:rsidR="00BB3BE7">
        <w:rPr>
          <w:rFonts w:cs="Arial"/>
        </w:rPr>
        <w:instrText>ADDIN CSL_CITATION {"citationItems":[{"id":"ITEM-1","itemData":{"DOI":"10.1038/nrrheum.2016.166","ISSN":"1759-4790","abstract":"Members of the IL-1 family of cytokines have been implicated in several autoimmune diseases, including rare hereditary syndromes and more frequent diseases such as gout. Once processed and activated, IL-1α and IL-1β promote inflammation, monocyte and neutrophil infiltration and, ultimately, tissue damage and stress. Therapies that target IL-1 have already shown clinical efficacy, and are enabling a better understanding of the biology of this cytokine family.","author":[{"dropping-particle":"","family":"Schett","given":"Georg","non-dropping-particle":"","parse-names":false,"suffix":""},{"dropping-particle":"","family":"Dayer","given":"Jean-Michel","non-dropping-particle":"","parse-names":false,"suffix":""},{"dropping-particle":"","family":"Manger","given":"Bernhard","non-dropping-particle":"","parse-names":false,"suffix":""}],"container-title":"Nature Reviews Rheumatology","id":"ITEM-1","issue":"1","issued":{"date-parts":[["2016","1","10"]]},"page":"14-24","publisher":"Nature Publishing Group","title":"Interleukin-1 function and role in rheumatic disease","type":"article-journal","volume":"12"},"uris":["http://www.mendeley.com/documents/?uuid=2a890d40-05f7-3144-b0ac-591c89b92d93"]}],"mendeley":{"formattedCitation":"[52]","plainTextFormattedCitation":"[52]","previouslyFormattedCitation":"[51]"},"properties":{"noteIndex":0},"schema":"https://github.com/citation-style-language/schema/raw/master/csl-citation.json"}</w:instrText>
      </w:r>
      <w:r w:rsidR="006219FC">
        <w:rPr>
          <w:rFonts w:cs="Arial"/>
        </w:rPr>
        <w:fldChar w:fldCharType="separate"/>
      </w:r>
      <w:r w:rsidR="00BB3BE7" w:rsidRPr="00BB3BE7">
        <w:rPr>
          <w:rFonts w:cs="Arial"/>
          <w:noProof/>
        </w:rPr>
        <w:t>[52]</w:t>
      </w:r>
      <w:r w:rsidR="006219FC">
        <w:rPr>
          <w:rFonts w:cs="Arial"/>
        </w:rPr>
        <w:fldChar w:fldCharType="end"/>
      </w:r>
      <w:r w:rsidR="00B12F52">
        <w:rPr>
          <w:rFonts w:cs="Arial"/>
        </w:rPr>
        <w:t xml:space="preserve">. </w:t>
      </w:r>
      <w:r w:rsidR="0097729A">
        <w:rPr>
          <w:rFonts w:cs="Arial"/>
        </w:rPr>
        <w:t xml:space="preserve">We observed a suggestive association of similar magnitude </w:t>
      </w:r>
      <w:r w:rsidR="0097729A">
        <w:rPr>
          <w:rFonts w:cs="Arial"/>
        </w:rPr>
        <w:lastRenderedPageBreak/>
        <w:t xml:space="preserve">between rs16944, an </w:t>
      </w:r>
      <w:r w:rsidR="0097729A">
        <w:rPr>
          <w:rFonts w:cs="Arial"/>
          <w:i/>
        </w:rPr>
        <w:t>IL1B</w:t>
      </w:r>
      <w:r w:rsidR="0097729A">
        <w:rPr>
          <w:rFonts w:cs="Arial"/>
        </w:rPr>
        <w:t xml:space="preserve"> variant highly correlate</w:t>
      </w:r>
      <w:r w:rsidR="002D418F">
        <w:rPr>
          <w:rFonts w:cs="Arial"/>
        </w:rPr>
        <w:t>d</w:t>
      </w:r>
      <w:r w:rsidR="0097729A">
        <w:rPr>
          <w:rFonts w:cs="Arial"/>
        </w:rPr>
        <w:t xml:space="preserve"> with rs1143627, and </w:t>
      </w:r>
      <w:r w:rsidR="006F2BA3">
        <w:rPr>
          <w:rFonts w:cs="Arial"/>
        </w:rPr>
        <w:t>TCL</w:t>
      </w:r>
      <w:r w:rsidR="0097729A">
        <w:rPr>
          <w:rFonts w:cs="Arial"/>
        </w:rPr>
        <w:t xml:space="preserve">. </w:t>
      </w:r>
      <w:r w:rsidR="00CA496B">
        <w:rPr>
          <w:rFonts w:cs="Arial"/>
        </w:rPr>
        <w:t>I</w:t>
      </w:r>
      <w:r w:rsidR="00C22667">
        <w:rPr>
          <w:rFonts w:cs="Arial"/>
        </w:rPr>
        <w:t xml:space="preserve">L1B </w:t>
      </w:r>
      <w:r w:rsidR="00816475">
        <w:rPr>
          <w:rFonts w:cs="Arial"/>
        </w:rPr>
        <w:t xml:space="preserve">is required for T-cell activation in some immune responses </w:t>
      </w:r>
      <w:r w:rsidR="0024507C">
        <w:rPr>
          <w:rFonts w:cs="Arial"/>
        </w:rPr>
        <w:fldChar w:fldCharType="begin" w:fldLock="1"/>
      </w:r>
      <w:r w:rsidR="00BB3BE7">
        <w:rPr>
          <w:rFonts w:cs="Arial"/>
        </w:rPr>
        <w:instrText>ADDIN CSL_CITATION {"citationItems":[{"id":"ITEM-1","itemData":{"DOI":"10.1093/intimm/dxl007","ISBN":"0953-8178 (Print)","ISSN":"09538178","PMID":"16569679","abstract":"As IL-1 expression is augmented in delayed-type hypersensitivity (DTH) responses, we analyzed the role of IL-1 in this response. DTH responses against methyl BSA (mBSA) were significantly suppressed in IL-1beta-deficient (IL-1beta-/-) and IL-1alpha/beta-/- mice, but not in IL-1alpha-/- mice. In contrast, responses in IL-1R antagonist-/- (IL-1Ra-/-) mice were exacerbated. Lymph node cells derived from mBSA-sensitized IL-1beta-/-, IL-1alpha/beta-/- and IL-1R type I (IL-1RI)-/- mice, but not from IL-1alpha-/- mice, exhibited reduced proliferative responses against mBSA, while these from IL-1Ra-/- mice demonstrated augmented responses. DTH responses in wild-type mice following adoptive transfer of CD4+ T cells from mBSA-sensitized IL-1alpha/beta-/- mice were also reduced, while those in mice given cells derived from IL-Ra-/- mice were increased. DTH responses in IL-1RI-/-, but not IL-1alpha/beta-/-, mice were reduced upon transplantation of mBSA-sensitized CD4+ T cells from wild-type mice. The recall response of mBSA-sensitized CD4+ T cells against mBSA decreased upon co-culture with dendritic cells (DCs) from IL-1RI-/- mice, while the responses were normal with DCs from IL-1alpha/beta-/- mice. DTH responses in tumor necrosis factor alpha-/- (TNF-/-) mice were also suppressed; the magnitude of the suppression in IL-1alpha/beta-/-TNF-/- mice, however, was similar to that observed in IL-1alpha/beta-/- mice. These observations indicate that IL-1 possesses dual functions during the DTH response. IL-1beta is necessary for the efficient priming of T cells. In addition, CD4+ T cell-derived IL-1 plays an important role in the activation of DCs during the elicitation phase, resulting in the production of TNF, that activate allergen-specific T cells.","author":[{"dropping-particle":"","family":"Nambu","given":"Aya","non-dropping-particle":"","parse-names":false,"suffix":""},{"dropping-particle":"","family":"Nakae","given":"Susumu","non-dropping-particle":"","parse-names":false,"suffix":""},{"dropping-particle":"","family":"Iwakura","given":"Yoichiro","non-dropping-particle":"","parse-names":false,"suffix":""}],"container-title":"International Immunology","id":"ITEM-1","issue":"5","issued":{"date-parts":[["2006","11","15"]]},"page":"701-712","publisher":"Oxford University Press","title":"IL-1β, but not IL-1α, is required for antigen-specific T cell activation and the induction of local inflammation in the delayed-type hypersensitivity responses","type":"article-journal","volume":"18"},"uris":["http://www.mendeley.com/documents/?uuid=1fb2ad4c-4271-3625-bac0-800b4fa19699"]},{"id":"ITEM-2","itemData":{"ISSN":"00221767","PMID":"2965728","abstract":"The effect of rTNF-alpha on human T cell function was examined and compared with that of rIL-1 beta by assessing the ability of each cytokine to support mitogen-induced proliferation, IL-2 production, and IL-2R expression. TNF-alpha and IL-1 beta each enhanced DNA synthesis induced by PHA or immobilized mAb to the CD3 molecular complex. In addition, each cytokine increased the number of cells entering the G1 phase of the cell cycle and augmented IL-2R expression. The combination of optimal concentrations of these factors supported these responses to a greater extent than either cytokine alone, suggesting that T cell responsiveness is independently regulated by the action of at least two separate monocyte derived cytokines. Whereas TNF-alpha had little effect, IL-1 beta augmented IL-2 mRNA expression and IL-2 production by mitogen-stimulated cells. Furthermore, IL-1 beta enhanced proliferation with increasing length of culture. Whereas TNF-alpha also enhanced proliferation late in culture, it was less effective in this regard than IL-1 beta. Thus, IL-1 beta and TNF-alpha augment mitogen-induced T cell proliferation by increasing the number of cells initially activated and by promoting subsequent cell cycle progression. They differ, however, in their capacity to promote IL-2 mRNA and IL-2 production and therefore ongoing T cell proliferation.","author":[{"dropping-particle":"","family":"Hackett","given":"R J","non-dropping-particle":"","parse-names":false,"suffix":""},{"dropping-particle":"","family":"Davis","given":"L S","non-dropping-particle":"","parse-names":false,"suffix":""},{"dropping-particle":"","family":"Lipsky","given":"P E","non-dropping-particle":"","parse-names":false,"suffix":""}],"container-title":"Journal of immunology (Baltimore, Md. : 1950)","id":"ITEM-2","issue":"8","issued":{"date-parts":[["1988","4","15"]]},"page":"2639-2644","publisher":"American Association of Immunologists","title":"Comparative effects of tumor necrosis factor-alpha and IL-1 beta on mitogen-induced T cell activation.","type":"article-journal","volume":"140"},"uris":["http://www.mendeley.com/documents/?uuid=99302826-8238-3de5-8f51-b645b21fc1cf"]}],"mendeley":{"formattedCitation":"[53,54]","plainTextFormattedCitation":"[53,54]","previouslyFormattedCitation":"[52,53]"},"properties":{"noteIndex":0},"schema":"https://github.com/citation-style-language/schema/raw/master/csl-citation.json"}</w:instrText>
      </w:r>
      <w:r w:rsidR="0024507C">
        <w:rPr>
          <w:rFonts w:cs="Arial"/>
        </w:rPr>
        <w:fldChar w:fldCharType="separate"/>
      </w:r>
      <w:r w:rsidR="00BB3BE7" w:rsidRPr="00BB3BE7">
        <w:rPr>
          <w:rFonts w:cs="Arial"/>
          <w:noProof/>
        </w:rPr>
        <w:t>[53,54]</w:t>
      </w:r>
      <w:r w:rsidR="0024507C">
        <w:rPr>
          <w:rFonts w:cs="Arial"/>
        </w:rPr>
        <w:fldChar w:fldCharType="end"/>
      </w:r>
      <w:r w:rsidR="00AE6404">
        <w:rPr>
          <w:rFonts w:cs="Arial"/>
        </w:rPr>
        <w:t xml:space="preserve"> and thus could contribute to increased T-cell replication.</w:t>
      </w:r>
      <w:r w:rsidR="00680833">
        <w:rPr>
          <w:rFonts w:cs="Arial"/>
        </w:rPr>
        <w:t xml:space="preserve"> </w:t>
      </w:r>
      <w:r w:rsidR="00B17143">
        <w:rPr>
          <w:rFonts w:cs="Arial"/>
        </w:rPr>
        <w:t xml:space="preserve"> </w:t>
      </w:r>
      <w:r w:rsidR="00AE6404">
        <w:rPr>
          <w:rFonts w:cs="Arial"/>
        </w:rPr>
        <w:t>T</w:t>
      </w:r>
      <w:r w:rsidR="00816475">
        <w:rPr>
          <w:rFonts w:cs="Arial"/>
        </w:rPr>
        <w:t>he</w:t>
      </w:r>
      <w:r w:rsidR="007C4A0D">
        <w:rPr>
          <w:rFonts w:cs="Arial"/>
        </w:rPr>
        <w:t xml:space="preserve"> </w:t>
      </w:r>
      <w:r w:rsidR="00C22667">
        <w:rPr>
          <w:rFonts w:cs="Arial"/>
        </w:rPr>
        <w:t xml:space="preserve">minor </w:t>
      </w:r>
      <w:r w:rsidR="007C4A0D">
        <w:rPr>
          <w:rFonts w:cs="Arial"/>
        </w:rPr>
        <w:t xml:space="preserve">alleles </w:t>
      </w:r>
      <w:r w:rsidR="00AE6404">
        <w:rPr>
          <w:rFonts w:cs="Arial"/>
        </w:rPr>
        <w:t xml:space="preserve">of the two </w:t>
      </w:r>
      <w:r w:rsidR="0090063C">
        <w:rPr>
          <w:rFonts w:cs="Arial"/>
        </w:rPr>
        <w:t>variant</w:t>
      </w:r>
      <w:r w:rsidR="00AE6404">
        <w:rPr>
          <w:rFonts w:cs="Arial"/>
        </w:rPr>
        <w:t xml:space="preserve">s </w:t>
      </w:r>
      <w:r w:rsidR="00CA496B">
        <w:rPr>
          <w:rFonts w:cs="Arial"/>
        </w:rPr>
        <w:t xml:space="preserve">examined in our study </w:t>
      </w:r>
      <w:r w:rsidR="007C4A0D">
        <w:rPr>
          <w:rFonts w:cs="Arial"/>
        </w:rPr>
        <w:t xml:space="preserve">are associated with lower expression of </w:t>
      </w:r>
      <w:r w:rsidR="007C4A0D" w:rsidRPr="00C22667">
        <w:rPr>
          <w:rFonts w:cs="Arial"/>
        </w:rPr>
        <w:t>IL1B</w:t>
      </w:r>
      <w:r w:rsidR="007C4A0D">
        <w:rPr>
          <w:rFonts w:cs="Arial"/>
        </w:rPr>
        <w:t xml:space="preserve"> </w:t>
      </w:r>
      <w:r w:rsidR="0024507C">
        <w:rPr>
          <w:rFonts w:cs="Arial"/>
        </w:rPr>
        <w:fldChar w:fldCharType="begin" w:fldLock="1"/>
      </w:r>
      <w:r w:rsidR="00BB3BE7">
        <w:rPr>
          <w:rFonts w:cs="Arial"/>
        </w:rPr>
        <w:instrText>ADDIN CSL_CITATION {"citationItems":[{"id":"ITEM-1","itemData":{"DOI":"10.1007/978-3-662-44006-3_17","author":[{"dropping-particle":"","family":"Hirbod-Mobarakeh","given":"Armin","non-dropping-particle":"","parse-names":false,"suffix":""},{"dropping-particle":"","family":"Amirzargar","given":"Ali Akbar","non-dropping-particle":"","parse-names":false,"suffix":""},{"dropping-particle":"","family":"Nikbin","given":"Behrouz","non-dropping-particle":"","parse-names":false,"suffix":""},{"dropping-particle":"","family":"Nicknam","given":"Mohammad Hossein","non-dropping-particle":"","parse-names":false,"suffix":""},{"dropping-particle":"","family":"Kutikhin","given":"Anton","non-dropping-particle":"","parse-names":false,"suffix":""},{"dropping-particle":"","family":"Rezaei","given":"Nima","non-dropping-particle":"","parse-names":false,"suffix":""}],"container-title":"Cancer Immunology","id":"ITEM-1","issued":{"date-parts":[["2015"]]},"page":"295-341","publisher":"Springer Berlin Heidelberg","publisher-place":"Berlin, Heidelberg","title":"Immunogenetics of Cancer","type":"chapter"},"uris":["http://www.mendeley.com/documents/?uuid=d54735b3-58e5-3973-aadf-a22109317f5c"]}],"mendeley":{"formattedCitation":"[55]","plainTextFormattedCitation":"[55]","previouslyFormattedCitation":"[54]"},"properties":{"noteIndex":0},"schema":"https://github.com/citation-style-language/schema/raw/master/csl-citation.json"}</w:instrText>
      </w:r>
      <w:r w:rsidR="0024507C">
        <w:rPr>
          <w:rFonts w:cs="Arial"/>
        </w:rPr>
        <w:fldChar w:fldCharType="separate"/>
      </w:r>
      <w:r w:rsidR="00BB3BE7" w:rsidRPr="00BB3BE7">
        <w:rPr>
          <w:rFonts w:cs="Arial"/>
          <w:noProof/>
        </w:rPr>
        <w:t>[55]</w:t>
      </w:r>
      <w:r w:rsidR="0024507C">
        <w:rPr>
          <w:rFonts w:cs="Arial"/>
        </w:rPr>
        <w:fldChar w:fldCharType="end"/>
      </w:r>
      <w:r w:rsidR="00E56778">
        <w:rPr>
          <w:rFonts w:cs="Arial"/>
        </w:rPr>
        <w:t xml:space="preserve"> and</w:t>
      </w:r>
      <w:r w:rsidR="00816475">
        <w:rPr>
          <w:rFonts w:cs="Arial"/>
        </w:rPr>
        <w:t xml:space="preserve"> may </w:t>
      </w:r>
      <w:r w:rsidR="00AE6404">
        <w:rPr>
          <w:rFonts w:cs="Arial"/>
        </w:rPr>
        <w:t>decrease</w:t>
      </w:r>
      <w:r w:rsidR="00816475">
        <w:rPr>
          <w:rFonts w:cs="Arial"/>
        </w:rPr>
        <w:t xml:space="preserve"> T-cell activation in the setting of increased </w:t>
      </w:r>
      <w:r w:rsidR="00AE6404">
        <w:rPr>
          <w:rFonts w:cs="Arial"/>
        </w:rPr>
        <w:t>EBV</w:t>
      </w:r>
      <w:r w:rsidR="00816475">
        <w:rPr>
          <w:rFonts w:cs="Arial"/>
        </w:rPr>
        <w:t xml:space="preserve"> load</w:t>
      </w:r>
      <w:r w:rsidR="00190BC0">
        <w:rPr>
          <w:rFonts w:cs="Arial"/>
        </w:rPr>
        <w:t xml:space="preserve">.  This decrease in activation </w:t>
      </w:r>
      <w:r w:rsidR="00C22667">
        <w:rPr>
          <w:rFonts w:cs="Arial"/>
        </w:rPr>
        <w:t xml:space="preserve">may, in turn, </w:t>
      </w:r>
      <w:r w:rsidR="00AE6404">
        <w:rPr>
          <w:rFonts w:cs="Arial"/>
        </w:rPr>
        <w:t>attenuate</w:t>
      </w:r>
      <w:r w:rsidR="00816475">
        <w:rPr>
          <w:rFonts w:cs="Arial"/>
        </w:rPr>
        <w:t xml:space="preserve"> the effect of IM. </w:t>
      </w:r>
      <w:r w:rsidR="00680833">
        <w:rPr>
          <w:rFonts w:cs="Arial"/>
        </w:rPr>
        <w:t xml:space="preserve"> </w:t>
      </w:r>
      <w:r w:rsidR="008C1AEB">
        <w:rPr>
          <w:rFonts w:cs="Arial"/>
        </w:rPr>
        <w:t xml:space="preserve">rs16944 </w:t>
      </w:r>
      <w:r w:rsidR="00AE6404">
        <w:rPr>
          <w:rFonts w:cs="Arial"/>
        </w:rPr>
        <w:t xml:space="preserve">has </w:t>
      </w:r>
      <w:r w:rsidR="00C22667">
        <w:rPr>
          <w:rFonts w:cs="Arial"/>
        </w:rPr>
        <w:t xml:space="preserve">also </w:t>
      </w:r>
      <w:r w:rsidR="00AE6404">
        <w:rPr>
          <w:rFonts w:cs="Arial"/>
        </w:rPr>
        <w:t xml:space="preserve">been associated with uncontrolled EBV replication </w:t>
      </w:r>
      <w:r w:rsidR="008C1AEB">
        <w:rPr>
          <w:rFonts w:cs="Arial"/>
        </w:rPr>
        <w:t>in liver transplant patients</w:t>
      </w:r>
      <w:r w:rsidR="005D7968">
        <w:rPr>
          <w:rFonts w:cs="Arial"/>
        </w:rPr>
        <w:t>,</w:t>
      </w:r>
      <w:r w:rsidR="008C1AEB">
        <w:rPr>
          <w:rFonts w:cs="Arial"/>
        </w:rPr>
        <w:t xml:space="preserve"> who later develop post-transplant lymphoproliferative disorder </w:t>
      </w:r>
      <w:r w:rsidR="0024507C">
        <w:rPr>
          <w:rFonts w:cs="Arial"/>
        </w:rPr>
        <w:fldChar w:fldCharType="begin" w:fldLock="1"/>
      </w:r>
      <w:r w:rsidR="00BB3BE7">
        <w:rPr>
          <w:rFonts w:cs="Arial"/>
        </w:rPr>
        <w:instrText>ADDIN CSL_CITATION {"citationItems":[{"id":"ITEM-1","itemData":{"DOI":"10.1016/j.jcv.2012.07.005","ISSN":"13866532","abstract":"Background: Epstein-Barr virus (EBV) is associated with most cases of the post-transplant lymphoproliferative disorders developed during the first year after transplantation. The high EBV DNA load constitutes a major risk for the development of EBV-related lymphoproliferations. However, among transplant recipients there are patients with a chronically high viral load (CHVL) who do not develop lymphoproliferations. The polymorphism within cytokine genes might influence the susceptibility to, and contribute to the pathogenesis of the disease. Objectives: The aim of this study was to analyze the genetic polymorphism in the selected cytokines with regard to EBV infection outcome in children after liver transplantation (LTx). Study Design: Thirteen cytokine/cytokine receptor polymorphisms were genotyped in 170 children after LTx, and related to: EBV DNAemia, CHVL onset and the length of CHVL carriage. Results: The study revealed: the protective effect of rare homozygous and heterozygous IL-1β-511 and IL-1 receptor antagonist (IL-1RN VNTR) genotypes against viremia within the first year after LTx (OR = 0.28, p=0.0007 and OR = 0.35, p=0.009, respectively); the protective effect of CC chemokine ligand 2 (CCL2) + 1543CT and TT genotypes against CHVL onset (OR = 0.38, p=0.042); and the prolonged CHVL-resolution in IL12B 3'untranslated region (3'UTR) AC individuals (p=0.034). Conclusions: This data suggests that carriage of IL-1β-511CT/TT and/or IL-1RN VNTR 1.2/2.2 genotype may be beneficial for combating EBV infection. This is the first study reporting the association of CCL2 and IL12B gene polymorphisms with the CHVL carriage in pediatric LTx recipients. © 2012 Elsevier B.V.","author":[{"dropping-particle":"","family":"Kasztelewicz","given":"Beata","non-dropping-particle":"","parse-names":false,"suffix":""},{"dropping-particle":"","family":"Jankowska","given":"Irena","non-dropping-particle":"","parse-names":false,"suffix":""},{"dropping-particle":"","family":"Pawłowska","given":"Joanna","non-dropping-particle":"","parse-names":false,"suffix":""},{"dropping-particle":"","family":"Teisseyre","given":"Joanna","non-dropping-particle":"","parse-names":false,"suffix":""},{"dropping-particle":"","family":"Dzierzanowska-Fangrat","given":"Katarzyna","non-dropping-particle":"","parse-names":false,"suffix":""}],"container-title":"Journal of Clinical Virology","id":"ITEM-1","issue":"3","issued":{"date-parts":[["2012","11","1"]]},"page":"226-232","publisher":"Elsevier","title":"The impact of cytokine gene polymorphisms on Epstein-Barr virus infection outcome in pediatric liver transplant recipients","type":"article-journal","volume":"55"},"uris":["http://www.mendeley.com/documents/?uuid=e1882b76-f824-3c7e-a124-1c6d4b27269b"]}],"mendeley":{"formattedCitation":"[56]","plainTextFormattedCitation":"[56]","previouslyFormattedCitation":"[55]"},"properties":{"noteIndex":0},"schema":"https://github.com/citation-style-language/schema/raw/master/csl-citation.json"}</w:instrText>
      </w:r>
      <w:r w:rsidR="0024507C">
        <w:rPr>
          <w:rFonts w:cs="Arial"/>
        </w:rPr>
        <w:fldChar w:fldCharType="separate"/>
      </w:r>
      <w:r w:rsidR="00BB3BE7" w:rsidRPr="00BB3BE7">
        <w:rPr>
          <w:rFonts w:cs="Arial"/>
          <w:noProof/>
        </w:rPr>
        <w:t>[56]</w:t>
      </w:r>
      <w:r w:rsidR="0024507C">
        <w:rPr>
          <w:rFonts w:cs="Arial"/>
        </w:rPr>
        <w:fldChar w:fldCharType="end"/>
      </w:r>
      <w:r w:rsidR="00AE6404">
        <w:rPr>
          <w:rFonts w:cs="Arial"/>
        </w:rPr>
        <w:t xml:space="preserve">, suggesting a link between </w:t>
      </w:r>
      <w:r w:rsidR="00AE6404" w:rsidRPr="00C22667">
        <w:rPr>
          <w:rFonts w:cs="Arial"/>
        </w:rPr>
        <w:t>IL</w:t>
      </w:r>
      <w:r w:rsidR="005D7968">
        <w:rPr>
          <w:rFonts w:cs="Arial"/>
        </w:rPr>
        <w:t>-</w:t>
      </w:r>
      <w:r w:rsidR="00AE6404" w:rsidRPr="00C22667">
        <w:rPr>
          <w:rFonts w:cs="Arial"/>
        </w:rPr>
        <w:t>1B</w:t>
      </w:r>
      <w:r w:rsidR="00AE6404">
        <w:rPr>
          <w:rFonts w:cs="Arial"/>
        </w:rPr>
        <w:t xml:space="preserve"> a</w:t>
      </w:r>
      <w:r w:rsidR="0024507C">
        <w:rPr>
          <w:rFonts w:cs="Arial"/>
        </w:rPr>
        <w:t>nd dysfunctional control of EBV</w:t>
      </w:r>
      <w:r w:rsidR="008C1AEB">
        <w:rPr>
          <w:rFonts w:cs="Arial"/>
        </w:rPr>
        <w:t xml:space="preserve">. </w:t>
      </w:r>
      <w:r w:rsidR="00E16BD9">
        <w:rPr>
          <w:rFonts w:cs="Arial"/>
        </w:rPr>
        <w:t>There was a</w:t>
      </w:r>
      <w:r w:rsidR="00CA496B">
        <w:rPr>
          <w:rFonts w:cs="Arial"/>
        </w:rPr>
        <w:t>lso</w:t>
      </w:r>
      <w:r w:rsidR="00E16BD9">
        <w:rPr>
          <w:rFonts w:cs="Arial"/>
        </w:rPr>
        <w:t xml:space="preserve"> suggestive association between the functional variant rs1800797 </w:t>
      </w:r>
      <w:r w:rsidR="00CA496B">
        <w:rPr>
          <w:rFonts w:cs="Arial"/>
        </w:rPr>
        <w:t xml:space="preserve">in the </w:t>
      </w:r>
      <w:r w:rsidR="00CA496B" w:rsidRPr="00696B26">
        <w:rPr>
          <w:rFonts w:cs="Arial"/>
          <w:i/>
        </w:rPr>
        <w:t>IL6</w:t>
      </w:r>
      <w:r w:rsidR="00CA496B">
        <w:rPr>
          <w:rFonts w:cs="Arial"/>
        </w:rPr>
        <w:t xml:space="preserve"> gene promoter region </w:t>
      </w:r>
      <w:r w:rsidR="004322B3">
        <w:rPr>
          <w:rFonts w:cs="Arial"/>
        </w:rPr>
        <w:t>and</w:t>
      </w:r>
      <w:r w:rsidR="00E16BD9">
        <w:rPr>
          <w:rFonts w:cs="Arial"/>
        </w:rPr>
        <w:t xml:space="preserve"> risk of </w:t>
      </w:r>
      <w:r w:rsidR="006F2BA3">
        <w:rPr>
          <w:rFonts w:cs="Arial"/>
        </w:rPr>
        <w:t>TCL</w:t>
      </w:r>
      <w:r w:rsidR="00E16BD9">
        <w:rPr>
          <w:rFonts w:cs="Arial"/>
        </w:rPr>
        <w:t xml:space="preserve">. </w:t>
      </w:r>
      <w:r w:rsidR="008C1AEB">
        <w:rPr>
          <w:rFonts w:cs="Arial"/>
        </w:rPr>
        <w:t xml:space="preserve"> </w:t>
      </w:r>
      <w:r w:rsidR="00C01038">
        <w:rPr>
          <w:rFonts w:cs="Arial"/>
        </w:rPr>
        <w:t>Th</w:t>
      </w:r>
      <w:r w:rsidR="004322B3">
        <w:rPr>
          <w:rFonts w:cs="Arial"/>
        </w:rPr>
        <w:t xml:space="preserve">rough complex interactions </w:t>
      </w:r>
      <w:r w:rsidR="00A4274F">
        <w:rPr>
          <w:rFonts w:cs="Arial"/>
        </w:rPr>
        <w:t xml:space="preserve">with </w:t>
      </w:r>
      <w:r w:rsidR="004322B3">
        <w:rPr>
          <w:rFonts w:cs="Arial"/>
        </w:rPr>
        <w:t xml:space="preserve">nearby variants, rs1800797 regulates the gene that encodes the inflammatory cytokine IL6, which influences </w:t>
      </w:r>
      <w:r w:rsidR="00CA496B">
        <w:rPr>
          <w:rFonts w:cs="Arial"/>
        </w:rPr>
        <w:t>growth and differentiation of T-cells</w:t>
      </w:r>
      <w:r w:rsidR="00ED269D">
        <w:rPr>
          <w:rFonts w:cs="Arial"/>
        </w:rPr>
        <w:t>, among many other immune functions</w:t>
      </w:r>
      <w:r w:rsidR="00190BC0">
        <w:rPr>
          <w:rFonts w:cs="Arial"/>
        </w:rPr>
        <w:t xml:space="preserve"> </w:t>
      </w:r>
      <w:r w:rsidR="00C06C16">
        <w:rPr>
          <w:rFonts w:cs="Arial"/>
        </w:rPr>
        <w:fldChar w:fldCharType="begin" w:fldLock="1"/>
      </w:r>
      <w:r w:rsidR="00BB3BE7">
        <w:rPr>
          <w:rFonts w:cs="Arial"/>
        </w:rPr>
        <w:instrText>ADDIN CSL_CITATION {"citationItems":[{"id":"ITEM-1","itemData":{"DOI":"10.1074/jbc.M000379200","ISBN":"4418652876","ISSN":"00219258","PMID":"10747905","abstract":"Interleukin 6 (IL6) plays key roles in hematopoiesis, immune, and acute phase responses. Dysregulated IL6 expression is implicated in diseases such as atherosclerosis and arthritis. We have examined the functional effect of four polymorphisms in the IL6 promoter (-597G--&gt;A, -572G--&gt;C, -373A(n)T(n), -174G--&gt;C) by identifying the naturally occurring haplotypes and comparing their effects on reporter gene expression. The results indicate different transcriptional regulation in the ECV304 cell line compared with the HeLa cell line, suggesting cell type-specific regulation of IL6 expression. The haplotypes showed functional differences in the ECV304 cell line; transcription was higher from the GG9/11G haplotype and lower from the AG8/12G allele. The differences suggest that more than one of the polymorphic sites is functional; the base differences at distinct polymorphic sites do not act independently of one another, and one polymorphism influences the functional effect of variation at other polymorphic sites. These results show that genetic polymorphisms in the promoter influence IL6 transcription not by a simple additive mechanism but rather through complex interactions determined by the haplotype.","author":[{"dropping-particle":"","family":"Terry","given":"Catherine F","non-dropping-particle":"","parse-names":false,"suffix":""},{"dropping-particle":"","family":"Loukaci","given":"Valerie","non-dropping-particle":"","parse-names":false,"suffix":""},{"dropping-particle":"","family":"Green","given":"Fiona R","non-dropping-particle":"","parse-names":false,"suffix":""}],"container-title":"Journal of Biological Chemistry","id":"ITEM-1","issue":"24","issued":{"date-parts":[["2000","6","16"]]},"page":"18138-18144","publisher":"American Society for Biochemistry and Molecular Biology","title":"Cooperative influence of genetic polymorphisms on interleukin 6 transcriptional regulation","type":"article-journal","volume":"275"},"uris":["http://www.mendeley.com/documents/?uuid=6bb43f8e-d0bc-3c5e-bfd7-33e8a5d94a5b"]},{"id":"ITEM-2","itemData":{"DOI":"10.1159/000354194","ISSN":"16603796","PMID":"24273487","abstract":"Almost 3 decades have passed since the discovery and cloning of IL-6, and a tremendous amount of work has contributed to the current knowledge of the biological functions of this cytokine, its receptor, and the signaling pathways that are activated. The understanding of the role of IL-6 in human disease has led to the development of novel therapeutic strategies that block the biological functions of IL-6. In clinical studies, IL-6 and IL-6 receptor antibodies have proven efficacy in rheumatoid arthritis, systemic juvenile idiopathic arthritis, and Castleman's disease, conditions that are known to be driven by IL-6. The focus of this overview is the role of IL-6 in the pathophysiology of hematological malignancies.","author":[{"dropping-particle":"","family":"Burger","given":"Renate","non-dropping-particle":"","parse-names":false,"suffix":""}],"container-title":"Transfusion Medicine and Hemotherapy","id":"ITEM-2","issue":"5","issued":{"date-parts":[["2013","10"]]},"page":"336-343","publisher":"Karger Publishers","title":"Impact of Interleukin-6 in hematological malignancies","type":"article","volume":"40"},"uris":["http://www.mendeley.com/documents/?uuid=d613c051-f31c-3227-a6ce-faa3ccbf2c2e"]}],"mendeley":{"formattedCitation":"[57,58]","plainTextFormattedCitation":"[57,58]","previouslyFormattedCitation":"[56,57]"},"properties":{"noteIndex":0},"schema":"https://github.com/citation-style-language/schema/raw/master/csl-citation.json"}</w:instrText>
      </w:r>
      <w:r w:rsidR="00C06C16">
        <w:rPr>
          <w:rFonts w:cs="Arial"/>
        </w:rPr>
        <w:fldChar w:fldCharType="separate"/>
      </w:r>
      <w:r w:rsidR="00BB3BE7" w:rsidRPr="00BB3BE7">
        <w:rPr>
          <w:rFonts w:cs="Arial"/>
          <w:noProof/>
        </w:rPr>
        <w:t>[57,58]</w:t>
      </w:r>
      <w:r w:rsidR="00C06C16">
        <w:rPr>
          <w:rFonts w:cs="Arial"/>
        </w:rPr>
        <w:fldChar w:fldCharType="end"/>
      </w:r>
      <w:r w:rsidR="004322B3">
        <w:rPr>
          <w:rFonts w:cs="Arial"/>
        </w:rPr>
        <w:t xml:space="preserve">. </w:t>
      </w:r>
      <w:r w:rsidR="00ED16A5">
        <w:rPr>
          <w:rFonts w:cs="Arial"/>
        </w:rPr>
        <w:t xml:space="preserve">Follow-up of </w:t>
      </w:r>
      <w:r w:rsidR="00E16BD9">
        <w:rPr>
          <w:rFonts w:cs="Arial"/>
        </w:rPr>
        <w:t>these</w:t>
      </w:r>
      <w:r w:rsidR="00ED16A5">
        <w:rPr>
          <w:rFonts w:cs="Arial"/>
        </w:rPr>
        <w:t xml:space="preserve"> observation</w:t>
      </w:r>
      <w:r w:rsidR="00E16BD9">
        <w:rPr>
          <w:rFonts w:cs="Arial"/>
        </w:rPr>
        <w:t>s</w:t>
      </w:r>
      <w:r w:rsidR="00ED16A5">
        <w:rPr>
          <w:rFonts w:cs="Arial"/>
        </w:rPr>
        <w:t xml:space="preserve"> </w:t>
      </w:r>
      <w:r w:rsidR="008C1AEB">
        <w:rPr>
          <w:rFonts w:cs="Arial"/>
        </w:rPr>
        <w:t xml:space="preserve">in a targeted study </w:t>
      </w:r>
      <w:r w:rsidR="00C22667">
        <w:rPr>
          <w:rFonts w:cs="Arial"/>
        </w:rPr>
        <w:t>is</w:t>
      </w:r>
      <w:r w:rsidR="008C1AEB">
        <w:rPr>
          <w:rFonts w:cs="Arial"/>
        </w:rPr>
        <w:t xml:space="preserve"> warranted </w:t>
      </w:r>
      <w:r w:rsidR="00ED16A5">
        <w:rPr>
          <w:rFonts w:cs="Arial"/>
        </w:rPr>
        <w:t xml:space="preserve">because of the </w:t>
      </w:r>
      <w:r w:rsidR="008C1AEB">
        <w:rPr>
          <w:rFonts w:cs="Arial"/>
        </w:rPr>
        <w:t xml:space="preserve">potential </w:t>
      </w:r>
      <w:r w:rsidR="00AE6404">
        <w:rPr>
          <w:rFonts w:cs="Arial"/>
        </w:rPr>
        <w:t xml:space="preserve">biological </w:t>
      </w:r>
      <w:r w:rsidR="008C1AEB">
        <w:rPr>
          <w:rFonts w:cs="Arial"/>
        </w:rPr>
        <w:t>pathway</w:t>
      </w:r>
      <w:r w:rsidR="00827735">
        <w:rPr>
          <w:rFonts w:cs="Arial"/>
        </w:rPr>
        <w:t>.</w:t>
      </w:r>
    </w:p>
    <w:p w14:paraId="4EDF5B1C" w14:textId="1144C9AF" w:rsidR="009F45A3" w:rsidRDefault="004D7C2E" w:rsidP="00887B34">
      <w:pPr>
        <w:spacing w:line="480" w:lineRule="auto"/>
        <w:ind w:firstLine="720"/>
        <w:rPr>
          <w:rFonts w:cs="Arial"/>
        </w:rPr>
      </w:pPr>
      <w:r>
        <w:rPr>
          <w:rFonts w:cs="Arial"/>
        </w:rPr>
        <w:t>Among controls, i</w:t>
      </w:r>
      <w:r w:rsidR="00926515" w:rsidRPr="003D037E">
        <w:rPr>
          <w:rFonts w:cs="Arial"/>
        </w:rPr>
        <w:t>ncreasing</w:t>
      </w:r>
      <w:r w:rsidR="000D1867" w:rsidRPr="003D037E">
        <w:rPr>
          <w:rFonts w:cs="Arial"/>
        </w:rPr>
        <w:t xml:space="preserve"> SES </w:t>
      </w:r>
      <w:r w:rsidR="00926515" w:rsidRPr="003D037E">
        <w:rPr>
          <w:rFonts w:cs="Arial"/>
        </w:rPr>
        <w:t>was associated with elevated risk of IM</w:t>
      </w:r>
      <w:r>
        <w:rPr>
          <w:rFonts w:cs="Arial"/>
        </w:rPr>
        <w:t>;</w:t>
      </w:r>
      <w:r w:rsidRPr="003D037E">
        <w:rPr>
          <w:rFonts w:cs="Arial"/>
        </w:rPr>
        <w:t xml:space="preserve"> </w:t>
      </w:r>
      <w:r>
        <w:rPr>
          <w:rFonts w:cs="Arial"/>
        </w:rPr>
        <w:t>the risk of</w:t>
      </w:r>
      <w:r w:rsidR="00926515" w:rsidRPr="003D037E">
        <w:rPr>
          <w:rFonts w:cs="Arial"/>
        </w:rPr>
        <w:t xml:space="preserve"> IM </w:t>
      </w:r>
      <w:r>
        <w:rPr>
          <w:rFonts w:cs="Arial"/>
        </w:rPr>
        <w:t>was</w:t>
      </w:r>
      <w:r w:rsidR="00642F46">
        <w:rPr>
          <w:rFonts w:eastAsia="MS Mincho" w:cs="Arial"/>
        </w:rPr>
        <w:t xml:space="preserve"> </w:t>
      </w:r>
      <w:r w:rsidR="007F2EA8">
        <w:rPr>
          <w:rFonts w:eastAsia="MS Mincho" w:cs="Arial"/>
        </w:rPr>
        <w:t xml:space="preserve">roughly </w:t>
      </w:r>
      <w:r w:rsidR="0097729A">
        <w:rPr>
          <w:rFonts w:eastAsia="MS Mincho" w:cs="Arial"/>
        </w:rPr>
        <w:t>two times</w:t>
      </w:r>
      <w:r w:rsidR="00642F46">
        <w:rPr>
          <w:rFonts w:eastAsia="MS Mincho" w:cs="Arial"/>
        </w:rPr>
        <w:t xml:space="preserve"> </w:t>
      </w:r>
      <w:r w:rsidR="00926515" w:rsidRPr="003D037E">
        <w:rPr>
          <w:rFonts w:cs="Arial"/>
        </w:rPr>
        <w:t>high</w:t>
      </w:r>
      <w:r>
        <w:rPr>
          <w:rFonts w:cs="Arial"/>
        </w:rPr>
        <w:t>er</w:t>
      </w:r>
      <w:r w:rsidR="00926515" w:rsidRPr="003D037E">
        <w:rPr>
          <w:rFonts w:cs="Arial"/>
        </w:rPr>
        <w:t xml:space="preserve"> among </w:t>
      </w:r>
      <w:r>
        <w:rPr>
          <w:rFonts w:cs="Arial"/>
        </w:rPr>
        <w:t>high</w:t>
      </w:r>
      <w:r w:rsidR="00E56778">
        <w:rPr>
          <w:rFonts w:cs="Arial"/>
        </w:rPr>
        <w:t xml:space="preserve"> </w:t>
      </w:r>
      <w:r w:rsidR="00E56778" w:rsidRPr="003D037E">
        <w:rPr>
          <w:rFonts w:cs="Arial"/>
        </w:rPr>
        <w:t>SES participants</w:t>
      </w:r>
      <w:r>
        <w:rPr>
          <w:rFonts w:cs="Arial"/>
        </w:rPr>
        <w:t xml:space="preserve"> compared to low </w:t>
      </w:r>
      <w:r w:rsidR="00926515" w:rsidRPr="003D037E">
        <w:rPr>
          <w:rFonts w:cs="Arial"/>
        </w:rPr>
        <w:t>SES participants</w:t>
      </w:r>
      <w:r w:rsidR="00ED16A5">
        <w:rPr>
          <w:rFonts w:cs="Arial"/>
        </w:rPr>
        <w:t xml:space="preserve">. </w:t>
      </w:r>
      <w:r w:rsidR="00381488">
        <w:rPr>
          <w:rFonts w:cs="Arial"/>
        </w:rPr>
        <w:t>This</w:t>
      </w:r>
      <w:r w:rsidR="00ED16A5">
        <w:rPr>
          <w:rFonts w:cs="Arial"/>
        </w:rPr>
        <w:t xml:space="preserve"> observation</w:t>
      </w:r>
      <w:r w:rsidR="00642F46">
        <w:rPr>
          <w:rFonts w:cs="Arial"/>
        </w:rPr>
        <w:t xml:space="preserve"> </w:t>
      </w:r>
      <w:r w:rsidR="00D96D4C">
        <w:rPr>
          <w:rFonts w:cs="Arial"/>
        </w:rPr>
        <w:t>is</w:t>
      </w:r>
      <w:r w:rsidR="00926515" w:rsidRPr="003D037E">
        <w:rPr>
          <w:rFonts w:cs="Arial"/>
        </w:rPr>
        <w:t xml:space="preserve"> consistent with previous studies</w:t>
      </w:r>
      <w:r w:rsidR="005D7968">
        <w:rPr>
          <w:rFonts w:cs="Arial"/>
        </w:rPr>
        <w:t>,</w:t>
      </w:r>
      <w:r w:rsidR="00926515" w:rsidRPr="003D037E">
        <w:rPr>
          <w:rFonts w:cs="Arial"/>
        </w:rPr>
        <w:t xml:space="preserve"> which have </w:t>
      </w:r>
      <w:r w:rsidR="00BE5B47">
        <w:rPr>
          <w:rFonts w:cs="Arial"/>
        </w:rPr>
        <w:t>suggested</w:t>
      </w:r>
      <w:r w:rsidR="00BE5B47" w:rsidRPr="003D037E">
        <w:rPr>
          <w:rFonts w:cs="Arial"/>
        </w:rPr>
        <w:t xml:space="preserve"> </w:t>
      </w:r>
      <w:r w:rsidR="00926515" w:rsidRPr="003D037E">
        <w:rPr>
          <w:rFonts w:cs="Arial"/>
        </w:rPr>
        <w:t>high SES</w:t>
      </w:r>
      <w:r w:rsidR="000C4ED3">
        <w:rPr>
          <w:rFonts w:cs="Arial"/>
        </w:rPr>
        <w:t xml:space="preserve"> </w:t>
      </w:r>
      <w:r w:rsidR="00ED16A5">
        <w:rPr>
          <w:rFonts w:cs="Arial"/>
        </w:rPr>
        <w:t xml:space="preserve">is </w:t>
      </w:r>
      <w:r w:rsidR="0004732A">
        <w:rPr>
          <w:rFonts w:cs="Arial"/>
        </w:rPr>
        <w:t xml:space="preserve">a surrogate for a lower probability of EBV exposure in early life </w:t>
      </w:r>
      <w:r w:rsidR="007F2EA8">
        <w:rPr>
          <w:rFonts w:cs="Arial"/>
        </w:rPr>
        <w:t>(</w:t>
      </w:r>
      <w:r w:rsidR="00ED16A5">
        <w:rPr>
          <w:rFonts w:cs="Arial"/>
        </w:rPr>
        <w:t>due to fewer siblings and less crowded environments</w:t>
      </w:r>
      <w:r w:rsidR="007F2EA8">
        <w:rPr>
          <w:rFonts w:cs="Arial"/>
        </w:rPr>
        <w:t>)</w:t>
      </w:r>
      <w:r w:rsidR="0004732A">
        <w:rPr>
          <w:rFonts w:cs="Arial"/>
        </w:rPr>
        <w:t xml:space="preserve"> </w:t>
      </w:r>
      <w:r w:rsidR="00ED16A5">
        <w:rPr>
          <w:rFonts w:cs="Arial"/>
        </w:rPr>
        <w:t>and thus</w:t>
      </w:r>
      <w:r w:rsidR="005D7968">
        <w:rPr>
          <w:rFonts w:cs="Arial"/>
        </w:rPr>
        <w:t>,</w:t>
      </w:r>
      <w:r w:rsidR="00ED16A5">
        <w:rPr>
          <w:rFonts w:cs="Arial"/>
        </w:rPr>
        <w:t xml:space="preserve"> a higher risk of developing IM</w:t>
      </w:r>
      <w:r w:rsidR="000C31B7">
        <w:rPr>
          <w:rFonts w:cs="Arial"/>
        </w:rPr>
        <w:t xml:space="preserve"> </w:t>
      </w:r>
      <w:r w:rsidR="0024507C">
        <w:rPr>
          <w:rFonts w:cs="Arial"/>
        </w:rPr>
        <w:fldChar w:fldCharType="begin" w:fldLock="1"/>
      </w:r>
      <w:r w:rsidR="00BB3BE7">
        <w:rPr>
          <w:rFonts w:cs="Arial"/>
        </w:rPr>
        <w:instrText>ADDIN CSL_CITATION {"citationItems":[{"id":"ITEM-1","itemData":{"DOI":"10.1007/978-1-4899-7448-8","ISBN":"978-1-4899-7447-1","author":[{"dropping-particle":"","family":"Macsween","given":"Karen F.","non-dropping-particle":"","parse-names":false,"suffix":""},{"dropping-particle":"","family":"Johannessen","given":"Ingólfur","non-dropping-particle":"","parse-names":false,"suffix":""}],"chapter-number":"Chapter 38","container-title":"Viral Infections of Humans: Epidemiology and Control","editor":[{"dropping-particle":"","family":"Kaslow","given":"Richard A.","non-dropping-particle":"","parse-names":false,"suffix":""},{"dropping-particle":"","family":"Stanberry","given":"Lawrence R.","non-dropping-particle":"","parse-names":false,"suffix":""},{"dropping-particle":"","family":"Duc","given":"James W.","non-dropping-particle":"Le","parse-names":false,"suffix":""}],"id":"ITEM-1","issued":{"date-parts":[["2014"]]},"page":"867-896","publisher":"Springer US","publisher-place":"Boston, MA","title":"Epstein-Barr Virus (EBV): Infectious Mononucleosis and Other Non-malignant EBV-Associated Diseases","type":"chapter"},"uris":["http://www.mendeley.com/documents/?uuid=713855e2-cba3-4da3-9e22-f2f3a344f9dc"]},{"id":"ITEM-2","itemData":{"abstract":"The socio-economic status of 80 patients with infectious mononucleosis was compared with the socio-economic distribution of the general population in the same area of south-west London. An excess incidence of infectious mononucleosis was observed among subjects from upper socio-economic groups. A possible relationship between this observation and the epidemiology of the Epstein-Barr virus is discussed.","author":[{"dropping-particle":"","family":"Nye","given":"F J","non-dropping-particle":"","parse-names":false,"suffix":""}],"container-title":"The Journal of hygiene","id":"ITEM-2","issue":"1","issued":{"date-parts":[["1973"]]},"page":"145-149","title":"Social class and infectious mononucleosis.","type":"article-journal","volume":"71"},"uris":["http://www.mendeley.com/documents/?uuid=b21134a2-c6f6-4f11-8cbf-64834f48a5e9"]},{"id":"ITEM-3","itemData":{"DOI":"10.1001/jama.1970.03170260036009","ISSN":"0098-7484","author":[{"dropping-particle":"","family":"Lehane","given":"Daniel E.","non-dropping-particle":"","parse-names":false,"suffix":""}],"container-title":"JAMA","id":"ITEM-3","issue":"13","issued":{"date-parts":[["1970","6","29"]]},"page":"2240","publisher":"American Medical Association","title":"A Seroepidemiologic Study of Infectious Mononucleosis","type":"article-journal","volume":"212"},"uris":["http://www.mendeley.com/documents/?uuid=a6cb60bb-9a53-482d-9beb-35df2ae8b6dd"]},{"id":"ITEM-4","itemData":{"ISSN":"0022-1899","PMID":"163869","abstract":"The prevalence and titers of antibodies to capsid antigens of Epstein-Barr virus ad to the diffuse and restricted components of the Epstein-Barr virus-induced early antigen complex were determined in 109 families of a semirural community in Louisiana. Titers of antibody to the capsid antigens larger than or equal to 10 were found in 84 percent of children aged two to five years, and the prevalence increased with age to nearly 100 percent. There was a positive but variable correlation of the prevalence of anti-capsid antigen reactivity with low socioeconomic status and crowding. An overrepresentation of high titers of antibody to capsid antigens was present in individuals with a past history of pneumonia and urinary tract infections. The geometric mean titers of antibody to capsid antigens were highest in early childhood, lowest in adolescence and young adulthood, and high in the elderly. Females in all age groups and tonsillectomized children showed a higher geometric mean titer than their male and nontonsillectomized counterparts, respectively. Antibodies to the early antigen complex were found rarely (8.2 percent) and only in sera with relatively high titers of antibody to capsid antigens.","author":[{"dropping-particle":"V","family":"Sumaya","given":"C","non-dropping-particle":"","parse-names":false,"suffix":""},{"dropping-particle":"","family":"Henle","given":"W","non-dropping-particle":"","parse-names":false,"suffix":""},{"dropping-particle":"","family":"Henle","given":"G","non-dropping-particle":"","parse-names":false,"suffix":""},{"dropping-particle":"","family":"Smith","given":"M H","non-dropping-particle":"","parse-names":false,"suffix":""},{"dropping-particle":"","family":"LeBlanc","given":"D","non-dropping-particle":"","parse-names":false,"suffix":""}],"container-title":"The Journal of infectious diseases","id":"ITEM-4","issue":"4","issued":{"date-parts":[["1975","4"]]},"page":"403-8","title":"Seroepidemiologic study of Epstein-Barr virus infections in a rural community.","type":"article-journal","volume":"131"},"uris":["http://www.mendeley.com/documents/?uuid=12e21257-69ff-49dc-a664-62e8ecb66ad3"]}],"mendeley":{"formattedCitation":"[18,59–61]","plainTextFormattedCitation":"[18,59–61]","previouslyFormattedCitation":"[18,58–60]"},"properties":{"noteIndex":0},"schema":"https://github.com/citation-style-language/schema/raw/master/csl-citation.json"}</w:instrText>
      </w:r>
      <w:r w:rsidR="0024507C">
        <w:rPr>
          <w:rFonts w:cs="Arial"/>
        </w:rPr>
        <w:fldChar w:fldCharType="separate"/>
      </w:r>
      <w:r w:rsidR="00BB3BE7" w:rsidRPr="00BB3BE7">
        <w:rPr>
          <w:rFonts w:cs="Arial"/>
          <w:noProof/>
        </w:rPr>
        <w:t>[18,59–61]</w:t>
      </w:r>
      <w:r w:rsidR="0024507C">
        <w:rPr>
          <w:rFonts w:cs="Arial"/>
        </w:rPr>
        <w:fldChar w:fldCharType="end"/>
      </w:r>
      <w:r w:rsidR="008E319D">
        <w:rPr>
          <w:rFonts w:cs="Arial"/>
        </w:rPr>
        <w:t>. I</w:t>
      </w:r>
      <w:r w:rsidR="00C22667">
        <w:rPr>
          <w:rFonts w:cs="Arial"/>
        </w:rPr>
        <w:t xml:space="preserve">n our study, </w:t>
      </w:r>
      <w:r w:rsidR="008E319D">
        <w:rPr>
          <w:rFonts w:cs="Arial"/>
        </w:rPr>
        <w:t xml:space="preserve">we observed a </w:t>
      </w:r>
      <w:r w:rsidR="000037B3">
        <w:rPr>
          <w:rFonts w:cs="Arial"/>
        </w:rPr>
        <w:t>strong</w:t>
      </w:r>
      <w:r w:rsidR="008E319D">
        <w:rPr>
          <w:rFonts w:cs="Arial"/>
        </w:rPr>
        <w:t xml:space="preserve"> relationship between </w:t>
      </w:r>
      <w:r w:rsidR="000037B3">
        <w:rPr>
          <w:rFonts w:cs="Arial"/>
        </w:rPr>
        <w:t xml:space="preserve">large </w:t>
      </w:r>
      <w:r w:rsidR="008E319D">
        <w:rPr>
          <w:rFonts w:cs="Arial"/>
        </w:rPr>
        <w:t>sibship size and IM (</w:t>
      </w:r>
      <w:r w:rsidR="00135F8F">
        <w:rPr>
          <w:rFonts w:cs="Arial"/>
        </w:rPr>
        <w:fldChar w:fldCharType="begin"/>
      </w:r>
      <w:r w:rsidR="00135F8F">
        <w:rPr>
          <w:rFonts w:cs="Arial"/>
        </w:rPr>
        <w:instrText xml:space="preserve"> REF _Ref517638989 </w:instrText>
      </w:r>
      <w:r w:rsidR="00135F8F">
        <w:rPr>
          <w:rFonts w:cs="Arial"/>
        </w:rPr>
        <w:fldChar w:fldCharType="separate"/>
      </w:r>
      <w:r w:rsidR="00135F8F">
        <w:t xml:space="preserve">Table </w:t>
      </w:r>
      <w:r w:rsidR="00135F8F">
        <w:rPr>
          <w:noProof/>
        </w:rPr>
        <w:t>5</w:t>
      </w:r>
      <w:r w:rsidR="00135F8F">
        <w:rPr>
          <w:rFonts w:cs="Arial"/>
        </w:rPr>
        <w:fldChar w:fldCharType="end"/>
      </w:r>
      <w:r w:rsidR="00135F8F">
        <w:rPr>
          <w:rFonts w:cs="Arial"/>
        </w:rPr>
        <w:t xml:space="preserve">, </w:t>
      </w:r>
      <w:r w:rsidR="008E319D" w:rsidRPr="008E319D">
        <w:rPr>
          <w:rFonts w:cs="Arial"/>
        </w:rPr>
        <w:t>p</w:t>
      </w:r>
      <w:r w:rsidR="000037B3">
        <w:rPr>
          <w:rFonts w:cs="Arial"/>
          <w:vertAlign w:val="subscript"/>
        </w:rPr>
        <w:t>Bon</w:t>
      </w:r>
      <w:r w:rsidR="00620475">
        <w:rPr>
          <w:rFonts w:cs="Arial"/>
        </w:rPr>
        <w:t>=</w:t>
      </w:r>
      <w:r w:rsidR="000037B3">
        <w:rPr>
          <w:rFonts w:cs="Arial"/>
        </w:rPr>
        <w:t>0.0</w:t>
      </w:r>
      <w:r w:rsidR="00620475">
        <w:rPr>
          <w:rFonts w:cs="Arial"/>
        </w:rPr>
        <w:t>01</w:t>
      </w:r>
      <w:r w:rsidR="008E319D">
        <w:rPr>
          <w:rFonts w:cs="Arial"/>
        </w:rPr>
        <w:t>)</w:t>
      </w:r>
      <w:r w:rsidR="000037B3">
        <w:rPr>
          <w:rFonts w:cs="Arial"/>
        </w:rPr>
        <w:t xml:space="preserve"> among controls born before 1960 but not in those born after 1960.  Controls born after 1960 may have been more likely to attend preschool, which would </w:t>
      </w:r>
      <w:r w:rsidR="0004732A">
        <w:rPr>
          <w:rFonts w:cs="Arial"/>
        </w:rPr>
        <w:t>provide EBV exposure in early life and simulate a large family.  Alternatively, it may be that after 1960, overcrowding decreased</w:t>
      </w:r>
      <w:r w:rsidR="007F2EA8">
        <w:rPr>
          <w:rFonts w:cs="Arial"/>
        </w:rPr>
        <w:t>,</w:t>
      </w:r>
      <w:r w:rsidR="0004732A">
        <w:rPr>
          <w:rFonts w:cs="Arial"/>
        </w:rPr>
        <w:t xml:space="preserve"> and hygienic behaviors </w:t>
      </w:r>
      <w:r w:rsidR="0004732A">
        <w:rPr>
          <w:rFonts w:cs="Arial"/>
        </w:rPr>
        <w:lastRenderedPageBreak/>
        <w:t>generally increased, mitigating the importance of family size</w:t>
      </w:r>
      <w:r w:rsidR="008E319D">
        <w:rPr>
          <w:rFonts w:cs="Arial"/>
        </w:rPr>
        <w:t>.</w:t>
      </w:r>
      <w:r w:rsidR="00A15969">
        <w:rPr>
          <w:rFonts w:cs="Arial"/>
        </w:rPr>
        <w:t xml:space="preserve">  The findings for our controls born before 1960 are consistent with previous reports of inverse associations between sibship size and IM </w:t>
      </w:r>
      <w:r w:rsidR="00A15969">
        <w:rPr>
          <w:rFonts w:cs="Arial"/>
        </w:rPr>
        <w:fldChar w:fldCharType="begin" w:fldLock="1"/>
      </w:r>
      <w:r w:rsidR="00BB3BE7">
        <w:rPr>
          <w:rFonts w:cs="Arial"/>
        </w:rPr>
        <w:instrText>ADDIN CSL_CITATION {"citationItems":[{"id":"ITEM-1","itemData":{"DOI":"10.1093/ije/dyu118","ISBN":"2008540472","ISSN":"14643685","PMID":"25436250","abstract":"BACKGROUND Present understanding of increased risk of Epstein-Barr virus (EBV)-related infectious mononucleosis among children of low birth order or small sibships is mainly based on old and indirect evidence. Societal changes and methodological limitations of previous studies call for new data. METHODS We used data from the Danish Civil Registration System and the Danish National Hospital Discharge Register to study incidence rates of inpatient hospitalizations for infectious mononucleosis before the age of 20 years in a cohort of 2,543,225 Danes born between 1971 and 2008, taking individual sibship structure into account. RESULTS A total of 12,872 cases of infectious mononucleosis were observed during 35.3 million person-years of follow-up. Statistical modelling showed that increasing sibship size was associated with a reduced risk of infectious mononucleosis and that younger siblings conferred more protection from infectious mononucleosis than older siblings. In addition to this general association with younger and older siblings, children aged less than 4 years transiently increased their siblings’ infectious mononucleosis risk. Our results were confirmed in an independent sample of blood donors followed up retrospectively for self-reported infectious mononucleosis. CONCLUSIONS Younger siblings, and to a lesser degree older siblings, seem to be important in the transmission of EBV within families. Apparently the dogma of low birth order in a sibship as being at the highest risk of infectious mononucleosis is no longer valid.","author":[{"dropping-particle":"","family":"Rostgaard","given":"Klaus","non-dropping-particle":"","parse-names":false,"suffix":""},{"dropping-particle":"","family":"Nielsen","given":"Trine Rasmussen","non-dropping-particle":"","parse-names":false,"suffix":""},{"dropping-particle":"","family":"Wohlfahrt","given":"Jan","non-dropping-particle":"","parse-names":false,"suffix":""},{"dropping-particle":"","family":"Ullum","given":"Henrik","non-dropping-particle":"","parse-names":false,"suffix":""},{"dropping-particle":"","family":"Pedersen","given":"Ole","non-dropping-particle":"","parse-names":false,"suffix":""},{"dropping-particle":"","family":"Erikstrup","given":"Christian","non-dropping-particle":"","parse-names":false,"suffix":""},{"dropping-particle":"","family":"Nielsen","given":"Lars Peter","non-dropping-particle":"","parse-names":false,"suffix":""},{"dropping-particle":"","family":"Hjalgrim","given":"Henrik","non-dropping-particle":"","parse-names":false,"suffix":""}],"container-title":"International Journal of Epidemiology","id":"ITEM-1","issue":"5","issued":{"date-parts":[["2014","10","1"]]},"page":"1607-1614","publisher":"Oxford University Press","title":"Sibship structure and risk of infectious mononucleosis: a population-based cohort study","type":"article-journal","volume":"43"},"uris":["http://www.mendeley.com/documents/?uuid=1d64bc30-27cd-4268-9b6e-ca1e0addba76"]},{"id":"ITEM-2","itemData":{"DOI":"10.1093/ije/dyv038","ISSN":"0300-5771","PMID":"25925268","abstract":"BACKGROUND: The aetiology of nasopharyngeal carcinoma (NPC) remains enigmatic in endemic and non-endemic areas. Early-life infection with Epstein-Barr virus (EBV) may predispose to NPC development, whereas delayed primary infection with EBV may cause infectious mononucleosis (IM). METHODS: We used Swedish population and health registers to investigate whether potential indicators of early EBV infection, such as birth order, sibship size, maternal age and paternal age, are related to the subsequent risks for NPC and IM. We conducted two nested case-control studies, one for each health outcome, based on 251 NPC case patients, 11 314 IM case patients and five population control subjects per case matched by birth year and sex. We used conditional logistic regression modelling to estimate odds ratios (ORs) and their 95% confidence intervals (CIs) for NPC and IM. RESULTS: The multivariate-adjusted ORs of developing NPC increased with number of siblings; the ORs associated with having one, two and three or more siblings, compared with none, were 1.59 (95% CI = 0.97, 2.62), 1.94 (95% CI = 1.17, 3.22), and 2.03 (95% CI = 1.23, 3.35), respectively (Ptrend = 0.006). This increased risk of NPC was explained mainly by having older rather than younger siblings. In contrast, lower risks of IM were observed among individuals with an increasing number of older siblings, younger siblings and total siblings. CONCLUSIONS: Early-life social environment, possibly related to EBV infection, contributes to NPC pathogenesis in non-endemic areas. This hypothesis is further supported by the clearly contrasting findings between NPC and IM.","author":[{"dropping-particle":"","family":"Liu","given":"Zhiwei","non-dropping-particle":"","parse-names":false,"suffix":""},{"dropping-particle":"","family":"Fang","given":"Fang","non-dropping-particle":"","parse-names":false,"suffix":""},{"dropping-particle":"","family":"Chang","given":"Ellen T","non-dropping-particle":"","parse-names":false,"suffix":""},{"dropping-particle":"","family":"Adami","given":"Hans-Olov","non-dropping-particle":"","parse-names":false,"suffix":""},{"dropping-particle":"","family":"Ye","given":"Weimin","non-dropping-particle":"","parse-names":false,"suffix":""}],"container-title":"International Journal of Epidemiology","id":"ITEM-2","issue":"3","issued":{"date-parts":[["2016","6","1"]]},"page":"825-834","publisher":"Oxford University Press","title":"Sibship size, birth order and risk of nasopharyngeal carcinoma and infectious mononucleosis: a nationwide study in Sweden","type":"article-journal","volume":"45"},"uris":["http://www.mendeley.com/documents/?uuid=52b14255-2c1e-3df4-af4c-f8ab0071ae04"]}],"mendeley":{"formattedCitation":"[62,63]","plainTextFormattedCitation":"[62,63]","previouslyFormattedCitation":"[61,62]"},"properties":{"noteIndex":0},"schema":"https://github.com/citation-style-language/schema/raw/master/csl-citation.json"}</w:instrText>
      </w:r>
      <w:r w:rsidR="00A15969">
        <w:rPr>
          <w:rFonts w:cs="Arial"/>
        </w:rPr>
        <w:fldChar w:fldCharType="separate"/>
      </w:r>
      <w:r w:rsidR="00BB3BE7" w:rsidRPr="00BB3BE7">
        <w:rPr>
          <w:rFonts w:cs="Arial"/>
          <w:noProof/>
        </w:rPr>
        <w:t>[62,63]</w:t>
      </w:r>
      <w:r w:rsidR="00A15969">
        <w:rPr>
          <w:rFonts w:cs="Arial"/>
        </w:rPr>
        <w:fldChar w:fldCharType="end"/>
      </w:r>
      <w:r w:rsidR="00A15969">
        <w:rPr>
          <w:rFonts w:cs="Arial"/>
        </w:rPr>
        <w:t>.</w:t>
      </w:r>
      <w:r w:rsidR="006D3E47">
        <w:rPr>
          <w:rFonts w:cs="Arial"/>
        </w:rPr>
        <w:t xml:space="preserve">  There was no evidence of an association between birth order and IM history among controls with 2 or more siblings; however, the sample size of controls born after 1960 with </w:t>
      </w:r>
      <w:r w:rsidR="0004732A">
        <w:rPr>
          <w:rFonts w:cs="Arial"/>
        </w:rPr>
        <w:t>larger sibship size</w:t>
      </w:r>
      <w:r w:rsidR="006D3E47">
        <w:rPr>
          <w:rFonts w:cs="Arial"/>
        </w:rPr>
        <w:t xml:space="preserve"> was insufficient to </w:t>
      </w:r>
      <w:r w:rsidR="00135F8F">
        <w:rPr>
          <w:rFonts w:cs="Arial"/>
        </w:rPr>
        <w:t>calculate stable estimates of effect size (</w:t>
      </w:r>
      <w:r w:rsidR="00135F8F">
        <w:rPr>
          <w:rFonts w:cs="Arial"/>
        </w:rPr>
        <w:fldChar w:fldCharType="begin"/>
      </w:r>
      <w:r w:rsidR="00135F8F">
        <w:rPr>
          <w:rFonts w:cs="Arial"/>
        </w:rPr>
        <w:instrText xml:space="preserve"> REF _Ref517638989 </w:instrText>
      </w:r>
      <w:r w:rsidR="00135F8F">
        <w:rPr>
          <w:rFonts w:cs="Arial"/>
        </w:rPr>
        <w:fldChar w:fldCharType="separate"/>
      </w:r>
      <w:r w:rsidR="00135F8F">
        <w:t xml:space="preserve">Table </w:t>
      </w:r>
      <w:r w:rsidR="00135F8F">
        <w:rPr>
          <w:noProof/>
        </w:rPr>
        <w:t>5</w:t>
      </w:r>
      <w:r w:rsidR="00135F8F">
        <w:rPr>
          <w:rFonts w:cs="Arial"/>
        </w:rPr>
        <w:fldChar w:fldCharType="end"/>
      </w:r>
      <w:r w:rsidR="00135F8F">
        <w:rPr>
          <w:rFonts w:cs="Arial"/>
        </w:rPr>
        <w:t>)</w:t>
      </w:r>
      <w:r w:rsidR="00AC7D9E">
        <w:rPr>
          <w:rFonts w:cs="Arial"/>
        </w:rPr>
        <w:t xml:space="preserve"> because a </w:t>
      </w:r>
      <w:r w:rsidR="00E14606">
        <w:rPr>
          <w:rFonts w:cs="Arial"/>
        </w:rPr>
        <w:t>number</w:t>
      </w:r>
      <w:r w:rsidR="005A5B98">
        <w:rPr>
          <w:rFonts w:cs="Arial"/>
        </w:rPr>
        <w:t xml:space="preserve"> of study sites did not collect year of birth data for controls</w:t>
      </w:r>
      <w:r w:rsidR="00B611D5">
        <w:rPr>
          <w:rFonts w:cs="Arial"/>
        </w:rPr>
        <w:t xml:space="preserve">. </w:t>
      </w:r>
      <w:r w:rsidR="00AC7D9E" w:rsidDel="00AC7D9E">
        <w:rPr>
          <w:rFonts w:cs="Arial"/>
        </w:rPr>
        <w:t xml:space="preserve"> </w:t>
      </w:r>
    </w:p>
    <w:p w14:paraId="69B71EFB" w14:textId="05698625" w:rsidR="00EE2C93" w:rsidRPr="003D037E" w:rsidRDefault="00AC7D9E" w:rsidP="00887B34">
      <w:pPr>
        <w:spacing w:line="480" w:lineRule="auto"/>
        <w:ind w:firstLine="720"/>
        <w:rPr>
          <w:rFonts w:cs="Arial"/>
        </w:rPr>
      </w:pPr>
      <w:r>
        <w:rPr>
          <w:rFonts w:cs="Arial"/>
        </w:rPr>
        <w:t xml:space="preserve">In our study, </w:t>
      </w:r>
      <w:r w:rsidR="00EE6BD8" w:rsidRPr="003D037E">
        <w:rPr>
          <w:rFonts w:cs="Arial"/>
        </w:rPr>
        <w:t xml:space="preserve">IM was </w:t>
      </w:r>
      <w:r w:rsidR="00D96D4C">
        <w:rPr>
          <w:rFonts w:cs="Arial"/>
        </w:rPr>
        <w:t xml:space="preserve">also </w:t>
      </w:r>
      <w:r w:rsidR="00EE6BD8" w:rsidRPr="003D037E">
        <w:rPr>
          <w:rFonts w:cs="Arial"/>
        </w:rPr>
        <w:t>more common</w:t>
      </w:r>
      <w:r w:rsidR="00975F71">
        <w:rPr>
          <w:rFonts w:cs="Arial"/>
        </w:rPr>
        <w:t xml:space="preserve"> among </w:t>
      </w:r>
      <w:r w:rsidR="00EE6BD8" w:rsidRPr="003D037E">
        <w:rPr>
          <w:rFonts w:cs="Arial"/>
        </w:rPr>
        <w:t>female</w:t>
      </w:r>
      <w:r>
        <w:rPr>
          <w:rFonts w:cs="Arial"/>
        </w:rPr>
        <w:t>s</w:t>
      </w:r>
      <w:r w:rsidR="00D2676F">
        <w:rPr>
          <w:rFonts w:cs="Arial"/>
        </w:rPr>
        <w:t xml:space="preserve"> </w:t>
      </w:r>
      <w:r>
        <w:rPr>
          <w:rFonts w:cs="Arial"/>
        </w:rPr>
        <w:t xml:space="preserve">(6% prevalence) </w:t>
      </w:r>
      <w:r w:rsidR="00EE6BD8" w:rsidRPr="003D037E">
        <w:rPr>
          <w:rFonts w:cs="Arial"/>
        </w:rPr>
        <w:t>than male</w:t>
      </w:r>
      <w:r>
        <w:rPr>
          <w:rFonts w:cs="Arial"/>
        </w:rPr>
        <w:t>s (5% prevalence), in both cases and controls</w:t>
      </w:r>
      <w:r w:rsidR="00B12F52">
        <w:rPr>
          <w:rFonts w:cs="Arial"/>
        </w:rPr>
        <w:t xml:space="preserve">. </w:t>
      </w:r>
      <w:r w:rsidR="00A24668" w:rsidRPr="003D037E">
        <w:rPr>
          <w:rFonts w:cs="Arial"/>
        </w:rPr>
        <w:t xml:space="preserve">In </w:t>
      </w:r>
      <w:r w:rsidR="001471CD">
        <w:rPr>
          <w:rFonts w:cs="Arial"/>
        </w:rPr>
        <w:t>a prospective study among university students, Crawford et al.</w:t>
      </w:r>
      <w:r w:rsidR="00ED16A5">
        <w:rPr>
          <w:rFonts w:cs="Arial"/>
        </w:rPr>
        <w:t xml:space="preserve"> did not find </w:t>
      </w:r>
      <w:r>
        <w:rPr>
          <w:rFonts w:cs="Arial"/>
        </w:rPr>
        <w:t>a difference in</w:t>
      </w:r>
      <w:r w:rsidR="00ED16A5">
        <w:rPr>
          <w:rFonts w:cs="Arial"/>
        </w:rPr>
        <w:t xml:space="preserve"> </w:t>
      </w:r>
      <w:r w:rsidR="001471CD">
        <w:rPr>
          <w:rFonts w:cs="Arial"/>
        </w:rPr>
        <w:t xml:space="preserve">IM </w:t>
      </w:r>
      <w:r>
        <w:rPr>
          <w:rFonts w:cs="Arial"/>
        </w:rPr>
        <w:t xml:space="preserve">prevalence among EBV-seroconverters by </w:t>
      </w:r>
      <w:r w:rsidR="00BF479D">
        <w:rPr>
          <w:rFonts w:cs="Arial"/>
        </w:rPr>
        <w:t>gender</w:t>
      </w:r>
      <w:r w:rsidR="000743C4">
        <w:rPr>
          <w:rFonts w:cs="Arial"/>
        </w:rPr>
        <w:t xml:space="preserve"> </w:t>
      </w:r>
      <w:r w:rsidR="0024507C">
        <w:rPr>
          <w:rFonts w:cs="Arial"/>
        </w:rPr>
        <w:fldChar w:fldCharType="begin" w:fldLock="1"/>
      </w:r>
      <w:r w:rsidR="00BB3BE7">
        <w:rPr>
          <w:rFonts w:cs="Arial"/>
        </w:rPr>
        <w:instrText>ADDIN CSL_CITATION {"citationItems":[{"id":"ITEM-1","itemData":{"DOI":"10.1086/505400","ISSN":"1537-6591","PMID":"16804839","abstract":"BACKGROUND: A vaccine against Epstein-Barr virus (EBV) infection is in clinical trials. Up-to-date information on risk factors for EBV infection and infectious mononucleosis (IM) among young adults is required to inform a vaccination strategy. METHODS: We carried out a prospective study on a cohort of university students. All EBV-seronegative students were asked to report symptoms of IM and were followed up 3 years later to undergo repeat EBV testing and to complete a lifestyle questionnaire. EBV typing was performed for these subjects, as well as for students who were EBV seropositive at enrollment and for additional students with IM. RESULTS: A total of 510 students (25%) who took part in the study were EBV seronegative when they entered the university; of the 241 who donated a second blood sample 3 years later, 110 (46%) had seroconverted to EBV, 27 (25%) of whom developed IM [corrected] Penetrative sexual intercourse was a risk factor for EBV seroconversion (P = .004), but neither condom use nor oral sex significantly altered the rate of seroconversion. EBV type 1 was significantly overrepresented in IM, compared with silent seroconversion (P = .001). CONCLUSIONS: Our findings suggest that acquisition of EBV is enhanced by penetrative sexual intercourse, although transmission could occur through related sexual behaviors, such as \"deep kissing.\" We also found that EBV type 1 infection is significantly more likely to result in IM. Overall, the results suggest that a large EBV type 1 load acquired during sexual intercourse can rapidly colonize the B cell population and induce the exaggerated T cell response that causes IM. Thus, IM could, perhaps, be prevented with a vaccine that reduces the viral load without necessarily inducing sterile immunity.","author":[{"dropping-particle":"","family":"Crawford","given":"Dorothy H","non-dropping-particle":"","parse-names":false,"suffix":""},{"dropping-particle":"","family":"Macsween","given":"Karen F","non-dropping-particle":"","parse-names":false,"suffix":""},{"dropping-particle":"","family":"Higgins","given":"Craig D","non-dropping-particle":"","parse-names":false,"suffix":""},{"dropping-particle":"","family":"Thomas","given":"Ranjit","non-dropping-particle":"","parse-names":false,"suffix":""},{"dropping-particle":"","family":"McAulay","given":"Karen","non-dropping-particle":"","parse-names":false,"suffix":""},{"dropping-particle":"","family":"Williams","given":"Hilary","non-dropping-particle":"","parse-names":false,"suffix":""},{"dropping-particle":"","family":"Harrison","given":"Nadine","non-dropping-particle":"","parse-names":false,"suffix":""},{"dropping-particle":"","family":"Reid","given":"Stuart","non-dropping-particle":"","parse-names":false,"suffix":""},{"dropping-particle":"","family":"Conacher","given":"Margaret","non-dropping-particle":"","parse-names":false,"suffix":""},{"dropping-particle":"","family":"Douglas","given":"Jill","non-dropping-particle":"","parse-names":false,"suffix":""},{"dropping-particle":"","family":"Swerdlow","given":"Anthony J","non-dropping-particle":"","parse-names":false,"suffix":""}],"container-title":"Clinical infectious diseases : an official publication of the Infectious Diseases Society of America","id":"ITEM-1","issued":{"date-parts":[["2006"]]},"page":"276-282","title":"A cohort study among university students: identification of risk factors for Epstein-Barr virus seroconversion and infectious mononucleosis.","type":"article-journal","volume":"43"},"uris":["http://www.mendeley.com/documents/?uuid=4cb088d3-d811-4b31-80f2-798c6762bddd"]}],"mendeley":{"formattedCitation":"[64]","plainTextFormattedCitation":"[64]","previouslyFormattedCitation":"[63]"},"properties":{"noteIndex":0},"schema":"https://github.com/citation-style-language/schema/raw/master/csl-citation.json"}</w:instrText>
      </w:r>
      <w:r w:rsidR="0024507C">
        <w:rPr>
          <w:rFonts w:cs="Arial"/>
        </w:rPr>
        <w:fldChar w:fldCharType="separate"/>
      </w:r>
      <w:r w:rsidR="00BB3BE7" w:rsidRPr="00BB3BE7">
        <w:rPr>
          <w:rFonts w:cs="Arial"/>
          <w:noProof/>
        </w:rPr>
        <w:t>[64]</w:t>
      </w:r>
      <w:r w:rsidR="0024507C">
        <w:rPr>
          <w:rFonts w:cs="Arial"/>
        </w:rPr>
        <w:fldChar w:fldCharType="end"/>
      </w:r>
      <w:r w:rsidR="00620475">
        <w:rPr>
          <w:rFonts w:cs="Arial"/>
        </w:rPr>
        <w:t>;</w:t>
      </w:r>
      <w:r w:rsidR="007441B6">
        <w:rPr>
          <w:rFonts w:cs="Arial"/>
        </w:rPr>
        <w:t xml:space="preserve"> however higher rates of hospitalization for IM among teen and young adult females in the UK </w:t>
      </w:r>
      <w:r w:rsidR="00E71B6C">
        <w:rPr>
          <w:rFonts w:cs="Arial"/>
        </w:rPr>
        <w:t>were</w:t>
      </w:r>
      <w:r w:rsidR="007441B6">
        <w:rPr>
          <w:rFonts w:cs="Arial"/>
        </w:rPr>
        <w:t xml:space="preserve"> reported</w:t>
      </w:r>
      <w:r w:rsidR="00E71B6C">
        <w:rPr>
          <w:rFonts w:cs="Arial"/>
        </w:rPr>
        <w:t xml:space="preserve"> by </w:t>
      </w:r>
      <w:r w:rsidR="00E71B6C" w:rsidRPr="00E71B6C">
        <w:rPr>
          <w:rFonts w:ascii="Courier New" w:hAnsi="Courier New" w:cs="Courier New"/>
        </w:rPr>
        <w:t>﻿</w:t>
      </w:r>
      <w:r w:rsidR="00E71B6C" w:rsidRPr="00E71B6C">
        <w:rPr>
          <w:rFonts w:cs="Arial"/>
        </w:rPr>
        <w:t>Ramagopalan</w:t>
      </w:r>
      <w:r w:rsidR="00E71B6C">
        <w:rPr>
          <w:rFonts w:cs="Arial"/>
        </w:rPr>
        <w:t xml:space="preserve"> et al.</w:t>
      </w:r>
      <w:r w:rsidR="00DF1142">
        <w:rPr>
          <w:rFonts w:cs="Arial"/>
        </w:rPr>
        <w:t xml:space="preserve"> </w:t>
      </w:r>
      <w:r w:rsidR="00DF1142">
        <w:rPr>
          <w:rFonts w:cs="Arial"/>
        </w:rPr>
        <w:fldChar w:fldCharType="begin" w:fldLock="1"/>
      </w:r>
      <w:r w:rsidR="00BB3BE7">
        <w:rPr>
          <w:rFonts w:cs="Arial"/>
        </w:rPr>
        <w:instrText>ADDIN CSL_CITATION {"citationItems":[{"id":"ITEM-1","itemData":{"DOI":"10.1177/1352458512450627","ISSN":"14770970","PMID":"22782451","abstract":"Infectious mononucleosis (IM) is associated with the risk of developing multiple sclerosis (MS). Using databases of hospital admissions for England (1999-2005), we investigated the female-to-male ratios (FMRs) for admission to hospital for IM and MS stratified by age. Males were more frequently admitted for IM for all age groups apart from ages 10-14 (FMR 1.50; 95% confidence interval (CI) 1.36-1.64) and, borderline significantly, at ages 15-19 (FMR 1.03, 95% CI 0.99-1.08). This intriguing aspect of IM epidemiology in adolescence, the atypical female excess, may be linked to the sex ratio of MS, where females predominate from adolescence.","author":[{"dropping-particle":"V","family":"Ramagopalan","given":"Sreeram","non-dropping-particle":"","parse-names":false,"suffix":""},{"dropping-particle":"","family":"Giovannoni","given":"Gavin","non-dropping-particle":"","parse-names":false,"suffix":""},{"dropping-particle":"","family":"Yeates","given":"David G","non-dropping-particle":"","parse-names":false,"suffix":""},{"dropping-particle":"","family":"Seagroatt","given":"Valerie","non-dropping-particle":"","parse-names":false,"suffix":""},{"dropping-particle":"","family":"Goldacre","given":"Michael J","non-dropping-particle":"","parse-names":false,"suffix":""}],"container-title":"Multiple Sclerosis Journal","id":"ITEM-1","issue":"3","issued":{"date-parts":[["2013","3","10"]]},"page":"359-361","publisher":"SAGE PublicationsSage UK: London, England","title":"Sex ratio of infectious mononucleosis and possible relevance to multiple sclerosis","type":"article-journal","volume":"19"},"uris":["http://www.mendeley.com/documents/?uuid=ae1d30a4-9d17-33b7-9643-eefd83ba8c57"]}],"mendeley":{"formattedCitation":"[65]","plainTextFormattedCitation":"[65]","previouslyFormattedCitation":"[64]"},"properties":{"noteIndex":0},"schema":"https://github.com/citation-style-language/schema/raw/master/csl-citation.json"}</w:instrText>
      </w:r>
      <w:r w:rsidR="00DF1142">
        <w:rPr>
          <w:rFonts w:cs="Arial"/>
        </w:rPr>
        <w:fldChar w:fldCharType="separate"/>
      </w:r>
      <w:r w:rsidR="00BB3BE7" w:rsidRPr="00BB3BE7">
        <w:rPr>
          <w:rFonts w:cs="Arial"/>
          <w:noProof/>
        </w:rPr>
        <w:t>[65]</w:t>
      </w:r>
      <w:r w:rsidR="00DF1142">
        <w:rPr>
          <w:rFonts w:cs="Arial"/>
        </w:rPr>
        <w:fldChar w:fldCharType="end"/>
      </w:r>
      <w:r w:rsidR="007441B6">
        <w:rPr>
          <w:rFonts w:cs="Arial"/>
        </w:rPr>
        <w:t>.</w:t>
      </w:r>
      <w:r w:rsidR="00DE6B6D">
        <w:rPr>
          <w:rFonts w:cs="Arial"/>
        </w:rPr>
        <w:t xml:space="preserve"> </w:t>
      </w:r>
      <w:r w:rsidR="00D87993">
        <w:rPr>
          <w:rFonts w:cs="Arial"/>
        </w:rPr>
        <w:t xml:space="preserve">While Crawford et al. measured </w:t>
      </w:r>
      <w:r w:rsidR="00DE6B6D">
        <w:rPr>
          <w:rFonts w:cs="Arial"/>
        </w:rPr>
        <w:t xml:space="preserve">propensity for IM upon </w:t>
      </w:r>
      <w:r w:rsidR="00C14A73">
        <w:rPr>
          <w:rFonts w:cs="Arial"/>
        </w:rPr>
        <w:t>primary EBV infection (i.e.</w:t>
      </w:r>
      <w:r w:rsidR="00755789">
        <w:rPr>
          <w:rFonts w:cs="Arial"/>
        </w:rPr>
        <w:t xml:space="preserve"> </w:t>
      </w:r>
      <w:r w:rsidR="00C14A73">
        <w:rPr>
          <w:rFonts w:cs="Arial"/>
        </w:rPr>
        <w:t>seroconverters) among college-age subjects</w:t>
      </w:r>
      <w:r w:rsidR="00DE6B6D">
        <w:rPr>
          <w:rFonts w:cs="Arial"/>
        </w:rPr>
        <w:t xml:space="preserve">, our study relied on </w:t>
      </w:r>
      <w:r w:rsidR="008B7635">
        <w:rPr>
          <w:rFonts w:cs="Arial"/>
        </w:rPr>
        <w:t>self-reported</w:t>
      </w:r>
      <w:r w:rsidR="00DE6B6D">
        <w:rPr>
          <w:rFonts w:cs="Arial"/>
        </w:rPr>
        <w:t xml:space="preserve"> IM history </w:t>
      </w:r>
      <w:r w:rsidR="00C14A73">
        <w:rPr>
          <w:rFonts w:cs="Arial"/>
        </w:rPr>
        <w:t xml:space="preserve">among all subjects regardless of age, including IM that developed prior to and after college.  </w:t>
      </w:r>
      <w:r w:rsidR="00391311">
        <w:rPr>
          <w:rFonts w:cs="Arial"/>
        </w:rPr>
        <w:t>I</w:t>
      </w:r>
      <w:r w:rsidR="00C14A73">
        <w:rPr>
          <w:rFonts w:cs="Arial"/>
        </w:rPr>
        <w:t>n addition, the denominator in the Crawford study included only EBV-</w:t>
      </w:r>
      <w:r w:rsidR="0049212F">
        <w:rPr>
          <w:rFonts w:cs="Arial"/>
        </w:rPr>
        <w:t>sero</w:t>
      </w:r>
      <w:r w:rsidR="00C14A73">
        <w:rPr>
          <w:rFonts w:cs="Arial"/>
        </w:rPr>
        <w:t xml:space="preserve">negative </w:t>
      </w:r>
      <w:r w:rsidR="0049212F">
        <w:rPr>
          <w:rFonts w:cs="Arial"/>
        </w:rPr>
        <w:t>college students</w:t>
      </w:r>
      <w:r w:rsidR="00C14A73">
        <w:rPr>
          <w:rFonts w:cs="Arial"/>
        </w:rPr>
        <w:t xml:space="preserve">, while our denominator included </w:t>
      </w:r>
      <w:r w:rsidR="0049212F">
        <w:rPr>
          <w:rFonts w:cs="Arial"/>
        </w:rPr>
        <w:t xml:space="preserve">adults of all ages, some of whom surely </w:t>
      </w:r>
      <w:r w:rsidR="00C14A73">
        <w:rPr>
          <w:rFonts w:cs="Arial"/>
        </w:rPr>
        <w:t>acquired EBV prior to adolescence and were therefore not at risk</w:t>
      </w:r>
      <w:r w:rsidR="0049212F">
        <w:rPr>
          <w:rFonts w:cs="Arial"/>
        </w:rPr>
        <w:t xml:space="preserve"> of IM</w:t>
      </w:r>
      <w:r w:rsidR="00C14A73">
        <w:rPr>
          <w:rFonts w:cs="Arial"/>
        </w:rPr>
        <w:t xml:space="preserve">. </w:t>
      </w:r>
      <w:r w:rsidR="0049212F">
        <w:rPr>
          <w:rFonts w:cs="Arial"/>
        </w:rPr>
        <w:t xml:space="preserve">Thus, our results are not necessarily discrepant with those from the Crawford study.  </w:t>
      </w:r>
      <w:r w:rsidR="008B7635">
        <w:rPr>
          <w:rFonts w:cs="Arial"/>
        </w:rPr>
        <w:t>E</w:t>
      </w:r>
      <w:r w:rsidR="00A24668" w:rsidRPr="003D037E">
        <w:rPr>
          <w:rFonts w:cs="Arial"/>
        </w:rPr>
        <w:t>xplanation</w:t>
      </w:r>
      <w:r w:rsidR="00D15274">
        <w:rPr>
          <w:rFonts w:cs="Arial"/>
        </w:rPr>
        <w:t>s</w:t>
      </w:r>
      <w:r w:rsidR="00A24668" w:rsidRPr="003D037E">
        <w:rPr>
          <w:rFonts w:cs="Arial"/>
        </w:rPr>
        <w:t xml:space="preserve"> for </w:t>
      </w:r>
      <w:r w:rsidR="0049212F">
        <w:rPr>
          <w:rFonts w:cs="Arial"/>
        </w:rPr>
        <w:t>the higher IM prevalence among females in our study</w:t>
      </w:r>
      <w:r w:rsidR="008B7635">
        <w:rPr>
          <w:rFonts w:cs="Arial"/>
        </w:rPr>
        <w:t xml:space="preserve"> </w:t>
      </w:r>
      <w:r w:rsidR="00D15274">
        <w:rPr>
          <w:rFonts w:cs="Arial"/>
        </w:rPr>
        <w:t xml:space="preserve">include </w:t>
      </w:r>
      <w:r w:rsidR="0049212F">
        <w:rPr>
          <w:rFonts w:cs="Arial"/>
        </w:rPr>
        <w:t>lower rates</w:t>
      </w:r>
      <w:r w:rsidR="00500A2D">
        <w:rPr>
          <w:rFonts w:cs="Arial"/>
        </w:rPr>
        <w:t xml:space="preserve"> of</w:t>
      </w:r>
      <w:r w:rsidR="0049212F">
        <w:rPr>
          <w:rFonts w:cs="Arial"/>
        </w:rPr>
        <w:t xml:space="preserve"> EBV infection among females in childhood producing a higher pool at risk for IM in adolescence and young adulthood, a </w:t>
      </w:r>
      <w:r w:rsidR="00D15274">
        <w:rPr>
          <w:rFonts w:cs="Arial"/>
        </w:rPr>
        <w:t xml:space="preserve">higher </w:t>
      </w:r>
      <w:r w:rsidR="004D7C2E">
        <w:rPr>
          <w:rFonts w:cs="Arial"/>
        </w:rPr>
        <w:t>reporting of symp</w:t>
      </w:r>
      <w:r w:rsidR="00F422B3">
        <w:rPr>
          <w:rFonts w:cs="Arial"/>
        </w:rPr>
        <w:t>tom</w:t>
      </w:r>
      <w:r w:rsidR="004D7C2E">
        <w:rPr>
          <w:rFonts w:cs="Arial"/>
        </w:rPr>
        <w:t xml:space="preserve">atic disease </w:t>
      </w:r>
      <w:r w:rsidR="0024507C">
        <w:rPr>
          <w:rFonts w:cs="Arial"/>
        </w:rPr>
        <w:fldChar w:fldCharType="begin" w:fldLock="1"/>
      </w:r>
      <w:r w:rsidR="00BB3BE7">
        <w:rPr>
          <w:rFonts w:cs="Arial"/>
        </w:rPr>
        <w:instrText>ADDIN CSL_CITATION {"citationItems":[{"id":"ITEM-1","itemData":{"DOI":"10.1093/qjmed/hci149","ISBN":"1460-2725 (Print)\\r1460-2393 (Linking)","ISSN":"14602725","PMID":"16330509","abstract":"BACKGROUND: Fatigue has been found to complicate infectious mononucleosis (IM) when patients are directly asked about it. We do not know whether such fatigue is clinically significant, nor whether IM is a specific risk for fatigue (or whether it can follow other common infections). Various risk markers for post-infectious fatigue have been identified, but findings are inconsistent. AIM: To determine the risk of clinically reported fatigue (compared with depression) after IM (compared with both influenza and tonsillitis) in patients attending primary care, and to examine risk markers for post-IM fatigue. DESIGN: Comparison of matched primary-care cohorts. METHODS: We identified 1438 adult patients with a positive heterophil antibody test for IM from the UK General Practice Research Database. These patients were individually matched on age, sex and practice to two comparison groups; one with a clinical diagnosis of influenza and the other of tonsillitis. RESULTS: The odds ratios (ORs) (95%CI) for reported fatigue after IM vs. influenza and tonsillitis were 4.4 (2.9-6.9) and 6.6 (4.2-10.4), respectively. Risk markers for post-IM fatigue included female sex and premorbid mood disorder. By comparison, the ORs for depression after IM vs. influenza and tonsillitis were 1.6 (0.9-2.6) and 2.3 (1.4-3.9), respectively. DISCUSSION: IM is a specific and significant risk for clinically reported fatigue, which is both separate from, and more common than, depression. Female sex and premorbid mood disorder are risk markers for fatigue. These can be used both to target prevention strategies and to explore aetiological mechanisms.","author":[{"dropping-particle":"","family":"Petersen","given":"I.","non-dropping-particle":"","parse-names":false,"suffix":""},{"dropping-particle":"","family":"Thomas","given":"J. M.","non-dropping-particle":"","parse-names":false,"suffix":""},{"dropping-particle":"","family":"Hamilton","given":"W. T.","non-dropping-particle":"","parse-names":false,"suffix":""},{"dropping-particle":"","family":"White","given":"P. D.","non-dropping-particle":"","parse-names":false,"suffix":""}],"container-title":"QJM - Monthly Journal of the Association of Physicians","id":"ITEM-1","issue":"December 2005","issued":{"date-parts":[["2006"]]},"page":"49-55","title":"Risk and predictors of fatigue after infectious mononucleosis in a large primary-care cohort","type":"article-journal","volume":"99"},"uris":["http://www.mendeley.com/documents/?uuid=76ba6834-dfac-4053-9b61-a9b9a4ed5ab9"]},{"id":"ITEM-2","itemData":{"DOI":"10.1016/S0002-9343(00)00560-X","ISSN":"0002-9343","PMID":"11063953","abstract":"PURPOSE: We sought to determine how often acute mononucleosis precipitates chronic illness, and to describe the demographic, clinical, and psychosocial features that characterize patients who report failure to recover. SUBJECTS AND METHODS: We enrolled 150 patients with infectious mononucleosis during the acute illness and asked them to assess their recovery at 2 and 6 months. At baseline, we performed physical and laboratory examinations; obtained measures of psychological and somatic functioning, social support, and life events; and administered a structured psychiatric interview. RESULTS: Self-assessed failure to recover was reported by 38% of patients (55 of 144) at 2 months and by 12% (17 of 142) at 6 months. Those who had not recovered reported a persistent illness characterized by fatigue and poor functional status. No objective measures of disease, including physical examination findings or serologic or laboratory markers, distinguished patients who failed to recover from those who reported recovery. Baseline predictors for failure to recover at 2 months were older age (odds ratio [OR] = 1.4, 95% confidence interval [CI]: 1.1 to 1.8, per 5-year increase), higher temperature (OR = 1.5, 95% CI: 1.1 to 2.2, per 0.5 degrees C increase), and greater role limitation due to physical functioning (OR = 1.5, 95% CI: 1.2 to 1.9, per 20-point decrease in Short Form-36 score). At 6 months, baseline predictors for failure to recover included female sex (OR = 3.3, 95% CI: 1.0 to 12), a greater number of life events more than 6 months before the disease began (OR = 1.7, 95% CI: 1.1 to 2.5, per each additional life event), and greater family support (OR = 1.9, 95% CI: 1.1 to 4.2, per 7-point increase in social support score). CONCLUSIONS: We were not able to identify objective measures that characterized self-reported failure to recover from acute infectious mononucleosis. The baseline factors associated with self-reported failure to recover at 2 months differed from those associated with failure to recover at 6 months. Future studies should assess the generalizability of these findings and determine whether interventions can hasten recovery.","author":[{"dropping-particle":"","family":"Buchwald","given":"D S","non-dropping-particle":"","parse-names":false,"suffix":""},{"dropping-particle":"","family":"Rea","given":"T D","non-dropping-particle":"","parse-names":false,"suffix":""},{"dropping-particle":"","family":"Katon","given":"W J","non-dropping-particle":"","parse-names":false,"suffix":""},{"dropping-particle":"","family":"Russo","given":"J E","non-dropping-particle":"","parse-names":false,"suffix":""},{"dropping-particle":"","family":"Ashley","given":"R L","non-dropping-particle":"","parse-names":false,"suffix":""}],"container-title":"The American journal of medicine","id":"ITEM-2","issue":"00","issued":{"date-parts":[["2000"]]},"page":"531-537","title":"Acute infectious mononucleosis: characteristics of patients who report failure to recover.","type":"article-journal","volume":"109"},"uris":["http://www.mendeley.com/documents/?uuid=b5f45d01-cf75-4eea-97e1-3ad94dca1df8"]},{"id":"ITEM-3","itemData":{"DOI":"10.1086/650456","ISSN":"1537-6591","PMID":"20121570","abstract":"BACKGROUND: Infectious mononucleosis (IM) is common among university students. We undertook to analyze the clinical features and sequelae of the disease in a cohort of students at Edinburgh University. METHODS: Consecutive IM case patients were recruited from 2000 through 2002 at the University Health Service after diagnosis of IM. RESULTS: IM resulted in marked reductions in student study time, physical exercise, and non-exercise-related social activities, and sustained increases in reported number of hours of sleep. The disease profile differed between the sexes, with significantly more females reporting fatigue, which was more likely to be prolonged (P = .003) and to lead to loss of study time (P = .013). Female case patients were more likely to discontinue their studies following IM (16% vs 0%; P = .056). Within the typically elevated lymphocyte counts in IM, we identified an elevated gammadelta T cell component that may contribute to the disease pathogenesis. CONCLUSIONS: IM results in substantial morbidity among university students, reported as more profound in females, and affecting academic studies, physical exercise, and social activities. Immunization to prevent IM and strategies to reduce post-IM disability would be beneficial in this population.","author":[{"dropping-particle":"","family":"Macsween","given":"Karen F","non-dropping-particle":"","parse-names":false,"suffix":""},{"dropping-particle":"","family":"Higgins","given":"Craig D","non-dropping-particle":"","parse-names":false,"suffix":""},{"dropping-particle":"","family":"McAulay","given":"Karen a","non-dropping-particle":"","parse-names":false,"suffix":""},{"dropping-particle":"","family":"Williams","given":"Hilary","non-dropping-particle":"","parse-names":false,"suffix":""},{"dropping-particle":"","family":"Harrison","given":"Nadine","non-dropping-particle":"","parse-names":false,"suffix":""},{"dropping-particle":"","family":"Swerdlow","given":"Anthony J","non-dropping-particle":"","parse-names":false,"suffix":""},{"dropping-particle":"","family":"Crawford","given":"Dorothy H","non-dropping-particle":"","parse-names":false,"suffix":""}],"container-title":"Clinical infectious diseases : an official publication of the Infectious Diseases Society of America","id":"ITEM-3","issued":{"date-parts":[["2010"]]},"page":"699-706","title":"Infectious mononucleosis in university students in the United Kingdom: evaluation of the clinical features and consequences of the disease.","type":"article-journal","volume":"50"},"uris":["http://www.mendeley.com/documents/?uuid=50b01789-4689-4873-a526-2d712347b1bb"]}],"mendeley":{"formattedCitation":"[66–68]","plainTextFormattedCitation":"[66–68]","previouslyFormattedCitation":"[65–67]"},"properties":{"noteIndex":0},"schema":"https://github.com/citation-style-language/schema/raw/master/csl-citation.json"}</w:instrText>
      </w:r>
      <w:r w:rsidR="0024507C">
        <w:rPr>
          <w:rFonts w:cs="Arial"/>
        </w:rPr>
        <w:fldChar w:fldCharType="separate"/>
      </w:r>
      <w:r w:rsidR="00BB3BE7" w:rsidRPr="00BB3BE7">
        <w:rPr>
          <w:rFonts w:cs="Arial"/>
          <w:noProof/>
        </w:rPr>
        <w:t>[66–68]</w:t>
      </w:r>
      <w:r w:rsidR="0024507C">
        <w:rPr>
          <w:rFonts w:cs="Arial"/>
        </w:rPr>
        <w:fldChar w:fldCharType="end"/>
      </w:r>
      <w:r w:rsidR="00C14A73">
        <w:rPr>
          <w:rFonts w:cs="Arial"/>
        </w:rPr>
        <w:t>,</w:t>
      </w:r>
      <w:r w:rsidR="00D15274">
        <w:rPr>
          <w:rFonts w:cs="Arial"/>
        </w:rPr>
        <w:t xml:space="preserve"> higher likelihood of medical care</w:t>
      </w:r>
      <w:r w:rsidR="00C14A73">
        <w:rPr>
          <w:rFonts w:cs="Arial"/>
        </w:rPr>
        <w:t xml:space="preserve"> seeking behavior and thus diagnosis, or a true biological effect</w:t>
      </w:r>
      <w:r w:rsidR="00D15274">
        <w:rPr>
          <w:rFonts w:cs="Arial"/>
        </w:rPr>
        <w:t xml:space="preserve"> </w:t>
      </w:r>
      <w:r w:rsidR="00C14A73">
        <w:rPr>
          <w:rFonts w:cs="Arial"/>
        </w:rPr>
        <w:t xml:space="preserve">enhancing IM risk in </w:t>
      </w:r>
      <w:r w:rsidR="00D15274">
        <w:rPr>
          <w:rFonts w:cs="Arial"/>
        </w:rPr>
        <w:t>females</w:t>
      </w:r>
      <w:r w:rsidR="00C14A73">
        <w:rPr>
          <w:rFonts w:cs="Arial"/>
        </w:rPr>
        <w:t xml:space="preserve"> compared to males at </w:t>
      </w:r>
      <w:r w:rsidR="0049212F">
        <w:rPr>
          <w:rFonts w:cs="Arial"/>
        </w:rPr>
        <w:t xml:space="preserve">a wider range of </w:t>
      </w:r>
      <w:r w:rsidR="0049212F">
        <w:rPr>
          <w:rFonts w:cs="Arial"/>
        </w:rPr>
        <w:lastRenderedPageBreak/>
        <w:t>age</w:t>
      </w:r>
      <w:r w:rsidR="00C14A73">
        <w:rPr>
          <w:rFonts w:cs="Arial"/>
        </w:rPr>
        <w:t>s</w:t>
      </w:r>
      <w:r w:rsidR="0049212F">
        <w:rPr>
          <w:rFonts w:cs="Arial"/>
        </w:rPr>
        <w:t xml:space="preserve"> (young or older than college)</w:t>
      </w:r>
      <w:r w:rsidR="00B12F52">
        <w:rPr>
          <w:rFonts w:cs="Arial"/>
        </w:rPr>
        <w:t xml:space="preserve">. </w:t>
      </w:r>
      <w:r w:rsidR="0049212F">
        <w:rPr>
          <w:rFonts w:cs="Arial"/>
        </w:rPr>
        <w:t>S</w:t>
      </w:r>
      <w:r w:rsidR="004D7C2E">
        <w:rPr>
          <w:rFonts w:cs="Arial"/>
        </w:rPr>
        <w:t>ex-based biological differences</w:t>
      </w:r>
      <w:r w:rsidR="001471CD">
        <w:rPr>
          <w:rFonts w:cs="Arial"/>
        </w:rPr>
        <w:t xml:space="preserve"> </w:t>
      </w:r>
      <w:r w:rsidR="00755789">
        <w:rPr>
          <w:rFonts w:cs="Arial"/>
        </w:rPr>
        <w:t xml:space="preserve">in response </w:t>
      </w:r>
      <w:r w:rsidR="0049212F">
        <w:rPr>
          <w:rFonts w:cs="Arial"/>
        </w:rPr>
        <w:t xml:space="preserve">to infections </w:t>
      </w:r>
      <w:r w:rsidR="001471CD">
        <w:rPr>
          <w:rFonts w:cs="Arial"/>
        </w:rPr>
        <w:t xml:space="preserve">have been </w:t>
      </w:r>
      <w:r w:rsidR="0049212F">
        <w:rPr>
          <w:rFonts w:cs="Arial"/>
        </w:rPr>
        <w:t>reported</w:t>
      </w:r>
      <w:r w:rsidR="00391311">
        <w:rPr>
          <w:rFonts w:cs="Arial"/>
        </w:rPr>
        <w:t>. F</w:t>
      </w:r>
      <w:r w:rsidR="0049212F">
        <w:rPr>
          <w:rFonts w:cs="Arial"/>
        </w:rPr>
        <w:t xml:space="preserve">or example, females </w:t>
      </w:r>
      <w:r w:rsidR="001471CD">
        <w:rPr>
          <w:rFonts w:cs="Arial"/>
        </w:rPr>
        <w:t xml:space="preserve">mount more vigorous </w:t>
      </w:r>
      <w:r w:rsidR="001471CD" w:rsidRPr="001471CD">
        <w:rPr>
          <w:rFonts w:cs="Arial"/>
        </w:rPr>
        <w:t xml:space="preserve">antibody- and cell-mediated immune responses following </w:t>
      </w:r>
      <w:r w:rsidR="0049212F">
        <w:rPr>
          <w:rFonts w:cs="Arial"/>
        </w:rPr>
        <w:t xml:space="preserve">some </w:t>
      </w:r>
      <w:r w:rsidR="001471CD" w:rsidRPr="001471CD">
        <w:rPr>
          <w:rFonts w:cs="Arial"/>
        </w:rPr>
        <w:t>infection</w:t>
      </w:r>
      <w:r w:rsidR="0049212F">
        <w:rPr>
          <w:rFonts w:cs="Arial"/>
        </w:rPr>
        <w:t>s</w:t>
      </w:r>
      <w:r w:rsidR="00ED16A5">
        <w:rPr>
          <w:rFonts w:cs="Arial"/>
        </w:rPr>
        <w:t xml:space="preserve"> and vaccines</w:t>
      </w:r>
      <w:r w:rsidR="001471CD" w:rsidRPr="001471CD">
        <w:rPr>
          <w:rFonts w:cs="Arial"/>
        </w:rPr>
        <w:t xml:space="preserve"> than men</w:t>
      </w:r>
      <w:r w:rsidR="001471CD">
        <w:rPr>
          <w:rFonts w:cs="Arial"/>
        </w:rPr>
        <w:t xml:space="preserve"> </w:t>
      </w:r>
      <w:r w:rsidR="009A7709">
        <w:rPr>
          <w:rFonts w:cs="Arial"/>
        </w:rPr>
        <w:fldChar w:fldCharType="begin" w:fldLock="1"/>
      </w:r>
      <w:r w:rsidR="00BB3BE7">
        <w:rPr>
          <w:rFonts w:cs="Arial"/>
        </w:rPr>
        <w:instrText>ADDIN CSL_CITATION {"citationItems":[{"id":"ITEM-1","itemData":{"ISSN":"0928-8244","PMID":"12900050","abstract":"Women mount more vigorous antibody- and cell-mediated immune responses following either infection or vaccination than men. The incidence of most autoimmune diseases is also higher in women than in men; however, during pregnancy many autoimmune diseases go into remission, only to flare again in the early post-partum period. Successful pregnancy requires that the female immune system tolerate the presence of a semi-allogeneic graft for 9 months. Oral contraceptive use can increase susceptibility to certain genital tract infections and sexually transmitted diseases in women. Moreover, treatment of mice and rats with female sex hormones is required to establish animal models of genital tract Chlamydia, Neisseria and Mycoplasma infection. This review describes what is currently known about the effects of the female sex hormones oestradiol and progesterone on innate and adaptive immune responses in order to provide a framework for understanding these sex differences. Data from both human and animal studies will be reviewed.","author":[{"dropping-particle":"","family":"Beagley","given":"Kenneth W","non-dropping-particle":"","parse-names":false,"suffix":""},{"dropping-particle":"","family":"Gockel","given":"Christine M","non-dropping-particle":"","parse-names":false,"suffix":""}],"container-title":"FEMS immunology and medical microbiology","id":"ITEM-1","issue":"1","issued":{"date-parts":[["2003","8","18"]]},"page":"13-22","title":"Regulation of innate and adaptive immunity by the female sex hormones oestradiol and progesterone.","type":"article-journal","volume":"38"},"uris":["http://www.mendeley.com/documents/?uuid=581b72f1-f0e7-4a01-b366-d189ad47edd7"]},{"id":"ITEM-2","itemData":{"DOI":"10.1152/physiol.00035.2015","ISBN":"1548-9221","ISSN":"1548-9213","PMID":"26525340","abstract":"In response to the recommended vaccines in older-aged individuals, sex differences occur in response to those that protect against influenza, tetanus, pertussis, shingles, and pneumococcal infections. The efficacy of vaccines recommended for older-aged adults is consistently greater for females than for males. Gender differences as well as biological sex differences can influence vaccine uptake, responses, and outcome in older-aged individuals, which should influence guidelines, formulations, and dosage recommendations for vaccines in the elderly.","author":[{"dropping-particle":"","family":"Fink","given":"Ashley L","non-dropping-particle":"","parse-names":false,"suffix":""},{"dropping-particle":"","family":"Klein","given":"Sabra L","non-dropping-particle":"","parse-names":false,"suffix":""}],"container-title":"Physiology","id":"ITEM-2","issue":"6","issued":{"date-parts":[["2015","11","1"]]},"page":"408-416","publisher":"American Physiological Society","title":"Sex and Gender Impact Immune Responses to Vaccines Among the Elderly","type":"article-journal","volume":"30"},"uris":["http://www.mendeley.com/documents/?uuid=0e74cb44-3a3e-3aef-8147-854c8f8a647c"]}],"mendeley":{"formattedCitation":"[69,70]","plainTextFormattedCitation":"[69,70]","previouslyFormattedCitation":"[68,69]"},"properties":{"noteIndex":0},"schema":"https://github.com/citation-style-language/schema/raw/master/csl-citation.json"}</w:instrText>
      </w:r>
      <w:r w:rsidR="009A7709">
        <w:rPr>
          <w:rFonts w:cs="Arial"/>
        </w:rPr>
        <w:fldChar w:fldCharType="separate"/>
      </w:r>
      <w:r w:rsidR="00BB3BE7" w:rsidRPr="00BB3BE7">
        <w:rPr>
          <w:rFonts w:cs="Arial"/>
          <w:noProof/>
        </w:rPr>
        <w:t>[69,70]</w:t>
      </w:r>
      <w:r w:rsidR="009A7709">
        <w:rPr>
          <w:rFonts w:cs="Arial"/>
        </w:rPr>
        <w:fldChar w:fldCharType="end"/>
      </w:r>
      <w:r w:rsidR="004D7C2E">
        <w:rPr>
          <w:rFonts w:cs="Arial"/>
        </w:rPr>
        <w:t>.</w:t>
      </w:r>
      <w:r w:rsidR="005D7968">
        <w:rPr>
          <w:rFonts w:cs="Arial"/>
        </w:rPr>
        <w:t xml:space="preserve"> </w:t>
      </w:r>
    </w:p>
    <w:p w14:paraId="312C6CE9" w14:textId="1CEAAF5D" w:rsidR="00415611" w:rsidRDefault="005F2958" w:rsidP="00C42119">
      <w:pPr>
        <w:spacing w:line="480" w:lineRule="auto"/>
        <w:ind w:firstLine="720"/>
        <w:rPr>
          <w:rFonts w:cs="Arial"/>
        </w:rPr>
      </w:pPr>
      <w:r>
        <w:rPr>
          <w:rFonts w:cs="Arial"/>
        </w:rPr>
        <w:t>A limitation of our study is reliance on self-reported IM history</w:t>
      </w:r>
      <w:r w:rsidR="005D7968">
        <w:rPr>
          <w:rFonts w:cs="Arial"/>
        </w:rPr>
        <w:t>,</w:t>
      </w:r>
      <w:r w:rsidR="00796024">
        <w:rPr>
          <w:rFonts w:cs="Arial"/>
        </w:rPr>
        <w:t xml:space="preserve"> which could be affected by recall bias. However, IM is a severe and debilitating syndrome of relatively long duration, interrupting young adult life</w:t>
      </w:r>
      <w:r w:rsidR="002D6383">
        <w:rPr>
          <w:rFonts w:cs="Arial"/>
        </w:rPr>
        <w:t xml:space="preserve">; </w:t>
      </w:r>
      <w:r w:rsidR="005D7968">
        <w:rPr>
          <w:rFonts w:cs="Arial"/>
        </w:rPr>
        <w:t xml:space="preserve">therefore, </w:t>
      </w:r>
      <w:r w:rsidR="00796024">
        <w:rPr>
          <w:rFonts w:cs="Arial"/>
        </w:rPr>
        <w:t xml:space="preserve">it is unlikely that a participant would forget this experience. </w:t>
      </w:r>
      <w:r w:rsidR="008B7635">
        <w:rPr>
          <w:rFonts w:cs="Arial"/>
        </w:rPr>
        <w:t xml:space="preserve">Another limitation is the </w:t>
      </w:r>
      <w:r w:rsidR="00C42119">
        <w:rPr>
          <w:rFonts w:cs="Arial"/>
        </w:rPr>
        <w:t xml:space="preserve">use of </w:t>
      </w:r>
      <w:r w:rsidR="008B7635">
        <w:rPr>
          <w:rFonts w:cs="Arial"/>
        </w:rPr>
        <w:t>cross-sectional data for determining IM risk f</w:t>
      </w:r>
      <w:r w:rsidR="009A4347">
        <w:rPr>
          <w:rFonts w:cs="Arial"/>
        </w:rPr>
        <w:t>actors</w:t>
      </w:r>
      <w:r w:rsidR="00C42119">
        <w:rPr>
          <w:rFonts w:cs="Arial"/>
        </w:rPr>
        <w:t xml:space="preserve"> which prevents </w:t>
      </w:r>
      <w:r w:rsidR="00C56E98">
        <w:rPr>
          <w:rFonts w:cs="Arial"/>
        </w:rPr>
        <w:t>the establishment of</w:t>
      </w:r>
      <w:r w:rsidR="00C42119">
        <w:rPr>
          <w:rFonts w:cs="Arial"/>
        </w:rPr>
        <w:t xml:space="preserve"> a </w:t>
      </w:r>
      <w:r w:rsidR="009A4347">
        <w:rPr>
          <w:rFonts w:cs="Arial"/>
        </w:rPr>
        <w:t>temporal relationship between IM and some demographic variables (e.g. SES)</w:t>
      </w:r>
      <w:r w:rsidR="00BF1D58">
        <w:rPr>
          <w:rFonts w:cs="Arial"/>
        </w:rPr>
        <w:t xml:space="preserve"> and relies on the assumption that SES measured at the time of the study reflects SES in adolescence and young adulthood when IM would have occurred. </w:t>
      </w:r>
      <w:r w:rsidR="00C42119">
        <w:rPr>
          <w:rFonts w:cs="Arial"/>
        </w:rPr>
        <w:t>T</w:t>
      </w:r>
      <w:r w:rsidR="00BC6C3A">
        <w:rPr>
          <w:rFonts w:cs="Arial"/>
        </w:rPr>
        <w:t>hese types of information bias</w:t>
      </w:r>
      <w:r w:rsidR="00C56E98">
        <w:rPr>
          <w:rFonts w:cs="Arial"/>
        </w:rPr>
        <w:t>es</w:t>
      </w:r>
      <w:r w:rsidR="00BC6C3A">
        <w:rPr>
          <w:rFonts w:cs="Arial"/>
        </w:rPr>
        <w:t xml:space="preserve"> are likely</w:t>
      </w:r>
      <w:r w:rsidR="00C42119">
        <w:rPr>
          <w:rFonts w:cs="Arial"/>
        </w:rPr>
        <w:t xml:space="preserve"> to have resulted in non-differential misclassification of the exposure with respect to the outcome, biasing results</w:t>
      </w:r>
      <w:r w:rsidR="00BC6C3A">
        <w:rPr>
          <w:rFonts w:cs="Arial"/>
        </w:rPr>
        <w:t xml:space="preserve"> toward the null</w:t>
      </w:r>
      <w:r w:rsidR="00BF1D58">
        <w:rPr>
          <w:rFonts w:cs="Arial"/>
        </w:rPr>
        <w:t xml:space="preserve">. In addition, the strongly positive trends in the expected direction (SES, sibship size) suggest a true association. </w:t>
      </w:r>
    </w:p>
    <w:p w14:paraId="105AE570" w14:textId="6E3BD433" w:rsidR="00665AEF" w:rsidRDefault="00796024" w:rsidP="00665AEF">
      <w:pPr>
        <w:spacing w:line="480" w:lineRule="auto"/>
        <w:ind w:firstLine="720"/>
        <w:rPr>
          <w:rFonts w:cs="Arial"/>
        </w:rPr>
      </w:pPr>
      <w:r>
        <w:rPr>
          <w:rFonts w:cs="Arial"/>
        </w:rPr>
        <w:t xml:space="preserve">Although </w:t>
      </w:r>
      <w:r w:rsidR="008C1AEB">
        <w:rPr>
          <w:rFonts w:cs="Arial"/>
        </w:rPr>
        <w:t>the results</w:t>
      </w:r>
      <w:r w:rsidR="00BE5B47">
        <w:rPr>
          <w:rFonts w:cs="Arial"/>
        </w:rPr>
        <w:t xml:space="preserve"> can be generalized to </w:t>
      </w:r>
      <w:r w:rsidR="00BE5B47" w:rsidRPr="003D037E">
        <w:rPr>
          <w:rFonts w:cs="Arial"/>
        </w:rPr>
        <w:t xml:space="preserve">adults </w:t>
      </w:r>
      <w:r w:rsidR="009F45A3">
        <w:rPr>
          <w:rFonts w:cs="Arial"/>
        </w:rPr>
        <w:t xml:space="preserve">of European descent </w:t>
      </w:r>
      <w:r w:rsidR="00BE5B47" w:rsidRPr="003D037E">
        <w:rPr>
          <w:rFonts w:cs="Arial"/>
        </w:rPr>
        <w:t>living in the United States and Europe</w:t>
      </w:r>
      <w:r>
        <w:rPr>
          <w:rFonts w:cs="Arial"/>
        </w:rPr>
        <w:t>, t</w:t>
      </w:r>
      <w:r w:rsidR="00BE5B47">
        <w:rPr>
          <w:rFonts w:cs="Arial"/>
        </w:rPr>
        <w:t>he limited number of ethnically diverse participants enrolled in these studies and the exclusion of HIV/</w:t>
      </w:r>
      <w:r w:rsidR="00BE5B47" w:rsidRPr="003D037E">
        <w:rPr>
          <w:rFonts w:cs="Arial"/>
        </w:rPr>
        <w:t>AIDS</w:t>
      </w:r>
      <w:r w:rsidR="00BE5B47">
        <w:rPr>
          <w:rFonts w:cs="Arial"/>
        </w:rPr>
        <w:t xml:space="preserve">-related lymphomas </w:t>
      </w:r>
      <w:r w:rsidR="00BE5B47" w:rsidRPr="003D037E">
        <w:rPr>
          <w:rFonts w:cs="Arial"/>
        </w:rPr>
        <w:t>and post-transplant lymphomas</w:t>
      </w:r>
      <w:r w:rsidR="00BE5B47">
        <w:rPr>
          <w:rFonts w:cs="Arial"/>
        </w:rPr>
        <w:t xml:space="preserve"> limits generalizability</w:t>
      </w:r>
      <w:r w:rsidR="009F45A3">
        <w:rPr>
          <w:rFonts w:cs="Arial"/>
        </w:rPr>
        <w:t xml:space="preserve"> to other groups</w:t>
      </w:r>
      <w:r w:rsidR="00BE5B47">
        <w:rPr>
          <w:rFonts w:cs="Arial"/>
        </w:rPr>
        <w:t xml:space="preserve">. </w:t>
      </w:r>
      <w:r w:rsidR="0063324D">
        <w:rPr>
          <w:rFonts w:cs="Arial"/>
        </w:rPr>
        <w:t xml:space="preserve">Because NHL patients were recruited after the onset of disease, those with longer post-diagnosis survival times were more likely to enroll in the study and complete questionnaires.  </w:t>
      </w:r>
      <w:r w:rsidR="00BD499B" w:rsidRPr="00BD499B">
        <w:rPr>
          <w:rFonts w:cs="Arial"/>
        </w:rPr>
        <w:t xml:space="preserve">This ascertainment bias prevents us from generalizing to NHL patients with very short survival times, although rapid case ascertainment methods at individual study sites </w:t>
      </w:r>
      <w:r w:rsidR="00C01038">
        <w:rPr>
          <w:rFonts w:cs="Arial"/>
        </w:rPr>
        <w:t>dampened</w:t>
      </w:r>
      <w:r w:rsidR="00BD499B" w:rsidRPr="00BD499B">
        <w:rPr>
          <w:rFonts w:cs="Arial"/>
        </w:rPr>
        <w:t xml:space="preserve"> the impact of this bias</w:t>
      </w:r>
      <w:r w:rsidR="0063324D">
        <w:rPr>
          <w:rFonts w:cs="Arial"/>
        </w:rPr>
        <w:t>.</w:t>
      </w:r>
      <w:r w:rsidR="00BD499B">
        <w:rPr>
          <w:rFonts w:cs="Arial"/>
        </w:rPr>
        <w:t xml:space="preserve"> </w:t>
      </w:r>
      <w:r w:rsidR="00C42119">
        <w:rPr>
          <w:rFonts w:cs="Arial"/>
        </w:rPr>
        <w:t xml:space="preserve">Furthermore, data from sites using clinic-based recruitment methods </w:t>
      </w:r>
      <w:r w:rsidR="00C42119">
        <w:rPr>
          <w:rFonts w:cs="Arial"/>
        </w:rPr>
        <w:lastRenderedPageBreak/>
        <w:t xml:space="preserve">for enrolling controls are subject to Berkson’s bias since </w:t>
      </w:r>
      <w:r w:rsidR="009558A4">
        <w:rPr>
          <w:rFonts w:cs="Arial"/>
        </w:rPr>
        <w:t>patient controls</w:t>
      </w:r>
      <w:r w:rsidR="001D1637">
        <w:rPr>
          <w:rFonts w:cs="Arial"/>
        </w:rPr>
        <w:t xml:space="preserve"> are likely to be sicker than the general population from which cases were ascertained.</w:t>
      </w:r>
      <w:r w:rsidR="004B02A2">
        <w:rPr>
          <w:rFonts w:cs="Arial"/>
        </w:rPr>
        <w:t xml:space="preserve">  Many admitting conditions of clinic-based controls may have some immune component which can obscure the effect of immune-related genetic variants on NHL and IM.</w:t>
      </w:r>
      <w:r w:rsidR="001D1637">
        <w:rPr>
          <w:rFonts w:cs="Arial"/>
        </w:rPr>
        <w:t xml:space="preserve">  Results of sensitivity analyses excluding clinic-based sites were directionally consistent with results using the full dataset, indicating the effect of Berkson’s bias on our study results was minimal.</w:t>
      </w:r>
    </w:p>
    <w:p w14:paraId="0A20B569" w14:textId="4E95F4A8" w:rsidR="00793522" w:rsidRDefault="009F45A3" w:rsidP="00793522">
      <w:pPr>
        <w:spacing w:line="480" w:lineRule="auto"/>
        <w:ind w:firstLine="720"/>
        <w:rPr>
          <w:rFonts w:cs="Arial"/>
        </w:rPr>
      </w:pPr>
      <w:r>
        <w:rPr>
          <w:rFonts w:cs="Arial"/>
        </w:rPr>
        <w:t>O</w:t>
      </w:r>
      <w:r w:rsidR="008C1AEB">
        <w:rPr>
          <w:rFonts w:cs="Arial"/>
        </w:rPr>
        <w:t>ur</w:t>
      </w:r>
      <w:r w:rsidR="00796024">
        <w:rPr>
          <w:rFonts w:cs="Arial"/>
        </w:rPr>
        <w:t xml:space="preserve"> study was underpowered to detect an interaction between uncommon </w:t>
      </w:r>
      <w:r w:rsidR="00793522">
        <w:rPr>
          <w:rFonts w:cs="Arial"/>
        </w:rPr>
        <w:t xml:space="preserve">variants </w:t>
      </w:r>
      <w:r w:rsidR="000A45BF">
        <w:rPr>
          <w:rFonts w:cs="Arial"/>
        </w:rPr>
        <w:t xml:space="preserve">and IM </w:t>
      </w:r>
      <w:r w:rsidR="00796024">
        <w:rPr>
          <w:rFonts w:cs="Arial"/>
        </w:rPr>
        <w:t>within rare NHL subtype strata</w:t>
      </w:r>
      <w:r>
        <w:rPr>
          <w:rFonts w:cs="Arial"/>
        </w:rPr>
        <w:t xml:space="preserve"> after adjusting for multiple comparisons</w:t>
      </w:r>
      <w:r w:rsidR="00665AEF">
        <w:rPr>
          <w:rFonts w:cs="Arial"/>
        </w:rPr>
        <w:t xml:space="preserve">.  For example, </w:t>
      </w:r>
      <w:r w:rsidR="005161E0">
        <w:rPr>
          <w:rFonts w:cs="Arial"/>
        </w:rPr>
        <w:t>in order to achieve 80% power of detecting an interaction odds ratio of 0.</w:t>
      </w:r>
      <w:r w:rsidR="000A45BF">
        <w:rPr>
          <w:rFonts w:cs="Arial"/>
        </w:rPr>
        <w:t>0</w:t>
      </w:r>
      <w:r w:rsidR="00754AEC">
        <w:rPr>
          <w:rFonts w:cs="Arial"/>
        </w:rPr>
        <w:t>9</w:t>
      </w:r>
      <w:r w:rsidR="005161E0">
        <w:rPr>
          <w:rFonts w:cs="Arial"/>
        </w:rPr>
        <w:t xml:space="preserve"> for </w:t>
      </w:r>
      <w:r w:rsidR="005161E0" w:rsidRPr="005161E0">
        <w:rPr>
          <w:rFonts w:cs="Arial"/>
        </w:rPr>
        <w:t>rs1</w:t>
      </w:r>
      <w:r w:rsidR="00754AEC">
        <w:rPr>
          <w:rFonts w:cs="Arial"/>
        </w:rPr>
        <w:t>143627</w:t>
      </w:r>
      <w:r w:rsidR="005161E0">
        <w:rPr>
          <w:rFonts w:cs="Arial"/>
        </w:rPr>
        <w:t xml:space="preserve"> at </w:t>
      </w:r>
      <w:r w:rsidR="007F1E6A" w:rsidRPr="007F1E6A">
        <w:rPr>
          <w:rFonts w:cs="Arial"/>
        </w:rPr>
        <w:t>α</w:t>
      </w:r>
      <w:r w:rsidR="007F1E6A" w:rsidRPr="007F1E6A" w:rsidDel="007F1E6A">
        <w:rPr>
          <w:rFonts w:cs="Arial"/>
        </w:rPr>
        <w:t xml:space="preserve"> </w:t>
      </w:r>
      <w:r w:rsidR="007F1E6A">
        <w:rPr>
          <w:rFonts w:cs="Arial"/>
        </w:rPr>
        <w:t xml:space="preserve">= 0.05 </w:t>
      </w:r>
      <w:r w:rsidR="005161E0">
        <w:rPr>
          <w:rFonts w:cs="Arial"/>
        </w:rPr>
        <w:t xml:space="preserve">after accounting for multiple comparisons, we would have needed </w:t>
      </w:r>
      <w:r w:rsidR="00201793">
        <w:rPr>
          <w:rFonts w:cs="Arial"/>
        </w:rPr>
        <w:t xml:space="preserve">518 </w:t>
      </w:r>
      <w:r w:rsidR="006A022D">
        <w:rPr>
          <w:rFonts w:cs="Arial"/>
        </w:rPr>
        <w:t xml:space="preserve">genotyped </w:t>
      </w:r>
      <w:r w:rsidR="00500A2D">
        <w:rPr>
          <w:rFonts w:cs="Arial"/>
        </w:rPr>
        <w:t>TCL</w:t>
      </w:r>
      <w:r>
        <w:rPr>
          <w:rFonts w:cs="Arial"/>
        </w:rPr>
        <w:t xml:space="preserve"> </w:t>
      </w:r>
      <w:r w:rsidR="006A022D">
        <w:rPr>
          <w:rFonts w:cs="Arial"/>
        </w:rPr>
        <w:t>patients</w:t>
      </w:r>
      <w:r w:rsidR="00D86DB9">
        <w:rPr>
          <w:rFonts w:cs="Arial"/>
        </w:rPr>
        <w:t xml:space="preserve">. </w:t>
      </w:r>
      <w:r w:rsidR="00665AEF">
        <w:rPr>
          <w:rFonts w:cs="Arial"/>
        </w:rPr>
        <w:t>Thus, even with the overall large numbers of cases and controls in the study, there was inadequate power to detect associations by subtype.</w:t>
      </w:r>
    </w:p>
    <w:p w14:paraId="23DC27B5" w14:textId="63A154DE" w:rsidR="00D86DAA" w:rsidRPr="00307AB6" w:rsidRDefault="008C1AEB" w:rsidP="00011D3F">
      <w:pPr>
        <w:spacing w:line="480" w:lineRule="auto"/>
        <w:ind w:firstLine="720"/>
        <w:rPr>
          <w:rFonts w:cs="Arial"/>
        </w:rPr>
      </w:pPr>
      <w:r>
        <w:rPr>
          <w:rFonts w:cs="Arial"/>
        </w:rPr>
        <w:t>In summary, we</w:t>
      </w:r>
      <w:r w:rsidR="00F47039">
        <w:rPr>
          <w:rFonts w:cs="Arial"/>
        </w:rPr>
        <w:t xml:space="preserve"> confirmed the long-standing association </w:t>
      </w:r>
      <w:r w:rsidR="008322E8">
        <w:rPr>
          <w:rFonts w:cs="Arial"/>
        </w:rPr>
        <w:t xml:space="preserve">between IM risk and </w:t>
      </w:r>
      <w:r w:rsidR="00F47039">
        <w:rPr>
          <w:rFonts w:cs="Arial"/>
        </w:rPr>
        <w:t>higher SES</w:t>
      </w:r>
      <w:r w:rsidR="0004732A">
        <w:rPr>
          <w:rFonts w:cs="Arial"/>
        </w:rPr>
        <w:t xml:space="preserve"> and </w:t>
      </w:r>
      <w:r w:rsidR="008322E8">
        <w:rPr>
          <w:rFonts w:cs="Arial"/>
        </w:rPr>
        <w:t xml:space="preserve">lower </w:t>
      </w:r>
      <w:r w:rsidR="0004732A">
        <w:rPr>
          <w:rFonts w:cs="Arial"/>
        </w:rPr>
        <w:t>sibship size (for those born prior to 1960)</w:t>
      </w:r>
      <w:r w:rsidR="00F47039">
        <w:rPr>
          <w:rFonts w:cs="Arial"/>
        </w:rPr>
        <w:t xml:space="preserve"> and showed a female excess that requires </w:t>
      </w:r>
      <w:r w:rsidR="009F45A3">
        <w:rPr>
          <w:rFonts w:cs="Arial"/>
        </w:rPr>
        <w:t xml:space="preserve">confirmation and further </w:t>
      </w:r>
      <w:r w:rsidR="00F47039">
        <w:rPr>
          <w:rFonts w:cs="Arial"/>
        </w:rPr>
        <w:t xml:space="preserve">explanation. </w:t>
      </w:r>
      <w:r w:rsidR="009F45A3">
        <w:rPr>
          <w:rFonts w:cs="Arial"/>
        </w:rPr>
        <w:t xml:space="preserve"> </w:t>
      </w:r>
      <w:r w:rsidR="00796024">
        <w:rPr>
          <w:rFonts w:cs="Arial"/>
        </w:rPr>
        <w:t xml:space="preserve">This </w:t>
      </w:r>
      <w:r w:rsidR="00A42034">
        <w:rPr>
          <w:rFonts w:cs="Arial"/>
        </w:rPr>
        <w:t xml:space="preserve">study </w:t>
      </w:r>
      <w:r w:rsidR="00F47039">
        <w:rPr>
          <w:rFonts w:cs="Arial"/>
        </w:rPr>
        <w:t>was also</w:t>
      </w:r>
      <w:r w:rsidR="00796024">
        <w:rPr>
          <w:rFonts w:cs="Arial"/>
        </w:rPr>
        <w:t xml:space="preserve"> the first to explore possible interaction between immune </w:t>
      </w:r>
      <w:r w:rsidR="009F45A3">
        <w:rPr>
          <w:rFonts w:cs="Arial"/>
        </w:rPr>
        <w:t xml:space="preserve">response </w:t>
      </w:r>
      <w:r w:rsidR="00796024">
        <w:rPr>
          <w:rFonts w:cs="Arial"/>
        </w:rPr>
        <w:t>genotypes and IM history on NHL risk</w:t>
      </w:r>
      <w:r w:rsidR="00194FDB">
        <w:rPr>
          <w:rFonts w:cs="Arial"/>
        </w:rPr>
        <w:t xml:space="preserve"> </w:t>
      </w:r>
      <w:r w:rsidR="009A7709">
        <w:rPr>
          <w:rFonts w:cs="Arial"/>
        </w:rPr>
        <w:fldChar w:fldCharType="begin" w:fldLock="1"/>
      </w:r>
      <w:r w:rsidR="00BB3BE7">
        <w:rPr>
          <w:rFonts w:cs="Arial"/>
        </w:rPr>
        <w:instrText>ADDIN CSL_CITATION {"citationItems":[{"id":"ITEM-1","itemData":{"DOI":"10.1002/rmv.1816","ISBN":"1052-9276 (Print)\\r1052-9276 (Linking)","ISSN":"10991654","PMID":"25430668","abstract":"Epstein-Barr virus (EBV) infects 95% of the adult population and is the cause of infectious mononucleosis. It is also associated with 1% of cancers worldwide, such as nasopharyngeal carcinoma, Hodgkin's lymphoma and Burkitt's lymphoma. Human and cancer genetic studies are now major forces determining gene variants associated with many cancers, including nasopharyngeal carcinoma and Hodgkin's lymphoma. Host genetics is also important in infectious disease; however, there have been no large-scale efforts towards understanding the contribution that human genetic variation plays in primary EBV infection and latency. This review covers 25 years of studies into host genetic susceptibility to EBV infection and disease, from candidate gene studies, to the first genome-wide association study of EBV antibody response, and an EBV-status stratified genome-wide association study of Hodgkin's lymphoma. Although many genes are implicated in EBV-related disease, studies are often small, not replicated or followed up in a different disease. Larger, appropriately powered genomic studies to understand the host response to EBV will be needed to move our understanding of the biology of EBV infection beyond the handful of genes currently identified. Fifty years since the discovery of EBV and its identification as a human oncogenic virus, a glimpse of the future is shown by the first whole-genome and whole-exome studies, revealing new human genes at the heart of the host-EBV interaction.","author":[{"dropping-particle":"","family":"Houldcroft","given":"Charlotte J","non-dropping-particle":"","parse-names":false,"suffix":""},{"dropping-particle":"","family":"Kellam","given":"Paul","non-dropping-particle":"","parse-names":false,"suffix":""}],"container-title":"Reviews in Medical Virology","id":"ITEM-1","issue":"2","issued":{"date-parts":[["2015","3"]]},"page":"71-84","publisher":"Wiley-Blackwell","title":"Host genetics of Epstein-Barr virus infection, latency and disease","type":"article","volume":"25"},"uris":["http://www.mendeley.com/documents/?uuid=51b3f924-22ba-3390-9c09-61797e4c4231"]}],"mendeley":{"formattedCitation":"[71]","plainTextFormattedCitation":"[71]","previouslyFormattedCitation":"[70]"},"properties":{"noteIndex":0},"schema":"https://github.com/citation-style-language/schema/raw/master/csl-citation.json"}</w:instrText>
      </w:r>
      <w:r w:rsidR="009A7709">
        <w:rPr>
          <w:rFonts w:cs="Arial"/>
        </w:rPr>
        <w:fldChar w:fldCharType="separate"/>
      </w:r>
      <w:r w:rsidR="00BB3BE7" w:rsidRPr="00BB3BE7">
        <w:rPr>
          <w:rFonts w:cs="Arial"/>
          <w:noProof/>
        </w:rPr>
        <w:t>[71]</w:t>
      </w:r>
      <w:r w:rsidR="009A7709">
        <w:rPr>
          <w:rFonts w:cs="Arial"/>
        </w:rPr>
        <w:fldChar w:fldCharType="end"/>
      </w:r>
      <w:r w:rsidR="00796024">
        <w:rPr>
          <w:rFonts w:cs="Arial"/>
        </w:rPr>
        <w:t xml:space="preserve">.  Although we observed a possible interaction that affected the risk of a rare NHL subtype, our study was underpowered to overcome multiple comparisons.  Confirmation will require a </w:t>
      </w:r>
      <w:r w:rsidR="00CC1C0F">
        <w:rPr>
          <w:rFonts w:cs="Arial"/>
        </w:rPr>
        <w:t>well-characterized</w:t>
      </w:r>
      <w:r w:rsidR="00E67A88">
        <w:rPr>
          <w:rFonts w:cs="Arial"/>
        </w:rPr>
        <w:t>,</w:t>
      </w:r>
      <w:r w:rsidR="00CC1C0F">
        <w:rPr>
          <w:rFonts w:cs="Arial"/>
        </w:rPr>
        <w:t xml:space="preserve"> </w:t>
      </w:r>
      <w:r w:rsidR="00796024">
        <w:rPr>
          <w:rFonts w:cs="Arial"/>
        </w:rPr>
        <w:t xml:space="preserve">targeted study with larger numbers. </w:t>
      </w:r>
      <w:r w:rsidR="00D86DAA">
        <w:rPr>
          <w:rFonts w:cs="Arial"/>
        </w:rPr>
        <w:t xml:space="preserve"> </w:t>
      </w:r>
      <w:r w:rsidR="00D86DAA">
        <w:br w:type="page"/>
      </w:r>
    </w:p>
    <w:p w14:paraId="4FEC04D3" w14:textId="77777777" w:rsidR="00E234B5" w:rsidRDefault="00E234B5" w:rsidP="00E234B5">
      <w:pPr>
        <w:pStyle w:val="Heading2"/>
      </w:pPr>
      <w:r>
        <w:lastRenderedPageBreak/>
        <w:t>Tables</w:t>
      </w:r>
    </w:p>
    <w:p w14:paraId="2C81E3BA" w14:textId="77777777" w:rsidR="00E234B5" w:rsidRDefault="0078285A" w:rsidP="00A33653">
      <w:pPr>
        <w:pStyle w:val="Caption"/>
        <w:spacing w:line="480" w:lineRule="auto"/>
      </w:pPr>
      <w:bookmarkStart w:id="11" w:name="_Ref455771333"/>
      <w:bookmarkStart w:id="12" w:name="_Ref440140622"/>
      <w:r>
        <w:t xml:space="preserve">Table </w:t>
      </w:r>
      <w:r w:rsidR="0022191F">
        <w:rPr>
          <w:noProof/>
        </w:rPr>
        <w:fldChar w:fldCharType="begin"/>
      </w:r>
      <w:r w:rsidR="0022191F">
        <w:rPr>
          <w:noProof/>
        </w:rPr>
        <w:instrText xml:space="preserve"> SEQ Table \* ARABIC </w:instrText>
      </w:r>
      <w:r w:rsidR="0022191F">
        <w:rPr>
          <w:noProof/>
        </w:rPr>
        <w:fldChar w:fldCharType="separate"/>
      </w:r>
      <w:r w:rsidR="00785D32">
        <w:rPr>
          <w:noProof/>
        </w:rPr>
        <w:t>1</w:t>
      </w:r>
      <w:r w:rsidR="0022191F">
        <w:rPr>
          <w:noProof/>
        </w:rPr>
        <w:fldChar w:fldCharType="end"/>
      </w:r>
      <w:bookmarkEnd w:id="11"/>
      <w:bookmarkEnd w:id="12"/>
      <w:r>
        <w:t xml:space="preserve">: </w:t>
      </w:r>
      <w:r w:rsidRPr="00632050">
        <w:t>Demographic characteristics of N</w:t>
      </w:r>
      <w:r>
        <w:t xml:space="preserve">HL </w:t>
      </w:r>
      <w:r w:rsidR="0037586B">
        <w:t>p</w:t>
      </w:r>
      <w:r w:rsidR="00642F46">
        <w:t xml:space="preserve">atients </w:t>
      </w:r>
      <w:r>
        <w:t xml:space="preserve">and </w:t>
      </w:r>
      <w:r w:rsidR="0037586B">
        <w:t>c</w:t>
      </w:r>
      <w:r>
        <w:t>ontrols</w:t>
      </w:r>
      <w:r w:rsidR="00E234B5">
        <w:t xml:space="preserve"> </w:t>
      </w:r>
    </w:p>
    <w:p w14:paraId="0E0A1E94" w14:textId="77777777" w:rsidR="00647A0C" w:rsidRDefault="00647A0C" w:rsidP="00A33653">
      <w:pPr>
        <w:spacing w:line="480" w:lineRule="auto"/>
      </w:pPr>
    </w:p>
    <w:p w14:paraId="3543DC99" w14:textId="77777777" w:rsidR="00647A0C" w:rsidRDefault="001105C8" w:rsidP="00A33653">
      <w:pPr>
        <w:spacing w:line="480" w:lineRule="auto"/>
      </w:pPr>
      <w:bookmarkStart w:id="13" w:name="_Ref440144263"/>
      <w:r>
        <w:t xml:space="preserve">Table </w:t>
      </w:r>
      <w:r w:rsidR="0022191F">
        <w:rPr>
          <w:noProof/>
        </w:rPr>
        <w:fldChar w:fldCharType="begin"/>
      </w:r>
      <w:r w:rsidR="0022191F">
        <w:rPr>
          <w:noProof/>
        </w:rPr>
        <w:instrText xml:space="preserve"> SEQ Table \* ARABIC </w:instrText>
      </w:r>
      <w:r w:rsidR="0022191F">
        <w:rPr>
          <w:noProof/>
        </w:rPr>
        <w:fldChar w:fldCharType="separate"/>
      </w:r>
      <w:r w:rsidR="00785D32">
        <w:rPr>
          <w:noProof/>
        </w:rPr>
        <w:t>2</w:t>
      </w:r>
      <w:r w:rsidR="0022191F">
        <w:rPr>
          <w:noProof/>
        </w:rPr>
        <w:fldChar w:fldCharType="end"/>
      </w:r>
      <w:bookmarkEnd w:id="13"/>
      <w:r>
        <w:t xml:space="preserve">: </w:t>
      </w:r>
      <w:r w:rsidR="00642F46">
        <w:t>S</w:t>
      </w:r>
      <w:r w:rsidRPr="00324684">
        <w:t xml:space="preserve">ubtypes among </w:t>
      </w:r>
      <w:r w:rsidR="00642F46">
        <w:t>N</w:t>
      </w:r>
      <w:r w:rsidR="0037586B">
        <w:t>HL p</w:t>
      </w:r>
      <w:r w:rsidR="00642F46">
        <w:t>atients</w:t>
      </w:r>
    </w:p>
    <w:p w14:paraId="0772A257" w14:textId="77777777" w:rsidR="00D86DAA" w:rsidRDefault="00D86DAA" w:rsidP="00A33653">
      <w:pPr>
        <w:spacing w:line="480" w:lineRule="auto"/>
      </w:pPr>
    </w:p>
    <w:p w14:paraId="53CAA564" w14:textId="77777777" w:rsidR="00F86BB3" w:rsidRDefault="00D86DAA" w:rsidP="00A33653">
      <w:pPr>
        <w:spacing w:line="480" w:lineRule="auto"/>
      </w:pPr>
      <w:bookmarkStart w:id="14" w:name="_Ref440146942"/>
      <w:r>
        <w:t xml:space="preserve">Table </w:t>
      </w:r>
      <w:r w:rsidR="0022191F">
        <w:rPr>
          <w:noProof/>
        </w:rPr>
        <w:fldChar w:fldCharType="begin"/>
      </w:r>
      <w:r w:rsidR="0022191F">
        <w:rPr>
          <w:noProof/>
        </w:rPr>
        <w:instrText xml:space="preserve"> SEQ Table \* ARABIC </w:instrText>
      </w:r>
      <w:r w:rsidR="0022191F">
        <w:rPr>
          <w:noProof/>
        </w:rPr>
        <w:fldChar w:fldCharType="separate"/>
      </w:r>
      <w:r w:rsidR="00785D32">
        <w:rPr>
          <w:noProof/>
        </w:rPr>
        <w:t>3</w:t>
      </w:r>
      <w:r w:rsidR="0022191F">
        <w:rPr>
          <w:noProof/>
        </w:rPr>
        <w:fldChar w:fldCharType="end"/>
      </w:r>
      <w:bookmarkEnd w:id="14"/>
      <w:r>
        <w:t>:</w:t>
      </w:r>
      <w:r w:rsidR="0037586B" w:rsidRPr="0037586B">
        <w:t xml:space="preserve"> </w:t>
      </w:r>
      <w:r w:rsidR="00543BC8" w:rsidRPr="00543BC8">
        <w:t>Interaction</w:t>
      </w:r>
      <w:r w:rsidR="00A370C3">
        <w:t xml:space="preserve"> between IM history and </w:t>
      </w:r>
      <w:r w:rsidR="00543BC8" w:rsidRPr="00543BC8">
        <w:t xml:space="preserve">candidate risk </w:t>
      </w:r>
      <w:r w:rsidR="0090063C">
        <w:t>variant</w:t>
      </w:r>
      <w:r w:rsidR="00543BC8" w:rsidRPr="00543BC8">
        <w:t xml:space="preserve">s </w:t>
      </w:r>
      <w:r w:rsidR="009B1EFC" w:rsidRPr="00543BC8">
        <w:t>[</w:t>
      </w:r>
      <w:r w:rsidR="009B1EFC" w:rsidRPr="001456E8">
        <w:rPr>
          <w:i/>
        </w:rPr>
        <w:t>IL1A</w:t>
      </w:r>
      <w:r w:rsidR="009B1EFC" w:rsidRPr="00543BC8">
        <w:t xml:space="preserve"> (rs1800587), </w:t>
      </w:r>
      <w:r w:rsidR="009B1EFC" w:rsidRPr="001456E8">
        <w:rPr>
          <w:i/>
        </w:rPr>
        <w:t>IL1B</w:t>
      </w:r>
      <w:r w:rsidR="009B1EFC" w:rsidRPr="00543BC8">
        <w:t xml:space="preserve"> (</w:t>
      </w:r>
      <w:r w:rsidR="009B1EFC" w:rsidRPr="00E74BC2">
        <w:t>rs16944, rs1143627</w:t>
      </w:r>
      <w:r w:rsidR="009B1EFC" w:rsidRPr="00543BC8">
        <w:t xml:space="preserve">), </w:t>
      </w:r>
      <w:r w:rsidR="009B1EFC" w:rsidRPr="001456E8">
        <w:rPr>
          <w:i/>
        </w:rPr>
        <w:t>IL1RN</w:t>
      </w:r>
      <w:r w:rsidR="009B1EFC" w:rsidRPr="00543BC8">
        <w:t xml:space="preserve"> (rs454078), </w:t>
      </w:r>
      <w:r w:rsidR="009B1EFC" w:rsidRPr="001456E8">
        <w:rPr>
          <w:i/>
        </w:rPr>
        <w:t>IL2</w:t>
      </w:r>
      <w:r w:rsidR="009B1EFC" w:rsidRPr="00543BC8">
        <w:t xml:space="preserve"> (rs2069762), </w:t>
      </w:r>
      <w:r w:rsidR="009B1EFC" w:rsidRPr="001456E8">
        <w:rPr>
          <w:i/>
        </w:rPr>
        <w:t>IL6</w:t>
      </w:r>
      <w:r w:rsidR="009B1EFC" w:rsidRPr="00543BC8">
        <w:t xml:space="preserve"> (</w:t>
      </w:r>
      <w:r w:rsidR="009B1EFC" w:rsidRPr="00E74BC2">
        <w:t>rs1800795, rs1800797</w:t>
      </w:r>
      <w:r w:rsidR="009B1EFC" w:rsidRPr="00543BC8">
        <w:t xml:space="preserve">), </w:t>
      </w:r>
      <w:r w:rsidR="009B1EFC" w:rsidRPr="001456E8">
        <w:rPr>
          <w:i/>
        </w:rPr>
        <w:t>IL10</w:t>
      </w:r>
      <w:r w:rsidR="009B1EFC" w:rsidRPr="00543BC8">
        <w:t xml:space="preserve"> (</w:t>
      </w:r>
      <w:r w:rsidR="009B1EFC" w:rsidRPr="00E57F5C">
        <w:t>rs1800896, rs1800890</w:t>
      </w:r>
      <w:r w:rsidR="009B1EFC" w:rsidRPr="00543BC8">
        <w:t xml:space="preserve">), </w:t>
      </w:r>
      <w:r w:rsidR="009B1EFC" w:rsidRPr="001456E8">
        <w:rPr>
          <w:i/>
        </w:rPr>
        <w:t>TNFA</w:t>
      </w:r>
      <w:r w:rsidR="009B1EFC" w:rsidRPr="00543BC8">
        <w:t xml:space="preserve"> (rs1800629), </w:t>
      </w:r>
      <w:r w:rsidR="009B1EFC" w:rsidRPr="001456E8">
        <w:rPr>
          <w:i/>
        </w:rPr>
        <w:t>HLA I</w:t>
      </w:r>
      <w:r w:rsidR="009B1EFC" w:rsidRPr="00543BC8">
        <w:t xml:space="preserve"> (rs6457327), and </w:t>
      </w:r>
      <w:r w:rsidR="009B1EFC" w:rsidRPr="001456E8">
        <w:rPr>
          <w:i/>
        </w:rPr>
        <w:t>HLA II</w:t>
      </w:r>
      <w:r w:rsidR="009B1EFC" w:rsidRPr="00543BC8">
        <w:t xml:space="preserve"> (rs10484561)]</w:t>
      </w:r>
      <w:r w:rsidR="00543BC8" w:rsidRPr="00543BC8">
        <w:t xml:space="preserve"> by NHL subtype: empirical-Bayes estimates of interaction effects</w:t>
      </w:r>
    </w:p>
    <w:p w14:paraId="2037D99A" w14:textId="77777777" w:rsidR="00243195" w:rsidRDefault="00913EBF" w:rsidP="00A33653">
      <w:pPr>
        <w:spacing w:line="480" w:lineRule="auto"/>
      </w:pPr>
      <w:r w:rsidRPr="00913EBF">
        <w:tab/>
      </w:r>
      <w:r w:rsidRPr="00913EBF">
        <w:tab/>
      </w:r>
      <w:r w:rsidRPr="00913EBF">
        <w:tab/>
      </w:r>
      <w:r w:rsidRPr="00913EBF">
        <w:tab/>
      </w:r>
      <w:r w:rsidRPr="00913EBF">
        <w:tab/>
      </w:r>
      <w:r w:rsidRPr="00913EBF">
        <w:tab/>
      </w:r>
      <w:r w:rsidRPr="00913EBF">
        <w:tab/>
      </w:r>
      <w:r w:rsidRPr="00913EBF">
        <w:tab/>
      </w:r>
      <w:r w:rsidRPr="00913EBF">
        <w:tab/>
      </w:r>
      <w:r w:rsidRPr="00913EBF">
        <w:tab/>
      </w:r>
      <w:r w:rsidRPr="00913EBF">
        <w:tab/>
      </w:r>
    </w:p>
    <w:p w14:paraId="19A3AE7B" w14:textId="77777777" w:rsidR="00243195" w:rsidRDefault="00243195" w:rsidP="00A33653">
      <w:pPr>
        <w:spacing w:line="480" w:lineRule="auto"/>
      </w:pPr>
      <w:bookmarkStart w:id="15" w:name="_Ref440147558"/>
      <w:r>
        <w:t xml:space="preserve">Table </w:t>
      </w:r>
      <w:r w:rsidR="0022191F">
        <w:rPr>
          <w:noProof/>
        </w:rPr>
        <w:fldChar w:fldCharType="begin"/>
      </w:r>
      <w:r w:rsidR="0022191F">
        <w:rPr>
          <w:noProof/>
        </w:rPr>
        <w:instrText xml:space="preserve"> SEQ Table \* ARABIC </w:instrText>
      </w:r>
      <w:r w:rsidR="0022191F">
        <w:rPr>
          <w:noProof/>
        </w:rPr>
        <w:fldChar w:fldCharType="separate"/>
      </w:r>
      <w:r w:rsidR="00785D32">
        <w:rPr>
          <w:noProof/>
        </w:rPr>
        <w:t>4</w:t>
      </w:r>
      <w:r w:rsidR="0022191F">
        <w:rPr>
          <w:noProof/>
        </w:rPr>
        <w:fldChar w:fldCharType="end"/>
      </w:r>
      <w:bookmarkEnd w:id="15"/>
      <w:r>
        <w:t>: Associations between</w:t>
      </w:r>
      <w:r w:rsidRPr="00E44D82">
        <w:t xml:space="preserve"> IM history</w:t>
      </w:r>
      <w:r>
        <w:t xml:space="preserve"> </w:t>
      </w:r>
      <w:r w:rsidRPr="00E44D82">
        <w:t>and demographic</w:t>
      </w:r>
      <w:r>
        <w:t>/familial</w:t>
      </w:r>
      <w:r w:rsidRPr="00E44D82">
        <w:t xml:space="preserve"> factors</w:t>
      </w:r>
      <w:r w:rsidR="00A860BC">
        <w:t xml:space="preserve"> among </w:t>
      </w:r>
      <w:r w:rsidR="0037586B">
        <w:t>c</w:t>
      </w:r>
      <w:r w:rsidR="00323354">
        <w:t>ontrols</w:t>
      </w:r>
    </w:p>
    <w:p w14:paraId="37696DBD" w14:textId="77777777" w:rsidR="00785D32" w:rsidRDefault="00785D32" w:rsidP="00A33653">
      <w:pPr>
        <w:spacing w:line="480" w:lineRule="auto"/>
      </w:pPr>
    </w:p>
    <w:p w14:paraId="62A3C952" w14:textId="77777777" w:rsidR="00785D32" w:rsidRDefault="00785D32" w:rsidP="00785D32">
      <w:pPr>
        <w:pStyle w:val="Caption"/>
        <w:spacing w:line="480" w:lineRule="auto"/>
      </w:pPr>
      <w:bookmarkStart w:id="16" w:name="_Ref517638989"/>
      <w:r>
        <w:t xml:space="preserve">Table </w:t>
      </w:r>
      <w:r w:rsidR="009D6348">
        <w:rPr>
          <w:noProof/>
        </w:rPr>
        <w:fldChar w:fldCharType="begin"/>
      </w:r>
      <w:r w:rsidR="009D6348">
        <w:rPr>
          <w:noProof/>
        </w:rPr>
        <w:instrText xml:space="preserve"> SEQ Table \* ARABIC </w:instrText>
      </w:r>
      <w:r w:rsidR="009D6348">
        <w:rPr>
          <w:noProof/>
        </w:rPr>
        <w:fldChar w:fldCharType="separate"/>
      </w:r>
      <w:r>
        <w:rPr>
          <w:noProof/>
        </w:rPr>
        <w:t>5</w:t>
      </w:r>
      <w:r w:rsidR="009D6348">
        <w:rPr>
          <w:noProof/>
        </w:rPr>
        <w:fldChar w:fldCharType="end"/>
      </w:r>
      <w:bookmarkEnd w:id="16"/>
      <w:r>
        <w:t xml:space="preserve">: </w:t>
      </w:r>
      <w:r w:rsidRPr="00782DFA">
        <w:t xml:space="preserve">Association between IM history and </w:t>
      </w:r>
      <w:r w:rsidR="008322E8">
        <w:t>family structure</w:t>
      </w:r>
      <w:r w:rsidRPr="00782DFA">
        <w:t xml:space="preserve"> among controls by year of birth</w:t>
      </w:r>
    </w:p>
    <w:p w14:paraId="406F2A94" w14:textId="77777777" w:rsidR="00243195" w:rsidRDefault="00243195" w:rsidP="00A33653">
      <w:pPr>
        <w:spacing w:line="480" w:lineRule="auto"/>
      </w:pPr>
    </w:p>
    <w:p w14:paraId="03C136CD" w14:textId="77777777" w:rsidR="00243195" w:rsidRDefault="00243195" w:rsidP="00A33653">
      <w:pPr>
        <w:spacing w:line="480" w:lineRule="auto"/>
      </w:pPr>
      <w:bookmarkStart w:id="17" w:name="_Ref440147629"/>
      <w:r>
        <w:t xml:space="preserve">Table </w:t>
      </w:r>
      <w:r w:rsidR="0022191F">
        <w:rPr>
          <w:noProof/>
        </w:rPr>
        <w:fldChar w:fldCharType="begin"/>
      </w:r>
      <w:r w:rsidR="0022191F">
        <w:rPr>
          <w:noProof/>
        </w:rPr>
        <w:instrText xml:space="preserve"> SEQ Table \* ARABIC </w:instrText>
      </w:r>
      <w:r w:rsidR="0022191F">
        <w:rPr>
          <w:noProof/>
        </w:rPr>
        <w:fldChar w:fldCharType="separate"/>
      </w:r>
      <w:r w:rsidR="00785D32">
        <w:rPr>
          <w:noProof/>
        </w:rPr>
        <w:t>6</w:t>
      </w:r>
      <w:r w:rsidR="0022191F">
        <w:rPr>
          <w:noProof/>
        </w:rPr>
        <w:fldChar w:fldCharType="end"/>
      </w:r>
      <w:bookmarkEnd w:id="17"/>
      <w:r>
        <w:t xml:space="preserve">: </w:t>
      </w:r>
      <w:r w:rsidR="00543BC8" w:rsidRPr="00543BC8">
        <w:t xml:space="preserve">Associations between IM and candidate risk </w:t>
      </w:r>
      <w:r w:rsidR="0090063C">
        <w:t>variant</w:t>
      </w:r>
      <w:r w:rsidR="00543BC8" w:rsidRPr="00543BC8">
        <w:t xml:space="preserve">s </w:t>
      </w:r>
      <w:r w:rsidR="009B1EFC" w:rsidRPr="00543BC8">
        <w:t>[</w:t>
      </w:r>
      <w:r w:rsidR="009B1EFC" w:rsidRPr="00A929FA">
        <w:rPr>
          <w:i/>
        </w:rPr>
        <w:t>IL1A</w:t>
      </w:r>
      <w:r w:rsidR="009B1EFC" w:rsidRPr="00543BC8">
        <w:t xml:space="preserve"> (rs1800587), </w:t>
      </w:r>
      <w:r w:rsidR="009B1EFC" w:rsidRPr="001456E8">
        <w:rPr>
          <w:i/>
        </w:rPr>
        <w:t>IL1B</w:t>
      </w:r>
      <w:r w:rsidR="009B1EFC" w:rsidRPr="00543BC8">
        <w:t xml:space="preserve"> (</w:t>
      </w:r>
      <w:r w:rsidR="009B1EFC" w:rsidRPr="00E74BC2">
        <w:t>rs16944, rs1143627</w:t>
      </w:r>
      <w:r w:rsidR="009B1EFC" w:rsidRPr="00543BC8">
        <w:t xml:space="preserve">), </w:t>
      </w:r>
      <w:r w:rsidR="009B1EFC" w:rsidRPr="001456E8">
        <w:rPr>
          <w:i/>
        </w:rPr>
        <w:t>IL1RN</w:t>
      </w:r>
      <w:r w:rsidR="009B1EFC" w:rsidRPr="00543BC8">
        <w:t xml:space="preserve"> (rs454078), </w:t>
      </w:r>
      <w:r w:rsidR="009B1EFC" w:rsidRPr="001456E8">
        <w:rPr>
          <w:i/>
        </w:rPr>
        <w:t>IL2</w:t>
      </w:r>
      <w:r w:rsidR="009B1EFC" w:rsidRPr="00543BC8">
        <w:t xml:space="preserve"> (rs2069762), </w:t>
      </w:r>
      <w:r w:rsidR="009B1EFC" w:rsidRPr="001456E8">
        <w:rPr>
          <w:i/>
        </w:rPr>
        <w:t>IL6</w:t>
      </w:r>
      <w:r w:rsidR="009B1EFC" w:rsidRPr="00543BC8">
        <w:t xml:space="preserve"> (</w:t>
      </w:r>
      <w:r w:rsidR="009B1EFC" w:rsidRPr="00E74BC2">
        <w:t>rs1800795, rs1800797</w:t>
      </w:r>
      <w:r w:rsidR="009B1EFC" w:rsidRPr="00543BC8">
        <w:t xml:space="preserve">), </w:t>
      </w:r>
      <w:r w:rsidR="009B1EFC" w:rsidRPr="001456E8">
        <w:rPr>
          <w:i/>
        </w:rPr>
        <w:t>IL10</w:t>
      </w:r>
      <w:r w:rsidR="009B1EFC" w:rsidRPr="00543BC8">
        <w:t xml:space="preserve"> (</w:t>
      </w:r>
      <w:r w:rsidR="009B1EFC" w:rsidRPr="00E57F5C">
        <w:t>rs1800896, rs1800890</w:t>
      </w:r>
      <w:r w:rsidR="009B1EFC" w:rsidRPr="00543BC8">
        <w:t xml:space="preserve">), </w:t>
      </w:r>
      <w:r w:rsidR="009B1EFC" w:rsidRPr="001456E8">
        <w:rPr>
          <w:i/>
        </w:rPr>
        <w:t>TNFA</w:t>
      </w:r>
      <w:r w:rsidR="009B1EFC" w:rsidRPr="00543BC8">
        <w:t xml:space="preserve"> (rs1800629), </w:t>
      </w:r>
      <w:r w:rsidR="009B1EFC" w:rsidRPr="001456E8">
        <w:rPr>
          <w:i/>
        </w:rPr>
        <w:t>HLA I</w:t>
      </w:r>
      <w:r w:rsidR="009B1EFC" w:rsidRPr="00543BC8">
        <w:t xml:space="preserve"> (rs6457327), and </w:t>
      </w:r>
      <w:r w:rsidR="009B1EFC" w:rsidRPr="001456E8">
        <w:rPr>
          <w:i/>
        </w:rPr>
        <w:t>HLA II</w:t>
      </w:r>
      <w:r w:rsidR="009B1EFC" w:rsidRPr="00543BC8">
        <w:t xml:space="preserve"> (rs10484561)]</w:t>
      </w:r>
      <w:r w:rsidR="00543BC8" w:rsidRPr="00543BC8">
        <w:t xml:space="preserve"> among controls</w:t>
      </w:r>
    </w:p>
    <w:p w14:paraId="26601171" w14:textId="77777777" w:rsidR="00424802" w:rsidRDefault="00424802" w:rsidP="00A33653">
      <w:pPr>
        <w:spacing w:line="480" w:lineRule="auto"/>
      </w:pPr>
      <w:bookmarkStart w:id="18" w:name="_Ref440145677"/>
    </w:p>
    <w:p w14:paraId="4E89F404" w14:textId="77777777" w:rsidR="00314E97" w:rsidRDefault="001A3EFF" w:rsidP="00A33653">
      <w:pPr>
        <w:spacing w:line="480" w:lineRule="auto"/>
      </w:pPr>
      <w:bookmarkStart w:id="19" w:name="_Ref446668945"/>
      <w:r>
        <w:t xml:space="preserve">Supplemental Table </w:t>
      </w:r>
      <w:r w:rsidR="0022191F">
        <w:rPr>
          <w:noProof/>
        </w:rPr>
        <w:fldChar w:fldCharType="begin"/>
      </w:r>
      <w:r w:rsidR="0022191F">
        <w:rPr>
          <w:noProof/>
        </w:rPr>
        <w:instrText xml:space="preserve"> SEQ Supplemental_Table \* ARABIC </w:instrText>
      </w:r>
      <w:r w:rsidR="0022191F">
        <w:rPr>
          <w:noProof/>
        </w:rPr>
        <w:fldChar w:fldCharType="separate"/>
      </w:r>
      <w:r w:rsidR="00B06E70">
        <w:rPr>
          <w:noProof/>
        </w:rPr>
        <w:t>1</w:t>
      </w:r>
      <w:r w:rsidR="0022191F">
        <w:rPr>
          <w:noProof/>
        </w:rPr>
        <w:fldChar w:fldCharType="end"/>
      </w:r>
      <w:bookmarkEnd w:id="18"/>
      <w:bookmarkEnd w:id="19"/>
      <w:r>
        <w:t xml:space="preserve">: </w:t>
      </w:r>
      <w:r w:rsidRPr="00B57A69">
        <w:t xml:space="preserve">Source of </w:t>
      </w:r>
      <w:r w:rsidR="0037586B">
        <w:t>s</w:t>
      </w:r>
      <w:r w:rsidRPr="00B57A69">
        <w:t>ubjects</w:t>
      </w:r>
    </w:p>
    <w:p w14:paraId="1D6320BC" w14:textId="77777777" w:rsidR="00D86DAA" w:rsidRDefault="00D86DAA" w:rsidP="00A33653">
      <w:pPr>
        <w:spacing w:line="480" w:lineRule="auto"/>
      </w:pPr>
    </w:p>
    <w:p w14:paraId="7EEB999F" w14:textId="77777777" w:rsidR="00D86DAA" w:rsidRDefault="00D86DAA" w:rsidP="00A33653">
      <w:pPr>
        <w:spacing w:line="480" w:lineRule="auto"/>
      </w:pPr>
      <w:bookmarkStart w:id="20" w:name="_Ref440146271"/>
      <w:r>
        <w:lastRenderedPageBreak/>
        <w:t xml:space="preserve">Supplemental Table </w:t>
      </w:r>
      <w:r w:rsidR="0022191F">
        <w:rPr>
          <w:noProof/>
        </w:rPr>
        <w:fldChar w:fldCharType="begin"/>
      </w:r>
      <w:r w:rsidR="0022191F">
        <w:rPr>
          <w:noProof/>
        </w:rPr>
        <w:instrText xml:space="preserve"> SEQ Supplemental_Table \* ARABIC </w:instrText>
      </w:r>
      <w:r w:rsidR="0022191F">
        <w:rPr>
          <w:noProof/>
        </w:rPr>
        <w:fldChar w:fldCharType="separate"/>
      </w:r>
      <w:r w:rsidR="00B06E70">
        <w:rPr>
          <w:noProof/>
        </w:rPr>
        <w:t>2</w:t>
      </w:r>
      <w:r w:rsidR="0022191F">
        <w:rPr>
          <w:noProof/>
        </w:rPr>
        <w:fldChar w:fldCharType="end"/>
      </w:r>
      <w:bookmarkEnd w:id="20"/>
      <w:r>
        <w:t xml:space="preserve">: </w:t>
      </w:r>
      <w:r w:rsidR="00543BC8" w:rsidRPr="00543BC8">
        <w:t xml:space="preserve">Associations between NHL and candidate risk </w:t>
      </w:r>
      <w:r w:rsidR="0090063C">
        <w:t>variant</w:t>
      </w:r>
      <w:r w:rsidR="00543BC8" w:rsidRPr="00543BC8">
        <w:t>s [</w:t>
      </w:r>
      <w:r w:rsidR="00543BC8" w:rsidRPr="001456E8">
        <w:rPr>
          <w:i/>
        </w:rPr>
        <w:t>IL1A</w:t>
      </w:r>
      <w:r w:rsidR="00543BC8" w:rsidRPr="00543BC8">
        <w:t xml:space="preserve"> (rs1800587), </w:t>
      </w:r>
      <w:r w:rsidR="00543BC8" w:rsidRPr="001456E8">
        <w:rPr>
          <w:i/>
        </w:rPr>
        <w:t>IL1B</w:t>
      </w:r>
      <w:r w:rsidR="00543BC8" w:rsidRPr="00543BC8">
        <w:t xml:space="preserve"> (</w:t>
      </w:r>
      <w:r w:rsidR="009B1EFC" w:rsidRPr="00E74BC2">
        <w:t>rs16944, rs1143627</w:t>
      </w:r>
      <w:r w:rsidR="00543BC8" w:rsidRPr="00543BC8">
        <w:t xml:space="preserve">), </w:t>
      </w:r>
      <w:r w:rsidR="00543BC8" w:rsidRPr="001456E8">
        <w:rPr>
          <w:i/>
        </w:rPr>
        <w:t>IL1RN</w:t>
      </w:r>
      <w:r w:rsidR="00543BC8" w:rsidRPr="00543BC8">
        <w:t xml:space="preserve"> (rs454078), </w:t>
      </w:r>
      <w:r w:rsidR="00543BC8" w:rsidRPr="001456E8">
        <w:rPr>
          <w:i/>
        </w:rPr>
        <w:t>IL2</w:t>
      </w:r>
      <w:r w:rsidR="00543BC8" w:rsidRPr="00543BC8">
        <w:t xml:space="preserve"> (rs2069762), </w:t>
      </w:r>
      <w:r w:rsidR="00543BC8" w:rsidRPr="001456E8">
        <w:rPr>
          <w:i/>
        </w:rPr>
        <w:t>IL6</w:t>
      </w:r>
      <w:r w:rsidR="00543BC8" w:rsidRPr="00543BC8">
        <w:t xml:space="preserve"> (</w:t>
      </w:r>
      <w:r w:rsidR="009B1EFC" w:rsidRPr="00E74BC2">
        <w:t>rs1800795, rs1800797</w:t>
      </w:r>
      <w:r w:rsidR="00543BC8" w:rsidRPr="00543BC8">
        <w:t xml:space="preserve">), </w:t>
      </w:r>
      <w:r w:rsidR="00543BC8" w:rsidRPr="001456E8">
        <w:rPr>
          <w:i/>
        </w:rPr>
        <w:t>IL10</w:t>
      </w:r>
      <w:r w:rsidR="00543BC8" w:rsidRPr="00543BC8">
        <w:t xml:space="preserve"> (</w:t>
      </w:r>
      <w:r w:rsidR="009B1EFC" w:rsidRPr="00E57F5C">
        <w:t>rs1800896, rs1800890</w:t>
      </w:r>
      <w:r w:rsidR="00543BC8" w:rsidRPr="00543BC8">
        <w:t xml:space="preserve">), </w:t>
      </w:r>
      <w:r w:rsidR="00543BC8" w:rsidRPr="001456E8">
        <w:rPr>
          <w:i/>
        </w:rPr>
        <w:t>TNFA</w:t>
      </w:r>
      <w:r w:rsidR="00543BC8" w:rsidRPr="00543BC8">
        <w:t xml:space="preserve"> (rs1800629), </w:t>
      </w:r>
      <w:r w:rsidR="00543BC8" w:rsidRPr="001456E8">
        <w:rPr>
          <w:i/>
        </w:rPr>
        <w:t>HLA I</w:t>
      </w:r>
      <w:r w:rsidR="00543BC8" w:rsidRPr="00543BC8">
        <w:t xml:space="preserve"> (rs6457327), and </w:t>
      </w:r>
      <w:r w:rsidR="00543BC8" w:rsidRPr="001456E8">
        <w:rPr>
          <w:i/>
        </w:rPr>
        <w:t>HLA II</w:t>
      </w:r>
      <w:r w:rsidR="00543BC8" w:rsidRPr="00543BC8">
        <w:t xml:space="preserve"> (rs10484561)]</w:t>
      </w:r>
    </w:p>
    <w:p w14:paraId="2F7153FC" w14:textId="77777777" w:rsidR="00D86DAA" w:rsidRDefault="00D86DAA" w:rsidP="00A33653">
      <w:pPr>
        <w:spacing w:line="480" w:lineRule="auto"/>
      </w:pPr>
    </w:p>
    <w:p w14:paraId="29AFC1B1" w14:textId="77777777" w:rsidR="00D86DAA" w:rsidRDefault="00D86DAA" w:rsidP="00A33653">
      <w:pPr>
        <w:spacing w:line="480" w:lineRule="auto"/>
      </w:pPr>
      <w:bookmarkStart w:id="21" w:name="_Ref440146549"/>
      <w:r>
        <w:t xml:space="preserve">Supplemental Table </w:t>
      </w:r>
      <w:r w:rsidR="0022191F">
        <w:rPr>
          <w:noProof/>
        </w:rPr>
        <w:fldChar w:fldCharType="begin"/>
      </w:r>
      <w:r w:rsidR="0022191F">
        <w:rPr>
          <w:noProof/>
        </w:rPr>
        <w:instrText xml:space="preserve"> SEQ Supplemental_Table \* ARABIC </w:instrText>
      </w:r>
      <w:r w:rsidR="0022191F">
        <w:rPr>
          <w:noProof/>
        </w:rPr>
        <w:fldChar w:fldCharType="separate"/>
      </w:r>
      <w:r w:rsidR="00B06E70">
        <w:rPr>
          <w:noProof/>
        </w:rPr>
        <w:t>3</w:t>
      </w:r>
      <w:r w:rsidR="0022191F">
        <w:rPr>
          <w:noProof/>
        </w:rPr>
        <w:fldChar w:fldCharType="end"/>
      </w:r>
      <w:bookmarkEnd w:id="21"/>
      <w:r>
        <w:t xml:space="preserve">: </w:t>
      </w:r>
      <w:r w:rsidRPr="007225D3">
        <w:t>Association between NHL and infectious mononucleosis</w:t>
      </w:r>
    </w:p>
    <w:p w14:paraId="56A6604B" w14:textId="77777777" w:rsidR="00DB0DDA" w:rsidRDefault="00DB0DDA" w:rsidP="00A33653">
      <w:pPr>
        <w:spacing w:line="480" w:lineRule="auto"/>
      </w:pPr>
    </w:p>
    <w:p w14:paraId="47C8F18A" w14:textId="77777777" w:rsidR="00DB0DDA" w:rsidRDefault="00DB0DDA" w:rsidP="00A33653">
      <w:pPr>
        <w:pStyle w:val="Caption"/>
        <w:spacing w:line="480" w:lineRule="auto"/>
      </w:pPr>
      <w:bookmarkStart w:id="22" w:name="_Ref497301391"/>
      <w:r>
        <w:t xml:space="preserve">Supplemental Table </w:t>
      </w:r>
      <w:r w:rsidR="0022191F">
        <w:rPr>
          <w:noProof/>
        </w:rPr>
        <w:fldChar w:fldCharType="begin"/>
      </w:r>
      <w:r w:rsidR="0022191F">
        <w:rPr>
          <w:noProof/>
        </w:rPr>
        <w:instrText xml:space="preserve"> SEQ Supplemental_Table \* ARABIC </w:instrText>
      </w:r>
      <w:r w:rsidR="0022191F">
        <w:rPr>
          <w:noProof/>
        </w:rPr>
        <w:fldChar w:fldCharType="separate"/>
      </w:r>
      <w:r w:rsidR="00B06E70">
        <w:rPr>
          <w:noProof/>
        </w:rPr>
        <w:t>4</w:t>
      </w:r>
      <w:r w:rsidR="0022191F">
        <w:rPr>
          <w:noProof/>
        </w:rPr>
        <w:fldChar w:fldCharType="end"/>
      </w:r>
      <w:bookmarkEnd w:id="22"/>
      <w:r>
        <w:t>: Association between age at NHL diagnosis and infectious mononucleosis</w:t>
      </w:r>
    </w:p>
    <w:p w14:paraId="02E7223D" w14:textId="77777777" w:rsidR="00BD2A0A" w:rsidRDefault="00BD2A0A" w:rsidP="00A33653">
      <w:pPr>
        <w:spacing w:line="480" w:lineRule="auto"/>
      </w:pPr>
    </w:p>
    <w:p w14:paraId="78192F3C" w14:textId="77777777" w:rsidR="00670ACC" w:rsidRDefault="009E41BF" w:rsidP="00A33653">
      <w:pPr>
        <w:pStyle w:val="Caption"/>
        <w:spacing w:line="480" w:lineRule="auto"/>
      </w:pPr>
      <w:r>
        <w:t xml:space="preserve">Supplemental Table </w:t>
      </w:r>
      <w:r w:rsidR="0022191F">
        <w:rPr>
          <w:noProof/>
        </w:rPr>
        <w:fldChar w:fldCharType="begin"/>
      </w:r>
      <w:r w:rsidR="0022191F">
        <w:rPr>
          <w:noProof/>
        </w:rPr>
        <w:instrText xml:space="preserve"> SEQ Supplemental_Table \* ARABIC </w:instrText>
      </w:r>
      <w:r w:rsidR="0022191F">
        <w:rPr>
          <w:noProof/>
        </w:rPr>
        <w:fldChar w:fldCharType="separate"/>
      </w:r>
      <w:r w:rsidR="00B06E70">
        <w:rPr>
          <w:noProof/>
        </w:rPr>
        <w:t>5</w:t>
      </w:r>
      <w:r w:rsidR="0022191F">
        <w:rPr>
          <w:noProof/>
        </w:rPr>
        <w:fldChar w:fldCharType="end"/>
      </w:r>
      <w:r>
        <w:t xml:space="preserve">: </w:t>
      </w:r>
      <w:r w:rsidR="00543BC8" w:rsidRPr="00543BC8">
        <w:t xml:space="preserve">Interaction between IM history and candidate risk </w:t>
      </w:r>
      <w:r w:rsidR="0090063C">
        <w:t>variant</w:t>
      </w:r>
      <w:r w:rsidR="00543BC8" w:rsidRPr="00543BC8">
        <w:t>s [</w:t>
      </w:r>
      <w:r w:rsidR="009B1EFC" w:rsidRPr="001456E8">
        <w:rPr>
          <w:i/>
        </w:rPr>
        <w:t>IL1A</w:t>
      </w:r>
      <w:r w:rsidR="009B1EFC" w:rsidRPr="00543BC8">
        <w:t xml:space="preserve"> (rs1800587), </w:t>
      </w:r>
      <w:r w:rsidR="009B1EFC" w:rsidRPr="001456E8">
        <w:rPr>
          <w:i/>
        </w:rPr>
        <w:t>IL1B</w:t>
      </w:r>
      <w:r w:rsidR="009B1EFC" w:rsidRPr="00543BC8">
        <w:t xml:space="preserve"> (</w:t>
      </w:r>
      <w:r w:rsidR="009B1EFC" w:rsidRPr="00E74BC2">
        <w:t>rs16944, rs1143627</w:t>
      </w:r>
      <w:r w:rsidR="009B1EFC" w:rsidRPr="00543BC8">
        <w:t xml:space="preserve">), </w:t>
      </w:r>
      <w:r w:rsidR="009B1EFC" w:rsidRPr="001456E8">
        <w:rPr>
          <w:i/>
        </w:rPr>
        <w:t>IL1RN</w:t>
      </w:r>
      <w:r w:rsidR="009B1EFC" w:rsidRPr="00543BC8">
        <w:t xml:space="preserve"> (rs454078), </w:t>
      </w:r>
      <w:r w:rsidR="009B1EFC" w:rsidRPr="001456E8">
        <w:rPr>
          <w:i/>
        </w:rPr>
        <w:t>IL2</w:t>
      </w:r>
      <w:r w:rsidR="009B1EFC" w:rsidRPr="00543BC8">
        <w:t xml:space="preserve"> (rs2069762), </w:t>
      </w:r>
      <w:r w:rsidR="009B1EFC" w:rsidRPr="001456E8">
        <w:rPr>
          <w:i/>
        </w:rPr>
        <w:t>IL6</w:t>
      </w:r>
      <w:r w:rsidR="009B1EFC" w:rsidRPr="00543BC8">
        <w:t xml:space="preserve"> (</w:t>
      </w:r>
      <w:r w:rsidR="009B1EFC" w:rsidRPr="00E74BC2">
        <w:t>rs1800795, rs1800797</w:t>
      </w:r>
      <w:r w:rsidR="009B1EFC" w:rsidRPr="00543BC8">
        <w:t xml:space="preserve">), </w:t>
      </w:r>
      <w:r w:rsidR="009B1EFC" w:rsidRPr="001456E8">
        <w:rPr>
          <w:i/>
        </w:rPr>
        <w:t>IL10</w:t>
      </w:r>
      <w:r w:rsidR="009B1EFC" w:rsidRPr="00543BC8">
        <w:t xml:space="preserve"> (</w:t>
      </w:r>
      <w:r w:rsidR="009B1EFC" w:rsidRPr="00E57F5C">
        <w:t>rs1800896, rs1800890</w:t>
      </w:r>
      <w:r w:rsidR="009B1EFC" w:rsidRPr="00543BC8">
        <w:t xml:space="preserve">), </w:t>
      </w:r>
      <w:r w:rsidR="009B1EFC" w:rsidRPr="001456E8">
        <w:rPr>
          <w:i/>
        </w:rPr>
        <w:t>TNFA</w:t>
      </w:r>
      <w:r w:rsidR="009B1EFC" w:rsidRPr="00543BC8">
        <w:t xml:space="preserve"> (rs1800629), </w:t>
      </w:r>
      <w:r w:rsidR="009B1EFC" w:rsidRPr="001456E8">
        <w:rPr>
          <w:i/>
        </w:rPr>
        <w:t>HLA I</w:t>
      </w:r>
      <w:r w:rsidR="009B1EFC" w:rsidRPr="00543BC8">
        <w:t xml:space="preserve"> (rs6457327), and </w:t>
      </w:r>
      <w:r w:rsidR="009B1EFC" w:rsidRPr="001456E8">
        <w:rPr>
          <w:i/>
        </w:rPr>
        <w:t>HLA II</w:t>
      </w:r>
      <w:r w:rsidR="009B1EFC" w:rsidRPr="00543BC8">
        <w:t xml:space="preserve"> (rs10484561)]</w:t>
      </w:r>
    </w:p>
    <w:p w14:paraId="79361006" w14:textId="77777777" w:rsidR="009E41BF" w:rsidRPr="009E41BF" w:rsidRDefault="009E41BF" w:rsidP="009E41BF"/>
    <w:p w14:paraId="2A11B76F" w14:textId="77777777" w:rsidR="00A07A85" w:rsidRDefault="00A07A85" w:rsidP="00EF7273">
      <w:pPr>
        <w:sectPr w:rsidR="00A07A85" w:rsidSect="003B59AC">
          <w:footerReference w:type="default" r:id="rId18"/>
          <w:pgSz w:w="12240" w:h="15840"/>
          <w:pgMar w:top="1418" w:right="1418" w:bottom="1418" w:left="1418" w:header="720" w:footer="619" w:gutter="0"/>
          <w:lnNumType w:countBy="1" w:restart="continuous"/>
          <w:cols w:space="720"/>
          <w:docGrid w:linePitch="326"/>
        </w:sectPr>
      </w:pPr>
    </w:p>
    <w:tbl>
      <w:tblPr>
        <w:tblW w:w="10489" w:type="dxa"/>
        <w:tblLook w:val="04A0" w:firstRow="1" w:lastRow="0" w:firstColumn="1" w:lastColumn="0" w:noHBand="0" w:noVBand="1"/>
      </w:tblPr>
      <w:tblGrid>
        <w:gridCol w:w="786"/>
        <w:gridCol w:w="2285"/>
        <w:gridCol w:w="866"/>
        <w:gridCol w:w="810"/>
        <w:gridCol w:w="261"/>
        <w:gridCol w:w="865"/>
        <w:gridCol w:w="810"/>
        <w:gridCol w:w="261"/>
        <w:gridCol w:w="865"/>
        <w:gridCol w:w="810"/>
        <w:gridCol w:w="261"/>
        <w:gridCol w:w="865"/>
        <w:gridCol w:w="810"/>
      </w:tblGrid>
      <w:tr w:rsidR="005253D2" w:rsidRPr="005253D2" w14:paraId="765DC428" w14:textId="77777777" w:rsidTr="005253D2">
        <w:trPr>
          <w:trHeight w:val="240"/>
        </w:trPr>
        <w:tc>
          <w:tcPr>
            <w:tcW w:w="10489" w:type="dxa"/>
            <w:gridSpan w:val="13"/>
            <w:tcBorders>
              <w:top w:val="nil"/>
              <w:left w:val="nil"/>
              <w:bottom w:val="single" w:sz="8" w:space="0" w:color="auto"/>
              <w:right w:val="nil"/>
            </w:tcBorders>
            <w:shd w:val="clear" w:color="auto" w:fill="auto"/>
            <w:noWrap/>
            <w:vAlign w:val="bottom"/>
            <w:hideMark/>
          </w:tcPr>
          <w:p w14:paraId="04B6DD8B" w14:textId="77777777" w:rsidR="005253D2" w:rsidRPr="005253D2" w:rsidRDefault="005253D2" w:rsidP="005253D2">
            <w:pPr>
              <w:rPr>
                <w:rFonts w:eastAsia="Times New Roman" w:cs="Arial"/>
                <w:b/>
                <w:bCs/>
                <w:color w:val="000000"/>
                <w:sz w:val="16"/>
                <w:szCs w:val="16"/>
                <w:lang w:eastAsia="en-US"/>
              </w:rPr>
            </w:pPr>
            <w:r w:rsidRPr="005253D2">
              <w:rPr>
                <w:rFonts w:eastAsia="Times New Roman" w:cs="Arial"/>
                <w:b/>
                <w:bCs/>
                <w:color w:val="000000"/>
                <w:sz w:val="16"/>
                <w:szCs w:val="16"/>
                <w:lang w:eastAsia="en-US"/>
              </w:rPr>
              <w:lastRenderedPageBreak/>
              <w:t>Table 1: Demographic characteristics of NHL patients and controls</w:t>
            </w:r>
          </w:p>
        </w:tc>
      </w:tr>
      <w:tr w:rsidR="005253D2" w:rsidRPr="005253D2" w14:paraId="41E83D85" w14:textId="77777777" w:rsidTr="005253D2">
        <w:trPr>
          <w:trHeight w:val="300"/>
        </w:trPr>
        <w:tc>
          <w:tcPr>
            <w:tcW w:w="720" w:type="dxa"/>
            <w:tcBorders>
              <w:top w:val="nil"/>
              <w:left w:val="nil"/>
              <w:bottom w:val="nil"/>
              <w:right w:val="nil"/>
            </w:tcBorders>
            <w:shd w:val="clear" w:color="auto" w:fill="auto"/>
            <w:noWrap/>
            <w:vAlign w:val="bottom"/>
            <w:hideMark/>
          </w:tcPr>
          <w:p w14:paraId="063B283F"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 </w:t>
            </w:r>
          </w:p>
        </w:tc>
        <w:tc>
          <w:tcPr>
            <w:tcW w:w="2285" w:type="dxa"/>
            <w:tcBorders>
              <w:top w:val="nil"/>
              <w:left w:val="nil"/>
              <w:bottom w:val="nil"/>
              <w:right w:val="nil"/>
            </w:tcBorders>
            <w:shd w:val="clear" w:color="auto" w:fill="auto"/>
            <w:noWrap/>
            <w:vAlign w:val="bottom"/>
            <w:hideMark/>
          </w:tcPr>
          <w:p w14:paraId="2683BA27"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 </w:t>
            </w:r>
          </w:p>
        </w:tc>
        <w:tc>
          <w:tcPr>
            <w:tcW w:w="3612" w:type="dxa"/>
            <w:gridSpan w:val="5"/>
            <w:tcBorders>
              <w:top w:val="single" w:sz="8" w:space="0" w:color="auto"/>
              <w:left w:val="nil"/>
              <w:bottom w:val="single" w:sz="4" w:space="0" w:color="auto"/>
              <w:right w:val="nil"/>
            </w:tcBorders>
            <w:shd w:val="clear" w:color="auto" w:fill="auto"/>
            <w:noWrap/>
            <w:vAlign w:val="bottom"/>
            <w:hideMark/>
          </w:tcPr>
          <w:p w14:paraId="268925AA" w14:textId="77777777" w:rsidR="005253D2" w:rsidRPr="005253D2" w:rsidRDefault="005253D2" w:rsidP="005253D2">
            <w:pPr>
              <w:jc w:val="center"/>
              <w:rPr>
                <w:rFonts w:eastAsia="Times New Roman" w:cs="Arial"/>
                <w:color w:val="000000"/>
                <w:sz w:val="16"/>
                <w:szCs w:val="16"/>
                <w:lang w:eastAsia="en-US"/>
              </w:rPr>
            </w:pPr>
            <w:r w:rsidRPr="005253D2">
              <w:rPr>
                <w:rFonts w:eastAsia="Times New Roman" w:cs="Arial"/>
                <w:color w:val="000000"/>
                <w:sz w:val="16"/>
                <w:szCs w:val="16"/>
                <w:lang w:eastAsia="en-US"/>
              </w:rPr>
              <w:t xml:space="preserve"> Controls (N=10018) </w:t>
            </w:r>
          </w:p>
        </w:tc>
        <w:tc>
          <w:tcPr>
            <w:tcW w:w="261" w:type="dxa"/>
            <w:tcBorders>
              <w:top w:val="nil"/>
              <w:left w:val="nil"/>
              <w:bottom w:val="nil"/>
              <w:right w:val="nil"/>
            </w:tcBorders>
            <w:shd w:val="clear" w:color="auto" w:fill="auto"/>
            <w:noWrap/>
            <w:vAlign w:val="bottom"/>
            <w:hideMark/>
          </w:tcPr>
          <w:p w14:paraId="7676A6C6"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 </w:t>
            </w:r>
          </w:p>
        </w:tc>
        <w:tc>
          <w:tcPr>
            <w:tcW w:w="3611" w:type="dxa"/>
            <w:gridSpan w:val="5"/>
            <w:tcBorders>
              <w:top w:val="single" w:sz="8" w:space="0" w:color="auto"/>
              <w:left w:val="nil"/>
              <w:bottom w:val="single" w:sz="4" w:space="0" w:color="auto"/>
              <w:right w:val="nil"/>
            </w:tcBorders>
            <w:shd w:val="clear" w:color="auto" w:fill="auto"/>
            <w:noWrap/>
            <w:vAlign w:val="bottom"/>
            <w:hideMark/>
          </w:tcPr>
          <w:p w14:paraId="40E8E6BA" w14:textId="77777777" w:rsidR="005253D2" w:rsidRPr="005253D2" w:rsidRDefault="005253D2" w:rsidP="005253D2">
            <w:pPr>
              <w:jc w:val="center"/>
              <w:rPr>
                <w:rFonts w:eastAsia="Times New Roman" w:cs="Arial"/>
                <w:color w:val="000000"/>
                <w:sz w:val="16"/>
                <w:szCs w:val="16"/>
                <w:lang w:eastAsia="en-US"/>
              </w:rPr>
            </w:pPr>
            <w:r w:rsidRPr="005253D2">
              <w:rPr>
                <w:rFonts w:eastAsia="Times New Roman" w:cs="Arial"/>
                <w:color w:val="000000"/>
                <w:sz w:val="16"/>
                <w:szCs w:val="16"/>
                <w:lang w:eastAsia="en-US"/>
              </w:rPr>
              <w:t>NHL Patients (N=7926)</w:t>
            </w:r>
          </w:p>
        </w:tc>
      </w:tr>
      <w:tr w:rsidR="005253D2" w:rsidRPr="005253D2" w14:paraId="2CD109D5" w14:textId="77777777" w:rsidTr="005253D2">
        <w:trPr>
          <w:trHeight w:val="220"/>
        </w:trPr>
        <w:tc>
          <w:tcPr>
            <w:tcW w:w="720" w:type="dxa"/>
            <w:tcBorders>
              <w:top w:val="nil"/>
              <w:left w:val="nil"/>
              <w:bottom w:val="nil"/>
              <w:right w:val="nil"/>
            </w:tcBorders>
            <w:shd w:val="clear" w:color="auto" w:fill="auto"/>
            <w:noWrap/>
            <w:vAlign w:val="bottom"/>
            <w:hideMark/>
          </w:tcPr>
          <w:p w14:paraId="058CE9E4" w14:textId="77777777" w:rsidR="005253D2" w:rsidRPr="005253D2" w:rsidRDefault="005253D2" w:rsidP="005253D2">
            <w:pPr>
              <w:jc w:val="cente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09F589C0" w14:textId="77777777" w:rsidR="005253D2" w:rsidRPr="005253D2" w:rsidRDefault="005253D2" w:rsidP="005253D2">
            <w:pPr>
              <w:rPr>
                <w:rFonts w:ascii="Times New Roman" w:eastAsia="Times New Roman" w:hAnsi="Times New Roman" w:cs="Times New Roman"/>
                <w:sz w:val="20"/>
                <w:szCs w:val="20"/>
                <w:lang w:eastAsia="en-US"/>
              </w:rPr>
            </w:pPr>
          </w:p>
        </w:tc>
        <w:tc>
          <w:tcPr>
            <w:tcW w:w="1676" w:type="dxa"/>
            <w:gridSpan w:val="2"/>
            <w:tcBorders>
              <w:top w:val="nil"/>
              <w:left w:val="nil"/>
              <w:bottom w:val="nil"/>
              <w:right w:val="nil"/>
            </w:tcBorders>
            <w:shd w:val="clear" w:color="auto" w:fill="auto"/>
            <w:noWrap/>
            <w:vAlign w:val="bottom"/>
            <w:hideMark/>
          </w:tcPr>
          <w:p w14:paraId="2BB24DE3" w14:textId="77777777" w:rsidR="005253D2" w:rsidRPr="005253D2" w:rsidRDefault="005253D2" w:rsidP="005253D2">
            <w:pPr>
              <w:jc w:val="center"/>
              <w:rPr>
                <w:rFonts w:eastAsia="Times New Roman" w:cs="Arial"/>
                <w:color w:val="000000"/>
                <w:sz w:val="16"/>
                <w:szCs w:val="16"/>
                <w:lang w:eastAsia="en-US"/>
              </w:rPr>
            </w:pPr>
            <w:r w:rsidRPr="005253D2">
              <w:rPr>
                <w:rFonts w:eastAsia="Times New Roman" w:cs="Arial"/>
                <w:color w:val="000000"/>
                <w:sz w:val="16"/>
                <w:szCs w:val="16"/>
                <w:lang w:eastAsia="en-US"/>
              </w:rPr>
              <w:t>Negative IM history</w:t>
            </w:r>
          </w:p>
        </w:tc>
        <w:tc>
          <w:tcPr>
            <w:tcW w:w="261" w:type="dxa"/>
            <w:tcBorders>
              <w:top w:val="nil"/>
              <w:left w:val="nil"/>
              <w:bottom w:val="nil"/>
              <w:right w:val="nil"/>
            </w:tcBorders>
            <w:shd w:val="clear" w:color="auto" w:fill="auto"/>
            <w:noWrap/>
            <w:vAlign w:val="bottom"/>
            <w:hideMark/>
          </w:tcPr>
          <w:p w14:paraId="7262CDB6" w14:textId="77777777" w:rsidR="005253D2" w:rsidRPr="005253D2" w:rsidRDefault="005253D2" w:rsidP="005253D2">
            <w:pPr>
              <w:jc w:val="center"/>
              <w:rPr>
                <w:rFonts w:eastAsia="Times New Roman" w:cs="Arial"/>
                <w:color w:val="000000"/>
                <w:sz w:val="16"/>
                <w:szCs w:val="16"/>
                <w:lang w:eastAsia="en-US"/>
              </w:rPr>
            </w:pPr>
          </w:p>
        </w:tc>
        <w:tc>
          <w:tcPr>
            <w:tcW w:w="1675" w:type="dxa"/>
            <w:gridSpan w:val="2"/>
            <w:tcBorders>
              <w:top w:val="nil"/>
              <w:left w:val="nil"/>
              <w:bottom w:val="nil"/>
              <w:right w:val="nil"/>
            </w:tcBorders>
            <w:shd w:val="clear" w:color="auto" w:fill="auto"/>
            <w:noWrap/>
            <w:vAlign w:val="bottom"/>
            <w:hideMark/>
          </w:tcPr>
          <w:p w14:paraId="537AAD90" w14:textId="77777777" w:rsidR="005253D2" w:rsidRPr="005253D2" w:rsidRDefault="005253D2" w:rsidP="005253D2">
            <w:pPr>
              <w:jc w:val="center"/>
              <w:rPr>
                <w:rFonts w:eastAsia="Times New Roman" w:cs="Arial"/>
                <w:color w:val="000000"/>
                <w:sz w:val="16"/>
                <w:szCs w:val="16"/>
                <w:lang w:eastAsia="en-US"/>
              </w:rPr>
            </w:pPr>
            <w:r w:rsidRPr="005253D2">
              <w:rPr>
                <w:rFonts w:eastAsia="Times New Roman" w:cs="Arial"/>
                <w:color w:val="000000"/>
                <w:sz w:val="16"/>
                <w:szCs w:val="16"/>
                <w:lang w:eastAsia="en-US"/>
              </w:rPr>
              <w:t>Positive IM History</w:t>
            </w:r>
          </w:p>
        </w:tc>
        <w:tc>
          <w:tcPr>
            <w:tcW w:w="261" w:type="dxa"/>
            <w:tcBorders>
              <w:top w:val="nil"/>
              <w:left w:val="nil"/>
              <w:bottom w:val="nil"/>
              <w:right w:val="nil"/>
            </w:tcBorders>
            <w:shd w:val="clear" w:color="auto" w:fill="auto"/>
            <w:noWrap/>
            <w:vAlign w:val="bottom"/>
            <w:hideMark/>
          </w:tcPr>
          <w:p w14:paraId="24613D43" w14:textId="77777777" w:rsidR="005253D2" w:rsidRPr="005253D2" w:rsidRDefault="005253D2" w:rsidP="005253D2">
            <w:pPr>
              <w:jc w:val="center"/>
              <w:rPr>
                <w:rFonts w:eastAsia="Times New Roman" w:cs="Arial"/>
                <w:color w:val="000000"/>
                <w:sz w:val="16"/>
                <w:szCs w:val="16"/>
                <w:lang w:eastAsia="en-US"/>
              </w:rPr>
            </w:pPr>
          </w:p>
        </w:tc>
        <w:tc>
          <w:tcPr>
            <w:tcW w:w="1675" w:type="dxa"/>
            <w:gridSpan w:val="2"/>
            <w:tcBorders>
              <w:top w:val="nil"/>
              <w:left w:val="nil"/>
              <w:bottom w:val="nil"/>
              <w:right w:val="nil"/>
            </w:tcBorders>
            <w:shd w:val="clear" w:color="auto" w:fill="auto"/>
            <w:noWrap/>
            <w:vAlign w:val="bottom"/>
            <w:hideMark/>
          </w:tcPr>
          <w:p w14:paraId="417805E9" w14:textId="77777777" w:rsidR="005253D2" w:rsidRPr="005253D2" w:rsidRDefault="005253D2" w:rsidP="005253D2">
            <w:pPr>
              <w:jc w:val="center"/>
              <w:rPr>
                <w:rFonts w:eastAsia="Times New Roman" w:cs="Arial"/>
                <w:color w:val="000000"/>
                <w:sz w:val="16"/>
                <w:szCs w:val="16"/>
                <w:lang w:eastAsia="en-US"/>
              </w:rPr>
            </w:pPr>
            <w:r w:rsidRPr="005253D2">
              <w:rPr>
                <w:rFonts w:eastAsia="Times New Roman" w:cs="Arial"/>
                <w:color w:val="000000"/>
                <w:sz w:val="16"/>
                <w:szCs w:val="16"/>
                <w:lang w:eastAsia="en-US"/>
              </w:rPr>
              <w:t>Negative IM history</w:t>
            </w:r>
          </w:p>
        </w:tc>
        <w:tc>
          <w:tcPr>
            <w:tcW w:w="261" w:type="dxa"/>
            <w:tcBorders>
              <w:top w:val="nil"/>
              <w:left w:val="nil"/>
              <w:bottom w:val="nil"/>
              <w:right w:val="nil"/>
            </w:tcBorders>
            <w:shd w:val="clear" w:color="auto" w:fill="auto"/>
            <w:noWrap/>
            <w:vAlign w:val="bottom"/>
            <w:hideMark/>
          </w:tcPr>
          <w:p w14:paraId="34879BEE" w14:textId="77777777" w:rsidR="005253D2" w:rsidRPr="005253D2" w:rsidRDefault="005253D2" w:rsidP="005253D2">
            <w:pPr>
              <w:jc w:val="center"/>
              <w:rPr>
                <w:rFonts w:eastAsia="Times New Roman" w:cs="Arial"/>
                <w:color w:val="000000"/>
                <w:sz w:val="16"/>
                <w:szCs w:val="16"/>
                <w:lang w:eastAsia="en-US"/>
              </w:rPr>
            </w:pPr>
          </w:p>
        </w:tc>
        <w:tc>
          <w:tcPr>
            <w:tcW w:w="1675" w:type="dxa"/>
            <w:gridSpan w:val="2"/>
            <w:tcBorders>
              <w:top w:val="nil"/>
              <w:left w:val="nil"/>
              <w:bottom w:val="nil"/>
              <w:right w:val="nil"/>
            </w:tcBorders>
            <w:shd w:val="clear" w:color="auto" w:fill="auto"/>
            <w:noWrap/>
            <w:vAlign w:val="bottom"/>
            <w:hideMark/>
          </w:tcPr>
          <w:p w14:paraId="5175BC99" w14:textId="77777777" w:rsidR="005253D2" w:rsidRPr="005253D2" w:rsidRDefault="005253D2" w:rsidP="005253D2">
            <w:pPr>
              <w:jc w:val="center"/>
              <w:rPr>
                <w:rFonts w:eastAsia="Times New Roman" w:cs="Arial"/>
                <w:color w:val="000000"/>
                <w:sz w:val="16"/>
                <w:szCs w:val="16"/>
                <w:lang w:eastAsia="en-US"/>
              </w:rPr>
            </w:pPr>
            <w:r w:rsidRPr="005253D2">
              <w:rPr>
                <w:rFonts w:eastAsia="Times New Roman" w:cs="Arial"/>
                <w:color w:val="000000"/>
                <w:sz w:val="16"/>
                <w:szCs w:val="16"/>
                <w:lang w:eastAsia="en-US"/>
              </w:rPr>
              <w:t>Positive IM History</w:t>
            </w:r>
          </w:p>
        </w:tc>
      </w:tr>
      <w:tr w:rsidR="005253D2" w:rsidRPr="005253D2" w14:paraId="5030CA99" w14:textId="77777777" w:rsidTr="005253D2">
        <w:trPr>
          <w:trHeight w:val="220"/>
        </w:trPr>
        <w:tc>
          <w:tcPr>
            <w:tcW w:w="720" w:type="dxa"/>
            <w:tcBorders>
              <w:top w:val="nil"/>
              <w:left w:val="nil"/>
              <w:bottom w:val="nil"/>
              <w:right w:val="nil"/>
            </w:tcBorders>
            <w:shd w:val="clear" w:color="auto" w:fill="auto"/>
            <w:noWrap/>
            <w:vAlign w:val="bottom"/>
            <w:hideMark/>
          </w:tcPr>
          <w:p w14:paraId="6A72F875" w14:textId="77777777" w:rsidR="005253D2" w:rsidRPr="005253D2" w:rsidRDefault="005253D2" w:rsidP="005253D2">
            <w:pPr>
              <w:jc w:val="cente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57B296AA" w14:textId="77777777" w:rsidR="005253D2" w:rsidRPr="005253D2" w:rsidRDefault="005253D2" w:rsidP="005253D2">
            <w:pPr>
              <w:rPr>
                <w:rFonts w:ascii="Times New Roman" w:eastAsia="Times New Roman" w:hAnsi="Times New Roman" w:cs="Times New Roman"/>
                <w:sz w:val="20"/>
                <w:szCs w:val="20"/>
                <w:lang w:eastAsia="en-US"/>
              </w:rPr>
            </w:pPr>
          </w:p>
        </w:tc>
        <w:tc>
          <w:tcPr>
            <w:tcW w:w="866" w:type="dxa"/>
            <w:tcBorders>
              <w:top w:val="nil"/>
              <w:left w:val="nil"/>
              <w:bottom w:val="single" w:sz="4" w:space="0" w:color="auto"/>
              <w:right w:val="nil"/>
            </w:tcBorders>
            <w:shd w:val="clear" w:color="auto" w:fill="auto"/>
            <w:noWrap/>
            <w:vAlign w:val="bottom"/>
            <w:hideMark/>
          </w:tcPr>
          <w:p w14:paraId="794AE2C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N</w:t>
            </w:r>
          </w:p>
        </w:tc>
        <w:tc>
          <w:tcPr>
            <w:tcW w:w="810" w:type="dxa"/>
            <w:tcBorders>
              <w:top w:val="nil"/>
              <w:left w:val="nil"/>
              <w:bottom w:val="single" w:sz="4" w:space="0" w:color="auto"/>
              <w:right w:val="nil"/>
            </w:tcBorders>
            <w:shd w:val="clear" w:color="auto" w:fill="auto"/>
            <w:noWrap/>
            <w:vAlign w:val="bottom"/>
            <w:hideMark/>
          </w:tcPr>
          <w:p w14:paraId="48E9EEA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w:t>
            </w:r>
          </w:p>
        </w:tc>
        <w:tc>
          <w:tcPr>
            <w:tcW w:w="261" w:type="dxa"/>
            <w:tcBorders>
              <w:top w:val="nil"/>
              <w:left w:val="nil"/>
              <w:bottom w:val="nil"/>
              <w:right w:val="nil"/>
            </w:tcBorders>
            <w:shd w:val="clear" w:color="auto" w:fill="auto"/>
            <w:noWrap/>
            <w:vAlign w:val="bottom"/>
            <w:hideMark/>
          </w:tcPr>
          <w:p w14:paraId="5174CC0A"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single" w:sz="4" w:space="0" w:color="auto"/>
              <w:right w:val="nil"/>
            </w:tcBorders>
            <w:shd w:val="clear" w:color="auto" w:fill="auto"/>
            <w:noWrap/>
            <w:vAlign w:val="bottom"/>
            <w:hideMark/>
          </w:tcPr>
          <w:p w14:paraId="08C479E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N</w:t>
            </w:r>
          </w:p>
        </w:tc>
        <w:tc>
          <w:tcPr>
            <w:tcW w:w="810" w:type="dxa"/>
            <w:tcBorders>
              <w:top w:val="nil"/>
              <w:left w:val="nil"/>
              <w:bottom w:val="single" w:sz="4" w:space="0" w:color="auto"/>
              <w:right w:val="nil"/>
            </w:tcBorders>
            <w:shd w:val="clear" w:color="auto" w:fill="auto"/>
            <w:noWrap/>
            <w:vAlign w:val="bottom"/>
            <w:hideMark/>
          </w:tcPr>
          <w:p w14:paraId="74850CFF"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w:t>
            </w:r>
          </w:p>
        </w:tc>
        <w:tc>
          <w:tcPr>
            <w:tcW w:w="261" w:type="dxa"/>
            <w:tcBorders>
              <w:top w:val="nil"/>
              <w:left w:val="nil"/>
              <w:bottom w:val="nil"/>
              <w:right w:val="nil"/>
            </w:tcBorders>
            <w:shd w:val="clear" w:color="auto" w:fill="auto"/>
            <w:noWrap/>
            <w:vAlign w:val="bottom"/>
            <w:hideMark/>
          </w:tcPr>
          <w:p w14:paraId="2F50856E"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single" w:sz="4" w:space="0" w:color="auto"/>
              <w:right w:val="nil"/>
            </w:tcBorders>
            <w:shd w:val="clear" w:color="auto" w:fill="auto"/>
            <w:noWrap/>
            <w:vAlign w:val="bottom"/>
            <w:hideMark/>
          </w:tcPr>
          <w:p w14:paraId="3F1B8AE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N</w:t>
            </w:r>
          </w:p>
        </w:tc>
        <w:tc>
          <w:tcPr>
            <w:tcW w:w="810" w:type="dxa"/>
            <w:tcBorders>
              <w:top w:val="nil"/>
              <w:left w:val="nil"/>
              <w:bottom w:val="single" w:sz="4" w:space="0" w:color="auto"/>
              <w:right w:val="nil"/>
            </w:tcBorders>
            <w:shd w:val="clear" w:color="auto" w:fill="auto"/>
            <w:noWrap/>
            <w:vAlign w:val="bottom"/>
            <w:hideMark/>
          </w:tcPr>
          <w:p w14:paraId="1EAD884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w:t>
            </w:r>
          </w:p>
        </w:tc>
        <w:tc>
          <w:tcPr>
            <w:tcW w:w="261" w:type="dxa"/>
            <w:tcBorders>
              <w:top w:val="nil"/>
              <w:left w:val="nil"/>
              <w:bottom w:val="nil"/>
              <w:right w:val="nil"/>
            </w:tcBorders>
            <w:shd w:val="clear" w:color="auto" w:fill="auto"/>
            <w:noWrap/>
            <w:vAlign w:val="bottom"/>
            <w:hideMark/>
          </w:tcPr>
          <w:p w14:paraId="0250FD82"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single" w:sz="4" w:space="0" w:color="auto"/>
              <w:right w:val="nil"/>
            </w:tcBorders>
            <w:shd w:val="clear" w:color="auto" w:fill="auto"/>
            <w:noWrap/>
            <w:vAlign w:val="bottom"/>
            <w:hideMark/>
          </w:tcPr>
          <w:p w14:paraId="781A1A2C"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N</w:t>
            </w:r>
          </w:p>
        </w:tc>
        <w:tc>
          <w:tcPr>
            <w:tcW w:w="810" w:type="dxa"/>
            <w:tcBorders>
              <w:top w:val="nil"/>
              <w:left w:val="nil"/>
              <w:bottom w:val="single" w:sz="4" w:space="0" w:color="auto"/>
              <w:right w:val="nil"/>
            </w:tcBorders>
            <w:shd w:val="clear" w:color="auto" w:fill="auto"/>
            <w:noWrap/>
            <w:vAlign w:val="bottom"/>
            <w:hideMark/>
          </w:tcPr>
          <w:p w14:paraId="1C6B01C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w:t>
            </w:r>
          </w:p>
        </w:tc>
      </w:tr>
      <w:tr w:rsidR="005253D2" w:rsidRPr="005253D2" w14:paraId="0CFD4B0D" w14:textId="77777777" w:rsidTr="005253D2">
        <w:trPr>
          <w:trHeight w:val="220"/>
        </w:trPr>
        <w:tc>
          <w:tcPr>
            <w:tcW w:w="720" w:type="dxa"/>
            <w:vMerge w:val="restart"/>
            <w:tcBorders>
              <w:top w:val="nil"/>
              <w:left w:val="nil"/>
              <w:bottom w:val="nil"/>
              <w:right w:val="nil"/>
            </w:tcBorders>
            <w:shd w:val="clear" w:color="auto" w:fill="auto"/>
            <w:noWrap/>
            <w:hideMark/>
          </w:tcPr>
          <w:p w14:paraId="7AD9211A"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Study Center</w:t>
            </w:r>
          </w:p>
        </w:tc>
        <w:tc>
          <w:tcPr>
            <w:tcW w:w="2285" w:type="dxa"/>
            <w:tcBorders>
              <w:top w:val="nil"/>
              <w:left w:val="nil"/>
              <w:bottom w:val="nil"/>
              <w:right w:val="nil"/>
            </w:tcBorders>
            <w:shd w:val="clear" w:color="auto" w:fill="auto"/>
            <w:noWrap/>
            <w:vAlign w:val="bottom"/>
            <w:hideMark/>
          </w:tcPr>
          <w:p w14:paraId="76D7D442"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BC</w:t>
            </w:r>
          </w:p>
        </w:tc>
        <w:tc>
          <w:tcPr>
            <w:tcW w:w="866" w:type="dxa"/>
            <w:tcBorders>
              <w:top w:val="nil"/>
              <w:left w:val="nil"/>
              <w:bottom w:val="nil"/>
              <w:right w:val="nil"/>
            </w:tcBorders>
            <w:shd w:val="clear" w:color="auto" w:fill="auto"/>
            <w:noWrap/>
            <w:vAlign w:val="bottom"/>
            <w:hideMark/>
          </w:tcPr>
          <w:p w14:paraId="50F6E4E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604</w:t>
            </w:r>
          </w:p>
        </w:tc>
        <w:tc>
          <w:tcPr>
            <w:tcW w:w="810" w:type="dxa"/>
            <w:tcBorders>
              <w:top w:val="nil"/>
              <w:left w:val="nil"/>
              <w:bottom w:val="nil"/>
              <w:right w:val="nil"/>
            </w:tcBorders>
            <w:shd w:val="clear" w:color="auto" w:fill="auto"/>
            <w:noWrap/>
            <w:vAlign w:val="bottom"/>
            <w:hideMark/>
          </w:tcPr>
          <w:p w14:paraId="2AB7842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w:t>
            </w:r>
          </w:p>
        </w:tc>
        <w:tc>
          <w:tcPr>
            <w:tcW w:w="261" w:type="dxa"/>
            <w:tcBorders>
              <w:top w:val="nil"/>
              <w:left w:val="nil"/>
              <w:bottom w:val="nil"/>
              <w:right w:val="nil"/>
            </w:tcBorders>
            <w:shd w:val="clear" w:color="auto" w:fill="auto"/>
            <w:noWrap/>
            <w:vAlign w:val="bottom"/>
            <w:hideMark/>
          </w:tcPr>
          <w:p w14:paraId="5D557BAC"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3376557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35</w:t>
            </w:r>
          </w:p>
        </w:tc>
        <w:tc>
          <w:tcPr>
            <w:tcW w:w="810" w:type="dxa"/>
            <w:tcBorders>
              <w:top w:val="nil"/>
              <w:left w:val="nil"/>
              <w:bottom w:val="nil"/>
              <w:right w:val="nil"/>
            </w:tcBorders>
            <w:shd w:val="clear" w:color="auto" w:fill="auto"/>
            <w:noWrap/>
            <w:vAlign w:val="bottom"/>
            <w:hideMark/>
          </w:tcPr>
          <w:p w14:paraId="5DB9AA3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w:t>
            </w:r>
          </w:p>
        </w:tc>
        <w:tc>
          <w:tcPr>
            <w:tcW w:w="261" w:type="dxa"/>
            <w:tcBorders>
              <w:top w:val="nil"/>
              <w:left w:val="nil"/>
              <w:bottom w:val="nil"/>
              <w:right w:val="nil"/>
            </w:tcBorders>
            <w:shd w:val="clear" w:color="auto" w:fill="auto"/>
            <w:noWrap/>
            <w:vAlign w:val="bottom"/>
            <w:hideMark/>
          </w:tcPr>
          <w:p w14:paraId="36C40714"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195050D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566</w:t>
            </w:r>
          </w:p>
        </w:tc>
        <w:tc>
          <w:tcPr>
            <w:tcW w:w="810" w:type="dxa"/>
            <w:tcBorders>
              <w:top w:val="nil"/>
              <w:left w:val="nil"/>
              <w:bottom w:val="nil"/>
              <w:right w:val="nil"/>
            </w:tcBorders>
            <w:shd w:val="clear" w:color="auto" w:fill="auto"/>
            <w:noWrap/>
            <w:vAlign w:val="bottom"/>
            <w:hideMark/>
          </w:tcPr>
          <w:p w14:paraId="393A72B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(8%)</w:t>
            </w:r>
          </w:p>
        </w:tc>
        <w:tc>
          <w:tcPr>
            <w:tcW w:w="261" w:type="dxa"/>
            <w:tcBorders>
              <w:top w:val="nil"/>
              <w:left w:val="nil"/>
              <w:bottom w:val="nil"/>
              <w:right w:val="nil"/>
            </w:tcBorders>
            <w:shd w:val="clear" w:color="auto" w:fill="auto"/>
            <w:noWrap/>
            <w:vAlign w:val="bottom"/>
            <w:hideMark/>
          </w:tcPr>
          <w:p w14:paraId="124FC72D"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1998C40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42</w:t>
            </w:r>
          </w:p>
        </w:tc>
        <w:tc>
          <w:tcPr>
            <w:tcW w:w="810" w:type="dxa"/>
            <w:tcBorders>
              <w:top w:val="nil"/>
              <w:left w:val="nil"/>
              <w:bottom w:val="nil"/>
              <w:right w:val="nil"/>
            </w:tcBorders>
            <w:shd w:val="clear" w:color="auto" w:fill="auto"/>
            <w:noWrap/>
            <w:vAlign w:val="bottom"/>
            <w:hideMark/>
          </w:tcPr>
          <w:p w14:paraId="14A4AFE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(10%)</w:t>
            </w:r>
          </w:p>
        </w:tc>
      </w:tr>
      <w:tr w:rsidR="005253D2" w:rsidRPr="005253D2" w14:paraId="1F24271E" w14:textId="77777777" w:rsidTr="005253D2">
        <w:trPr>
          <w:trHeight w:val="220"/>
        </w:trPr>
        <w:tc>
          <w:tcPr>
            <w:tcW w:w="720" w:type="dxa"/>
            <w:vMerge/>
            <w:tcBorders>
              <w:top w:val="nil"/>
              <w:left w:val="nil"/>
              <w:bottom w:val="nil"/>
              <w:right w:val="nil"/>
            </w:tcBorders>
            <w:vAlign w:val="center"/>
            <w:hideMark/>
          </w:tcPr>
          <w:p w14:paraId="6C34D72F"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42301F62"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EpiLymph-Czech Republic</w:t>
            </w:r>
          </w:p>
        </w:tc>
        <w:tc>
          <w:tcPr>
            <w:tcW w:w="866" w:type="dxa"/>
            <w:tcBorders>
              <w:top w:val="nil"/>
              <w:left w:val="nil"/>
              <w:bottom w:val="nil"/>
              <w:right w:val="nil"/>
            </w:tcBorders>
            <w:shd w:val="clear" w:color="auto" w:fill="auto"/>
            <w:noWrap/>
            <w:vAlign w:val="bottom"/>
            <w:hideMark/>
          </w:tcPr>
          <w:p w14:paraId="4B30CF7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289</w:t>
            </w:r>
          </w:p>
        </w:tc>
        <w:tc>
          <w:tcPr>
            <w:tcW w:w="810" w:type="dxa"/>
            <w:tcBorders>
              <w:top w:val="nil"/>
              <w:left w:val="nil"/>
              <w:bottom w:val="nil"/>
              <w:right w:val="nil"/>
            </w:tcBorders>
            <w:shd w:val="clear" w:color="auto" w:fill="auto"/>
            <w:noWrap/>
            <w:vAlign w:val="bottom"/>
            <w:hideMark/>
          </w:tcPr>
          <w:p w14:paraId="2A92D78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w:t>
            </w:r>
          </w:p>
        </w:tc>
        <w:tc>
          <w:tcPr>
            <w:tcW w:w="261" w:type="dxa"/>
            <w:tcBorders>
              <w:top w:val="nil"/>
              <w:left w:val="nil"/>
              <w:bottom w:val="nil"/>
              <w:right w:val="nil"/>
            </w:tcBorders>
            <w:shd w:val="clear" w:color="auto" w:fill="auto"/>
            <w:noWrap/>
            <w:vAlign w:val="bottom"/>
            <w:hideMark/>
          </w:tcPr>
          <w:p w14:paraId="5E640A39"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3EE909E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8</w:t>
            </w:r>
          </w:p>
        </w:tc>
        <w:tc>
          <w:tcPr>
            <w:tcW w:w="810" w:type="dxa"/>
            <w:tcBorders>
              <w:top w:val="nil"/>
              <w:left w:val="nil"/>
              <w:bottom w:val="nil"/>
              <w:right w:val="nil"/>
            </w:tcBorders>
            <w:shd w:val="clear" w:color="auto" w:fill="auto"/>
            <w:noWrap/>
            <w:vAlign w:val="bottom"/>
            <w:hideMark/>
          </w:tcPr>
          <w:p w14:paraId="0D2E54B7"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w:t>
            </w:r>
          </w:p>
        </w:tc>
        <w:tc>
          <w:tcPr>
            <w:tcW w:w="261" w:type="dxa"/>
            <w:tcBorders>
              <w:top w:val="nil"/>
              <w:left w:val="nil"/>
              <w:bottom w:val="nil"/>
              <w:right w:val="nil"/>
            </w:tcBorders>
            <w:shd w:val="clear" w:color="auto" w:fill="auto"/>
            <w:noWrap/>
            <w:vAlign w:val="bottom"/>
            <w:hideMark/>
          </w:tcPr>
          <w:p w14:paraId="4574A9E0"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27A5D57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165</w:t>
            </w:r>
          </w:p>
        </w:tc>
        <w:tc>
          <w:tcPr>
            <w:tcW w:w="810" w:type="dxa"/>
            <w:tcBorders>
              <w:top w:val="nil"/>
              <w:left w:val="nil"/>
              <w:bottom w:val="nil"/>
              <w:right w:val="nil"/>
            </w:tcBorders>
            <w:shd w:val="clear" w:color="auto" w:fill="auto"/>
            <w:noWrap/>
            <w:vAlign w:val="bottom"/>
            <w:hideMark/>
          </w:tcPr>
          <w:p w14:paraId="1FFAD69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w:t>
            </w:r>
          </w:p>
        </w:tc>
        <w:tc>
          <w:tcPr>
            <w:tcW w:w="261" w:type="dxa"/>
            <w:tcBorders>
              <w:top w:val="nil"/>
              <w:left w:val="nil"/>
              <w:bottom w:val="nil"/>
              <w:right w:val="nil"/>
            </w:tcBorders>
            <w:shd w:val="clear" w:color="auto" w:fill="auto"/>
            <w:noWrap/>
            <w:vAlign w:val="bottom"/>
            <w:hideMark/>
          </w:tcPr>
          <w:p w14:paraId="75079767"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3F4832DE"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w:t>
            </w:r>
          </w:p>
        </w:tc>
        <w:tc>
          <w:tcPr>
            <w:tcW w:w="810" w:type="dxa"/>
            <w:tcBorders>
              <w:top w:val="nil"/>
              <w:left w:val="nil"/>
              <w:bottom w:val="nil"/>
              <w:right w:val="nil"/>
            </w:tcBorders>
            <w:shd w:val="clear" w:color="auto" w:fill="auto"/>
            <w:noWrap/>
            <w:vAlign w:val="bottom"/>
            <w:hideMark/>
          </w:tcPr>
          <w:p w14:paraId="4FD45094"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w:t>
            </w:r>
          </w:p>
        </w:tc>
      </w:tr>
      <w:tr w:rsidR="005253D2" w:rsidRPr="005253D2" w14:paraId="566D761E" w14:textId="77777777" w:rsidTr="005253D2">
        <w:trPr>
          <w:trHeight w:val="220"/>
        </w:trPr>
        <w:tc>
          <w:tcPr>
            <w:tcW w:w="720" w:type="dxa"/>
            <w:vMerge/>
            <w:tcBorders>
              <w:top w:val="nil"/>
              <w:left w:val="nil"/>
              <w:bottom w:val="nil"/>
              <w:right w:val="nil"/>
            </w:tcBorders>
            <w:vAlign w:val="center"/>
            <w:hideMark/>
          </w:tcPr>
          <w:p w14:paraId="48FD6C36"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3D2D23F1"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EpiLymph-France</w:t>
            </w:r>
          </w:p>
        </w:tc>
        <w:tc>
          <w:tcPr>
            <w:tcW w:w="866" w:type="dxa"/>
            <w:tcBorders>
              <w:top w:val="nil"/>
              <w:left w:val="nil"/>
              <w:bottom w:val="nil"/>
              <w:right w:val="nil"/>
            </w:tcBorders>
            <w:shd w:val="clear" w:color="auto" w:fill="auto"/>
            <w:noWrap/>
            <w:vAlign w:val="bottom"/>
            <w:hideMark/>
          </w:tcPr>
          <w:p w14:paraId="07C8A39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250</w:t>
            </w:r>
          </w:p>
        </w:tc>
        <w:tc>
          <w:tcPr>
            <w:tcW w:w="810" w:type="dxa"/>
            <w:tcBorders>
              <w:top w:val="nil"/>
              <w:left w:val="nil"/>
              <w:bottom w:val="nil"/>
              <w:right w:val="nil"/>
            </w:tcBorders>
            <w:shd w:val="clear" w:color="auto" w:fill="auto"/>
            <w:noWrap/>
            <w:vAlign w:val="bottom"/>
            <w:hideMark/>
          </w:tcPr>
          <w:p w14:paraId="373916A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w:t>
            </w:r>
          </w:p>
        </w:tc>
        <w:tc>
          <w:tcPr>
            <w:tcW w:w="261" w:type="dxa"/>
            <w:tcBorders>
              <w:top w:val="nil"/>
              <w:left w:val="nil"/>
              <w:bottom w:val="nil"/>
              <w:right w:val="nil"/>
            </w:tcBorders>
            <w:shd w:val="clear" w:color="auto" w:fill="auto"/>
            <w:noWrap/>
            <w:vAlign w:val="bottom"/>
            <w:hideMark/>
          </w:tcPr>
          <w:p w14:paraId="2425BD23"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56D5A65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w:t>
            </w:r>
          </w:p>
        </w:tc>
        <w:tc>
          <w:tcPr>
            <w:tcW w:w="810" w:type="dxa"/>
            <w:tcBorders>
              <w:top w:val="nil"/>
              <w:left w:val="nil"/>
              <w:bottom w:val="nil"/>
              <w:right w:val="nil"/>
            </w:tcBorders>
            <w:shd w:val="clear" w:color="auto" w:fill="auto"/>
            <w:noWrap/>
            <w:vAlign w:val="bottom"/>
            <w:hideMark/>
          </w:tcPr>
          <w:p w14:paraId="5D5BC534"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w:t>
            </w:r>
          </w:p>
        </w:tc>
        <w:tc>
          <w:tcPr>
            <w:tcW w:w="261" w:type="dxa"/>
            <w:tcBorders>
              <w:top w:val="nil"/>
              <w:left w:val="nil"/>
              <w:bottom w:val="nil"/>
              <w:right w:val="nil"/>
            </w:tcBorders>
            <w:shd w:val="clear" w:color="auto" w:fill="auto"/>
            <w:noWrap/>
            <w:vAlign w:val="bottom"/>
            <w:hideMark/>
          </w:tcPr>
          <w:p w14:paraId="24A9350F"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0A6539C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198</w:t>
            </w:r>
          </w:p>
        </w:tc>
        <w:tc>
          <w:tcPr>
            <w:tcW w:w="810" w:type="dxa"/>
            <w:tcBorders>
              <w:top w:val="nil"/>
              <w:left w:val="nil"/>
              <w:bottom w:val="nil"/>
              <w:right w:val="nil"/>
            </w:tcBorders>
            <w:shd w:val="clear" w:color="auto" w:fill="auto"/>
            <w:noWrap/>
            <w:vAlign w:val="bottom"/>
            <w:hideMark/>
          </w:tcPr>
          <w:p w14:paraId="686612AE"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w:t>
            </w:r>
          </w:p>
        </w:tc>
        <w:tc>
          <w:tcPr>
            <w:tcW w:w="261" w:type="dxa"/>
            <w:tcBorders>
              <w:top w:val="nil"/>
              <w:left w:val="nil"/>
              <w:bottom w:val="nil"/>
              <w:right w:val="nil"/>
            </w:tcBorders>
            <w:shd w:val="clear" w:color="auto" w:fill="auto"/>
            <w:noWrap/>
            <w:vAlign w:val="bottom"/>
            <w:hideMark/>
          </w:tcPr>
          <w:p w14:paraId="2EE78E6E"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044FD70C"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w:t>
            </w:r>
          </w:p>
        </w:tc>
        <w:tc>
          <w:tcPr>
            <w:tcW w:w="810" w:type="dxa"/>
            <w:tcBorders>
              <w:top w:val="nil"/>
              <w:left w:val="nil"/>
              <w:bottom w:val="nil"/>
              <w:right w:val="nil"/>
            </w:tcBorders>
            <w:shd w:val="clear" w:color="auto" w:fill="auto"/>
            <w:noWrap/>
            <w:vAlign w:val="bottom"/>
            <w:hideMark/>
          </w:tcPr>
          <w:p w14:paraId="05F9ACF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w:t>
            </w:r>
          </w:p>
        </w:tc>
      </w:tr>
      <w:tr w:rsidR="005253D2" w:rsidRPr="005253D2" w14:paraId="08096BDF" w14:textId="77777777" w:rsidTr="005253D2">
        <w:trPr>
          <w:trHeight w:val="220"/>
        </w:trPr>
        <w:tc>
          <w:tcPr>
            <w:tcW w:w="720" w:type="dxa"/>
            <w:vMerge/>
            <w:tcBorders>
              <w:top w:val="nil"/>
              <w:left w:val="nil"/>
              <w:bottom w:val="nil"/>
              <w:right w:val="nil"/>
            </w:tcBorders>
            <w:vAlign w:val="center"/>
            <w:hideMark/>
          </w:tcPr>
          <w:p w14:paraId="40593670"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398A42DA"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EpiLymph-Germany</w:t>
            </w:r>
          </w:p>
        </w:tc>
        <w:tc>
          <w:tcPr>
            <w:tcW w:w="866" w:type="dxa"/>
            <w:tcBorders>
              <w:top w:val="nil"/>
              <w:left w:val="nil"/>
              <w:bottom w:val="nil"/>
              <w:right w:val="nil"/>
            </w:tcBorders>
            <w:shd w:val="clear" w:color="auto" w:fill="auto"/>
            <w:noWrap/>
            <w:vAlign w:val="bottom"/>
            <w:hideMark/>
          </w:tcPr>
          <w:p w14:paraId="083368B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628</w:t>
            </w:r>
          </w:p>
        </w:tc>
        <w:tc>
          <w:tcPr>
            <w:tcW w:w="810" w:type="dxa"/>
            <w:tcBorders>
              <w:top w:val="nil"/>
              <w:left w:val="nil"/>
              <w:bottom w:val="nil"/>
              <w:right w:val="nil"/>
            </w:tcBorders>
            <w:shd w:val="clear" w:color="auto" w:fill="auto"/>
            <w:noWrap/>
            <w:vAlign w:val="bottom"/>
            <w:hideMark/>
          </w:tcPr>
          <w:p w14:paraId="3744B47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w:t>
            </w:r>
          </w:p>
        </w:tc>
        <w:tc>
          <w:tcPr>
            <w:tcW w:w="261" w:type="dxa"/>
            <w:tcBorders>
              <w:top w:val="nil"/>
              <w:left w:val="nil"/>
              <w:bottom w:val="nil"/>
              <w:right w:val="nil"/>
            </w:tcBorders>
            <w:shd w:val="clear" w:color="auto" w:fill="auto"/>
            <w:noWrap/>
            <w:vAlign w:val="bottom"/>
            <w:hideMark/>
          </w:tcPr>
          <w:p w14:paraId="61CCAC85"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0403625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21</w:t>
            </w:r>
          </w:p>
        </w:tc>
        <w:tc>
          <w:tcPr>
            <w:tcW w:w="810" w:type="dxa"/>
            <w:tcBorders>
              <w:top w:val="nil"/>
              <w:left w:val="nil"/>
              <w:bottom w:val="nil"/>
              <w:right w:val="nil"/>
            </w:tcBorders>
            <w:shd w:val="clear" w:color="auto" w:fill="auto"/>
            <w:noWrap/>
            <w:vAlign w:val="bottom"/>
            <w:hideMark/>
          </w:tcPr>
          <w:p w14:paraId="10E0F017"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w:t>
            </w:r>
          </w:p>
        </w:tc>
        <w:tc>
          <w:tcPr>
            <w:tcW w:w="261" w:type="dxa"/>
            <w:tcBorders>
              <w:top w:val="nil"/>
              <w:left w:val="nil"/>
              <w:bottom w:val="nil"/>
              <w:right w:val="nil"/>
            </w:tcBorders>
            <w:shd w:val="clear" w:color="auto" w:fill="auto"/>
            <w:noWrap/>
            <w:vAlign w:val="bottom"/>
            <w:hideMark/>
          </w:tcPr>
          <w:p w14:paraId="20674A38"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3597121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435</w:t>
            </w:r>
          </w:p>
        </w:tc>
        <w:tc>
          <w:tcPr>
            <w:tcW w:w="810" w:type="dxa"/>
            <w:tcBorders>
              <w:top w:val="nil"/>
              <w:left w:val="nil"/>
              <w:bottom w:val="nil"/>
              <w:right w:val="nil"/>
            </w:tcBorders>
            <w:shd w:val="clear" w:color="auto" w:fill="auto"/>
            <w:noWrap/>
            <w:vAlign w:val="bottom"/>
            <w:hideMark/>
          </w:tcPr>
          <w:p w14:paraId="7F9E150E"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w:t>
            </w:r>
          </w:p>
        </w:tc>
        <w:tc>
          <w:tcPr>
            <w:tcW w:w="261" w:type="dxa"/>
            <w:tcBorders>
              <w:top w:val="nil"/>
              <w:left w:val="nil"/>
              <w:bottom w:val="nil"/>
              <w:right w:val="nil"/>
            </w:tcBorders>
            <w:shd w:val="clear" w:color="auto" w:fill="auto"/>
            <w:noWrap/>
            <w:vAlign w:val="bottom"/>
            <w:hideMark/>
          </w:tcPr>
          <w:p w14:paraId="6E9AC154"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41F7AE7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18</w:t>
            </w:r>
          </w:p>
        </w:tc>
        <w:tc>
          <w:tcPr>
            <w:tcW w:w="810" w:type="dxa"/>
            <w:tcBorders>
              <w:top w:val="nil"/>
              <w:left w:val="nil"/>
              <w:bottom w:val="nil"/>
              <w:right w:val="nil"/>
            </w:tcBorders>
            <w:shd w:val="clear" w:color="auto" w:fill="auto"/>
            <w:noWrap/>
            <w:vAlign w:val="bottom"/>
            <w:hideMark/>
          </w:tcPr>
          <w:p w14:paraId="55ED34A4"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w:t>
            </w:r>
          </w:p>
        </w:tc>
      </w:tr>
      <w:tr w:rsidR="005253D2" w:rsidRPr="005253D2" w14:paraId="6F94B47A" w14:textId="77777777" w:rsidTr="005253D2">
        <w:trPr>
          <w:trHeight w:val="220"/>
        </w:trPr>
        <w:tc>
          <w:tcPr>
            <w:tcW w:w="720" w:type="dxa"/>
            <w:vMerge/>
            <w:tcBorders>
              <w:top w:val="nil"/>
              <w:left w:val="nil"/>
              <w:bottom w:val="nil"/>
              <w:right w:val="nil"/>
            </w:tcBorders>
            <w:vAlign w:val="center"/>
            <w:hideMark/>
          </w:tcPr>
          <w:p w14:paraId="6C7BF9E3"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6B2E7C4A"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EpiLymph-Ireland</w:t>
            </w:r>
          </w:p>
        </w:tc>
        <w:tc>
          <w:tcPr>
            <w:tcW w:w="866" w:type="dxa"/>
            <w:tcBorders>
              <w:top w:val="nil"/>
              <w:left w:val="nil"/>
              <w:bottom w:val="nil"/>
              <w:right w:val="nil"/>
            </w:tcBorders>
            <w:shd w:val="clear" w:color="auto" w:fill="auto"/>
            <w:noWrap/>
            <w:vAlign w:val="bottom"/>
            <w:hideMark/>
          </w:tcPr>
          <w:p w14:paraId="7163026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198</w:t>
            </w:r>
          </w:p>
        </w:tc>
        <w:tc>
          <w:tcPr>
            <w:tcW w:w="810" w:type="dxa"/>
            <w:tcBorders>
              <w:top w:val="nil"/>
              <w:left w:val="nil"/>
              <w:bottom w:val="nil"/>
              <w:right w:val="nil"/>
            </w:tcBorders>
            <w:shd w:val="clear" w:color="auto" w:fill="auto"/>
            <w:noWrap/>
            <w:vAlign w:val="bottom"/>
            <w:hideMark/>
          </w:tcPr>
          <w:p w14:paraId="7E608D1F"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w:t>
            </w:r>
          </w:p>
        </w:tc>
        <w:tc>
          <w:tcPr>
            <w:tcW w:w="261" w:type="dxa"/>
            <w:tcBorders>
              <w:top w:val="nil"/>
              <w:left w:val="nil"/>
              <w:bottom w:val="nil"/>
              <w:right w:val="nil"/>
            </w:tcBorders>
            <w:shd w:val="clear" w:color="auto" w:fill="auto"/>
            <w:noWrap/>
            <w:vAlign w:val="bottom"/>
            <w:hideMark/>
          </w:tcPr>
          <w:p w14:paraId="5912DEC3"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43F8CC7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w:t>
            </w:r>
          </w:p>
        </w:tc>
        <w:tc>
          <w:tcPr>
            <w:tcW w:w="810" w:type="dxa"/>
            <w:tcBorders>
              <w:top w:val="nil"/>
              <w:left w:val="nil"/>
              <w:bottom w:val="nil"/>
              <w:right w:val="nil"/>
            </w:tcBorders>
            <w:shd w:val="clear" w:color="auto" w:fill="auto"/>
            <w:noWrap/>
            <w:vAlign w:val="bottom"/>
            <w:hideMark/>
          </w:tcPr>
          <w:p w14:paraId="3AC89ABE"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w:t>
            </w:r>
          </w:p>
        </w:tc>
        <w:tc>
          <w:tcPr>
            <w:tcW w:w="261" w:type="dxa"/>
            <w:tcBorders>
              <w:top w:val="nil"/>
              <w:left w:val="nil"/>
              <w:bottom w:val="nil"/>
              <w:right w:val="nil"/>
            </w:tcBorders>
            <w:shd w:val="clear" w:color="auto" w:fill="auto"/>
            <w:noWrap/>
            <w:vAlign w:val="bottom"/>
            <w:hideMark/>
          </w:tcPr>
          <w:p w14:paraId="3CE536A0"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406D7C87"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116</w:t>
            </w:r>
          </w:p>
        </w:tc>
        <w:tc>
          <w:tcPr>
            <w:tcW w:w="810" w:type="dxa"/>
            <w:tcBorders>
              <w:top w:val="nil"/>
              <w:left w:val="nil"/>
              <w:bottom w:val="nil"/>
              <w:right w:val="nil"/>
            </w:tcBorders>
            <w:shd w:val="clear" w:color="auto" w:fill="auto"/>
            <w:noWrap/>
            <w:vAlign w:val="bottom"/>
            <w:hideMark/>
          </w:tcPr>
          <w:p w14:paraId="434F302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w:t>
            </w:r>
          </w:p>
        </w:tc>
        <w:tc>
          <w:tcPr>
            <w:tcW w:w="261" w:type="dxa"/>
            <w:tcBorders>
              <w:top w:val="nil"/>
              <w:left w:val="nil"/>
              <w:bottom w:val="nil"/>
              <w:right w:val="nil"/>
            </w:tcBorders>
            <w:shd w:val="clear" w:color="auto" w:fill="auto"/>
            <w:noWrap/>
            <w:vAlign w:val="bottom"/>
            <w:hideMark/>
          </w:tcPr>
          <w:p w14:paraId="4FF7B564"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CF69A0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11</w:t>
            </w:r>
          </w:p>
        </w:tc>
        <w:tc>
          <w:tcPr>
            <w:tcW w:w="810" w:type="dxa"/>
            <w:tcBorders>
              <w:top w:val="nil"/>
              <w:left w:val="nil"/>
              <w:bottom w:val="nil"/>
              <w:right w:val="nil"/>
            </w:tcBorders>
            <w:shd w:val="clear" w:color="auto" w:fill="auto"/>
            <w:noWrap/>
            <w:vAlign w:val="bottom"/>
            <w:hideMark/>
          </w:tcPr>
          <w:p w14:paraId="4B7F596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w:t>
            </w:r>
          </w:p>
        </w:tc>
      </w:tr>
      <w:tr w:rsidR="005253D2" w:rsidRPr="005253D2" w14:paraId="514B00C7" w14:textId="77777777" w:rsidTr="005253D2">
        <w:trPr>
          <w:trHeight w:val="220"/>
        </w:trPr>
        <w:tc>
          <w:tcPr>
            <w:tcW w:w="720" w:type="dxa"/>
            <w:vMerge/>
            <w:tcBorders>
              <w:top w:val="nil"/>
              <w:left w:val="nil"/>
              <w:bottom w:val="nil"/>
              <w:right w:val="nil"/>
            </w:tcBorders>
            <w:vAlign w:val="center"/>
            <w:hideMark/>
          </w:tcPr>
          <w:p w14:paraId="36DCAF25"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4B37FDFA"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EpiLymph-Italy</w:t>
            </w:r>
          </w:p>
        </w:tc>
        <w:tc>
          <w:tcPr>
            <w:tcW w:w="866" w:type="dxa"/>
            <w:tcBorders>
              <w:top w:val="nil"/>
              <w:left w:val="nil"/>
              <w:bottom w:val="nil"/>
              <w:right w:val="nil"/>
            </w:tcBorders>
            <w:shd w:val="clear" w:color="auto" w:fill="auto"/>
            <w:noWrap/>
            <w:vAlign w:val="bottom"/>
            <w:hideMark/>
          </w:tcPr>
          <w:p w14:paraId="3E172A0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331</w:t>
            </w:r>
          </w:p>
        </w:tc>
        <w:tc>
          <w:tcPr>
            <w:tcW w:w="810" w:type="dxa"/>
            <w:tcBorders>
              <w:top w:val="nil"/>
              <w:left w:val="nil"/>
              <w:bottom w:val="nil"/>
              <w:right w:val="nil"/>
            </w:tcBorders>
            <w:shd w:val="clear" w:color="auto" w:fill="auto"/>
            <w:noWrap/>
            <w:vAlign w:val="bottom"/>
            <w:hideMark/>
          </w:tcPr>
          <w:p w14:paraId="19B3151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w:t>
            </w:r>
          </w:p>
        </w:tc>
        <w:tc>
          <w:tcPr>
            <w:tcW w:w="261" w:type="dxa"/>
            <w:tcBorders>
              <w:top w:val="nil"/>
              <w:left w:val="nil"/>
              <w:bottom w:val="nil"/>
              <w:right w:val="nil"/>
            </w:tcBorders>
            <w:shd w:val="clear" w:color="auto" w:fill="auto"/>
            <w:noWrap/>
            <w:vAlign w:val="bottom"/>
            <w:hideMark/>
          </w:tcPr>
          <w:p w14:paraId="063D246C"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72AAE98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w:t>
            </w:r>
          </w:p>
        </w:tc>
        <w:tc>
          <w:tcPr>
            <w:tcW w:w="810" w:type="dxa"/>
            <w:tcBorders>
              <w:top w:val="nil"/>
              <w:left w:val="nil"/>
              <w:bottom w:val="nil"/>
              <w:right w:val="nil"/>
            </w:tcBorders>
            <w:shd w:val="clear" w:color="auto" w:fill="auto"/>
            <w:noWrap/>
            <w:vAlign w:val="bottom"/>
            <w:hideMark/>
          </w:tcPr>
          <w:p w14:paraId="21CD8C8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w:t>
            </w:r>
          </w:p>
        </w:tc>
        <w:tc>
          <w:tcPr>
            <w:tcW w:w="261" w:type="dxa"/>
            <w:tcBorders>
              <w:top w:val="nil"/>
              <w:left w:val="nil"/>
              <w:bottom w:val="nil"/>
              <w:right w:val="nil"/>
            </w:tcBorders>
            <w:shd w:val="clear" w:color="auto" w:fill="auto"/>
            <w:noWrap/>
            <w:vAlign w:val="bottom"/>
            <w:hideMark/>
          </w:tcPr>
          <w:p w14:paraId="6595D32A"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3FD2D93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177</w:t>
            </w:r>
          </w:p>
        </w:tc>
        <w:tc>
          <w:tcPr>
            <w:tcW w:w="810" w:type="dxa"/>
            <w:tcBorders>
              <w:top w:val="nil"/>
              <w:left w:val="nil"/>
              <w:bottom w:val="nil"/>
              <w:right w:val="nil"/>
            </w:tcBorders>
            <w:shd w:val="clear" w:color="auto" w:fill="auto"/>
            <w:noWrap/>
            <w:vAlign w:val="bottom"/>
            <w:hideMark/>
          </w:tcPr>
          <w:p w14:paraId="16E3B62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w:t>
            </w:r>
          </w:p>
        </w:tc>
        <w:tc>
          <w:tcPr>
            <w:tcW w:w="261" w:type="dxa"/>
            <w:tcBorders>
              <w:top w:val="nil"/>
              <w:left w:val="nil"/>
              <w:bottom w:val="nil"/>
              <w:right w:val="nil"/>
            </w:tcBorders>
            <w:shd w:val="clear" w:color="auto" w:fill="auto"/>
            <w:noWrap/>
            <w:vAlign w:val="bottom"/>
            <w:hideMark/>
          </w:tcPr>
          <w:p w14:paraId="38CEA45F"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A84939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w:t>
            </w:r>
          </w:p>
        </w:tc>
        <w:tc>
          <w:tcPr>
            <w:tcW w:w="810" w:type="dxa"/>
            <w:tcBorders>
              <w:top w:val="nil"/>
              <w:left w:val="nil"/>
              <w:bottom w:val="nil"/>
              <w:right w:val="nil"/>
            </w:tcBorders>
            <w:shd w:val="clear" w:color="auto" w:fill="auto"/>
            <w:noWrap/>
            <w:vAlign w:val="bottom"/>
            <w:hideMark/>
          </w:tcPr>
          <w:p w14:paraId="7B1E37AE"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(0%)</w:t>
            </w:r>
          </w:p>
        </w:tc>
      </w:tr>
      <w:tr w:rsidR="005253D2" w:rsidRPr="005253D2" w14:paraId="787DF3D4" w14:textId="77777777" w:rsidTr="005253D2">
        <w:trPr>
          <w:trHeight w:val="220"/>
        </w:trPr>
        <w:tc>
          <w:tcPr>
            <w:tcW w:w="720" w:type="dxa"/>
            <w:vMerge/>
            <w:tcBorders>
              <w:top w:val="nil"/>
              <w:left w:val="nil"/>
              <w:bottom w:val="nil"/>
              <w:right w:val="nil"/>
            </w:tcBorders>
            <w:vAlign w:val="center"/>
            <w:hideMark/>
          </w:tcPr>
          <w:p w14:paraId="4569A1CB"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0070B7E0"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EpiLymph-Spain</w:t>
            </w:r>
          </w:p>
        </w:tc>
        <w:tc>
          <w:tcPr>
            <w:tcW w:w="866" w:type="dxa"/>
            <w:tcBorders>
              <w:top w:val="nil"/>
              <w:left w:val="nil"/>
              <w:bottom w:val="nil"/>
              <w:right w:val="nil"/>
            </w:tcBorders>
            <w:shd w:val="clear" w:color="auto" w:fill="auto"/>
            <w:noWrap/>
            <w:vAlign w:val="bottom"/>
            <w:hideMark/>
          </w:tcPr>
          <w:p w14:paraId="7F4AB8A7"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603</w:t>
            </w:r>
          </w:p>
        </w:tc>
        <w:tc>
          <w:tcPr>
            <w:tcW w:w="810" w:type="dxa"/>
            <w:tcBorders>
              <w:top w:val="nil"/>
              <w:left w:val="nil"/>
              <w:bottom w:val="nil"/>
              <w:right w:val="nil"/>
            </w:tcBorders>
            <w:shd w:val="clear" w:color="auto" w:fill="auto"/>
            <w:noWrap/>
            <w:vAlign w:val="bottom"/>
            <w:hideMark/>
          </w:tcPr>
          <w:p w14:paraId="709AEC4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w:t>
            </w:r>
          </w:p>
        </w:tc>
        <w:tc>
          <w:tcPr>
            <w:tcW w:w="261" w:type="dxa"/>
            <w:tcBorders>
              <w:top w:val="nil"/>
              <w:left w:val="nil"/>
              <w:bottom w:val="nil"/>
              <w:right w:val="nil"/>
            </w:tcBorders>
            <w:shd w:val="clear" w:color="auto" w:fill="auto"/>
            <w:noWrap/>
            <w:vAlign w:val="bottom"/>
            <w:hideMark/>
          </w:tcPr>
          <w:p w14:paraId="02677714"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564FE38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w:t>
            </w:r>
          </w:p>
        </w:tc>
        <w:tc>
          <w:tcPr>
            <w:tcW w:w="810" w:type="dxa"/>
            <w:tcBorders>
              <w:top w:val="nil"/>
              <w:left w:val="nil"/>
              <w:bottom w:val="nil"/>
              <w:right w:val="nil"/>
            </w:tcBorders>
            <w:shd w:val="clear" w:color="auto" w:fill="auto"/>
            <w:noWrap/>
            <w:vAlign w:val="bottom"/>
            <w:hideMark/>
          </w:tcPr>
          <w:p w14:paraId="51D9754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w:t>
            </w:r>
          </w:p>
        </w:tc>
        <w:tc>
          <w:tcPr>
            <w:tcW w:w="261" w:type="dxa"/>
            <w:tcBorders>
              <w:top w:val="nil"/>
              <w:left w:val="nil"/>
              <w:bottom w:val="nil"/>
              <w:right w:val="nil"/>
            </w:tcBorders>
            <w:shd w:val="clear" w:color="auto" w:fill="auto"/>
            <w:noWrap/>
            <w:vAlign w:val="bottom"/>
            <w:hideMark/>
          </w:tcPr>
          <w:p w14:paraId="1E7552EE"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15FB2D0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418</w:t>
            </w:r>
          </w:p>
        </w:tc>
        <w:tc>
          <w:tcPr>
            <w:tcW w:w="810" w:type="dxa"/>
            <w:tcBorders>
              <w:top w:val="nil"/>
              <w:left w:val="nil"/>
              <w:bottom w:val="nil"/>
              <w:right w:val="nil"/>
            </w:tcBorders>
            <w:shd w:val="clear" w:color="auto" w:fill="auto"/>
            <w:noWrap/>
            <w:vAlign w:val="bottom"/>
            <w:hideMark/>
          </w:tcPr>
          <w:p w14:paraId="5FFB6B1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w:t>
            </w:r>
          </w:p>
        </w:tc>
        <w:tc>
          <w:tcPr>
            <w:tcW w:w="261" w:type="dxa"/>
            <w:tcBorders>
              <w:top w:val="nil"/>
              <w:left w:val="nil"/>
              <w:bottom w:val="nil"/>
              <w:right w:val="nil"/>
            </w:tcBorders>
            <w:shd w:val="clear" w:color="auto" w:fill="auto"/>
            <w:noWrap/>
            <w:vAlign w:val="bottom"/>
            <w:hideMark/>
          </w:tcPr>
          <w:p w14:paraId="4B4738E0"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065DD114"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w:t>
            </w:r>
          </w:p>
        </w:tc>
        <w:tc>
          <w:tcPr>
            <w:tcW w:w="810" w:type="dxa"/>
            <w:tcBorders>
              <w:top w:val="nil"/>
              <w:left w:val="nil"/>
              <w:bottom w:val="nil"/>
              <w:right w:val="nil"/>
            </w:tcBorders>
            <w:shd w:val="clear" w:color="auto" w:fill="auto"/>
            <w:noWrap/>
            <w:vAlign w:val="bottom"/>
            <w:hideMark/>
          </w:tcPr>
          <w:p w14:paraId="582AAEB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w:t>
            </w:r>
          </w:p>
        </w:tc>
      </w:tr>
      <w:tr w:rsidR="005253D2" w:rsidRPr="005253D2" w14:paraId="65D351A5" w14:textId="77777777" w:rsidTr="005253D2">
        <w:trPr>
          <w:trHeight w:val="220"/>
        </w:trPr>
        <w:tc>
          <w:tcPr>
            <w:tcW w:w="720" w:type="dxa"/>
            <w:vMerge/>
            <w:tcBorders>
              <w:top w:val="nil"/>
              <w:left w:val="nil"/>
              <w:bottom w:val="nil"/>
              <w:right w:val="nil"/>
            </w:tcBorders>
            <w:vAlign w:val="center"/>
            <w:hideMark/>
          </w:tcPr>
          <w:p w14:paraId="12FFF930"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010772F2"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Mayo Clinic</w:t>
            </w:r>
          </w:p>
        </w:tc>
        <w:tc>
          <w:tcPr>
            <w:tcW w:w="866" w:type="dxa"/>
            <w:tcBorders>
              <w:top w:val="nil"/>
              <w:left w:val="nil"/>
              <w:bottom w:val="nil"/>
              <w:right w:val="nil"/>
            </w:tcBorders>
            <w:shd w:val="clear" w:color="auto" w:fill="auto"/>
            <w:noWrap/>
            <w:vAlign w:val="bottom"/>
            <w:hideMark/>
          </w:tcPr>
          <w:p w14:paraId="15D14C7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1,014</w:t>
            </w:r>
          </w:p>
        </w:tc>
        <w:tc>
          <w:tcPr>
            <w:tcW w:w="810" w:type="dxa"/>
            <w:tcBorders>
              <w:top w:val="nil"/>
              <w:left w:val="nil"/>
              <w:bottom w:val="nil"/>
              <w:right w:val="nil"/>
            </w:tcBorders>
            <w:shd w:val="clear" w:color="auto" w:fill="auto"/>
            <w:noWrap/>
            <w:vAlign w:val="bottom"/>
            <w:hideMark/>
          </w:tcPr>
          <w:p w14:paraId="19700F1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(11%)</w:t>
            </w:r>
          </w:p>
        </w:tc>
        <w:tc>
          <w:tcPr>
            <w:tcW w:w="261" w:type="dxa"/>
            <w:tcBorders>
              <w:top w:val="nil"/>
              <w:left w:val="nil"/>
              <w:bottom w:val="nil"/>
              <w:right w:val="nil"/>
            </w:tcBorders>
            <w:shd w:val="clear" w:color="auto" w:fill="auto"/>
            <w:noWrap/>
            <w:vAlign w:val="bottom"/>
            <w:hideMark/>
          </w:tcPr>
          <w:p w14:paraId="7AFF7C65"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3654162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85</w:t>
            </w:r>
          </w:p>
        </w:tc>
        <w:tc>
          <w:tcPr>
            <w:tcW w:w="810" w:type="dxa"/>
            <w:tcBorders>
              <w:top w:val="nil"/>
              <w:left w:val="nil"/>
              <w:bottom w:val="nil"/>
              <w:right w:val="nil"/>
            </w:tcBorders>
            <w:shd w:val="clear" w:color="auto" w:fill="auto"/>
            <w:noWrap/>
            <w:vAlign w:val="bottom"/>
            <w:hideMark/>
          </w:tcPr>
          <w:p w14:paraId="52E1D3B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(16%)</w:t>
            </w:r>
          </w:p>
        </w:tc>
        <w:tc>
          <w:tcPr>
            <w:tcW w:w="261" w:type="dxa"/>
            <w:tcBorders>
              <w:top w:val="nil"/>
              <w:left w:val="nil"/>
              <w:bottom w:val="nil"/>
              <w:right w:val="nil"/>
            </w:tcBorders>
            <w:shd w:val="clear" w:color="auto" w:fill="auto"/>
            <w:noWrap/>
            <w:vAlign w:val="bottom"/>
            <w:hideMark/>
          </w:tcPr>
          <w:p w14:paraId="3C840A9E"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309821E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779</w:t>
            </w:r>
          </w:p>
        </w:tc>
        <w:tc>
          <w:tcPr>
            <w:tcW w:w="810" w:type="dxa"/>
            <w:tcBorders>
              <w:top w:val="nil"/>
              <w:left w:val="nil"/>
              <w:bottom w:val="nil"/>
              <w:right w:val="nil"/>
            </w:tcBorders>
            <w:shd w:val="clear" w:color="auto" w:fill="auto"/>
            <w:noWrap/>
            <w:vAlign w:val="bottom"/>
            <w:hideMark/>
          </w:tcPr>
          <w:p w14:paraId="5759278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(10%)</w:t>
            </w:r>
          </w:p>
        </w:tc>
        <w:tc>
          <w:tcPr>
            <w:tcW w:w="261" w:type="dxa"/>
            <w:tcBorders>
              <w:top w:val="nil"/>
              <w:left w:val="nil"/>
              <w:bottom w:val="nil"/>
              <w:right w:val="nil"/>
            </w:tcBorders>
            <w:shd w:val="clear" w:color="auto" w:fill="auto"/>
            <w:noWrap/>
            <w:vAlign w:val="bottom"/>
            <w:hideMark/>
          </w:tcPr>
          <w:p w14:paraId="124D6D7D"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3F6DFDEC"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80</w:t>
            </w:r>
          </w:p>
        </w:tc>
        <w:tc>
          <w:tcPr>
            <w:tcW w:w="810" w:type="dxa"/>
            <w:tcBorders>
              <w:top w:val="nil"/>
              <w:left w:val="nil"/>
              <w:bottom w:val="nil"/>
              <w:right w:val="nil"/>
            </w:tcBorders>
            <w:shd w:val="clear" w:color="auto" w:fill="auto"/>
            <w:noWrap/>
            <w:vAlign w:val="bottom"/>
            <w:hideMark/>
          </w:tcPr>
          <w:p w14:paraId="79B3125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(20%)</w:t>
            </w:r>
          </w:p>
        </w:tc>
      </w:tr>
      <w:tr w:rsidR="005253D2" w:rsidRPr="005253D2" w14:paraId="2EDADEAE" w14:textId="77777777" w:rsidTr="005253D2">
        <w:trPr>
          <w:trHeight w:val="220"/>
        </w:trPr>
        <w:tc>
          <w:tcPr>
            <w:tcW w:w="720" w:type="dxa"/>
            <w:vMerge/>
            <w:tcBorders>
              <w:top w:val="nil"/>
              <w:left w:val="nil"/>
              <w:bottom w:val="nil"/>
              <w:right w:val="nil"/>
            </w:tcBorders>
            <w:vAlign w:val="center"/>
            <w:hideMark/>
          </w:tcPr>
          <w:p w14:paraId="76F01010"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72A52FF1"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NCI-SEER</w:t>
            </w:r>
          </w:p>
        </w:tc>
        <w:tc>
          <w:tcPr>
            <w:tcW w:w="866" w:type="dxa"/>
            <w:tcBorders>
              <w:top w:val="nil"/>
              <w:left w:val="nil"/>
              <w:bottom w:val="nil"/>
              <w:right w:val="nil"/>
            </w:tcBorders>
            <w:shd w:val="clear" w:color="auto" w:fill="auto"/>
            <w:noWrap/>
            <w:vAlign w:val="bottom"/>
            <w:hideMark/>
          </w:tcPr>
          <w:p w14:paraId="462D33C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378</w:t>
            </w:r>
          </w:p>
        </w:tc>
        <w:tc>
          <w:tcPr>
            <w:tcW w:w="810" w:type="dxa"/>
            <w:tcBorders>
              <w:top w:val="nil"/>
              <w:left w:val="nil"/>
              <w:bottom w:val="nil"/>
              <w:right w:val="nil"/>
            </w:tcBorders>
            <w:shd w:val="clear" w:color="auto" w:fill="auto"/>
            <w:noWrap/>
            <w:vAlign w:val="bottom"/>
            <w:hideMark/>
          </w:tcPr>
          <w:p w14:paraId="4F2728B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w:t>
            </w:r>
          </w:p>
        </w:tc>
        <w:tc>
          <w:tcPr>
            <w:tcW w:w="261" w:type="dxa"/>
            <w:tcBorders>
              <w:top w:val="nil"/>
              <w:left w:val="nil"/>
              <w:bottom w:val="nil"/>
              <w:right w:val="nil"/>
            </w:tcBorders>
            <w:shd w:val="clear" w:color="auto" w:fill="auto"/>
            <w:noWrap/>
            <w:vAlign w:val="bottom"/>
            <w:hideMark/>
          </w:tcPr>
          <w:p w14:paraId="2C50BCE8"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306BE95F"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25</w:t>
            </w:r>
          </w:p>
        </w:tc>
        <w:tc>
          <w:tcPr>
            <w:tcW w:w="810" w:type="dxa"/>
            <w:tcBorders>
              <w:top w:val="nil"/>
              <w:left w:val="nil"/>
              <w:bottom w:val="nil"/>
              <w:right w:val="nil"/>
            </w:tcBorders>
            <w:shd w:val="clear" w:color="auto" w:fill="auto"/>
            <w:noWrap/>
            <w:vAlign w:val="bottom"/>
            <w:hideMark/>
          </w:tcPr>
          <w:p w14:paraId="36E4BA3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w:t>
            </w:r>
          </w:p>
        </w:tc>
        <w:tc>
          <w:tcPr>
            <w:tcW w:w="261" w:type="dxa"/>
            <w:tcBorders>
              <w:top w:val="nil"/>
              <w:left w:val="nil"/>
              <w:bottom w:val="nil"/>
              <w:right w:val="nil"/>
            </w:tcBorders>
            <w:shd w:val="clear" w:color="auto" w:fill="auto"/>
            <w:noWrap/>
            <w:vAlign w:val="bottom"/>
            <w:hideMark/>
          </w:tcPr>
          <w:p w14:paraId="7FC91F4E"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1C2E42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543</w:t>
            </w:r>
          </w:p>
        </w:tc>
        <w:tc>
          <w:tcPr>
            <w:tcW w:w="810" w:type="dxa"/>
            <w:tcBorders>
              <w:top w:val="nil"/>
              <w:left w:val="nil"/>
              <w:bottom w:val="nil"/>
              <w:right w:val="nil"/>
            </w:tcBorders>
            <w:shd w:val="clear" w:color="auto" w:fill="auto"/>
            <w:noWrap/>
            <w:vAlign w:val="bottom"/>
            <w:hideMark/>
          </w:tcPr>
          <w:p w14:paraId="0CB8817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w:t>
            </w:r>
          </w:p>
        </w:tc>
        <w:tc>
          <w:tcPr>
            <w:tcW w:w="261" w:type="dxa"/>
            <w:tcBorders>
              <w:top w:val="nil"/>
              <w:left w:val="nil"/>
              <w:bottom w:val="nil"/>
              <w:right w:val="nil"/>
            </w:tcBorders>
            <w:shd w:val="clear" w:color="auto" w:fill="auto"/>
            <w:noWrap/>
            <w:vAlign w:val="bottom"/>
            <w:hideMark/>
          </w:tcPr>
          <w:p w14:paraId="1D4B9A62"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786E678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48</w:t>
            </w:r>
          </w:p>
        </w:tc>
        <w:tc>
          <w:tcPr>
            <w:tcW w:w="810" w:type="dxa"/>
            <w:tcBorders>
              <w:top w:val="nil"/>
              <w:left w:val="nil"/>
              <w:bottom w:val="nil"/>
              <w:right w:val="nil"/>
            </w:tcBorders>
            <w:shd w:val="clear" w:color="auto" w:fill="auto"/>
            <w:noWrap/>
            <w:vAlign w:val="bottom"/>
            <w:hideMark/>
          </w:tcPr>
          <w:p w14:paraId="3E85D22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(12%)</w:t>
            </w:r>
          </w:p>
        </w:tc>
      </w:tr>
      <w:tr w:rsidR="005253D2" w:rsidRPr="005253D2" w14:paraId="3419BDE1" w14:textId="77777777" w:rsidTr="005253D2">
        <w:trPr>
          <w:trHeight w:val="220"/>
        </w:trPr>
        <w:tc>
          <w:tcPr>
            <w:tcW w:w="720" w:type="dxa"/>
            <w:vMerge/>
            <w:tcBorders>
              <w:top w:val="nil"/>
              <w:left w:val="nil"/>
              <w:bottom w:val="nil"/>
              <w:right w:val="nil"/>
            </w:tcBorders>
            <w:vAlign w:val="center"/>
            <w:hideMark/>
          </w:tcPr>
          <w:p w14:paraId="1D9D96E0"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41B1C4CD"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Scale</w:t>
            </w:r>
          </w:p>
        </w:tc>
        <w:tc>
          <w:tcPr>
            <w:tcW w:w="866" w:type="dxa"/>
            <w:tcBorders>
              <w:top w:val="nil"/>
              <w:left w:val="nil"/>
              <w:bottom w:val="nil"/>
              <w:right w:val="nil"/>
            </w:tcBorders>
            <w:shd w:val="clear" w:color="auto" w:fill="auto"/>
            <w:noWrap/>
            <w:vAlign w:val="bottom"/>
            <w:hideMark/>
          </w:tcPr>
          <w:p w14:paraId="5BD7B38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2,830</w:t>
            </w:r>
          </w:p>
        </w:tc>
        <w:tc>
          <w:tcPr>
            <w:tcW w:w="810" w:type="dxa"/>
            <w:tcBorders>
              <w:top w:val="nil"/>
              <w:left w:val="nil"/>
              <w:bottom w:val="nil"/>
              <w:right w:val="nil"/>
            </w:tcBorders>
            <w:shd w:val="clear" w:color="auto" w:fill="auto"/>
            <w:noWrap/>
            <w:vAlign w:val="bottom"/>
            <w:hideMark/>
          </w:tcPr>
          <w:p w14:paraId="7D0E3D3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(30%)</w:t>
            </w:r>
          </w:p>
        </w:tc>
        <w:tc>
          <w:tcPr>
            <w:tcW w:w="261" w:type="dxa"/>
            <w:tcBorders>
              <w:top w:val="nil"/>
              <w:left w:val="nil"/>
              <w:bottom w:val="nil"/>
              <w:right w:val="nil"/>
            </w:tcBorders>
            <w:shd w:val="clear" w:color="auto" w:fill="auto"/>
            <w:noWrap/>
            <w:vAlign w:val="bottom"/>
            <w:hideMark/>
          </w:tcPr>
          <w:p w14:paraId="264E7F22"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2C6FF86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106</w:t>
            </w:r>
          </w:p>
        </w:tc>
        <w:tc>
          <w:tcPr>
            <w:tcW w:w="810" w:type="dxa"/>
            <w:tcBorders>
              <w:top w:val="nil"/>
              <w:left w:val="nil"/>
              <w:bottom w:val="nil"/>
              <w:right w:val="nil"/>
            </w:tcBorders>
            <w:shd w:val="clear" w:color="auto" w:fill="auto"/>
            <w:noWrap/>
            <w:vAlign w:val="bottom"/>
            <w:hideMark/>
          </w:tcPr>
          <w:p w14:paraId="5E99FC2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(20%)</w:t>
            </w:r>
          </w:p>
        </w:tc>
        <w:tc>
          <w:tcPr>
            <w:tcW w:w="261" w:type="dxa"/>
            <w:tcBorders>
              <w:top w:val="nil"/>
              <w:left w:val="nil"/>
              <w:bottom w:val="nil"/>
              <w:right w:val="nil"/>
            </w:tcBorders>
            <w:shd w:val="clear" w:color="auto" w:fill="auto"/>
            <w:noWrap/>
            <w:vAlign w:val="bottom"/>
            <w:hideMark/>
          </w:tcPr>
          <w:p w14:paraId="546A8755"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15D69FB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2,653</w:t>
            </w:r>
          </w:p>
        </w:tc>
        <w:tc>
          <w:tcPr>
            <w:tcW w:w="810" w:type="dxa"/>
            <w:tcBorders>
              <w:top w:val="nil"/>
              <w:left w:val="nil"/>
              <w:bottom w:val="nil"/>
              <w:right w:val="nil"/>
            </w:tcBorders>
            <w:shd w:val="clear" w:color="auto" w:fill="auto"/>
            <w:noWrap/>
            <w:vAlign w:val="bottom"/>
            <w:hideMark/>
          </w:tcPr>
          <w:p w14:paraId="65B9450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(35%)</w:t>
            </w:r>
          </w:p>
        </w:tc>
        <w:tc>
          <w:tcPr>
            <w:tcW w:w="261" w:type="dxa"/>
            <w:tcBorders>
              <w:top w:val="nil"/>
              <w:left w:val="nil"/>
              <w:bottom w:val="nil"/>
              <w:right w:val="nil"/>
            </w:tcBorders>
            <w:shd w:val="clear" w:color="auto" w:fill="auto"/>
            <w:noWrap/>
            <w:vAlign w:val="bottom"/>
            <w:hideMark/>
          </w:tcPr>
          <w:p w14:paraId="0F99334C"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0351AEB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94</w:t>
            </w:r>
          </w:p>
        </w:tc>
        <w:tc>
          <w:tcPr>
            <w:tcW w:w="810" w:type="dxa"/>
            <w:tcBorders>
              <w:top w:val="nil"/>
              <w:left w:val="nil"/>
              <w:bottom w:val="nil"/>
              <w:right w:val="nil"/>
            </w:tcBorders>
            <w:shd w:val="clear" w:color="auto" w:fill="auto"/>
            <w:noWrap/>
            <w:vAlign w:val="bottom"/>
            <w:hideMark/>
          </w:tcPr>
          <w:p w14:paraId="6FA8A6F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(23%)</w:t>
            </w:r>
          </w:p>
        </w:tc>
      </w:tr>
      <w:tr w:rsidR="005253D2" w:rsidRPr="005253D2" w14:paraId="6D64D856" w14:textId="77777777" w:rsidTr="005253D2">
        <w:trPr>
          <w:trHeight w:val="220"/>
        </w:trPr>
        <w:tc>
          <w:tcPr>
            <w:tcW w:w="720" w:type="dxa"/>
            <w:vMerge/>
            <w:tcBorders>
              <w:top w:val="nil"/>
              <w:left w:val="nil"/>
              <w:bottom w:val="nil"/>
              <w:right w:val="nil"/>
            </w:tcBorders>
            <w:vAlign w:val="center"/>
            <w:hideMark/>
          </w:tcPr>
          <w:p w14:paraId="5A96260C"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4D3E74DF"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UCSF</w:t>
            </w:r>
          </w:p>
        </w:tc>
        <w:tc>
          <w:tcPr>
            <w:tcW w:w="866" w:type="dxa"/>
            <w:tcBorders>
              <w:top w:val="nil"/>
              <w:left w:val="nil"/>
              <w:bottom w:val="nil"/>
              <w:right w:val="nil"/>
            </w:tcBorders>
            <w:shd w:val="clear" w:color="auto" w:fill="auto"/>
            <w:noWrap/>
            <w:vAlign w:val="bottom"/>
            <w:hideMark/>
          </w:tcPr>
          <w:p w14:paraId="7016790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1,752</w:t>
            </w:r>
          </w:p>
        </w:tc>
        <w:tc>
          <w:tcPr>
            <w:tcW w:w="810" w:type="dxa"/>
            <w:tcBorders>
              <w:top w:val="nil"/>
              <w:left w:val="nil"/>
              <w:bottom w:val="nil"/>
              <w:right w:val="nil"/>
            </w:tcBorders>
            <w:shd w:val="clear" w:color="auto" w:fill="auto"/>
            <w:noWrap/>
            <w:vAlign w:val="bottom"/>
            <w:hideMark/>
          </w:tcPr>
          <w:p w14:paraId="292E28EF"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(18%)</w:t>
            </w:r>
          </w:p>
        </w:tc>
        <w:tc>
          <w:tcPr>
            <w:tcW w:w="261" w:type="dxa"/>
            <w:tcBorders>
              <w:top w:val="nil"/>
              <w:left w:val="nil"/>
              <w:bottom w:val="nil"/>
              <w:right w:val="nil"/>
            </w:tcBorders>
            <w:shd w:val="clear" w:color="auto" w:fill="auto"/>
            <w:noWrap/>
            <w:vAlign w:val="bottom"/>
            <w:hideMark/>
          </w:tcPr>
          <w:p w14:paraId="6AE52A92"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749F036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189</w:t>
            </w:r>
          </w:p>
        </w:tc>
        <w:tc>
          <w:tcPr>
            <w:tcW w:w="810" w:type="dxa"/>
            <w:tcBorders>
              <w:top w:val="nil"/>
              <w:left w:val="nil"/>
              <w:bottom w:val="nil"/>
              <w:right w:val="nil"/>
            </w:tcBorders>
            <w:shd w:val="clear" w:color="auto" w:fill="auto"/>
            <w:noWrap/>
            <w:vAlign w:val="bottom"/>
            <w:hideMark/>
          </w:tcPr>
          <w:p w14:paraId="13522A5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(36%)</w:t>
            </w:r>
          </w:p>
        </w:tc>
        <w:tc>
          <w:tcPr>
            <w:tcW w:w="261" w:type="dxa"/>
            <w:tcBorders>
              <w:top w:val="nil"/>
              <w:left w:val="nil"/>
              <w:bottom w:val="nil"/>
              <w:right w:val="nil"/>
            </w:tcBorders>
            <w:shd w:val="clear" w:color="auto" w:fill="auto"/>
            <w:noWrap/>
            <w:vAlign w:val="bottom"/>
            <w:hideMark/>
          </w:tcPr>
          <w:p w14:paraId="522DF2D6"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47C9E94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946</w:t>
            </w:r>
          </w:p>
        </w:tc>
        <w:tc>
          <w:tcPr>
            <w:tcW w:w="810" w:type="dxa"/>
            <w:tcBorders>
              <w:top w:val="nil"/>
              <w:left w:val="nil"/>
              <w:bottom w:val="nil"/>
              <w:right w:val="nil"/>
            </w:tcBorders>
            <w:shd w:val="clear" w:color="auto" w:fill="auto"/>
            <w:noWrap/>
            <w:vAlign w:val="bottom"/>
            <w:hideMark/>
          </w:tcPr>
          <w:p w14:paraId="280784C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(13%)</w:t>
            </w:r>
          </w:p>
        </w:tc>
        <w:tc>
          <w:tcPr>
            <w:tcW w:w="261" w:type="dxa"/>
            <w:tcBorders>
              <w:top w:val="nil"/>
              <w:left w:val="nil"/>
              <w:bottom w:val="nil"/>
              <w:right w:val="nil"/>
            </w:tcBorders>
            <w:shd w:val="clear" w:color="auto" w:fill="auto"/>
            <w:noWrap/>
            <w:vAlign w:val="bottom"/>
            <w:hideMark/>
          </w:tcPr>
          <w:p w14:paraId="437E091B"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553034D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63</w:t>
            </w:r>
          </w:p>
        </w:tc>
        <w:tc>
          <w:tcPr>
            <w:tcW w:w="810" w:type="dxa"/>
            <w:tcBorders>
              <w:top w:val="nil"/>
              <w:left w:val="nil"/>
              <w:bottom w:val="nil"/>
              <w:right w:val="nil"/>
            </w:tcBorders>
            <w:shd w:val="clear" w:color="auto" w:fill="auto"/>
            <w:noWrap/>
            <w:vAlign w:val="bottom"/>
            <w:hideMark/>
          </w:tcPr>
          <w:p w14:paraId="3567E264"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(15%)</w:t>
            </w:r>
          </w:p>
        </w:tc>
      </w:tr>
      <w:tr w:rsidR="005253D2" w:rsidRPr="005253D2" w14:paraId="6DCEEFF1" w14:textId="77777777" w:rsidTr="005253D2">
        <w:trPr>
          <w:trHeight w:val="220"/>
        </w:trPr>
        <w:tc>
          <w:tcPr>
            <w:tcW w:w="720" w:type="dxa"/>
            <w:vMerge/>
            <w:tcBorders>
              <w:top w:val="nil"/>
              <w:left w:val="nil"/>
              <w:bottom w:val="nil"/>
              <w:right w:val="nil"/>
            </w:tcBorders>
            <w:vAlign w:val="center"/>
            <w:hideMark/>
          </w:tcPr>
          <w:p w14:paraId="50CC5C6B"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4B025468"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Yale</w:t>
            </w:r>
          </w:p>
        </w:tc>
        <w:tc>
          <w:tcPr>
            <w:tcW w:w="866" w:type="dxa"/>
            <w:tcBorders>
              <w:top w:val="nil"/>
              <w:left w:val="nil"/>
              <w:bottom w:val="nil"/>
              <w:right w:val="nil"/>
            </w:tcBorders>
            <w:shd w:val="clear" w:color="auto" w:fill="auto"/>
            <w:noWrap/>
            <w:vAlign w:val="bottom"/>
            <w:hideMark/>
          </w:tcPr>
          <w:p w14:paraId="336CE3F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620</w:t>
            </w:r>
          </w:p>
        </w:tc>
        <w:tc>
          <w:tcPr>
            <w:tcW w:w="810" w:type="dxa"/>
            <w:tcBorders>
              <w:top w:val="nil"/>
              <w:left w:val="nil"/>
              <w:bottom w:val="nil"/>
              <w:right w:val="nil"/>
            </w:tcBorders>
            <w:shd w:val="clear" w:color="auto" w:fill="auto"/>
            <w:noWrap/>
            <w:vAlign w:val="bottom"/>
            <w:hideMark/>
          </w:tcPr>
          <w:p w14:paraId="7372277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w:t>
            </w:r>
          </w:p>
        </w:tc>
        <w:tc>
          <w:tcPr>
            <w:tcW w:w="261" w:type="dxa"/>
            <w:tcBorders>
              <w:top w:val="nil"/>
              <w:left w:val="nil"/>
              <w:bottom w:val="nil"/>
              <w:right w:val="nil"/>
            </w:tcBorders>
            <w:shd w:val="clear" w:color="auto" w:fill="auto"/>
            <w:noWrap/>
            <w:vAlign w:val="bottom"/>
            <w:hideMark/>
          </w:tcPr>
          <w:p w14:paraId="7D60C490"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0461BB5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34</w:t>
            </w:r>
          </w:p>
        </w:tc>
        <w:tc>
          <w:tcPr>
            <w:tcW w:w="810" w:type="dxa"/>
            <w:tcBorders>
              <w:top w:val="nil"/>
              <w:left w:val="nil"/>
              <w:bottom w:val="nil"/>
              <w:right w:val="nil"/>
            </w:tcBorders>
            <w:shd w:val="clear" w:color="auto" w:fill="auto"/>
            <w:noWrap/>
            <w:vAlign w:val="bottom"/>
            <w:hideMark/>
          </w:tcPr>
          <w:p w14:paraId="345C587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w:t>
            </w:r>
          </w:p>
        </w:tc>
        <w:tc>
          <w:tcPr>
            <w:tcW w:w="261" w:type="dxa"/>
            <w:tcBorders>
              <w:top w:val="nil"/>
              <w:left w:val="nil"/>
              <w:bottom w:val="nil"/>
              <w:right w:val="nil"/>
            </w:tcBorders>
            <w:shd w:val="clear" w:color="auto" w:fill="auto"/>
            <w:noWrap/>
            <w:vAlign w:val="bottom"/>
            <w:hideMark/>
          </w:tcPr>
          <w:p w14:paraId="55BA83A1"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F588C6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523</w:t>
            </w:r>
          </w:p>
        </w:tc>
        <w:tc>
          <w:tcPr>
            <w:tcW w:w="810" w:type="dxa"/>
            <w:tcBorders>
              <w:top w:val="nil"/>
              <w:left w:val="nil"/>
              <w:bottom w:val="nil"/>
              <w:right w:val="nil"/>
            </w:tcBorders>
            <w:shd w:val="clear" w:color="auto" w:fill="auto"/>
            <w:noWrap/>
            <w:vAlign w:val="bottom"/>
            <w:hideMark/>
          </w:tcPr>
          <w:p w14:paraId="330E5DB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w:t>
            </w:r>
          </w:p>
        </w:tc>
        <w:tc>
          <w:tcPr>
            <w:tcW w:w="261" w:type="dxa"/>
            <w:tcBorders>
              <w:top w:val="nil"/>
              <w:left w:val="nil"/>
              <w:bottom w:val="nil"/>
              <w:right w:val="nil"/>
            </w:tcBorders>
            <w:shd w:val="clear" w:color="auto" w:fill="auto"/>
            <w:noWrap/>
            <w:vAlign w:val="bottom"/>
            <w:hideMark/>
          </w:tcPr>
          <w:p w14:paraId="492E5F0B"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130104DC"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35</w:t>
            </w:r>
          </w:p>
        </w:tc>
        <w:tc>
          <w:tcPr>
            <w:tcW w:w="810" w:type="dxa"/>
            <w:tcBorders>
              <w:top w:val="nil"/>
              <w:left w:val="nil"/>
              <w:bottom w:val="nil"/>
              <w:right w:val="nil"/>
            </w:tcBorders>
            <w:shd w:val="clear" w:color="auto" w:fill="auto"/>
            <w:noWrap/>
            <w:vAlign w:val="bottom"/>
            <w:hideMark/>
          </w:tcPr>
          <w:p w14:paraId="292439E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(9%)</w:t>
            </w:r>
          </w:p>
        </w:tc>
      </w:tr>
      <w:tr w:rsidR="005253D2" w:rsidRPr="005253D2" w14:paraId="57D52175" w14:textId="77777777" w:rsidTr="005253D2">
        <w:trPr>
          <w:trHeight w:val="220"/>
        </w:trPr>
        <w:tc>
          <w:tcPr>
            <w:tcW w:w="720" w:type="dxa"/>
            <w:tcBorders>
              <w:top w:val="nil"/>
              <w:left w:val="nil"/>
              <w:bottom w:val="nil"/>
              <w:right w:val="nil"/>
            </w:tcBorders>
            <w:shd w:val="clear" w:color="auto" w:fill="auto"/>
            <w:noWrap/>
            <w:vAlign w:val="bottom"/>
            <w:hideMark/>
          </w:tcPr>
          <w:p w14:paraId="36D7EF41" w14:textId="77777777" w:rsidR="005253D2" w:rsidRPr="005253D2" w:rsidRDefault="005253D2" w:rsidP="005253D2">
            <w:pPr>
              <w:jc w:val="right"/>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15027073" w14:textId="77777777" w:rsidR="005253D2" w:rsidRPr="005253D2" w:rsidRDefault="005253D2" w:rsidP="005253D2">
            <w:pPr>
              <w:rPr>
                <w:rFonts w:ascii="Times New Roman" w:eastAsia="Times New Roman" w:hAnsi="Times New Roman" w:cs="Times New Roman"/>
                <w:sz w:val="20"/>
                <w:szCs w:val="20"/>
                <w:lang w:eastAsia="en-US"/>
              </w:rPr>
            </w:pPr>
          </w:p>
        </w:tc>
        <w:tc>
          <w:tcPr>
            <w:tcW w:w="866" w:type="dxa"/>
            <w:tcBorders>
              <w:top w:val="nil"/>
              <w:left w:val="nil"/>
              <w:bottom w:val="nil"/>
              <w:right w:val="nil"/>
            </w:tcBorders>
            <w:shd w:val="clear" w:color="auto" w:fill="auto"/>
            <w:noWrap/>
            <w:vAlign w:val="bottom"/>
            <w:hideMark/>
          </w:tcPr>
          <w:p w14:paraId="19A0AB78"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43DEDD35"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57D90016"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3AE530EC"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05929AEA"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644DB9EE"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14E2BEC6"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59BD6734"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522D1559"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2698E0E8"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51F8FB7F" w14:textId="77777777" w:rsidR="005253D2" w:rsidRPr="005253D2" w:rsidRDefault="005253D2" w:rsidP="005253D2">
            <w:pPr>
              <w:jc w:val="right"/>
              <w:rPr>
                <w:rFonts w:ascii="Times New Roman" w:eastAsia="Times New Roman" w:hAnsi="Times New Roman" w:cs="Times New Roman"/>
                <w:sz w:val="20"/>
                <w:szCs w:val="20"/>
                <w:lang w:eastAsia="en-US"/>
              </w:rPr>
            </w:pPr>
          </w:p>
        </w:tc>
      </w:tr>
      <w:tr w:rsidR="005253D2" w:rsidRPr="005253D2" w14:paraId="067483B9" w14:textId="77777777" w:rsidTr="005253D2">
        <w:trPr>
          <w:trHeight w:val="220"/>
        </w:trPr>
        <w:tc>
          <w:tcPr>
            <w:tcW w:w="720" w:type="dxa"/>
            <w:tcBorders>
              <w:top w:val="nil"/>
              <w:left w:val="nil"/>
              <w:bottom w:val="nil"/>
              <w:right w:val="nil"/>
            </w:tcBorders>
            <w:shd w:val="clear" w:color="auto" w:fill="auto"/>
            <w:noWrap/>
            <w:vAlign w:val="bottom"/>
            <w:hideMark/>
          </w:tcPr>
          <w:p w14:paraId="26717C0B"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SES</w:t>
            </w:r>
          </w:p>
        </w:tc>
        <w:tc>
          <w:tcPr>
            <w:tcW w:w="2285" w:type="dxa"/>
            <w:tcBorders>
              <w:top w:val="nil"/>
              <w:left w:val="nil"/>
              <w:bottom w:val="nil"/>
              <w:right w:val="nil"/>
            </w:tcBorders>
            <w:shd w:val="clear" w:color="auto" w:fill="auto"/>
            <w:noWrap/>
            <w:vAlign w:val="bottom"/>
            <w:hideMark/>
          </w:tcPr>
          <w:p w14:paraId="6AB0731B"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Low</w:t>
            </w:r>
          </w:p>
        </w:tc>
        <w:tc>
          <w:tcPr>
            <w:tcW w:w="866" w:type="dxa"/>
            <w:tcBorders>
              <w:top w:val="nil"/>
              <w:left w:val="nil"/>
              <w:bottom w:val="nil"/>
              <w:right w:val="nil"/>
            </w:tcBorders>
            <w:shd w:val="clear" w:color="auto" w:fill="auto"/>
            <w:noWrap/>
            <w:vAlign w:val="bottom"/>
            <w:hideMark/>
          </w:tcPr>
          <w:p w14:paraId="0E3CCD1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3,282</w:t>
            </w:r>
          </w:p>
        </w:tc>
        <w:tc>
          <w:tcPr>
            <w:tcW w:w="810" w:type="dxa"/>
            <w:tcBorders>
              <w:top w:val="nil"/>
              <w:left w:val="nil"/>
              <w:bottom w:val="nil"/>
              <w:right w:val="nil"/>
            </w:tcBorders>
            <w:shd w:val="clear" w:color="auto" w:fill="auto"/>
            <w:noWrap/>
            <w:vAlign w:val="bottom"/>
            <w:hideMark/>
          </w:tcPr>
          <w:p w14:paraId="4D94D5F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(35%)</w:t>
            </w:r>
          </w:p>
        </w:tc>
        <w:tc>
          <w:tcPr>
            <w:tcW w:w="261" w:type="dxa"/>
            <w:tcBorders>
              <w:top w:val="nil"/>
              <w:left w:val="nil"/>
              <w:bottom w:val="nil"/>
              <w:right w:val="nil"/>
            </w:tcBorders>
            <w:shd w:val="clear" w:color="auto" w:fill="auto"/>
            <w:noWrap/>
            <w:vAlign w:val="bottom"/>
            <w:hideMark/>
          </w:tcPr>
          <w:p w14:paraId="61E1C3DD"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2D23F2A4"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63</w:t>
            </w:r>
          </w:p>
        </w:tc>
        <w:tc>
          <w:tcPr>
            <w:tcW w:w="810" w:type="dxa"/>
            <w:tcBorders>
              <w:top w:val="nil"/>
              <w:left w:val="nil"/>
              <w:bottom w:val="nil"/>
              <w:right w:val="nil"/>
            </w:tcBorders>
            <w:shd w:val="clear" w:color="auto" w:fill="auto"/>
            <w:noWrap/>
            <w:vAlign w:val="bottom"/>
            <w:hideMark/>
          </w:tcPr>
          <w:p w14:paraId="572052FF"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(12%)</w:t>
            </w:r>
          </w:p>
        </w:tc>
        <w:tc>
          <w:tcPr>
            <w:tcW w:w="261" w:type="dxa"/>
            <w:tcBorders>
              <w:top w:val="nil"/>
              <w:left w:val="nil"/>
              <w:bottom w:val="nil"/>
              <w:right w:val="nil"/>
            </w:tcBorders>
            <w:shd w:val="clear" w:color="auto" w:fill="auto"/>
            <w:noWrap/>
            <w:vAlign w:val="bottom"/>
            <w:hideMark/>
          </w:tcPr>
          <w:p w14:paraId="0E1CDD2D"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045DC757"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3,037</w:t>
            </w:r>
          </w:p>
        </w:tc>
        <w:tc>
          <w:tcPr>
            <w:tcW w:w="810" w:type="dxa"/>
            <w:tcBorders>
              <w:top w:val="nil"/>
              <w:left w:val="nil"/>
              <w:bottom w:val="nil"/>
              <w:right w:val="nil"/>
            </w:tcBorders>
            <w:shd w:val="clear" w:color="auto" w:fill="auto"/>
            <w:noWrap/>
            <w:vAlign w:val="bottom"/>
            <w:hideMark/>
          </w:tcPr>
          <w:p w14:paraId="1CB50CB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(40%)</w:t>
            </w:r>
          </w:p>
        </w:tc>
        <w:tc>
          <w:tcPr>
            <w:tcW w:w="261" w:type="dxa"/>
            <w:tcBorders>
              <w:top w:val="nil"/>
              <w:left w:val="nil"/>
              <w:bottom w:val="nil"/>
              <w:right w:val="nil"/>
            </w:tcBorders>
            <w:shd w:val="clear" w:color="auto" w:fill="auto"/>
            <w:noWrap/>
            <w:vAlign w:val="bottom"/>
            <w:hideMark/>
          </w:tcPr>
          <w:p w14:paraId="68B61748"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2CA80B9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74</w:t>
            </w:r>
          </w:p>
        </w:tc>
        <w:tc>
          <w:tcPr>
            <w:tcW w:w="810" w:type="dxa"/>
            <w:tcBorders>
              <w:top w:val="nil"/>
              <w:left w:val="nil"/>
              <w:bottom w:val="nil"/>
              <w:right w:val="nil"/>
            </w:tcBorders>
            <w:shd w:val="clear" w:color="auto" w:fill="auto"/>
            <w:noWrap/>
            <w:vAlign w:val="bottom"/>
            <w:hideMark/>
          </w:tcPr>
          <w:p w14:paraId="45D1389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(18%)</w:t>
            </w:r>
          </w:p>
        </w:tc>
      </w:tr>
      <w:tr w:rsidR="005253D2" w:rsidRPr="005253D2" w14:paraId="201BBD75" w14:textId="77777777" w:rsidTr="005253D2">
        <w:trPr>
          <w:trHeight w:val="220"/>
        </w:trPr>
        <w:tc>
          <w:tcPr>
            <w:tcW w:w="720" w:type="dxa"/>
            <w:tcBorders>
              <w:top w:val="nil"/>
              <w:left w:val="nil"/>
              <w:bottom w:val="nil"/>
              <w:right w:val="nil"/>
            </w:tcBorders>
            <w:shd w:val="clear" w:color="auto" w:fill="auto"/>
            <w:noWrap/>
            <w:vAlign w:val="bottom"/>
            <w:hideMark/>
          </w:tcPr>
          <w:p w14:paraId="3EEE10A5" w14:textId="77777777" w:rsidR="005253D2" w:rsidRPr="005253D2" w:rsidRDefault="005253D2" w:rsidP="005253D2">
            <w:pPr>
              <w:jc w:val="right"/>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4E016BDF"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Medium</w:t>
            </w:r>
          </w:p>
        </w:tc>
        <w:tc>
          <w:tcPr>
            <w:tcW w:w="866" w:type="dxa"/>
            <w:tcBorders>
              <w:top w:val="nil"/>
              <w:left w:val="nil"/>
              <w:bottom w:val="nil"/>
              <w:right w:val="nil"/>
            </w:tcBorders>
            <w:shd w:val="clear" w:color="auto" w:fill="auto"/>
            <w:noWrap/>
            <w:vAlign w:val="bottom"/>
            <w:hideMark/>
          </w:tcPr>
          <w:p w14:paraId="2794335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3,169</w:t>
            </w:r>
          </w:p>
        </w:tc>
        <w:tc>
          <w:tcPr>
            <w:tcW w:w="810" w:type="dxa"/>
            <w:tcBorders>
              <w:top w:val="nil"/>
              <w:left w:val="nil"/>
              <w:bottom w:val="nil"/>
              <w:right w:val="nil"/>
            </w:tcBorders>
            <w:shd w:val="clear" w:color="auto" w:fill="auto"/>
            <w:noWrap/>
            <w:vAlign w:val="bottom"/>
            <w:hideMark/>
          </w:tcPr>
          <w:p w14:paraId="7B83391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(33%)</w:t>
            </w:r>
          </w:p>
        </w:tc>
        <w:tc>
          <w:tcPr>
            <w:tcW w:w="261" w:type="dxa"/>
            <w:tcBorders>
              <w:top w:val="nil"/>
              <w:left w:val="nil"/>
              <w:bottom w:val="nil"/>
              <w:right w:val="nil"/>
            </w:tcBorders>
            <w:shd w:val="clear" w:color="auto" w:fill="auto"/>
            <w:noWrap/>
            <w:vAlign w:val="bottom"/>
            <w:hideMark/>
          </w:tcPr>
          <w:p w14:paraId="74324467"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477718D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146</w:t>
            </w:r>
          </w:p>
        </w:tc>
        <w:tc>
          <w:tcPr>
            <w:tcW w:w="810" w:type="dxa"/>
            <w:tcBorders>
              <w:top w:val="nil"/>
              <w:left w:val="nil"/>
              <w:bottom w:val="nil"/>
              <w:right w:val="nil"/>
            </w:tcBorders>
            <w:shd w:val="clear" w:color="auto" w:fill="auto"/>
            <w:noWrap/>
            <w:vAlign w:val="bottom"/>
            <w:hideMark/>
          </w:tcPr>
          <w:p w14:paraId="3F006F2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(28%)</w:t>
            </w:r>
          </w:p>
        </w:tc>
        <w:tc>
          <w:tcPr>
            <w:tcW w:w="261" w:type="dxa"/>
            <w:tcBorders>
              <w:top w:val="nil"/>
              <w:left w:val="nil"/>
              <w:bottom w:val="nil"/>
              <w:right w:val="nil"/>
            </w:tcBorders>
            <w:shd w:val="clear" w:color="auto" w:fill="auto"/>
            <w:noWrap/>
            <w:vAlign w:val="bottom"/>
            <w:hideMark/>
          </w:tcPr>
          <w:p w14:paraId="0EB43755"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32BB726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2,400</w:t>
            </w:r>
          </w:p>
        </w:tc>
        <w:tc>
          <w:tcPr>
            <w:tcW w:w="810" w:type="dxa"/>
            <w:tcBorders>
              <w:top w:val="nil"/>
              <w:left w:val="nil"/>
              <w:bottom w:val="nil"/>
              <w:right w:val="nil"/>
            </w:tcBorders>
            <w:shd w:val="clear" w:color="auto" w:fill="auto"/>
            <w:noWrap/>
            <w:vAlign w:val="bottom"/>
            <w:hideMark/>
          </w:tcPr>
          <w:p w14:paraId="5C20879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(32%)</w:t>
            </w:r>
          </w:p>
        </w:tc>
        <w:tc>
          <w:tcPr>
            <w:tcW w:w="261" w:type="dxa"/>
            <w:tcBorders>
              <w:top w:val="nil"/>
              <w:left w:val="nil"/>
              <w:bottom w:val="nil"/>
              <w:right w:val="nil"/>
            </w:tcBorders>
            <w:shd w:val="clear" w:color="auto" w:fill="auto"/>
            <w:noWrap/>
            <w:vAlign w:val="bottom"/>
            <w:hideMark/>
          </w:tcPr>
          <w:p w14:paraId="66FDE80B"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35BBDF7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134</w:t>
            </w:r>
          </w:p>
        </w:tc>
        <w:tc>
          <w:tcPr>
            <w:tcW w:w="810" w:type="dxa"/>
            <w:tcBorders>
              <w:top w:val="nil"/>
              <w:left w:val="nil"/>
              <w:bottom w:val="nil"/>
              <w:right w:val="nil"/>
            </w:tcBorders>
            <w:shd w:val="clear" w:color="auto" w:fill="auto"/>
            <w:noWrap/>
            <w:vAlign w:val="bottom"/>
            <w:hideMark/>
          </w:tcPr>
          <w:p w14:paraId="0377A5AE"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(33%)</w:t>
            </w:r>
          </w:p>
        </w:tc>
      </w:tr>
      <w:tr w:rsidR="005253D2" w:rsidRPr="005253D2" w14:paraId="613489AF" w14:textId="77777777" w:rsidTr="005253D2">
        <w:trPr>
          <w:trHeight w:val="220"/>
        </w:trPr>
        <w:tc>
          <w:tcPr>
            <w:tcW w:w="720" w:type="dxa"/>
            <w:tcBorders>
              <w:top w:val="nil"/>
              <w:left w:val="nil"/>
              <w:bottom w:val="nil"/>
              <w:right w:val="nil"/>
            </w:tcBorders>
            <w:shd w:val="clear" w:color="auto" w:fill="auto"/>
            <w:noWrap/>
            <w:vAlign w:val="bottom"/>
            <w:hideMark/>
          </w:tcPr>
          <w:p w14:paraId="634002A6" w14:textId="77777777" w:rsidR="005253D2" w:rsidRPr="005253D2" w:rsidRDefault="005253D2" w:rsidP="005253D2">
            <w:pPr>
              <w:jc w:val="right"/>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29B28FA5"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High</w:t>
            </w:r>
          </w:p>
        </w:tc>
        <w:tc>
          <w:tcPr>
            <w:tcW w:w="866" w:type="dxa"/>
            <w:tcBorders>
              <w:top w:val="nil"/>
              <w:left w:val="nil"/>
              <w:bottom w:val="nil"/>
              <w:right w:val="nil"/>
            </w:tcBorders>
            <w:shd w:val="clear" w:color="auto" w:fill="auto"/>
            <w:noWrap/>
            <w:vAlign w:val="bottom"/>
            <w:hideMark/>
          </w:tcPr>
          <w:p w14:paraId="423D71A7"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3,046</w:t>
            </w:r>
          </w:p>
        </w:tc>
        <w:tc>
          <w:tcPr>
            <w:tcW w:w="810" w:type="dxa"/>
            <w:tcBorders>
              <w:top w:val="nil"/>
              <w:left w:val="nil"/>
              <w:bottom w:val="nil"/>
              <w:right w:val="nil"/>
            </w:tcBorders>
            <w:shd w:val="clear" w:color="auto" w:fill="auto"/>
            <w:noWrap/>
            <w:vAlign w:val="bottom"/>
            <w:hideMark/>
          </w:tcPr>
          <w:p w14:paraId="4A3DDCCC"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(32%)</w:t>
            </w:r>
          </w:p>
        </w:tc>
        <w:tc>
          <w:tcPr>
            <w:tcW w:w="261" w:type="dxa"/>
            <w:tcBorders>
              <w:top w:val="nil"/>
              <w:left w:val="nil"/>
              <w:bottom w:val="nil"/>
              <w:right w:val="nil"/>
            </w:tcBorders>
            <w:shd w:val="clear" w:color="auto" w:fill="auto"/>
            <w:noWrap/>
            <w:vAlign w:val="bottom"/>
            <w:hideMark/>
          </w:tcPr>
          <w:p w14:paraId="424C62BD"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0774C454"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312</w:t>
            </w:r>
          </w:p>
        </w:tc>
        <w:tc>
          <w:tcPr>
            <w:tcW w:w="810" w:type="dxa"/>
            <w:tcBorders>
              <w:top w:val="nil"/>
              <w:left w:val="nil"/>
              <w:bottom w:val="nil"/>
              <w:right w:val="nil"/>
            </w:tcBorders>
            <w:shd w:val="clear" w:color="auto" w:fill="auto"/>
            <w:noWrap/>
            <w:vAlign w:val="bottom"/>
            <w:hideMark/>
          </w:tcPr>
          <w:p w14:paraId="259C91E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(60%)</w:t>
            </w:r>
          </w:p>
        </w:tc>
        <w:tc>
          <w:tcPr>
            <w:tcW w:w="261" w:type="dxa"/>
            <w:tcBorders>
              <w:top w:val="nil"/>
              <w:left w:val="nil"/>
              <w:bottom w:val="nil"/>
              <w:right w:val="nil"/>
            </w:tcBorders>
            <w:shd w:val="clear" w:color="auto" w:fill="auto"/>
            <w:noWrap/>
            <w:vAlign w:val="bottom"/>
            <w:hideMark/>
          </w:tcPr>
          <w:p w14:paraId="0296E88C"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7264063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2,082</w:t>
            </w:r>
          </w:p>
        </w:tc>
        <w:tc>
          <w:tcPr>
            <w:tcW w:w="810" w:type="dxa"/>
            <w:tcBorders>
              <w:top w:val="nil"/>
              <w:left w:val="nil"/>
              <w:bottom w:val="nil"/>
              <w:right w:val="nil"/>
            </w:tcBorders>
            <w:shd w:val="clear" w:color="auto" w:fill="auto"/>
            <w:noWrap/>
            <w:vAlign w:val="bottom"/>
            <w:hideMark/>
          </w:tcPr>
          <w:p w14:paraId="024F778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(28%)</w:t>
            </w:r>
          </w:p>
        </w:tc>
        <w:tc>
          <w:tcPr>
            <w:tcW w:w="261" w:type="dxa"/>
            <w:tcBorders>
              <w:top w:val="nil"/>
              <w:left w:val="nil"/>
              <w:bottom w:val="nil"/>
              <w:right w:val="nil"/>
            </w:tcBorders>
            <w:shd w:val="clear" w:color="auto" w:fill="auto"/>
            <w:noWrap/>
            <w:vAlign w:val="bottom"/>
            <w:hideMark/>
          </w:tcPr>
          <w:p w14:paraId="3DA83C4C"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7A1DFE6F"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199</w:t>
            </w:r>
          </w:p>
        </w:tc>
        <w:tc>
          <w:tcPr>
            <w:tcW w:w="810" w:type="dxa"/>
            <w:tcBorders>
              <w:top w:val="nil"/>
              <w:left w:val="nil"/>
              <w:bottom w:val="nil"/>
              <w:right w:val="nil"/>
            </w:tcBorders>
            <w:shd w:val="clear" w:color="auto" w:fill="auto"/>
            <w:noWrap/>
            <w:vAlign w:val="bottom"/>
            <w:hideMark/>
          </w:tcPr>
          <w:p w14:paraId="6BB6DC7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(49%)</w:t>
            </w:r>
          </w:p>
        </w:tc>
      </w:tr>
      <w:tr w:rsidR="005253D2" w:rsidRPr="005253D2" w14:paraId="19B3F7DE" w14:textId="77777777" w:rsidTr="005253D2">
        <w:trPr>
          <w:trHeight w:val="220"/>
        </w:trPr>
        <w:tc>
          <w:tcPr>
            <w:tcW w:w="720" w:type="dxa"/>
            <w:tcBorders>
              <w:top w:val="nil"/>
              <w:left w:val="nil"/>
              <w:bottom w:val="nil"/>
              <w:right w:val="nil"/>
            </w:tcBorders>
            <w:shd w:val="clear" w:color="auto" w:fill="auto"/>
            <w:noWrap/>
            <w:vAlign w:val="bottom"/>
            <w:hideMark/>
          </w:tcPr>
          <w:p w14:paraId="3792F14A" w14:textId="77777777" w:rsidR="005253D2" w:rsidRPr="005253D2" w:rsidRDefault="005253D2" w:rsidP="005253D2">
            <w:pPr>
              <w:jc w:val="right"/>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1B3F813F" w14:textId="77777777" w:rsidR="005253D2" w:rsidRPr="005253D2" w:rsidRDefault="005253D2" w:rsidP="005253D2">
            <w:pPr>
              <w:rPr>
                <w:rFonts w:ascii="Times New Roman" w:eastAsia="Times New Roman" w:hAnsi="Times New Roman" w:cs="Times New Roman"/>
                <w:sz w:val="20"/>
                <w:szCs w:val="20"/>
                <w:lang w:eastAsia="en-US"/>
              </w:rPr>
            </w:pPr>
          </w:p>
        </w:tc>
        <w:tc>
          <w:tcPr>
            <w:tcW w:w="866" w:type="dxa"/>
            <w:tcBorders>
              <w:top w:val="nil"/>
              <w:left w:val="nil"/>
              <w:bottom w:val="nil"/>
              <w:right w:val="nil"/>
            </w:tcBorders>
            <w:shd w:val="clear" w:color="auto" w:fill="auto"/>
            <w:noWrap/>
            <w:vAlign w:val="bottom"/>
            <w:hideMark/>
          </w:tcPr>
          <w:p w14:paraId="6E4E0DCC"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437448FD"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5F20F1BE"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0DE6EC14"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6EFB7DE0"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4118E692"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735253F7"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386C1E45"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26D21A81"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654F8DBE"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37FDABC8" w14:textId="77777777" w:rsidR="005253D2" w:rsidRPr="005253D2" w:rsidRDefault="005253D2" w:rsidP="005253D2">
            <w:pPr>
              <w:jc w:val="right"/>
              <w:rPr>
                <w:rFonts w:ascii="Times New Roman" w:eastAsia="Times New Roman" w:hAnsi="Times New Roman" w:cs="Times New Roman"/>
                <w:sz w:val="20"/>
                <w:szCs w:val="20"/>
                <w:lang w:eastAsia="en-US"/>
              </w:rPr>
            </w:pPr>
          </w:p>
        </w:tc>
      </w:tr>
      <w:tr w:rsidR="005253D2" w:rsidRPr="005253D2" w14:paraId="13EEF742" w14:textId="77777777" w:rsidTr="005253D2">
        <w:trPr>
          <w:trHeight w:val="220"/>
        </w:trPr>
        <w:tc>
          <w:tcPr>
            <w:tcW w:w="720" w:type="dxa"/>
            <w:tcBorders>
              <w:top w:val="nil"/>
              <w:left w:val="nil"/>
              <w:bottom w:val="nil"/>
              <w:right w:val="nil"/>
            </w:tcBorders>
            <w:shd w:val="clear" w:color="auto" w:fill="auto"/>
            <w:noWrap/>
            <w:vAlign w:val="bottom"/>
            <w:hideMark/>
          </w:tcPr>
          <w:p w14:paraId="2838BBD1"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Birth order</w:t>
            </w:r>
          </w:p>
        </w:tc>
        <w:tc>
          <w:tcPr>
            <w:tcW w:w="2285" w:type="dxa"/>
            <w:tcBorders>
              <w:top w:val="nil"/>
              <w:left w:val="nil"/>
              <w:bottom w:val="nil"/>
              <w:right w:val="nil"/>
            </w:tcBorders>
            <w:shd w:val="clear" w:color="auto" w:fill="auto"/>
            <w:noWrap/>
            <w:vAlign w:val="bottom"/>
            <w:hideMark/>
          </w:tcPr>
          <w:p w14:paraId="238A154C"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First/Only</w:t>
            </w:r>
          </w:p>
        </w:tc>
        <w:tc>
          <w:tcPr>
            <w:tcW w:w="866" w:type="dxa"/>
            <w:tcBorders>
              <w:top w:val="nil"/>
              <w:left w:val="nil"/>
              <w:bottom w:val="nil"/>
              <w:right w:val="nil"/>
            </w:tcBorders>
            <w:shd w:val="clear" w:color="auto" w:fill="auto"/>
            <w:noWrap/>
            <w:vAlign w:val="bottom"/>
            <w:hideMark/>
          </w:tcPr>
          <w:p w14:paraId="035FCC5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3,318</w:t>
            </w:r>
          </w:p>
        </w:tc>
        <w:tc>
          <w:tcPr>
            <w:tcW w:w="810" w:type="dxa"/>
            <w:tcBorders>
              <w:top w:val="nil"/>
              <w:left w:val="nil"/>
              <w:bottom w:val="nil"/>
              <w:right w:val="nil"/>
            </w:tcBorders>
            <w:shd w:val="clear" w:color="auto" w:fill="auto"/>
            <w:noWrap/>
            <w:vAlign w:val="bottom"/>
            <w:hideMark/>
          </w:tcPr>
          <w:p w14:paraId="0D2E12C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(35%)</w:t>
            </w:r>
          </w:p>
        </w:tc>
        <w:tc>
          <w:tcPr>
            <w:tcW w:w="261" w:type="dxa"/>
            <w:tcBorders>
              <w:top w:val="nil"/>
              <w:left w:val="nil"/>
              <w:bottom w:val="nil"/>
              <w:right w:val="nil"/>
            </w:tcBorders>
            <w:shd w:val="clear" w:color="auto" w:fill="auto"/>
            <w:noWrap/>
            <w:vAlign w:val="bottom"/>
            <w:hideMark/>
          </w:tcPr>
          <w:p w14:paraId="3B9202A0"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B7B9AC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182</w:t>
            </w:r>
          </w:p>
        </w:tc>
        <w:tc>
          <w:tcPr>
            <w:tcW w:w="810" w:type="dxa"/>
            <w:tcBorders>
              <w:top w:val="nil"/>
              <w:left w:val="nil"/>
              <w:bottom w:val="nil"/>
              <w:right w:val="nil"/>
            </w:tcBorders>
            <w:shd w:val="clear" w:color="auto" w:fill="auto"/>
            <w:noWrap/>
            <w:vAlign w:val="bottom"/>
            <w:hideMark/>
          </w:tcPr>
          <w:p w14:paraId="7FED984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(35%)</w:t>
            </w:r>
          </w:p>
        </w:tc>
        <w:tc>
          <w:tcPr>
            <w:tcW w:w="261" w:type="dxa"/>
            <w:tcBorders>
              <w:top w:val="nil"/>
              <w:left w:val="nil"/>
              <w:bottom w:val="nil"/>
              <w:right w:val="nil"/>
            </w:tcBorders>
            <w:shd w:val="clear" w:color="auto" w:fill="auto"/>
            <w:noWrap/>
            <w:vAlign w:val="bottom"/>
            <w:hideMark/>
          </w:tcPr>
          <w:p w14:paraId="58F81A2F"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41116C0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2,555</w:t>
            </w:r>
          </w:p>
        </w:tc>
        <w:tc>
          <w:tcPr>
            <w:tcW w:w="810" w:type="dxa"/>
            <w:tcBorders>
              <w:top w:val="nil"/>
              <w:left w:val="nil"/>
              <w:bottom w:val="nil"/>
              <w:right w:val="nil"/>
            </w:tcBorders>
            <w:shd w:val="clear" w:color="auto" w:fill="auto"/>
            <w:noWrap/>
            <w:vAlign w:val="bottom"/>
            <w:hideMark/>
          </w:tcPr>
          <w:p w14:paraId="546ABC3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(34%)</w:t>
            </w:r>
          </w:p>
        </w:tc>
        <w:tc>
          <w:tcPr>
            <w:tcW w:w="261" w:type="dxa"/>
            <w:tcBorders>
              <w:top w:val="nil"/>
              <w:left w:val="nil"/>
              <w:bottom w:val="nil"/>
              <w:right w:val="nil"/>
            </w:tcBorders>
            <w:shd w:val="clear" w:color="auto" w:fill="auto"/>
            <w:noWrap/>
            <w:vAlign w:val="bottom"/>
            <w:hideMark/>
          </w:tcPr>
          <w:p w14:paraId="1DC331C5"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459175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149</w:t>
            </w:r>
          </w:p>
        </w:tc>
        <w:tc>
          <w:tcPr>
            <w:tcW w:w="810" w:type="dxa"/>
            <w:tcBorders>
              <w:top w:val="nil"/>
              <w:left w:val="nil"/>
              <w:bottom w:val="nil"/>
              <w:right w:val="nil"/>
            </w:tcBorders>
            <w:shd w:val="clear" w:color="auto" w:fill="auto"/>
            <w:noWrap/>
            <w:vAlign w:val="bottom"/>
            <w:hideMark/>
          </w:tcPr>
          <w:p w14:paraId="48E1A7C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(37%)</w:t>
            </w:r>
          </w:p>
        </w:tc>
      </w:tr>
      <w:tr w:rsidR="005253D2" w:rsidRPr="005253D2" w14:paraId="1864A522" w14:textId="77777777" w:rsidTr="005253D2">
        <w:trPr>
          <w:trHeight w:val="220"/>
        </w:trPr>
        <w:tc>
          <w:tcPr>
            <w:tcW w:w="720" w:type="dxa"/>
            <w:tcBorders>
              <w:top w:val="nil"/>
              <w:left w:val="nil"/>
              <w:bottom w:val="nil"/>
              <w:right w:val="nil"/>
            </w:tcBorders>
            <w:shd w:val="clear" w:color="auto" w:fill="auto"/>
            <w:noWrap/>
            <w:vAlign w:val="bottom"/>
            <w:hideMark/>
          </w:tcPr>
          <w:p w14:paraId="519050A7" w14:textId="77777777" w:rsidR="005253D2" w:rsidRPr="005253D2" w:rsidRDefault="005253D2" w:rsidP="005253D2">
            <w:pPr>
              <w:jc w:val="right"/>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287300EB"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2nd</w:t>
            </w:r>
          </w:p>
        </w:tc>
        <w:tc>
          <w:tcPr>
            <w:tcW w:w="866" w:type="dxa"/>
            <w:tcBorders>
              <w:top w:val="nil"/>
              <w:left w:val="nil"/>
              <w:bottom w:val="nil"/>
              <w:right w:val="nil"/>
            </w:tcBorders>
            <w:shd w:val="clear" w:color="auto" w:fill="auto"/>
            <w:noWrap/>
            <w:vAlign w:val="bottom"/>
            <w:hideMark/>
          </w:tcPr>
          <w:p w14:paraId="5EF7009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2,412</w:t>
            </w:r>
          </w:p>
        </w:tc>
        <w:tc>
          <w:tcPr>
            <w:tcW w:w="810" w:type="dxa"/>
            <w:tcBorders>
              <w:top w:val="nil"/>
              <w:left w:val="nil"/>
              <w:bottom w:val="nil"/>
              <w:right w:val="nil"/>
            </w:tcBorders>
            <w:shd w:val="clear" w:color="auto" w:fill="auto"/>
            <w:noWrap/>
            <w:vAlign w:val="bottom"/>
            <w:hideMark/>
          </w:tcPr>
          <w:p w14:paraId="44DDF30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(25%)</w:t>
            </w:r>
          </w:p>
        </w:tc>
        <w:tc>
          <w:tcPr>
            <w:tcW w:w="261" w:type="dxa"/>
            <w:tcBorders>
              <w:top w:val="nil"/>
              <w:left w:val="nil"/>
              <w:bottom w:val="nil"/>
              <w:right w:val="nil"/>
            </w:tcBorders>
            <w:shd w:val="clear" w:color="auto" w:fill="auto"/>
            <w:noWrap/>
            <w:vAlign w:val="bottom"/>
            <w:hideMark/>
          </w:tcPr>
          <w:p w14:paraId="11C01A8C"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11C734A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154</w:t>
            </w:r>
          </w:p>
        </w:tc>
        <w:tc>
          <w:tcPr>
            <w:tcW w:w="810" w:type="dxa"/>
            <w:tcBorders>
              <w:top w:val="nil"/>
              <w:left w:val="nil"/>
              <w:bottom w:val="nil"/>
              <w:right w:val="nil"/>
            </w:tcBorders>
            <w:shd w:val="clear" w:color="auto" w:fill="auto"/>
            <w:noWrap/>
            <w:vAlign w:val="bottom"/>
            <w:hideMark/>
          </w:tcPr>
          <w:p w14:paraId="223B51DE"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(30%)</w:t>
            </w:r>
          </w:p>
        </w:tc>
        <w:tc>
          <w:tcPr>
            <w:tcW w:w="261" w:type="dxa"/>
            <w:tcBorders>
              <w:top w:val="nil"/>
              <w:left w:val="nil"/>
              <w:bottom w:val="nil"/>
              <w:right w:val="nil"/>
            </w:tcBorders>
            <w:shd w:val="clear" w:color="auto" w:fill="auto"/>
            <w:noWrap/>
            <w:vAlign w:val="bottom"/>
            <w:hideMark/>
          </w:tcPr>
          <w:p w14:paraId="58C086C4"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CFEF43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1,781</w:t>
            </w:r>
          </w:p>
        </w:tc>
        <w:tc>
          <w:tcPr>
            <w:tcW w:w="810" w:type="dxa"/>
            <w:tcBorders>
              <w:top w:val="nil"/>
              <w:left w:val="nil"/>
              <w:bottom w:val="nil"/>
              <w:right w:val="nil"/>
            </w:tcBorders>
            <w:shd w:val="clear" w:color="auto" w:fill="auto"/>
            <w:noWrap/>
            <w:vAlign w:val="bottom"/>
            <w:hideMark/>
          </w:tcPr>
          <w:p w14:paraId="0BEC4BE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(24%)</w:t>
            </w:r>
          </w:p>
        </w:tc>
        <w:tc>
          <w:tcPr>
            <w:tcW w:w="261" w:type="dxa"/>
            <w:tcBorders>
              <w:top w:val="nil"/>
              <w:left w:val="nil"/>
              <w:bottom w:val="nil"/>
              <w:right w:val="nil"/>
            </w:tcBorders>
            <w:shd w:val="clear" w:color="auto" w:fill="auto"/>
            <w:noWrap/>
            <w:vAlign w:val="bottom"/>
            <w:hideMark/>
          </w:tcPr>
          <w:p w14:paraId="0328E06C"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52363A3E"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115</w:t>
            </w:r>
          </w:p>
        </w:tc>
        <w:tc>
          <w:tcPr>
            <w:tcW w:w="810" w:type="dxa"/>
            <w:tcBorders>
              <w:top w:val="nil"/>
              <w:left w:val="nil"/>
              <w:bottom w:val="nil"/>
              <w:right w:val="nil"/>
            </w:tcBorders>
            <w:shd w:val="clear" w:color="auto" w:fill="auto"/>
            <w:noWrap/>
            <w:vAlign w:val="bottom"/>
            <w:hideMark/>
          </w:tcPr>
          <w:p w14:paraId="0565406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(28%)</w:t>
            </w:r>
          </w:p>
        </w:tc>
      </w:tr>
      <w:tr w:rsidR="005253D2" w:rsidRPr="005253D2" w14:paraId="659D6457" w14:textId="77777777" w:rsidTr="005253D2">
        <w:trPr>
          <w:trHeight w:val="220"/>
        </w:trPr>
        <w:tc>
          <w:tcPr>
            <w:tcW w:w="720" w:type="dxa"/>
            <w:tcBorders>
              <w:top w:val="nil"/>
              <w:left w:val="nil"/>
              <w:bottom w:val="nil"/>
              <w:right w:val="nil"/>
            </w:tcBorders>
            <w:shd w:val="clear" w:color="auto" w:fill="auto"/>
            <w:noWrap/>
            <w:vAlign w:val="bottom"/>
            <w:hideMark/>
          </w:tcPr>
          <w:p w14:paraId="681FCA89" w14:textId="77777777" w:rsidR="005253D2" w:rsidRPr="005253D2" w:rsidRDefault="005253D2" w:rsidP="005253D2">
            <w:pPr>
              <w:jc w:val="right"/>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26A9EB06"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3rd</w:t>
            </w:r>
          </w:p>
        </w:tc>
        <w:tc>
          <w:tcPr>
            <w:tcW w:w="866" w:type="dxa"/>
            <w:tcBorders>
              <w:top w:val="nil"/>
              <w:left w:val="nil"/>
              <w:bottom w:val="nil"/>
              <w:right w:val="nil"/>
            </w:tcBorders>
            <w:shd w:val="clear" w:color="auto" w:fill="auto"/>
            <w:noWrap/>
            <w:vAlign w:val="bottom"/>
            <w:hideMark/>
          </w:tcPr>
          <w:p w14:paraId="5FAA055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1,278</w:t>
            </w:r>
          </w:p>
        </w:tc>
        <w:tc>
          <w:tcPr>
            <w:tcW w:w="810" w:type="dxa"/>
            <w:tcBorders>
              <w:top w:val="nil"/>
              <w:left w:val="nil"/>
              <w:bottom w:val="nil"/>
              <w:right w:val="nil"/>
            </w:tcBorders>
            <w:shd w:val="clear" w:color="auto" w:fill="auto"/>
            <w:noWrap/>
            <w:vAlign w:val="bottom"/>
            <w:hideMark/>
          </w:tcPr>
          <w:p w14:paraId="189AE0D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(13%)</w:t>
            </w:r>
          </w:p>
        </w:tc>
        <w:tc>
          <w:tcPr>
            <w:tcW w:w="261" w:type="dxa"/>
            <w:tcBorders>
              <w:top w:val="nil"/>
              <w:left w:val="nil"/>
              <w:bottom w:val="nil"/>
              <w:right w:val="nil"/>
            </w:tcBorders>
            <w:shd w:val="clear" w:color="auto" w:fill="auto"/>
            <w:noWrap/>
            <w:vAlign w:val="bottom"/>
            <w:hideMark/>
          </w:tcPr>
          <w:p w14:paraId="08B0B84E"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7E9B492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83</w:t>
            </w:r>
          </w:p>
        </w:tc>
        <w:tc>
          <w:tcPr>
            <w:tcW w:w="810" w:type="dxa"/>
            <w:tcBorders>
              <w:top w:val="nil"/>
              <w:left w:val="nil"/>
              <w:bottom w:val="nil"/>
              <w:right w:val="nil"/>
            </w:tcBorders>
            <w:shd w:val="clear" w:color="auto" w:fill="auto"/>
            <w:noWrap/>
            <w:vAlign w:val="bottom"/>
            <w:hideMark/>
          </w:tcPr>
          <w:p w14:paraId="26521537"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(16%)</w:t>
            </w:r>
          </w:p>
        </w:tc>
        <w:tc>
          <w:tcPr>
            <w:tcW w:w="261" w:type="dxa"/>
            <w:tcBorders>
              <w:top w:val="nil"/>
              <w:left w:val="nil"/>
              <w:bottom w:val="nil"/>
              <w:right w:val="nil"/>
            </w:tcBorders>
            <w:shd w:val="clear" w:color="auto" w:fill="auto"/>
            <w:noWrap/>
            <w:vAlign w:val="bottom"/>
            <w:hideMark/>
          </w:tcPr>
          <w:p w14:paraId="3604B3BA"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D6FAAC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1,031</w:t>
            </w:r>
          </w:p>
        </w:tc>
        <w:tc>
          <w:tcPr>
            <w:tcW w:w="810" w:type="dxa"/>
            <w:tcBorders>
              <w:top w:val="nil"/>
              <w:left w:val="nil"/>
              <w:bottom w:val="nil"/>
              <w:right w:val="nil"/>
            </w:tcBorders>
            <w:shd w:val="clear" w:color="auto" w:fill="auto"/>
            <w:noWrap/>
            <w:vAlign w:val="bottom"/>
            <w:hideMark/>
          </w:tcPr>
          <w:p w14:paraId="6FF6933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(14%)</w:t>
            </w:r>
          </w:p>
        </w:tc>
        <w:tc>
          <w:tcPr>
            <w:tcW w:w="261" w:type="dxa"/>
            <w:tcBorders>
              <w:top w:val="nil"/>
              <w:left w:val="nil"/>
              <w:bottom w:val="nil"/>
              <w:right w:val="nil"/>
            </w:tcBorders>
            <w:shd w:val="clear" w:color="auto" w:fill="auto"/>
            <w:noWrap/>
            <w:vAlign w:val="bottom"/>
            <w:hideMark/>
          </w:tcPr>
          <w:p w14:paraId="617999FD"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11155B0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50</w:t>
            </w:r>
          </w:p>
        </w:tc>
        <w:tc>
          <w:tcPr>
            <w:tcW w:w="810" w:type="dxa"/>
            <w:tcBorders>
              <w:top w:val="nil"/>
              <w:left w:val="nil"/>
              <w:bottom w:val="nil"/>
              <w:right w:val="nil"/>
            </w:tcBorders>
            <w:shd w:val="clear" w:color="auto" w:fill="auto"/>
            <w:noWrap/>
            <w:vAlign w:val="bottom"/>
            <w:hideMark/>
          </w:tcPr>
          <w:p w14:paraId="7B50CB8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(12%)</w:t>
            </w:r>
          </w:p>
        </w:tc>
      </w:tr>
      <w:tr w:rsidR="005253D2" w:rsidRPr="005253D2" w14:paraId="0EC86EE0" w14:textId="77777777" w:rsidTr="005253D2">
        <w:trPr>
          <w:trHeight w:val="220"/>
        </w:trPr>
        <w:tc>
          <w:tcPr>
            <w:tcW w:w="720" w:type="dxa"/>
            <w:tcBorders>
              <w:top w:val="nil"/>
              <w:left w:val="nil"/>
              <w:bottom w:val="nil"/>
              <w:right w:val="nil"/>
            </w:tcBorders>
            <w:shd w:val="clear" w:color="auto" w:fill="auto"/>
            <w:noWrap/>
            <w:vAlign w:val="bottom"/>
            <w:hideMark/>
          </w:tcPr>
          <w:p w14:paraId="621F5D82" w14:textId="77777777" w:rsidR="005253D2" w:rsidRPr="005253D2" w:rsidRDefault="005253D2" w:rsidP="005253D2">
            <w:pPr>
              <w:jc w:val="right"/>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68532063"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4th</w:t>
            </w:r>
          </w:p>
        </w:tc>
        <w:tc>
          <w:tcPr>
            <w:tcW w:w="866" w:type="dxa"/>
            <w:tcBorders>
              <w:top w:val="nil"/>
              <w:left w:val="nil"/>
              <w:bottom w:val="nil"/>
              <w:right w:val="nil"/>
            </w:tcBorders>
            <w:shd w:val="clear" w:color="auto" w:fill="auto"/>
            <w:noWrap/>
            <w:vAlign w:val="bottom"/>
            <w:hideMark/>
          </w:tcPr>
          <w:p w14:paraId="580E5FD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1,653</w:t>
            </w:r>
          </w:p>
        </w:tc>
        <w:tc>
          <w:tcPr>
            <w:tcW w:w="810" w:type="dxa"/>
            <w:tcBorders>
              <w:top w:val="nil"/>
              <w:left w:val="nil"/>
              <w:bottom w:val="nil"/>
              <w:right w:val="nil"/>
            </w:tcBorders>
            <w:shd w:val="clear" w:color="auto" w:fill="auto"/>
            <w:noWrap/>
            <w:vAlign w:val="bottom"/>
            <w:hideMark/>
          </w:tcPr>
          <w:p w14:paraId="3A7F87D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(17%)</w:t>
            </w:r>
          </w:p>
        </w:tc>
        <w:tc>
          <w:tcPr>
            <w:tcW w:w="261" w:type="dxa"/>
            <w:tcBorders>
              <w:top w:val="nil"/>
              <w:left w:val="nil"/>
              <w:bottom w:val="nil"/>
              <w:right w:val="nil"/>
            </w:tcBorders>
            <w:shd w:val="clear" w:color="auto" w:fill="auto"/>
            <w:noWrap/>
            <w:vAlign w:val="bottom"/>
            <w:hideMark/>
          </w:tcPr>
          <w:p w14:paraId="498AD038"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D62C60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57</w:t>
            </w:r>
          </w:p>
        </w:tc>
        <w:tc>
          <w:tcPr>
            <w:tcW w:w="810" w:type="dxa"/>
            <w:tcBorders>
              <w:top w:val="nil"/>
              <w:left w:val="nil"/>
              <w:bottom w:val="nil"/>
              <w:right w:val="nil"/>
            </w:tcBorders>
            <w:shd w:val="clear" w:color="auto" w:fill="auto"/>
            <w:noWrap/>
            <w:vAlign w:val="bottom"/>
            <w:hideMark/>
          </w:tcPr>
          <w:p w14:paraId="015360D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(11%)</w:t>
            </w:r>
          </w:p>
        </w:tc>
        <w:tc>
          <w:tcPr>
            <w:tcW w:w="261" w:type="dxa"/>
            <w:tcBorders>
              <w:top w:val="nil"/>
              <w:left w:val="nil"/>
              <w:bottom w:val="nil"/>
              <w:right w:val="nil"/>
            </w:tcBorders>
            <w:shd w:val="clear" w:color="auto" w:fill="auto"/>
            <w:noWrap/>
            <w:vAlign w:val="bottom"/>
            <w:hideMark/>
          </w:tcPr>
          <w:p w14:paraId="76B70CC4"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771B44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1,392</w:t>
            </w:r>
          </w:p>
        </w:tc>
        <w:tc>
          <w:tcPr>
            <w:tcW w:w="810" w:type="dxa"/>
            <w:tcBorders>
              <w:top w:val="nil"/>
              <w:left w:val="nil"/>
              <w:bottom w:val="nil"/>
              <w:right w:val="nil"/>
            </w:tcBorders>
            <w:shd w:val="clear" w:color="auto" w:fill="auto"/>
            <w:noWrap/>
            <w:vAlign w:val="bottom"/>
            <w:hideMark/>
          </w:tcPr>
          <w:p w14:paraId="101E4E4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(19%)</w:t>
            </w:r>
          </w:p>
        </w:tc>
        <w:tc>
          <w:tcPr>
            <w:tcW w:w="261" w:type="dxa"/>
            <w:tcBorders>
              <w:top w:val="nil"/>
              <w:left w:val="nil"/>
              <w:bottom w:val="nil"/>
              <w:right w:val="nil"/>
            </w:tcBorders>
            <w:shd w:val="clear" w:color="auto" w:fill="auto"/>
            <w:noWrap/>
            <w:vAlign w:val="bottom"/>
            <w:hideMark/>
          </w:tcPr>
          <w:p w14:paraId="75ADD9FF"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2991148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40</w:t>
            </w:r>
          </w:p>
        </w:tc>
        <w:tc>
          <w:tcPr>
            <w:tcW w:w="810" w:type="dxa"/>
            <w:tcBorders>
              <w:top w:val="nil"/>
              <w:left w:val="nil"/>
              <w:bottom w:val="nil"/>
              <w:right w:val="nil"/>
            </w:tcBorders>
            <w:shd w:val="clear" w:color="auto" w:fill="auto"/>
            <w:noWrap/>
            <w:vAlign w:val="bottom"/>
            <w:hideMark/>
          </w:tcPr>
          <w:p w14:paraId="3DCD79D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(10%)</w:t>
            </w:r>
          </w:p>
        </w:tc>
      </w:tr>
      <w:tr w:rsidR="005253D2" w:rsidRPr="005253D2" w14:paraId="587FD1D0" w14:textId="77777777" w:rsidTr="005253D2">
        <w:trPr>
          <w:trHeight w:val="220"/>
        </w:trPr>
        <w:tc>
          <w:tcPr>
            <w:tcW w:w="720" w:type="dxa"/>
            <w:tcBorders>
              <w:top w:val="nil"/>
              <w:left w:val="nil"/>
              <w:bottom w:val="nil"/>
              <w:right w:val="nil"/>
            </w:tcBorders>
            <w:shd w:val="clear" w:color="auto" w:fill="auto"/>
            <w:noWrap/>
            <w:vAlign w:val="bottom"/>
            <w:hideMark/>
          </w:tcPr>
          <w:p w14:paraId="3A523036" w14:textId="77777777" w:rsidR="005253D2" w:rsidRPr="005253D2" w:rsidRDefault="005253D2" w:rsidP="005253D2">
            <w:pPr>
              <w:jc w:val="right"/>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7E10613A"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Missing</w:t>
            </w:r>
          </w:p>
        </w:tc>
        <w:tc>
          <w:tcPr>
            <w:tcW w:w="866" w:type="dxa"/>
            <w:tcBorders>
              <w:top w:val="nil"/>
              <w:left w:val="nil"/>
              <w:bottom w:val="nil"/>
              <w:right w:val="nil"/>
            </w:tcBorders>
            <w:shd w:val="clear" w:color="auto" w:fill="auto"/>
            <w:noWrap/>
            <w:vAlign w:val="bottom"/>
            <w:hideMark/>
          </w:tcPr>
          <w:p w14:paraId="556EF79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836</w:t>
            </w:r>
          </w:p>
        </w:tc>
        <w:tc>
          <w:tcPr>
            <w:tcW w:w="810" w:type="dxa"/>
            <w:tcBorders>
              <w:top w:val="nil"/>
              <w:left w:val="nil"/>
              <w:bottom w:val="nil"/>
              <w:right w:val="nil"/>
            </w:tcBorders>
            <w:shd w:val="clear" w:color="auto" w:fill="auto"/>
            <w:noWrap/>
            <w:vAlign w:val="bottom"/>
            <w:hideMark/>
          </w:tcPr>
          <w:p w14:paraId="1D1C3524"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(9%)</w:t>
            </w:r>
          </w:p>
        </w:tc>
        <w:tc>
          <w:tcPr>
            <w:tcW w:w="261" w:type="dxa"/>
            <w:tcBorders>
              <w:top w:val="nil"/>
              <w:left w:val="nil"/>
              <w:bottom w:val="nil"/>
              <w:right w:val="nil"/>
            </w:tcBorders>
            <w:shd w:val="clear" w:color="auto" w:fill="auto"/>
            <w:noWrap/>
            <w:vAlign w:val="bottom"/>
            <w:hideMark/>
          </w:tcPr>
          <w:p w14:paraId="5E2F7A25"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5E6DD60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45</w:t>
            </w:r>
          </w:p>
        </w:tc>
        <w:tc>
          <w:tcPr>
            <w:tcW w:w="810" w:type="dxa"/>
            <w:tcBorders>
              <w:top w:val="nil"/>
              <w:left w:val="nil"/>
              <w:bottom w:val="nil"/>
              <w:right w:val="nil"/>
            </w:tcBorders>
            <w:shd w:val="clear" w:color="auto" w:fill="auto"/>
            <w:noWrap/>
            <w:vAlign w:val="bottom"/>
            <w:hideMark/>
          </w:tcPr>
          <w:p w14:paraId="36B7A1CE"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(9%)</w:t>
            </w:r>
          </w:p>
        </w:tc>
        <w:tc>
          <w:tcPr>
            <w:tcW w:w="261" w:type="dxa"/>
            <w:tcBorders>
              <w:top w:val="nil"/>
              <w:left w:val="nil"/>
              <w:bottom w:val="nil"/>
              <w:right w:val="nil"/>
            </w:tcBorders>
            <w:shd w:val="clear" w:color="auto" w:fill="auto"/>
            <w:noWrap/>
            <w:vAlign w:val="bottom"/>
            <w:hideMark/>
          </w:tcPr>
          <w:p w14:paraId="3DC73394"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1E12832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760</w:t>
            </w:r>
          </w:p>
        </w:tc>
        <w:tc>
          <w:tcPr>
            <w:tcW w:w="810" w:type="dxa"/>
            <w:tcBorders>
              <w:top w:val="nil"/>
              <w:left w:val="nil"/>
              <w:bottom w:val="nil"/>
              <w:right w:val="nil"/>
            </w:tcBorders>
            <w:shd w:val="clear" w:color="auto" w:fill="auto"/>
            <w:noWrap/>
            <w:vAlign w:val="bottom"/>
            <w:hideMark/>
          </w:tcPr>
          <w:p w14:paraId="473DD5C4"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(10%)</w:t>
            </w:r>
          </w:p>
        </w:tc>
        <w:tc>
          <w:tcPr>
            <w:tcW w:w="261" w:type="dxa"/>
            <w:tcBorders>
              <w:top w:val="nil"/>
              <w:left w:val="nil"/>
              <w:bottom w:val="nil"/>
              <w:right w:val="nil"/>
            </w:tcBorders>
            <w:shd w:val="clear" w:color="auto" w:fill="auto"/>
            <w:noWrap/>
            <w:vAlign w:val="bottom"/>
            <w:hideMark/>
          </w:tcPr>
          <w:p w14:paraId="2A3EAA4E"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41182D9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53</w:t>
            </w:r>
          </w:p>
        </w:tc>
        <w:tc>
          <w:tcPr>
            <w:tcW w:w="810" w:type="dxa"/>
            <w:tcBorders>
              <w:top w:val="nil"/>
              <w:left w:val="nil"/>
              <w:bottom w:val="nil"/>
              <w:right w:val="nil"/>
            </w:tcBorders>
            <w:shd w:val="clear" w:color="auto" w:fill="auto"/>
            <w:noWrap/>
            <w:vAlign w:val="bottom"/>
            <w:hideMark/>
          </w:tcPr>
          <w:p w14:paraId="579A60C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(13%)</w:t>
            </w:r>
          </w:p>
        </w:tc>
      </w:tr>
      <w:tr w:rsidR="005253D2" w:rsidRPr="005253D2" w14:paraId="602DDD61" w14:textId="77777777" w:rsidTr="005253D2">
        <w:trPr>
          <w:trHeight w:val="220"/>
        </w:trPr>
        <w:tc>
          <w:tcPr>
            <w:tcW w:w="720" w:type="dxa"/>
            <w:tcBorders>
              <w:top w:val="nil"/>
              <w:left w:val="nil"/>
              <w:bottom w:val="nil"/>
              <w:right w:val="nil"/>
            </w:tcBorders>
            <w:shd w:val="clear" w:color="auto" w:fill="auto"/>
            <w:noWrap/>
            <w:vAlign w:val="bottom"/>
            <w:hideMark/>
          </w:tcPr>
          <w:p w14:paraId="3AA10DC0" w14:textId="77777777" w:rsidR="005253D2" w:rsidRPr="005253D2" w:rsidRDefault="005253D2" w:rsidP="005253D2">
            <w:pPr>
              <w:jc w:val="right"/>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4F995BE3" w14:textId="77777777" w:rsidR="005253D2" w:rsidRPr="005253D2" w:rsidRDefault="005253D2" w:rsidP="005253D2">
            <w:pPr>
              <w:rPr>
                <w:rFonts w:ascii="Times New Roman" w:eastAsia="Times New Roman" w:hAnsi="Times New Roman" w:cs="Times New Roman"/>
                <w:sz w:val="20"/>
                <w:szCs w:val="20"/>
                <w:lang w:eastAsia="en-US"/>
              </w:rPr>
            </w:pPr>
          </w:p>
        </w:tc>
        <w:tc>
          <w:tcPr>
            <w:tcW w:w="866" w:type="dxa"/>
            <w:tcBorders>
              <w:top w:val="nil"/>
              <w:left w:val="nil"/>
              <w:bottom w:val="nil"/>
              <w:right w:val="nil"/>
            </w:tcBorders>
            <w:shd w:val="clear" w:color="auto" w:fill="auto"/>
            <w:noWrap/>
            <w:vAlign w:val="bottom"/>
            <w:hideMark/>
          </w:tcPr>
          <w:p w14:paraId="4966E4D6"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0B65C9A0"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5AF4B778"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792F6735"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2A975CAF"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0BCB65F1"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15128327"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023E3647"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27B503BB"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665CF0C7"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168DFCF4" w14:textId="77777777" w:rsidR="005253D2" w:rsidRPr="005253D2" w:rsidRDefault="005253D2" w:rsidP="005253D2">
            <w:pPr>
              <w:jc w:val="right"/>
              <w:rPr>
                <w:rFonts w:ascii="Times New Roman" w:eastAsia="Times New Roman" w:hAnsi="Times New Roman" w:cs="Times New Roman"/>
                <w:sz w:val="20"/>
                <w:szCs w:val="20"/>
                <w:lang w:eastAsia="en-US"/>
              </w:rPr>
            </w:pPr>
          </w:p>
        </w:tc>
      </w:tr>
      <w:tr w:rsidR="005253D2" w:rsidRPr="005253D2" w14:paraId="374B62FA" w14:textId="77777777" w:rsidTr="005253D2">
        <w:trPr>
          <w:trHeight w:val="220"/>
        </w:trPr>
        <w:tc>
          <w:tcPr>
            <w:tcW w:w="720" w:type="dxa"/>
            <w:vMerge w:val="restart"/>
            <w:tcBorders>
              <w:top w:val="nil"/>
              <w:left w:val="nil"/>
              <w:bottom w:val="nil"/>
              <w:right w:val="nil"/>
            </w:tcBorders>
            <w:shd w:val="clear" w:color="auto" w:fill="auto"/>
            <w:hideMark/>
          </w:tcPr>
          <w:p w14:paraId="5A92A9AE"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Number of Siblings</w:t>
            </w:r>
          </w:p>
        </w:tc>
        <w:tc>
          <w:tcPr>
            <w:tcW w:w="2285" w:type="dxa"/>
            <w:tcBorders>
              <w:top w:val="nil"/>
              <w:left w:val="nil"/>
              <w:bottom w:val="nil"/>
              <w:right w:val="nil"/>
            </w:tcBorders>
            <w:shd w:val="clear" w:color="auto" w:fill="auto"/>
            <w:noWrap/>
            <w:vAlign w:val="bottom"/>
            <w:hideMark/>
          </w:tcPr>
          <w:p w14:paraId="47845113"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0</w:t>
            </w:r>
          </w:p>
        </w:tc>
        <w:tc>
          <w:tcPr>
            <w:tcW w:w="866" w:type="dxa"/>
            <w:tcBorders>
              <w:top w:val="nil"/>
              <w:left w:val="nil"/>
              <w:bottom w:val="nil"/>
              <w:right w:val="nil"/>
            </w:tcBorders>
            <w:shd w:val="clear" w:color="auto" w:fill="auto"/>
            <w:noWrap/>
            <w:vAlign w:val="bottom"/>
            <w:hideMark/>
          </w:tcPr>
          <w:p w14:paraId="3A273014"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394</w:t>
            </w:r>
          </w:p>
        </w:tc>
        <w:tc>
          <w:tcPr>
            <w:tcW w:w="810" w:type="dxa"/>
            <w:tcBorders>
              <w:top w:val="nil"/>
              <w:left w:val="nil"/>
              <w:bottom w:val="nil"/>
              <w:right w:val="nil"/>
            </w:tcBorders>
            <w:shd w:val="clear" w:color="auto" w:fill="auto"/>
            <w:noWrap/>
            <w:vAlign w:val="bottom"/>
            <w:hideMark/>
          </w:tcPr>
          <w:p w14:paraId="0C6C318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w:t>
            </w:r>
          </w:p>
        </w:tc>
        <w:tc>
          <w:tcPr>
            <w:tcW w:w="261" w:type="dxa"/>
            <w:tcBorders>
              <w:top w:val="nil"/>
              <w:left w:val="nil"/>
              <w:bottom w:val="nil"/>
              <w:right w:val="nil"/>
            </w:tcBorders>
            <w:shd w:val="clear" w:color="auto" w:fill="auto"/>
            <w:noWrap/>
            <w:vAlign w:val="bottom"/>
            <w:hideMark/>
          </w:tcPr>
          <w:p w14:paraId="2DB3EB38"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A53968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24</w:t>
            </w:r>
          </w:p>
        </w:tc>
        <w:tc>
          <w:tcPr>
            <w:tcW w:w="810" w:type="dxa"/>
            <w:tcBorders>
              <w:top w:val="nil"/>
              <w:left w:val="nil"/>
              <w:bottom w:val="nil"/>
              <w:right w:val="nil"/>
            </w:tcBorders>
            <w:shd w:val="clear" w:color="auto" w:fill="auto"/>
            <w:noWrap/>
            <w:vAlign w:val="bottom"/>
            <w:hideMark/>
          </w:tcPr>
          <w:p w14:paraId="23C2114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w:t>
            </w:r>
          </w:p>
        </w:tc>
        <w:tc>
          <w:tcPr>
            <w:tcW w:w="261" w:type="dxa"/>
            <w:tcBorders>
              <w:top w:val="nil"/>
              <w:left w:val="nil"/>
              <w:bottom w:val="nil"/>
              <w:right w:val="nil"/>
            </w:tcBorders>
            <w:shd w:val="clear" w:color="auto" w:fill="auto"/>
            <w:noWrap/>
            <w:vAlign w:val="bottom"/>
            <w:hideMark/>
          </w:tcPr>
          <w:p w14:paraId="671CD981"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58D1237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255</w:t>
            </w:r>
          </w:p>
        </w:tc>
        <w:tc>
          <w:tcPr>
            <w:tcW w:w="810" w:type="dxa"/>
            <w:tcBorders>
              <w:top w:val="nil"/>
              <w:left w:val="nil"/>
              <w:bottom w:val="nil"/>
              <w:right w:val="nil"/>
            </w:tcBorders>
            <w:shd w:val="clear" w:color="auto" w:fill="auto"/>
            <w:noWrap/>
            <w:vAlign w:val="bottom"/>
            <w:hideMark/>
          </w:tcPr>
          <w:p w14:paraId="6A4AAB3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w:t>
            </w:r>
          </w:p>
        </w:tc>
        <w:tc>
          <w:tcPr>
            <w:tcW w:w="261" w:type="dxa"/>
            <w:tcBorders>
              <w:top w:val="nil"/>
              <w:left w:val="nil"/>
              <w:bottom w:val="nil"/>
              <w:right w:val="nil"/>
            </w:tcBorders>
            <w:shd w:val="clear" w:color="auto" w:fill="auto"/>
            <w:noWrap/>
            <w:vAlign w:val="bottom"/>
            <w:hideMark/>
          </w:tcPr>
          <w:p w14:paraId="4D97BAD8"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50E7C417"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23</w:t>
            </w:r>
          </w:p>
        </w:tc>
        <w:tc>
          <w:tcPr>
            <w:tcW w:w="810" w:type="dxa"/>
            <w:tcBorders>
              <w:top w:val="nil"/>
              <w:left w:val="nil"/>
              <w:bottom w:val="nil"/>
              <w:right w:val="nil"/>
            </w:tcBorders>
            <w:shd w:val="clear" w:color="auto" w:fill="auto"/>
            <w:noWrap/>
            <w:vAlign w:val="bottom"/>
            <w:hideMark/>
          </w:tcPr>
          <w:p w14:paraId="665A751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w:t>
            </w:r>
          </w:p>
        </w:tc>
      </w:tr>
      <w:tr w:rsidR="005253D2" w:rsidRPr="005253D2" w14:paraId="23D91F9D" w14:textId="77777777" w:rsidTr="005253D2">
        <w:trPr>
          <w:trHeight w:val="220"/>
        </w:trPr>
        <w:tc>
          <w:tcPr>
            <w:tcW w:w="720" w:type="dxa"/>
            <w:vMerge/>
            <w:tcBorders>
              <w:top w:val="nil"/>
              <w:left w:val="nil"/>
              <w:bottom w:val="nil"/>
              <w:right w:val="nil"/>
            </w:tcBorders>
            <w:vAlign w:val="center"/>
            <w:hideMark/>
          </w:tcPr>
          <w:p w14:paraId="6220E650"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23306E92"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1</w:t>
            </w:r>
          </w:p>
        </w:tc>
        <w:tc>
          <w:tcPr>
            <w:tcW w:w="866" w:type="dxa"/>
            <w:tcBorders>
              <w:top w:val="nil"/>
              <w:left w:val="nil"/>
              <w:bottom w:val="nil"/>
              <w:right w:val="nil"/>
            </w:tcBorders>
            <w:shd w:val="clear" w:color="auto" w:fill="auto"/>
            <w:noWrap/>
            <w:vAlign w:val="bottom"/>
            <w:hideMark/>
          </w:tcPr>
          <w:p w14:paraId="140E92E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1,578</w:t>
            </w:r>
          </w:p>
        </w:tc>
        <w:tc>
          <w:tcPr>
            <w:tcW w:w="810" w:type="dxa"/>
            <w:tcBorders>
              <w:top w:val="nil"/>
              <w:left w:val="nil"/>
              <w:bottom w:val="nil"/>
              <w:right w:val="nil"/>
            </w:tcBorders>
            <w:shd w:val="clear" w:color="auto" w:fill="auto"/>
            <w:noWrap/>
            <w:vAlign w:val="bottom"/>
            <w:hideMark/>
          </w:tcPr>
          <w:p w14:paraId="0E26AD2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(17%)</w:t>
            </w:r>
          </w:p>
        </w:tc>
        <w:tc>
          <w:tcPr>
            <w:tcW w:w="261" w:type="dxa"/>
            <w:tcBorders>
              <w:top w:val="nil"/>
              <w:left w:val="nil"/>
              <w:bottom w:val="nil"/>
              <w:right w:val="nil"/>
            </w:tcBorders>
            <w:shd w:val="clear" w:color="auto" w:fill="auto"/>
            <w:noWrap/>
            <w:vAlign w:val="bottom"/>
            <w:hideMark/>
          </w:tcPr>
          <w:p w14:paraId="7CCD1644"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2DC26E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110</w:t>
            </w:r>
          </w:p>
        </w:tc>
        <w:tc>
          <w:tcPr>
            <w:tcW w:w="810" w:type="dxa"/>
            <w:tcBorders>
              <w:top w:val="nil"/>
              <w:left w:val="nil"/>
              <w:bottom w:val="nil"/>
              <w:right w:val="nil"/>
            </w:tcBorders>
            <w:shd w:val="clear" w:color="auto" w:fill="auto"/>
            <w:noWrap/>
            <w:vAlign w:val="bottom"/>
            <w:hideMark/>
          </w:tcPr>
          <w:p w14:paraId="32CCB9C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(21%)</w:t>
            </w:r>
          </w:p>
        </w:tc>
        <w:tc>
          <w:tcPr>
            <w:tcW w:w="261" w:type="dxa"/>
            <w:tcBorders>
              <w:top w:val="nil"/>
              <w:left w:val="nil"/>
              <w:bottom w:val="nil"/>
              <w:right w:val="nil"/>
            </w:tcBorders>
            <w:shd w:val="clear" w:color="auto" w:fill="auto"/>
            <w:noWrap/>
            <w:vAlign w:val="bottom"/>
            <w:hideMark/>
          </w:tcPr>
          <w:p w14:paraId="730066BA"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7171E06F"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1,144</w:t>
            </w:r>
          </w:p>
        </w:tc>
        <w:tc>
          <w:tcPr>
            <w:tcW w:w="810" w:type="dxa"/>
            <w:tcBorders>
              <w:top w:val="nil"/>
              <w:left w:val="nil"/>
              <w:bottom w:val="nil"/>
              <w:right w:val="nil"/>
            </w:tcBorders>
            <w:shd w:val="clear" w:color="auto" w:fill="auto"/>
            <w:noWrap/>
            <w:vAlign w:val="bottom"/>
            <w:hideMark/>
          </w:tcPr>
          <w:p w14:paraId="38BBEDB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(15%)</w:t>
            </w:r>
          </w:p>
        </w:tc>
        <w:tc>
          <w:tcPr>
            <w:tcW w:w="261" w:type="dxa"/>
            <w:tcBorders>
              <w:top w:val="nil"/>
              <w:left w:val="nil"/>
              <w:bottom w:val="nil"/>
              <w:right w:val="nil"/>
            </w:tcBorders>
            <w:shd w:val="clear" w:color="auto" w:fill="auto"/>
            <w:noWrap/>
            <w:vAlign w:val="bottom"/>
            <w:hideMark/>
          </w:tcPr>
          <w:p w14:paraId="1C9AAABF"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7495162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71</w:t>
            </w:r>
          </w:p>
        </w:tc>
        <w:tc>
          <w:tcPr>
            <w:tcW w:w="810" w:type="dxa"/>
            <w:tcBorders>
              <w:top w:val="nil"/>
              <w:left w:val="nil"/>
              <w:bottom w:val="nil"/>
              <w:right w:val="nil"/>
            </w:tcBorders>
            <w:shd w:val="clear" w:color="auto" w:fill="auto"/>
            <w:noWrap/>
            <w:vAlign w:val="bottom"/>
            <w:hideMark/>
          </w:tcPr>
          <w:p w14:paraId="167F11C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(17%)</w:t>
            </w:r>
          </w:p>
        </w:tc>
      </w:tr>
      <w:tr w:rsidR="005253D2" w:rsidRPr="005253D2" w14:paraId="3A0336D1" w14:textId="77777777" w:rsidTr="005253D2">
        <w:trPr>
          <w:trHeight w:val="220"/>
        </w:trPr>
        <w:tc>
          <w:tcPr>
            <w:tcW w:w="720" w:type="dxa"/>
            <w:vMerge/>
            <w:tcBorders>
              <w:top w:val="nil"/>
              <w:left w:val="nil"/>
              <w:bottom w:val="nil"/>
              <w:right w:val="nil"/>
            </w:tcBorders>
            <w:vAlign w:val="center"/>
            <w:hideMark/>
          </w:tcPr>
          <w:p w14:paraId="5B9E7F3C"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6A83F949"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2</w:t>
            </w:r>
          </w:p>
        </w:tc>
        <w:tc>
          <w:tcPr>
            <w:tcW w:w="866" w:type="dxa"/>
            <w:tcBorders>
              <w:top w:val="nil"/>
              <w:left w:val="nil"/>
              <w:bottom w:val="nil"/>
              <w:right w:val="nil"/>
            </w:tcBorders>
            <w:shd w:val="clear" w:color="auto" w:fill="auto"/>
            <w:noWrap/>
            <w:vAlign w:val="bottom"/>
            <w:hideMark/>
          </w:tcPr>
          <w:p w14:paraId="63FF533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2,147</w:t>
            </w:r>
          </w:p>
        </w:tc>
        <w:tc>
          <w:tcPr>
            <w:tcW w:w="810" w:type="dxa"/>
            <w:tcBorders>
              <w:top w:val="nil"/>
              <w:left w:val="nil"/>
              <w:bottom w:val="nil"/>
              <w:right w:val="nil"/>
            </w:tcBorders>
            <w:shd w:val="clear" w:color="auto" w:fill="auto"/>
            <w:noWrap/>
            <w:vAlign w:val="bottom"/>
            <w:hideMark/>
          </w:tcPr>
          <w:p w14:paraId="55283BD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(23%)</w:t>
            </w:r>
          </w:p>
        </w:tc>
        <w:tc>
          <w:tcPr>
            <w:tcW w:w="261" w:type="dxa"/>
            <w:tcBorders>
              <w:top w:val="nil"/>
              <w:left w:val="nil"/>
              <w:bottom w:val="nil"/>
              <w:right w:val="nil"/>
            </w:tcBorders>
            <w:shd w:val="clear" w:color="auto" w:fill="auto"/>
            <w:noWrap/>
            <w:vAlign w:val="bottom"/>
            <w:hideMark/>
          </w:tcPr>
          <w:p w14:paraId="038BD523"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267C5E2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159</w:t>
            </w:r>
          </w:p>
        </w:tc>
        <w:tc>
          <w:tcPr>
            <w:tcW w:w="810" w:type="dxa"/>
            <w:tcBorders>
              <w:top w:val="nil"/>
              <w:left w:val="nil"/>
              <w:bottom w:val="nil"/>
              <w:right w:val="nil"/>
            </w:tcBorders>
            <w:shd w:val="clear" w:color="auto" w:fill="auto"/>
            <w:noWrap/>
            <w:vAlign w:val="bottom"/>
            <w:hideMark/>
          </w:tcPr>
          <w:p w14:paraId="0C33FD9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(31%)</w:t>
            </w:r>
          </w:p>
        </w:tc>
        <w:tc>
          <w:tcPr>
            <w:tcW w:w="261" w:type="dxa"/>
            <w:tcBorders>
              <w:top w:val="nil"/>
              <w:left w:val="nil"/>
              <w:bottom w:val="nil"/>
              <w:right w:val="nil"/>
            </w:tcBorders>
            <w:shd w:val="clear" w:color="auto" w:fill="auto"/>
            <w:noWrap/>
            <w:vAlign w:val="bottom"/>
            <w:hideMark/>
          </w:tcPr>
          <w:p w14:paraId="41946F62"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7681E12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1,603</w:t>
            </w:r>
          </w:p>
        </w:tc>
        <w:tc>
          <w:tcPr>
            <w:tcW w:w="810" w:type="dxa"/>
            <w:tcBorders>
              <w:top w:val="nil"/>
              <w:left w:val="nil"/>
              <w:bottom w:val="nil"/>
              <w:right w:val="nil"/>
            </w:tcBorders>
            <w:shd w:val="clear" w:color="auto" w:fill="auto"/>
            <w:noWrap/>
            <w:vAlign w:val="bottom"/>
            <w:hideMark/>
          </w:tcPr>
          <w:p w14:paraId="6FA7C49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(21%)</w:t>
            </w:r>
          </w:p>
        </w:tc>
        <w:tc>
          <w:tcPr>
            <w:tcW w:w="261" w:type="dxa"/>
            <w:tcBorders>
              <w:top w:val="nil"/>
              <w:left w:val="nil"/>
              <w:bottom w:val="nil"/>
              <w:right w:val="nil"/>
            </w:tcBorders>
            <w:shd w:val="clear" w:color="auto" w:fill="auto"/>
            <w:noWrap/>
            <w:vAlign w:val="bottom"/>
            <w:hideMark/>
          </w:tcPr>
          <w:p w14:paraId="122D1DC9"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7DC6E8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118</w:t>
            </w:r>
          </w:p>
        </w:tc>
        <w:tc>
          <w:tcPr>
            <w:tcW w:w="810" w:type="dxa"/>
            <w:tcBorders>
              <w:top w:val="nil"/>
              <w:left w:val="nil"/>
              <w:bottom w:val="nil"/>
              <w:right w:val="nil"/>
            </w:tcBorders>
            <w:shd w:val="clear" w:color="auto" w:fill="auto"/>
            <w:noWrap/>
            <w:vAlign w:val="bottom"/>
            <w:hideMark/>
          </w:tcPr>
          <w:p w14:paraId="0E8907F7"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(29%)</w:t>
            </w:r>
          </w:p>
        </w:tc>
      </w:tr>
      <w:tr w:rsidR="005253D2" w:rsidRPr="005253D2" w14:paraId="659CACD9" w14:textId="77777777" w:rsidTr="005253D2">
        <w:trPr>
          <w:trHeight w:val="220"/>
        </w:trPr>
        <w:tc>
          <w:tcPr>
            <w:tcW w:w="720" w:type="dxa"/>
            <w:vMerge/>
            <w:tcBorders>
              <w:top w:val="nil"/>
              <w:left w:val="nil"/>
              <w:bottom w:val="nil"/>
              <w:right w:val="nil"/>
            </w:tcBorders>
            <w:vAlign w:val="center"/>
            <w:hideMark/>
          </w:tcPr>
          <w:p w14:paraId="285AD096"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3F00CA1B"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3</w:t>
            </w:r>
          </w:p>
        </w:tc>
        <w:tc>
          <w:tcPr>
            <w:tcW w:w="866" w:type="dxa"/>
            <w:tcBorders>
              <w:top w:val="nil"/>
              <w:left w:val="nil"/>
              <w:bottom w:val="nil"/>
              <w:right w:val="nil"/>
            </w:tcBorders>
            <w:shd w:val="clear" w:color="auto" w:fill="auto"/>
            <w:noWrap/>
            <w:vAlign w:val="bottom"/>
            <w:hideMark/>
          </w:tcPr>
          <w:p w14:paraId="1C564FD1"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4,673</w:t>
            </w:r>
          </w:p>
        </w:tc>
        <w:tc>
          <w:tcPr>
            <w:tcW w:w="810" w:type="dxa"/>
            <w:tcBorders>
              <w:top w:val="nil"/>
              <w:left w:val="nil"/>
              <w:bottom w:val="nil"/>
              <w:right w:val="nil"/>
            </w:tcBorders>
            <w:shd w:val="clear" w:color="auto" w:fill="auto"/>
            <w:noWrap/>
            <w:vAlign w:val="bottom"/>
            <w:hideMark/>
          </w:tcPr>
          <w:p w14:paraId="3640CEE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(49%)</w:t>
            </w:r>
          </w:p>
        </w:tc>
        <w:tc>
          <w:tcPr>
            <w:tcW w:w="261" w:type="dxa"/>
            <w:tcBorders>
              <w:top w:val="nil"/>
              <w:left w:val="nil"/>
              <w:bottom w:val="nil"/>
              <w:right w:val="nil"/>
            </w:tcBorders>
            <w:shd w:val="clear" w:color="auto" w:fill="auto"/>
            <w:noWrap/>
            <w:vAlign w:val="bottom"/>
            <w:hideMark/>
          </w:tcPr>
          <w:p w14:paraId="6F4D724A"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092677F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189</w:t>
            </w:r>
          </w:p>
        </w:tc>
        <w:tc>
          <w:tcPr>
            <w:tcW w:w="810" w:type="dxa"/>
            <w:tcBorders>
              <w:top w:val="nil"/>
              <w:left w:val="nil"/>
              <w:bottom w:val="nil"/>
              <w:right w:val="nil"/>
            </w:tcBorders>
            <w:shd w:val="clear" w:color="auto" w:fill="auto"/>
            <w:noWrap/>
            <w:vAlign w:val="bottom"/>
            <w:hideMark/>
          </w:tcPr>
          <w:p w14:paraId="23D44A8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(36%)</w:t>
            </w:r>
          </w:p>
        </w:tc>
        <w:tc>
          <w:tcPr>
            <w:tcW w:w="261" w:type="dxa"/>
            <w:tcBorders>
              <w:top w:val="nil"/>
              <w:left w:val="nil"/>
              <w:bottom w:val="nil"/>
              <w:right w:val="nil"/>
            </w:tcBorders>
            <w:shd w:val="clear" w:color="auto" w:fill="auto"/>
            <w:noWrap/>
            <w:vAlign w:val="bottom"/>
            <w:hideMark/>
          </w:tcPr>
          <w:p w14:paraId="223B8E5C"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1D1222E"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3,908</w:t>
            </w:r>
          </w:p>
        </w:tc>
        <w:tc>
          <w:tcPr>
            <w:tcW w:w="810" w:type="dxa"/>
            <w:tcBorders>
              <w:top w:val="nil"/>
              <w:left w:val="nil"/>
              <w:bottom w:val="nil"/>
              <w:right w:val="nil"/>
            </w:tcBorders>
            <w:shd w:val="clear" w:color="auto" w:fill="auto"/>
            <w:noWrap/>
            <w:vAlign w:val="bottom"/>
            <w:hideMark/>
          </w:tcPr>
          <w:p w14:paraId="2F1938D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(52%)</w:t>
            </w:r>
          </w:p>
        </w:tc>
        <w:tc>
          <w:tcPr>
            <w:tcW w:w="261" w:type="dxa"/>
            <w:tcBorders>
              <w:top w:val="nil"/>
              <w:left w:val="nil"/>
              <w:bottom w:val="nil"/>
              <w:right w:val="nil"/>
            </w:tcBorders>
            <w:shd w:val="clear" w:color="auto" w:fill="auto"/>
            <w:noWrap/>
            <w:vAlign w:val="bottom"/>
            <w:hideMark/>
          </w:tcPr>
          <w:p w14:paraId="75A69327"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12683376"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153</w:t>
            </w:r>
          </w:p>
        </w:tc>
        <w:tc>
          <w:tcPr>
            <w:tcW w:w="810" w:type="dxa"/>
            <w:tcBorders>
              <w:top w:val="nil"/>
              <w:left w:val="nil"/>
              <w:bottom w:val="nil"/>
              <w:right w:val="nil"/>
            </w:tcBorders>
            <w:shd w:val="clear" w:color="auto" w:fill="auto"/>
            <w:noWrap/>
            <w:vAlign w:val="bottom"/>
            <w:hideMark/>
          </w:tcPr>
          <w:p w14:paraId="428AE5BF"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(38%)</w:t>
            </w:r>
          </w:p>
        </w:tc>
      </w:tr>
      <w:tr w:rsidR="005253D2" w:rsidRPr="005253D2" w14:paraId="4EC415DC" w14:textId="77777777" w:rsidTr="005253D2">
        <w:trPr>
          <w:trHeight w:val="220"/>
        </w:trPr>
        <w:tc>
          <w:tcPr>
            <w:tcW w:w="720" w:type="dxa"/>
            <w:vMerge/>
            <w:tcBorders>
              <w:top w:val="nil"/>
              <w:left w:val="nil"/>
              <w:bottom w:val="nil"/>
              <w:right w:val="nil"/>
            </w:tcBorders>
            <w:vAlign w:val="center"/>
            <w:hideMark/>
          </w:tcPr>
          <w:p w14:paraId="469FE037" w14:textId="77777777" w:rsidR="005253D2" w:rsidRPr="005253D2" w:rsidRDefault="005253D2" w:rsidP="005253D2">
            <w:pPr>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7E698095"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Missing</w:t>
            </w:r>
          </w:p>
        </w:tc>
        <w:tc>
          <w:tcPr>
            <w:tcW w:w="866" w:type="dxa"/>
            <w:tcBorders>
              <w:top w:val="nil"/>
              <w:left w:val="nil"/>
              <w:bottom w:val="nil"/>
              <w:right w:val="nil"/>
            </w:tcBorders>
            <w:shd w:val="clear" w:color="auto" w:fill="auto"/>
            <w:noWrap/>
            <w:vAlign w:val="bottom"/>
            <w:hideMark/>
          </w:tcPr>
          <w:p w14:paraId="3076D5D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705</w:t>
            </w:r>
          </w:p>
        </w:tc>
        <w:tc>
          <w:tcPr>
            <w:tcW w:w="810" w:type="dxa"/>
            <w:tcBorders>
              <w:top w:val="nil"/>
              <w:left w:val="nil"/>
              <w:bottom w:val="nil"/>
              <w:right w:val="nil"/>
            </w:tcBorders>
            <w:shd w:val="clear" w:color="auto" w:fill="auto"/>
            <w:noWrap/>
            <w:vAlign w:val="bottom"/>
            <w:hideMark/>
          </w:tcPr>
          <w:p w14:paraId="59F6100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w:t>
            </w:r>
          </w:p>
        </w:tc>
        <w:tc>
          <w:tcPr>
            <w:tcW w:w="261" w:type="dxa"/>
            <w:tcBorders>
              <w:top w:val="nil"/>
              <w:left w:val="nil"/>
              <w:bottom w:val="nil"/>
              <w:right w:val="nil"/>
            </w:tcBorders>
            <w:shd w:val="clear" w:color="auto" w:fill="auto"/>
            <w:noWrap/>
            <w:vAlign w:val="bottom"/>
            <w:hideMark/>
          </w:tcPr>
          <w:p w14:paraId="4FD22A4C"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4CAD7735"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39</w:t>
            </w:r>
          </w:p>
        </w:tc>
        <w:tc>
          <w:tcPr>
            <w:tcW w:w="810" w:type="dxa"/>
            <w:tcBorders>
              <w:top w:val="nil"/>
              <w:left w:val="nil"/>
              <w:bottom w:val="nil"/>
              <w:right w:val="nil"/>
            </w:tcBorders>
            <w:shd w:val="clear" w:color="auto" w:fill="auto"/>
            <w:noWrap/>
            <w:vAlign w:val="bottom"/>
            <w:hideMark/>
          </w:tcPr>
          <w:p w14:paraId="35C2FEA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(7%)</w:t>
            </w:r>
          </w:p>
        </w:tc>
        <w:tc>
          <w:tcPr>
            <w:tcW w:w="261" w:type="dxa"/>
            <w:tcBorders>
              <w:top w:val="nil"/>
              <w:left w:val="nil"/>
              <w:bottom w:val="nil"/>
              <w:right w:val="nil"/>
            </w:tcBorders>
            <w:shd w:val="clear" w:color="auto" w:fill="auto"/>
            <w:noWrap/>
            <w:vAlign w:val="bottom"/>
            <w:hideMark/>
          </w:tcPr>
          <w:p w14:paraId="14B10532"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6211A8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609</w:t>
            </w:r>
          </w:p>
        </w:tc>
        <w:tc>
          <w:tcPr>
            <w:tcW w:w="810" w:type="dxa"/>
            <w:tcBorders>
              <w:top w:val="nil"/>
              <w:left w:val="nil"/>
              <w:bottom w:val="nil"/>
              <w:right w:val="nil"/>
            </w:tcBorders>
            <w:shd w:val="clear" w:color="auto" w:fill="auto"/>
            <w:noWrap/>
            <w:vAlign w:val="bottom"/>
            <w:hideMark/>
          </w:tcPr>
          <w:p w14:paraId="1F0415FF"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(8%)</w:t>
            </w:r>
          </w:p>
        </w:tc>
        <w:tc>
          <w:tcPr>
            <w:tcW w:w="261" w:type="dxa"/>
            <w:tcBorders>
              <w:top w:val="nil"/>
              <w:left w:val="nil"/>
              <w:bottom w:val="nil"/>
              <w:right w:val="nil"/>
            </w:tcBorders>
            <w:shd w:val="clear" w:color="auto" w:fill="auto"/>
            <w:noWrap/>
            <w:vAlign w:val="bottom"/>
            <w:hideMark/>
          </w:tcPr>
          <w:p w14:paraId="7ACCA6C2"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1826597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42</w:t>
            </w:r>
          </w:p>
        </w:tc>
        <w:tc>
          <w:tcPr>
            <w:tcW w:w="810" w:type="dxa"/>
            <w:tcBorders>
              <w:top w:val="nil"/>
              <w:left w:val="nil"/>
              <w:bottom w:val="nil"/>
              <w:right w:val="nil"/>
            </w:tcBorders>
            <w:shd w:val="clear" w:color="auto" w:fill="auto"/>
            <w:noWrap/>
            <w:vAlign w:val="bottom"/>
            <w:hideMark/>
          </w:tcPr>
          <w:p w14:paraId="1243D16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(10%)</w:t>
            </w:r>
          </w:p>
        </w:tc>
      </w:tr>
      <w:tr w:rsidR="005253D2" w:rsidRPr="005253D2" w14:paraId="295D3C78" w14:textId="77777777" w:rsidTr="005253D2">
        <w:trPr>
          <w:trHeight w:val="220"/>
        </w:trPr>
        <w:tc>
          <w:tcPr>
            <w:tcW w:w="720" w:type="dxa"/>
            <w:tcBorders>
              <w:top w:val="nil"/>
              <w:left w:val="nil"/>
              <w:bottom w:val="nil"/>
              <w:right w:val="nil"/>
            </w:tcBorders>
            <w:shd w:val="clear" w:color="auto" w:fill="auto"/>
            <w:noWrap/>
            <w:vAlign w:val="bottom"/>
            <w:hideMark/>
          </w:tcPr>
          <w:p w14:paraId="5387656C" w14:textId="77777777" w:rsidR="005253D2" w:rsidRPr="005253D2" w:rsidRDefault="005253D2" w:rsidP="005253D2">
            <w:pPr>
              <w:jc w:val="right"/>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0C4ACB89" w14:textId="77777777" w:rsidR="005253D2" w:rsidRPr="005253D2" w:rsidRDefault="005253D2" w:rsidP="005253D2">
            <w:pPr>
              <w:rPr>
                <w:rFonts w:ascii="Times New Roman" w:eastAsia="Times New Roman" w:hAnsi="Times New Roman" w:cs="Times New Roman"/>
                <w:sz w:val="20"/>
                <w:szCs w:val="20"/>
                <w:lang w:eastAsia="en-US"/>
              </w:rPr>
            </w:pPr>
          </w:p>
        </w:tc>
        <w:tc>
          <w:tcPr>
            <w:tcW w:w="866" w:type="dxa"/>
            <w:tcBorders>
              <w:top w:val="nil"/>
              <w:left w:val="nil"/>
              <w:bottom w:val="nil"/>
              <w:right w:val="nil"/>
            </w:tcBorders>
            <w:shd w:val="clear" w:color="auto" w:fill="auto"/>
            <w:noWrap/>
            <w:vAlign w:val="bottom"/>
            <w:hideMark/>
          </w:tcPr>
          <w:p w14:paraId="2C6EFE71"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39240D51"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371FB537"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5677E22F"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502D11CB"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6C108816"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5141B10C"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6031F957"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78377297"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023411F5"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22A1844D" w14:textId="77777777" w:rsidR="005253D2" w:rsidRPr="005253D2" w:rsidRDefault="005253D2" w:rsidP="005253D2">
            <w:pPr>
              <w:jc w:val="right"/>
              <w:rPr>
                <w:rFonts w:ascii="Times New Roman" w:eastAsia="Times New Roman" w:hAnsi="Times New Roman" w:cs="Times New Roman"/>
                <w:sz w:val="20"/>
                <w:szCs w:val="20"/>
                <w:lang w:eastAsia="en-US"/>
              </w:rPr>
            </w:pPr>
          </w:p>
        </w:tc>
      </w:tr>
      <w:tr w:rsidR="005253D2" w:rsidRPr="005253D2" w14:paraId="056FC652" w14:textId="77777777" w:rsidTr="005253D2">
        <w:trPr>
          <w:trHeight w:val="220"/>
        </w:trPr>
        <w:tc>
          <w:tcPr>
            <w:tcW w:w="720" w:type="dxa"/>
            <w:tcBorders>
              <w:top w:val="nil"/>
              <w:left w:val="nil"/>
              <w:bottom w:val="nil"/>
              <w:right w:val="nil"/>
            </w:tcBorders>
            <w:shd w:val="clear" w:color="auto" w:fill="auto"/>
            <w:noWrap/>
            <w:vAlign w:val="bottom"/>
            <w:hideMark/>
          </w:tcPr>
          <w:p w14:paraId="78E57E70"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Sex</w:t>
            </w:r>
          </w:p>
        </w:tc>
        <w:tc>
          <w:tcPr>
            <w:tcW w:w="2285" w:type="dxa"/>
            <w:tcBorders>
              <w:top w:val="nil"/>
              <w:left w:val="nil"/>
              <w:bottom w:val="nil"/>
              <w:right w:val="nil"/>
            </w:tcBorders>
            <w:shd w:val="clear" w:color="auto" w:fill="auto"/>
            <w:noWrap/>
            <w:vAlign w:val="bottom"/>
            <w:hideMark/>
          </w:tcPr>
          <w:p w14:paraId="17308D65"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Male</w:t>
            </w:r>
          </w:p>
        </w:tc>
        <w:tc>
          <w:tcPr>
            <w:tcW w:w="866" w:type="dxa"/>
            <w:tcBorders>
              <w:top w:val="nil"/>
              <w:left w:val="nil"/>
              <w:bottom w:val="nil"/>
              <w:right w:val="nil"/>
            </w:tcBorders>
            <w:shd w:val="clear" w:color="auto" w:fill="auto"/>
            <w:noWrap/>
            <w:vAlign w:val="bottom"/>
            <w:hideMark/>
          </w:tcPr>
          <w:p w14:paraId="3CAD152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5,018</w:t>
            </w:r>
          </w:p>
        </w:tc>
        <w:tc>
          <w:tcPr>
            <w:tcW w:w="810" w:type="dxa"/>
            <w:tcBorders>
              <w:top w:val="nil"/>
              <w:left w:val="nil"/>
              <w:bottom w:val="nil"/>
              <w:right w:val="nil"/>
            </w:tcBorders>
            <w:shd w:val="clear" w:color="auto" w:fill="auto"/>
            <w:noWrap/>
            <w:vAlign w:val="bottom"/>
            <w:hideMark/>
          </w:tcPr>
          <w:p w14:paraId="5711ABF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(53%)</w:t>
            </w:r>
          </w:p>
        </w:tc>
        <w:tc>
          <w:tcPr>
            <w:tcW w:w="261" w:type="dxa"/>
            <w:tcBorders>
              <w:top w:val="nil"/>
              <w:left w:val="nil"/>
              <w:bottom w:val="nil"/>
              <w:right w:val="nil"/>
            </w:tcBorders>
            <w:shd w:val="clear" w:color="auto" w:fill="auto"/>
            <w:noWrap/>
            <w:vAlign w:val="bottom"/>
            <w:hideMark/>
          </w:tcPr>
          <w:p w14:paraId="5BFE4BE3"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45B22FA9"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260</w:t>
            </w:r>
          </w:p>
        </w:tc>
        <w:tc>
          <w:tcPr>
            <w:tcW w:w="810" w:type="dxa"/>
            <w:tcBorders>
              <w:top w:val="nil"/>
              <w:left w:val="nil"/>
              <w:bottom w:val="nil"/>
              <w:right w:val="nil"/>
            </w:tcBorders>
            <w:shd w:val="clear" w:color="auto" w:fill="auto"/>
            <w:noWrap/>
            <w:vAlign w:val="bottom"/>
            <w:hideMark/>
          </w:tcPr>
          <w:p w14:paraId="5FDB4B5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(50%)</w:t>
            </w:r>
          </w:p>
        </w:tc>
        <w:tc>
          <w:tcPr>
            <w:tcW w:w="261" w:type="dxa"/>
            <w:tcBorders>
              <w:top w:val="nil"/>
              <w:left w:val="nil"/>
              <w:bottom w:val="nil"/>
              <w:right w:val="nil"/>
            </w:tcBorders>
            <w:shd w:val="clear" w:color="auto" w:fill="auto"/>
            <w:noWrap/>
            <w:vAlign w:val="bottom"/>
            <w:hideMark/>
          </w:tcPr>
          <w:p w14:paraId="7AE57C53"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50DF7FC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4,052</w:t>
            </w:r>
          </w:p>
        </w:tc>
        <w:tc>
          <w:tcPr>
            <w:tcW w:w="810" w:type="dxa"/>
            <w:tcBorders>
              <w:top w:val="nil"/>
              <w:left w:val="nil"/>
              <w:bottom w:val="nil"/>
              <w:right w:val="nil"/>
            </w:tcBorders>
            <w:shd w:val="clear" w:color="auto" w:fill="auto"/>
            <w:noWrap/>
            <w:vAlign w:val="bottom"/>
            <w:hideMark/>
          </w:tcPr>
          <w:p w14:paraId="2936BADC"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(54%)</w:t>
            </w:r>
          </w:p>
        </w:tc>
        <w:tc>
          <w:tcPr>
            <w:tcW w:w="261" w:type="dxa"/>
            <w:tcBorders>
              <w:top w:val="nil"/>
              <w:left w:val="nil"/>
              <w:bottom w:val="nil"/>
              <w:right w:val="nil"/>
            </w:tcBorders>
            <w:shd w:val="clear" w:color="auto" w:fill="auto"/>
            <w:noWrap/>
            <w:vAlign w:val="bottom"/>
            <w:hideMark/>
          </w:tcPr>
          <w:p w14:paraId="33AB462A"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4CAF949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186</w:t>
            </w:r>
          </w:p>
        </w:tc>
        <w:tc>
          <w:tcPr>
            <w:tcW w:w="810" w:type="dxa"/>
            <w:tcBorders>
              <w:top w:val="nil"/>
              <w:left w:val="nil"/>
              <w:bottom w:val="nil"/>
              <w:right w:val="nil"/>
            </w:tcBorders>
            <w:shd w:val="clear" w:color="auto" w:fill="auto"/>
            <w:noWrap/>
            <w:vAlign w:val="bottom"/>
            <w:hideMark/>
          </w:tcPr>
          <w:p w14:paraId="06E4752C"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(46%)</w:t>
            </w:r>
          </w:p>
        </w:tc>
      </w:tr>
      <w:tr w:rsidR="005253D2" w:rsidRPr="005253D2" w14:paraId="7AF6D7C8" w14:textId="77777777" w:rsidTr="005253D2">
        <w:trPr>
          <w:trHeight w:val="220"/>
        </w:trPr>
        <w:tc>
          <w:tcPr>
            <w:tcW w:w="720" w:type="dxa"/>
            <w:tcBorders>
              <w:top w:val="nil"/>
              <w:left w:val="nil"/>
              <w:bottom w:val="nil"/>
              <w:right w:val="nil"/>
            </w:tcBorders>
            <w:shd w:val="clear" w:color="auto" w:fill="auto"/>
            <w:noWrap/>
            <w:vAlign w:val="bottom"/>
            <w:hideMark/>
          </w:tcPr>
          <w:p w14:paraId="2C17E725" w14:textId="77777777" w:rsidR="005253D2" w:rsidRPr="005253D2" w:rsidRDefault="005253D2" w:rsidP="005253D2">
            <w:pPr>
              <w:jc w:val="right"/>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2C0B487D" w14:textId="77777777" w:rsidR="005253D2" w:rsidRPr="005253D2" w:rsidRDefault="005253D2" w:rsidP="005253D2">
            <w:pPr>
              <w:jc w:val="right"/>
              <w:rPr>
                <w:rFonts w:eastAsia="Times New Roman" w:cs="Arial"/>
                <w:i/>
                <w:iCs/>
                <w:color w:val="000000"/>
                <w:sz w:val="16"/>
                <w:szCs w:val="16"/>
                <w:lang w:eastAsia="en-US"/>
              </w:rPr>
            </w:pPr>
            <w:r w:rsidRPr="005253D2">
              <w:rPr>
                <w:rFonts w:eastAsia="Times New Roman" w:cs="Arial"/>
                <w:i/>
                <w:iCs/>
                <w:color w:val="000000"/>
                <w:sz w:val="16"/>
                <w:szCs w:val="16"/>
                <w:lang w:eastAsia="en-US"/>
              </w:rPr>
              <w:t>Female</w:t>
            </w:r>
          </w:p>
        </w:tc>
        <w:tc>
          <w:tcPr>
            <w:tcW w:w="866" w:type="dxa"/>
            <w:tcBorders>
              <w:top w:val="nil"/>
              <w:left w:val="nil"/>
              <w:bottom w:val="nil"/>
              <w:right w:val="nil"/>
            </w:tcBorders>
            <w:shd w:val="clear" w:color="auto" w:fill="auto"/>
            <w:noWrap/>
            <w:vAlign w:val="bottom"/>
            <w:hideMark/>
          </w:tcPr>
          <w:p w14:paraId="47E8B947"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4,479</w:t>
            </w:r>
          </w:p>
        </w:tc>
        <w:tc>
          <w:tcPr>
            <w:tcW w:w="810" w:type="dxa"/>
            <w:tcBorders>
              <w:top w:val="nil"/>
              <w:left w:val="nil"/>
              <w:bottom w:val="nil"/>
              <w:right w:val="nil"/>
            </w:tcBorders>
            <w:shd w:val="clear" w:color="auto" w:fill="auto"/>
            <w:noWrap/>
            <w:vAlign w:val="bottom"/>
            <w:hideMark/>
          </w:tcPr>
          <w:p w14:paraId="4618B8C7"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(47%)</w:t>
            </w:r>
          </w:p>
        </w:tc>
        <w:tc>
          <w:tcPr>
            <w:tcW w:w="261" w:type="dxa"/>
            <w:tcBorders>
              <w:top w:val="nil"/>
              <w:left w:val="nil"/>
              <w:bottom w:val="nil"/>
              <w:right w:val="nil"/>
            </w:tcBorders>
            <w:shd w:val="clear" w:color="auto" w:fill="auto"/>
            <w:noWrap/>
            <w:vAlign w:val="bottom"/>
            <w:hideMark/>
          </w:tcPr>
          <w:p w14:paraId="3D7577EB"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5E86531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261</w:t>
            </w:r>
          </w:p>
        </w:tc>
        <w:tc>
          <w:tcPr>
            <w:tcW w:w="810" w:type="dxa"/>
            <w:tcBorders>
              <w:top w:val="nil"/>
              <w:left w:val="nil"/>
              <w:bottom w:val="nil"/>
              <w:right w:val="nil"/>
            </w:tcBorders>
            <w:shd w:val="clear" w:color="auto" w:fill="auto"/>
            <w:noWrap/>
            <w:vAlign w:val="bottom"/>
            <w:hideMark/>
          </w:tcPr>
          <w:p w14:paraId="622EF964"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(50%)</w:t>
            </w:r>
          </w:p>
        </w:tc>
        <w:tc>
          <w:tcPr>
            <w:tcW w:w="261" w:type="dxa"/>
            <w:tcBorders>
              <w:top w:val="nil"/>
              <w:left w:val="nil"/>
              <w:bottom w:val="nil"/>
              <w:right w:val="nil"/>
            </w:tcBorders>
            <w:shd w:val="clear" w:color="auto" w:fill="auto"/>
            <w:noWrap/>
            <w:vAlign w:val="bottom"/>
            <w:hideMark/>
          </w:tcPr>
          <w:p w14:paraId="3F224F37"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2245BB5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3,467</w:t>
            </w:r>
          </w:p>
        </w:tc>
        <w:tc>
          <w:tcPr>
            <w:tcW w:w="810" w:type="dxa"/>
            <w:tcBorders>
              <w:top w:val="nil"/>
              <w:left w:val="nil"/>
              <w:bottom w:val="nil"/>
              <w:right w:val="nil"/>
            </w:tcBorders>
            <w:shd w:val="clear" w:color="auto" w:fill="auto"/>
            <w:noWrap/>
            <w:vAlign w:val="bottom"/>
            <w:hideMark/>
          </w:tcPr>
          <w:p w14:paraId="682FA6B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(46%)</w:t>
            </w:r>
          </w:p>
        </w:tc>
        <w:tc>
          <w:tcPr>
            <w:tcW w:w="261" w:type="dxa"/>
            <w:tcBorders>
              <w:top w:val="nil"/>
              <w:left w:val="nil"/>
              <w:bottom w:val="nil"/>
              <w:right w:val="nil"/>
            </w:tcBorders>
            <w:shd w:val="clear" w:color="auto" w:fill="auto"/>
            <w:noWrap/>
            <w:vAlign w:val="bottom"/>
            <w:hideMark/>
          </w:tcPr>
          <w:p w14:paraId="071C3665"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nil"/>
              <w:right w:val="nil"/>
            </w:tcBorders>
            <w:shd w:val="clear" w:color="auto" w:fill="auto"/>
            <w:noWrap/>
            <w:vAlign w:val="bottom"/>
            <w:hideMark/>
          </w:tcPr>
          <w:p w14:paraId="605F67B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221</w:t>
            </w:r>
          </w:p>
        </w:tc>
        <w:tc>
          <w:tcPr>
            <w:tcW w:w="810" w:type="dxa"/>
            <w:tcBorders>
              <w:top w:val="nil"/>
              <w:left w:val="nil"/>
              <w:bottom w:val="nil"/>
              <w:right w:val="nil"/>
            </w:tcBorders>
            <w:shd w:val="clear" w:color="auto" w:fill="auto"/>
            <w:noWrap/>
            <w:vAlign w:val="bottom"/>
            <w:hideMark/>
          </w:tcPr>
          <w:p w14:paraId="471B3CC3"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(54%)</w:t>
            </w:r>
          </w:p>
        </w:tc>
      </w:tr>
      <w:tr w:rsidR="005253D2" w:rsidRPr="005253D2" w14:paraId="6DB1E4FC" w14:textId="77777777" w:rsidTr="005253D2">
        <w:trPr>
          <w:trHeight w:val="220"/>
        </w:trPr>
        <w:tc>
          <w:tcPr>
            <w:tcW w:w="720" w:type="dxa"/>
            <w:tcBorders>
              <w:top w:val="nil"/>
              <w:left w:val="nil"/>
              <w:bottom w:val="nil"/>
              <w:right w:val="nil"/>
            </w:tcBorders>
            <w:shd w:val="clear" w:color="auto" w:fill="auto"/>
            <w:noWrap/>
            <w:vAlign w:val="bottom"/>
            <w:hideMark/>
          </w:tcPr>
          <w:p w14:paraId="6AC116C7" w14:textId="77777777" w:rsidR="005253D2" w:rsidRPr="005253D2" w:rsidRDefault="005253D2" w:rsidP="005253D2">
            <w:pPr>
              <w:jc w:val="right"/>
              <w:rPr>
                <w:rFonts w:eastAsia="Times New Roman" w:cs="Arial"/>
                <w:color w:val="000000"/>
                <w:sz w:val="16"/>
                <w:szCs w:val="16"/>
                <w:lang w:eastAsia="en-US"/>
              </w:rPr>
            </w:pPr>
          </w:p>
        </w:tc>
        <w:tc>
          <w:tcPr>
            <w:tcW w:w="2285" w:type="dxa"/>
            <w:tcBorders>
              <w:top w:val="nil"/>
              <w:left w:val="nil"/>
              <w:bottom w:val="nil"/>
              <w:right w:val="nil"/>
            </w:tcBorders>
            <w:shd w:val="clear" w:color="auto" w:fill="auto"/>
            <w:noWrap/>
            <w:vAlign w:val="bottom"/>
            <w:hideMark/>
          </w:tcPr>
          <w:p w14:paraId="0C93CBB4" w14:textId="77777777" w:rsidR="005253D2" w:rsidRPr="005253D2" w:rsidRDefault="005253D2" w:rsidP="005253D2">
            <w:pPr>
              <w:rPr>
                <w:rFonts w:ascii="Times New Roman" w:eastAsia="Times New Roman" w:hAnsi="Times New Roman" w:cs="Times New Roman"/>
                <w:sz w:val="20"/>
                <w:szCs w:val="20"/>
                <w:lang w:eastAsia="en-US"/>
              </w:rPr>
            </w:pPr>
          </w:p>
        </w:tc>
        <w:tc>
          <w:tcPr>
            <w:tcW w:w="866" w:type="dxa"/>
            <w:tcBorders>
              <w:top w:val="nil"/>
              <w:left w:val="nil"/>
              <w:bottom w:val="nil"/>
              <w:right w:val="nil"/>
            </w:tcBorders>
            <w:shd w:val="clear" w:color="auto" w:fill="auto"/>
            <w:noWrap/>
            <w:vAlign w:val="bottom"/>
            <w:hideMark/>
          </w:tcPr>
          <w:p w14:paraId="1CFA7216"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4EF78A96"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098C791B"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6D0EC7C3"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6B128490"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40748AEA"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5201FD90"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31694CE3"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61" w:type="dxa"/>
            <w:tcBorders>
              <w:top w:val="nil"/>
              <w:left w:val="nil"/>
              <w:bottom w:val="nil"/>
              <w:right w:val="nil"/>
            </w:tcBorders>
            <w:shd w:val="clear" w:color="auto" w:fill="auto"/>
            <w:noWrap/>
            <w:vAlign w:val="bottom"/>
            <w:hideMark/>
          </w:tcPr>
          <w:p w14:paraId="2FB7768F"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865" w:type="dxa"/>
            <w:tcBorders>
              <w:top w:val="nil"/>
              <w:left w:val="nil"/>
              <w:bottom w:val="nil"/>
              <w:right w:val="nil"/>
            </w:tcBorders>
            <w:shd w:val="clear" w:color="auto" w:fill="auto"/>
            <w:noWrap/>
            <w:vAlign w:val="bottom"/>
            <w:hideMark/>
          </w:tcPr>
          <w:p w14:paraId="2C4C1A7A" w14:textId="77777777" w:rsidR="005253D2" w:rsidRPr="005253D2" w:rsidRDefault="005253D2" w:rsidP="005253D2">
            <w:pPr>
              <w:rPr>
                <w:rFonts w:ascii="Times New Roman" w:eastAsia="Times New Roman" w:hAnsi="Times New Roman"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7EA07B94" w14:textId="77777777" w:rsidR="005253D2" w:rsidRPr="005253D2" w:rsidRDefault="005253D2" w:rsidP="005253D2">
            <w:pPr>
              <w:jc w:val="right"/>
              <w:rPr>
                <w:rFonts w:ascii="Times New Roman" w:eastAsia="Times New Roman" w:hAnsi="Times New Roman" w:cs="Times New Roman"/>
                <w:sz w:val="20"/>
                <w:szCs w:val="20"/>
                <w:lang w:eastAsia="en-US"/>
              </w:rPr>
            </w:pPr>
          </w:p>
        </w:tc>
      </w:tr>
      <w:tr w:rsidR="005253D2" w:rsidRPr="005253D2" w14:paraId="46A863C7" w14:textId="77777777" w:rsidTr="005253D2">
        <w:trPr>
          <w:trHeight w:val="220"/>
        </w:trPr>
        <w:tc>
          <w:tcPr>
            <w:tcW w:w="720" w:type="dxa"/>
            <w:tcBorders>
              <w:top w:val="nil"/>
              <w:left w:val="nil"/>
              <w:bottom w:val="nil"/>
              <w:right w:val="nil"/>
            </w:tcBorders>
            <w:shd w:val="clear" w:color="auto" w:fill="auto"/>
            <w:noWrap/>
            <w:vAlign w:val="bottom"/>
            <w:hideMark/>
          </w:tcPr>
          <w:p w14:paraId="5CAA7A13" w14:textId="77777777" w:rsidR="005253D2" w:rsidRPr="005253D2" w:rsidRDefault="005253D2" w:rsidP="005253D2">
            <w:pPr>
              <w:jc w:val="right"/>
              <w:rPr>
                <w:rFonts w:ascii="Times New Roman" w:eastAsia="Times New Roman" w:hAnsi="Times New Roman" w:cs="Times New Roman"/>
                <w:sz w:val="20"/>
                <w:szCs w:val="20"/>
                <w:lang w:eastAsia="en-US"/>
              </w:rPr>
            </w:pPr>
          </w:p>
        </w:tc>
        <w:tc>
          <w:tcPr>
            <w:tcW w:w="2285" w:type="dxa"/>
            <w:tcBorders>
              <w:top w:val="nil"/>
              <w:left w:val="nil"/>
              <w:bottom w:val="nil"/>
              <w:right w:val="nil"/>
            </w:tcBorders>
            <w:shd w:val="clear" w:color="auto" w:fill="auto"/>
            <w:noWrap/>
            <w:vAlign w:val="bottom"/>
            <w:hideMark/>
          </w:tcPr>
          <w:p w14:paraId="131A25B6" w14:textId="77777777" w:rsidR="005253D2" w:rsidRPr="005253D2" w:rsidRDefault="005253D2" w:rsidP="005253D2">
            <w:pPr>
              <w:rPr>
                <w:rFonts w:ascii="Times New Roman" w:eastAsia="Times New Roman" w:hAnsi="Times New Roman" w:cs="Times New Roman"/>
                <w:sz w:val="20"/>
                <w:szCs w:val="20"/>
                <w:lang w:eastAsia="en-US"/>
              </w:rPr>
            </w:pPr>
          </w:p>
        </w:tc>
        <w:tc>
          <w:tcPr>
            <w:tcW w:w="866" w:type="dxa"/>
            <w:tcBorders>
              <w:top w:val="nil"/>
              <w:left w:val="nil"/>
              <w:bottom w:val="single" w:sz="4" w:space="0" w:color="auto"/>
              <w:right w:val="nil"/>
            </w:tcBorders>
            <w:shd w:val="clear" w:color="auto" w:fill="auto"/>
            <w:noWrap/>
            <w:vAlign w:val="bottom"/>
            <w:hideMark/>
          </w:tcPr>
          <w:p w14:paraId="6D2585CA"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Mean ± SD</w:t>
            </w:r>
          </w:p>
        </w:tc>
        <w:tc>
          <w:tcPr>
            <w:tcW w:w="810" w:type="dxa"/>
            <w:tcBorders>
              <w:top w:val="nil"/>
              <w:left w:val="nil"/>
              <w:bottom w:val="single" w:sz="4" w:space="0" w:color="auto"/>
              <w:right w:val="nil"/>
            </w:tcBorders>
            <w:shd w:val="clear" w:color="auto" w:fill="auto"/>
            <w:noWrap/>
            <w:vAlign w:val="bottom"/>
            <w:hideMark/>
          </w:tcPr>
          <w:p w14:paraId="538A8BF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Med (IQR)</w:t>
            </w:r>
          </w:p>
        </w:tc>
        <w:tc>
          <w:tcPr>
            <w:tcW w:w="261" w:type="dxa"/>
            <w:tcBorders>
              <w:top w:val="nil"/>
              <w:left w:val="nil"/>
              <w:bottom w:val="nil"/>
              <w:right w:val="nil"/>
            </w:tcBorders>
            <w:shd w:val="clear" w:color="auto" w:fill="auto"/>
            <w:noWrap/>
            <w:vAlign w:val="bottom"/>
            <w:hideMark/>
          </w:tcPr>
          <w:p w14:paraId="05279C9B"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single" w:sz="4" w:space="0" w:color="auto"/>
              <w:right w:val="nil"/>
            </w:tcBorders>
            <w:shd w:val="clear" w:color="auto" w:fill="auto"/>
            <w:noWrap/>
            <w:vAlign w:val="bottom"/>
            <w:hideMark/>
          </w:tcPr>
          <w:p w14:paraId="5BAFAA0B"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Mean ± SD</w:t>
            </w:r>
          </w:p>
        </w:tc>
        <w:tc>
          <w:tcPr>
            <w:tcW w:w="810" w:type="dxa"/>
            <w:tcBorders>
              <w:top w:val="nil"/>
              <w:left w:val="nil"/>
              <w:bottom w:val="single" w:sz="4" w:space="0" w:color="auto"/>
              <w:right w:val="nil"/>
            </w:tcBorders>
            <w:shd w:val="clear" w:color="auto" w:fill="auto"/>
            <w:noWrap/>
            <w:vAlign w:val="bottom"/>
            <w:hideMark/>
          </w:tcPr>
          <w:p w14:paraId="7D1B49A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Med (IQR)</w:t>
            </w:r>
          </w:p>
        </w:tc>
        <w:tc>
          <w:tcPr>
            <w:tcW w:w="261" w:type="dxa"/>
            <w:tcBorders>
              <w:top w:val="nil"/>
              <w:left w:val="nil"/>
              <w:bottom w:val="nil"/>
              <w:right w:val="nil"/>
            </w:tcBorders>
            <w:shd w:val="clear" w:color="auto" w:fill="auto"/>
            <w:noWrap/>
            <w:vAlign w:val="bottom"/>
            <w:hideMark/>
          </w:tcPr>
          <w:p w14:paraId="1AE472F7"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single" w:sz="4" w:space="0" w:color="auto"/>
              <w:right w:val="nil"/>
            </w:tcBorders>
            <w:shd w:val="clear" w:color="auto" w:fill="auto"/>
            <w:noWrap/>
            <w:vAlign w:val="bottom"/>
            <w:hideMark/>
          </w:tcPr>
          <w:p w14:paraId="491B40A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Mean ± SD</w:t>
            </w:r>
          </w:p>
        </w:tc>
        <w:tc>
          <w:tcPr>
            <w:tcW w:w="810" w:type="dxa"/>
            <w:tcBorders>
              <w:top w:val="nil"/>
              <w:left w:val="nil"/>
              <w:bottom w:val="single" w:sz="4" w:space="0" w:color="auto"/>
              <w:right w:val="nil"/>
            </w:tcBorders>
            <w:shd w:val="clear" w:color="auto" w:fill="auto"/>
            <w:noWrap/>
            <w:vAlign w:val="bottom"/>
            <w:hideMark/>
          </w:tcPr>
          <w:p w14:paraId="358D099C"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Med (IQR)</w:t>
            </w:r>
          </w:p>
        </w:tc>
        <w:tc>
          <w:tcPr>
            <w:tcW w:w="261" w:type="dxa"/>
            <w:tcBorders>
              <w:top w:val="nil"/>
              <w:left w:val="nil"/>
              <w:bottom w:val="nil"/>
              <w:right w:val="nil"/>
            </w:tcBorders>
            <w:shd w:val="clear" w:color="auto" w:fill="auto"/>
            <w:noWrap/>
            <w:vAlign w:val="bottom"/>
            <w:hideMark/>
          </w:tcPr>
          <w:p w14:paraId="7EB67A90" w14:textId="77777777" w:rsidR="005253D2" w:rsidRPr="005253D2" w:rsidRDefault="005253D2" w:rsidP="005253D2">
            <w:pPr>
              <w:jc w:val="right"/>
              <w:rPr>
                <w:rFonts w:eastAsia="Times New Roman" w:cs="Arial"/>
                <w:color w:val="000000"/>
                <w:sz w:val="16"/>
                <w:szCs w:val="16"/>
                <w:lang w:eastAsia="en-US"/>
              </w:rPr>
            </w:pPr>
          </w:p>
        </w:tc>
        <w:tc>
          <w:tcPr>
            <w:tcW w:w="865" w:type="dxa"/>
            <w:tcBorders>
              <w:top w:val="nil"/>
              <w:left w:val="nil"/>
              <w:bottom w:val="single" w:sz="4" w:space="0" w:color="auto"/>
              <w:right w:val="nil"/>
            </w:tcBorders>
            <w:shd w:val="clear" w:color="auto" w:fill="auto"/>
            <w:noWrap/>
            <w:vAlign w:val="bottom"/>
            <w:hideMark/>
          </w:tcPr>
          <w:p w14:paraId="3988DECC"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Mean ± SD</w:t>
            </w:r>
          </w:p>
        </w:tc>
        <w:tc>
          <w:tcPr>
            <w:tcW w:w="810" w:type="dxa"/>
            <w:tcBorders>
              <w:top w:val="nil"/>
              <w:left w:val="nil"/>
              <w:bottom w:val="single" w:sz="4" w:space="0" w:color="auto"/>
              <w:right w:val="nil"/>
            </w:tcBorders>
            <w:shd w:val="clear" w:color="auto" w:fill="auto"/>
            <w:noWrap/>
            <w:vAlign w:val="bottom"/>
            <w:hideMark/>
          </w:tcPr>
          <w:p w14:paraId="52D814F2"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Med (IQR)</w:t>
            </w:r>
          </w:p>
        </w:tc>
      </w:tr>
      <w:tr w:rsidR="005253D2" w:rsidRPr="005253D2" w14:paraId="06CDC422" w14:textId="77777777" w:rsidTr="005253D2">
        <w:trPr>
          <w:trHeight w:val="240"/>
        </w:trPr>
        <w:tc>
          <w:tcPr>
            <w:tcW w:w="3005" w:type="dxa"/>
            <w:gridSpan w:val="2"/>
            <w:tcBorders>
              <w:top w:val="nil"/>
              <w:left w:val="nil"/>
              <w:bottom w:val="single" w:sz="8" w:space="0" w:color="auto"/>
              <w:right w:val="nil"/>
            </w:tcBorders>
            <w:shd w:val="clear" w:color="auto" w:fill="auto"/>
            <w:noWrap/>
            <w:vAlign w:val="bottom"/>
            <w:hideMark/>
          </w:tcPr>
          <w:p w14:paraId="4508974B"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Age at NHL Diagnosis/Interview</w:t>
            </w:r>
          </w:p>
        </w:tc>
        <w:tc>
          <w:tcPr>
            <w:tcW w:w="866" w:type="dxa"/>
            <w:tcBorders>
              <w:top w:val="nil"/>
              <w:left w:val="nil"/>
              <w:bottom w:val="single" w:sz="8" w:space="0" w:color="auto"/>
              <w:right w:val="nil"/>
            </w:tcBorders>
            <w:shd w:val="clear" w:color="auto" w:fill="auto"/>
            <w:noWrap/>
            <w:vAlign w:val="bottom"/>
            <w:hideMark/>
          </w:tcPr>
          <w:p w14:paraId="75A0F574"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57 ± 15</w:t>
            </w:r>
          </w:p>
        </w:tc>
        <w:tc>
          <w:tcPr>
            <w:tcW w:w="810" w:type="dxa"/>
            <w:tcBorders>
              <w:top w:val="nil"/>
              <w:left w:val="nil"/>
              <w:bottom w:val="single" w:sz="8" w:space="0" w:color="auto"/>
              <w:right w:val="nil"/>
            </w:tcBorders>
            <w:shd w:val="clear" w:color="auto" w:fill="auto"/>
            <w:noWrap/>
            <w:vAlign w:val="bottom"/>
            <w:hideMark/>
          </w:tcPr>
          <w:p w14:paraId="3AF561D8"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60 (21)</w:t>
            </w:r>
          </w:p>
        </w:tc>
        <w:tc>
          <w:tcPr>
            <w:tcW w:w="261" w:type="dxa"/>
            <w:tcBorders>
              <w:top w:val="nil"/>
              <w:left w:val="nil"/>
              <w:bottom w:val="single" w:sz="8" w:space="0" w:color="auto"/>
              <w:right w:val="nil"/>
            </w:tcBorders>
            <w:shd w:val="clear" w:color="auto" w:fill="auto"/>
            <w:noWrap/>
            <w:vAlign w:val="bottom"/>
            <w:hideMark/>
          </w:tcPr>
          <w:p w14:paraId="72B77B4D"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 </w:t>
            </w:r>
          </w:p>
        </w:tc>
        <w:tc>
          <w:tcPr>
            <w:tcW w:w="865" w:type="dxa"/>
            <w:tcBorders>
              <w:top w:val="nil"/>
              <w:left w:val="nil"/>
              <w:bottom w:val="single" w:sz="8" w:space="0" w:color="auto"/>
              <w:right w:val="nil"/>
            </w:tcBorders>
            <w:shd w:val="clear" w:color="auto" w:fill="auto"/>
            <w:noWrap/>
            <w:vAlign w:val="bottom"/>
            <w:hideMark/>
          </w:tcPr>
          <w:p w14:paraId="04021F07"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46 ± 15</w:t>
            </w:r>
          </w:p>
        </w:tc>
        <w:tc>
          <w:tcPr>
            <w:tcW w:w="810" w:type="dxa"/>
            <w:tcBorders>
              <w:top w:val="nil"/>
              <w:left w:val="nil"/>
              <w:bottom w:val="single" w:sz="8" w:space="0" w:color="auto"/>
              <w:right w:val="nil"/>
            </w:tcBorders>
            <w:shd w:val="clear" w:color="auto" w:fill="auto"/>
            <w:noWrap/>
            <w:vAlign w:val="bottom"/>
            <w:hideMark/>
          </w:tcPr>
          <w:p w14:paraId="606D124D"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47 (22)</w:t>
            </w:r>
          </w:p>
        </w:tc>
        <w:tc>
          <w:tcPr>
            <w:tcW w:w="261" w:type="dxa"/>
            <w:tcBorders>
              <w:top w:val="nil"/>
              <w:left w:val="nil"/>
              <w:bottom w:val="single" w:sz="8" w:space="0" w:color="auto"/>
              <w:right w:val="nil"/>
            </w:tcBorders>
            <w:shd w:val="clear" w:color="auto" w:fill="auto"/>
            <w:noWrap/>
            <w:vAlign w:val="bottom"/>
            <w:hideMark/>
          </w:tcPr>
          <w:p w14:paraId="53640E1B"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 </w:t>
            </w:r>
          </w:p>
        </w:tc>
        <w:tc>
          <w:tcPr>
            <w:tcW w:w="865" w:type="dxa"/>
            <w:tcBorders>
              <w:top w:val="nil"/>
              <w:left w:val="nil"/>
              <w:bottom w:val="single" w:sz="8" w:space="0" w:color="auto"/>
              <w:right w:val="nil"/>
            </w:tcBorders>
            <w:shd w:val="clear" w:color="auto" w:fill="auto"/>
            <w:noWrap/>
            <w:vAlign w:val="bottom"/>
            <w:hideMark/>
          </w:tcPr>
          <w:p w14:paraId="407DFE7F"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60 ± 12</w:t>
            </w:r>
          </w:p>
        </w:tc>
        <w:tc>
          <w:tcPr>
            <w:tcW w:w="810" w:type="dxa"/>
            <w:tcBorders>
              <w:top w:val="nil"/>
              <w:left w:val="nil"/>
              <w:bottom w:val="single" w:sz="8" w:space="0" w:color="auto"/>
              <w:right w:val="nil"/>
            </w:tcBorders>
            <w:shd w:val="clear" w:color="auto" w:fill="auto"/>
            <w:noWrap/>
            <w:vAlign w:val="bottom"/>
            <w:hideMark/>
          </w:tcPr>
          <w:p w14:paraId="3C991C10"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62 (17)</w:t>
            </w:r>
          </w:p>
        </w:tc>
        <w:tc>
          <w:tcPr>
            <w:tcW w:w="261" w:type="dxa"/>
            <w:tcBorders>
              <w:top w:val="nil"/>
              <w:left w:val="nil"/>
              <w:bottom w:val="single" w:sz="8" w:space="0" w:color="auto"/>
              <w:right w:val="nil"/>
            </w:tcBorders>
            <w:shd w:val="clear" w:color="auto" w:fill="auto"/>
            <w:noWrap/>
            <w:vAlign w:val="bottom"/>
            <w:hideMark/>
          </w:tcPr>
          <w:p w14:paraId="58D6680E"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 </w:t>
            </w:r>
          </w:p>
        </w:tc>
        <w:tc>
          <w:tcPr>
            <w:tcW w:w="865" w:type="dxa"/>
            <w:tcBorders>
              <w:top w:val="nil"/>
              <w:left w:val="nil"/>
              <w:bottom w:val="single" w:sz="8" w:space="0" w:color="auto"/>
              <w:right w:val="nil"/>
            </w:tcBorders>
            <w:shd w:val="clear" w:color="auto" w:fill="auto"/>
            <w:noWrap/>
            <w:vAlign w:val="bottom"/>
            <w:hideMark/>
          </w:tcPr>
          <w:p w14:paraId="3462BD8C"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52 ± 13</w:t>
            </w:r>
          </w:p>
        </w:tc>
        <w:tc>
          <w:tcPr>
            <w:tcW w:w="810" w:type="dxa"/>
            <w:tcBorders>
              <w:top w:val="nil"/>
              <w:left w:val="nil"/>
              <w:bottom w:val="single" w:sz="8" w:space="0" w:color="auto"/>
              <w:right w:val="nil"/>
            </w:tcBorders>
            <w:shd w:val="clear" w:color="auto" w:fill="auto"/>
            <w:noWrap/>
            <w:vAlign w:val="bottom"/>
            <w:hideMark/>
          </w:tcPr>
          <w:p w14:paraId="4B0E833E" w14:textId="77777777" w:rsidR="005253D2" w:rsidRPr="005253D2" w:rsidRDefault="005253D2" w:rsidP="005253D2">
            <w:pPr>
              <w:jc w:val="right"/>
              <w:rPr>
                <w:rFonts w:eastAsia="Times New Roman" w:cs="Arial"/>
                <w:color w:val="000000"/>
                <w:sz w:val="16"/>
                <w:szCs w:val="16"/>
                <w:lang w:eastAsia="en-US"/>
              </w:rPr>
            </w:pPr>
            <w:r w:rsidRPr="005253D2">
              <w:rPr>
                <w:rFonts w:eastAsia="Times New Roman" w:cs="Arial"/>
                <w:color w:val="000000"/>
                <w:sz w:val="16"/>
                <w:szCs w:val="16"/>
                <w:lang w:eastAsia="en-US"/>
              </w:rPr>
              <w:t>53 (19)</w:t>
            </w:r>
          </w:p>
        </w:tc>
      </w:tr>
      <w:tr w:rsidR="005253D2" w:rsidRPr="005253D2" w14:paraId="1241B71B" w14:textId="77777777" w:rsidTr="005253D2">
        <w:trPr>
          <w:trHeight w:val="220"/>
        </w:trPr>
        <w:tc>
          <w:tcPr>
            <w:tcW w:w="10489" w:type="dxa"/>
            <w:gridSpan w:val="13"/>
            <w:tcBorders>
              <w:top w:val="single" w:sz="8" w:space="0" w:color="auto"/>
              <w:left w:val="nil"/>
              <w:bottom w:val="nil"/>
              <w:right w:val="nil"/>
            </w:tcBorders>
            <w:shd w:val="clear" w:color="auto" w:fill="auto"/>
            <w:noWrap/>
            <w:vAlign w:val="center"/>
            <w:hideMark/>
          </w:tcPr>
          <w:p w14:paraId="1EEA0154"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IM: infectious mononucleosis</w:t>
            </w:r>
          </w:p>
        </w:tc>
      </w:tr>
      <w:tr w:rsidR="005253D2" w:rsidRPr="005253D2" w14:paraId="4E4F1ECC" w14:textId="77777777" w:rsidTr="005253D2">
        <w:trPr>
          <w:trHeight w:val="220"/>
        </w:trPr>
        <w:tc>
          <w:tcPr>
            <w:tcW w:w="10489" w:type="dxa"/>
            <w:gridSpan w:val="13"/>
            <w:tcBorders>
              <w:top w:val="nil"/>
              <w:left w:val="nil"/>
              <w:bottom w:val="nil"/>
              <w:right w:val="nil"/>
            </w:tcBorders>
            <w:shd w:val="clear" w:color="auto" w:fill="auto"/>
            <w:noWrap/>
            <w:vAlign w:val="center"/>
            <w:hideMark/>
          </w:tcPr>
          <w:p w14:paraId="7E1A3423"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SES: socioeconomic status</w:t>
            </w:r>
          </w:p>
        </w:tc>
      </w:tr>
      <w:tr w:rsidR="005253D2" w:rsidRPr="005253D2" w14:paraId="31F2B666" w14:textId="77777777" w:rsidTr="005253D2">
        <w:trPr>
          <w:trHeight w:val="220"/>
        </w:trPr>
        <w:tc>
          <w:tcPr>
            <w:tcW w:w="10489" w:type="dxa"/>
            <w:gridSpan w:val="13"/>
            <w:tcBorders>
              <w:top w:val="nil"/>
              <w:left w:val="nil"/>
              <w:bottom w:val="nil"/>
              <w:right w:val="nil"/>
            </w:tcBorders>
            <w:shd w:val="clear" w:color="auto" w:fill="auto"/>
            <w:noWrap/>
            <w:vAlign w:val="center"/>
            <w:hideMark/>
          </w:tcPr>
          <w:p w14:paraId="4C5D4A28"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NHL: non-Hodgkin lymphoma</w:t>
            </w:r>
          </w:p>
        </w:tc>
      </w:tr>
      <w:tr w:rsidR="005253D2" w:rsidRPr="005253D2" w14:paraId="544E1842" w14:textId="77777777" w:rsidTr="005253D2">
        <w:trPr>
          <w:trHeight w:val="220"/>
        </w:trPr>
        <w:tc>
          <w:tcPr>
            <w:tcW w:w="10489" w:type="dxa"/>
            <w:gridSpan w:val="13"/>
            <w:tcBorders>
              <w:top w:val="nil"/>
              <w:left w:val="nil"/>
              <w:bottom w:val="nil"/>
              <w:right w:val="nil"/>
            </w:tcBorders>
            <w:shd w:val="clear" w:color="auto" w:fill="auto"/>
            <w:noWrap/>
            <w:vAlign w:val="center"/>
            <w:hideMark/>
          </w:tcPr>
          <w:p w14:paraId="474C470A"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SD: standard deviation</w:t>
            </w:r>
          </w:p>
        </w:tc>
      </w:tr>
      <w:tr w:rsidR="005253D2" w:rsidRPr="005253D2" w14:paraId="148E18B4" w14:textId="77777777" w:rsidTr="005253D2">
        <w:trPr>
          <w:trHeight w:val="220"/>
        </w:trPr>
        <w:tc>
          <w:tcPr>
            <w:tcW w:w="10489" w:type="dxa"/>
            <w:gridSpan w:val="13"/>
            <w:tcBorders>
              <w:top w:val="nil"/>
              <w:left w:val="nil"/>
              <w:bottom w:val="nil"/>
              <w:right w:val="nil"/>
            </w:tcBorders>
            <w:shd w:val="clear" w:color="auto" w:fill="auto"/>
            <w:noWrap/>
            <w:vAlign w:val="center"/>
            <w:hideMark/>
          </w:tcPr>
          <w:p w14:paraId="53057CB5" w14:textId="77777777" w:rsidR="005253D2" w:rsidRPr="005253D2" w:rsidRDefault="005253D2" w:rsidP="005253D2">
            <w:pPr>
              <w:rPr>
                <w:rFonts w:eastAsia="Times New Roman" w:cs="Arial"/>
                <w:color w:val="000000"/>
                <w:sz w:val="16"/>
                <w:szCs w:val="16"/>
                <w:lang w:eastAsia="en-US"/>
              </w:rPr>
            </w:pPr>
            <w:r w:rsidRPr="005253D2">
              <w:rPr>
                <w:rFonts w:eastAsia="Times New Roman" w:cs="Arial"/>
                <w:color w:val="000000"/>
                <w:sz w:val="16"/>
                <w:szCs w:val="16"/>
                <w:lang w:eastAsia="en-US"/>
              </w:rPr>
              <w:t>IQR: interquartile range</w:t>
            </w:r>
          </w:p>
        </w:tc>
      </w:tr>
    </w:tbl>
    <w:p w14:paraId="2A5668EA" w14:textId="77777777" w:rsidR="00A07A85" w:rsidRDefault="00A07A85" w:rsidP="00EF7273"/>
    <w:p w14:paraId="029239D8" w14:textId="77777777" w:rsidR="0049448B" w:rsidRDefault="00A07A85" w:rsidP="00EF7273">
      <w:r>
        <w:br w:type="column"/>
      </w:r>
    </w:p>
    <w:tbl>
      <w:tblPr>
        <w:tblW w:w="5000" w:type="pct"/>
        <w:tblLook w:val="04A0" w:firstRow="1" w:lastRow="0" w:firstColumn="1" w:lastColumn="0" w:noHBand="0" w:noVBand="1"/>
      </w:tblPr>
      <w:tblGrid>
        <w:gridCol w:w="2073"/>
        <w:gridCol w:w="4936"/>
        <w:gridCol w:w="1493"/>
        <w:gridCol w:w="2298"/>
      </w:tblGrid>
      <w:tr w:rsidR="0049448B" w:rsidRPr="0049448B" w14:paraId="2908B9F7" w14:textId="77777777" w:rsidTr="0049448B">
        <w:trPr>
          <w:trHeight w:val="240"/>
        </w:trPr>
        <w:tc>
          <w:tcPr>
            <w:tcW w:w="5000" w:type="pct"/>
            <w:gridSpan w:val="4"/>
            <w:tcBorders>
              <w:top w:val="nil"/>
              <w:left w:val="nil"/>
              <w:bottom w:val="single" w:sz="8" w:space="0" w:color="auto"/>
              <w:right w:val="nil"/>
            </w:tcBorders>
            <w:shd w:val="clear" w:color="auto" w:fill="auto"/>
            <w:noWrap/>
            <w:vAlign w:val="bottom"/>
            <w:hideMark/>
          </w:tcPr>
          <w:p w14:paraId="3EC1B9FB" w14:textId="77777777" w:rsidR="0049448B" w:rsidRPr="0049448B" w:rsidRDefault="0049448B" w:rsidP="0049448B">
            <w:pPr>
              <w:rPr>
                <w:rFonts w:eastAsia="Times New Roman" w:cs="Arial"/>
                <w:b/>
                <w:bCs/>
                <w:color w:val="000000"/>
                <w:sz w:val="16"/>
                <w:szCs w:val="16"/>
                <w:lang w:eastAsia="en-US"/>
              </w:rPr>
            </w:pPr>
            <w:r w:rsidRPr="0049448B">
              <w:rPr>
                <w:rFonts w:eastAsia="Times New Roman" w:cs="Arial"/>
                <w:b/>
                <w:bCs/>
                <w:color w:val="000000"/>
                <w:sz w:val="16"/>
                <w:szCs w:val="16"/>
                <w:lang w:eastAsia="en-US"/>
              </w:rPr>
              <w:t>Table 2: Subtypes among NHL Patients</w:t>
            </w:r>
          </w:p>
        </w:tc>
      </w:tr>
      <w:tr w:rsidR="0049448B" w:rsidRPr="0049448B" w14:paraId="37FA8171" w14:textId="77777777" w:rsidTr="00B451CD">
        <w:trPr>
          <w:trHeight w:val="43"/>
        </w:trPr>
        <w:tc>
          <w:tcPr>
            <w:tcW w:w="960" w:type="pct"/>
            <w:tcBorders>
              <w:top w:val="nil"/>
              <w:left w:val="nil"/>
              <w:bottom w:val="nil"/>
              <w:right w:val="nil"/>
            </w:tcBorders>
            <w:shd w:val="clear" w:color="auto" w:fill="auto"/>
            <w:noWrap/>
            <w:vAlign w:val="bottom"/>
            <w:hideMark/>
          </w:tcPr>
          <w:p w14:paraId="4ED2F2C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w:t>
            </w:r>
          </w:p>
        </w:tc>
        <w:tc>
          <w:tcPr>
            <w:tcW w:w="2285" w:type="pct"/>
            <w:tcBorders>
              <w:top w:val="nil"/>
              <w:left w:val="nil"/>
              <w:bottom w:val="nil"/>
              <w:right w:val="nil"/>
            </w:tcBorders>
            <w:shd w:val="clear" w:color="auto" w:fill="auto"/>
            <w:noWrap/>
            <w:vAlign w:val="bottom"/>
            <w:hideMark/>
          </w:tcPr>
          <w:p w14:paraId="0DB9738C" w14:textId="77777777" w:rsidR="0049448B" w:rsidRPr="0049448B" w:rsidRDefault="0049448B" w:rsidP="0049448B">
            <w:pPr>
              <w:jc w:val="right"/>
              <w:rPr>
                <w:rFonts w:eastAsia="Times New Roman" w:cs="Arial"/>
                <w:i/>
                <w:iCs/>
                <w:color w:val="000000"/>
                <w:sz w:val="16"/>
                <w:szCs w:val="16"/>
                <w:lang w:eastAsia="en-US"/>
              </w:rPr>
            </w:pPr>
            <w:r w:rsidRPr="0049448B">
              <w:rPr>
                <w:rFonts w:eastAsia="Times New Roman" w:cs="Arial"/>
                <w:i/>
                <w:iCs/>
                <w:color w:val="000000"/>
                <w:sz w:val="16"/>
                <w:szCs w:val="16"/>
                <w:lang w:eastAsia="en-US"/>
              </w:rPr>
              <w:t> </w:t>
            </w:r>
          </w:p>
        </w:tc>
        <w:tc>
          <w:tcPr>
            <w:tcW w:w="691" w:type="pct"/>
            <w:tcBorders>
              <w:top w:val="nil"/>
              <w:left w:val="nil"/>
              <w:bottom w:val="single" w:sz="8" w:space="0" w:color="auto"/>
              <w:right w:val="nil"/>
            </w:tcBorders>
            <w:shd w:val="clear" w:color="auto" w:fill="auto"/>
            <w:noWrap/>
            <w:vAlign w:val="bottom"/>
            <w:hideMark/>
          </w:tcPr>
          <w:p w14:paraId="1E9289D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N</w:t>
            </w:r>
          </w:p>
        </w:tc>
        <w:tc>
          <w:tcPr>
            <w:tcW w:w="1064" w:type="pct"/>
            <w:tcBorders>
              <w:top w:val="nil"/>
              <w:left w:val="nil"/>
              <w:bottom w:val="single" w:sz="8" w:space="0" w:color="auto"/>
              <w:right w:val="nil"/>
            </w:tcBorders>
            <w:shd w:val="clear" w:color="auto" w:fill="auto"/>
            <w:noWrap/>
            <w:vAlign w:val="bottom"/>
            <w:hideMark/>
          </w:tcPr>
          <w:p w14:paraId="76BFD27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w:t>
            </w:r>
          </w:p>
        </w:tc>
      </w:tr>
      <w:tr w:rsidR="0049448B" w:rsidRPr="0049448B" w14:paraId="5C914F39" w14:textId="77777777" w:rsidTr="0049448B">
        <w:trPr>
          <w:trHeight w:val="220"/>
        </w:trPr>
        <w:tc>
          <w:tcPr>
            <w:tcW w:w="960" w:type="pct"/>
            <w:tcBorders>
              <w:top w:val="nil"/>
              <w:left w:val="nil"/>
              <w:bottom w:val="nil"/>
              <w:right w:val="nil"/>
            </w:tcBorders>
            <w:shd w:val="clear" w:color="auto" w:fill="auto"/>
            <w:noWrap/>
            <w:vAlign w:val="bottom"/>
            <w:hideMark/>
          </w:tcPr>
          <w:p w14:paraId="20448DEA"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B-cell</w:t>
            </w:r>
          </w:p>
        </w:tc>
        <w:tc>
          <w:tcPr>
            <w:tcW w:w="2285" w:type="pct"/>
            <w:tcBorders>
              <w:top w:val="nil"/>
              <w:left w:val="nil"/>
              <w:bottom w:val="nil"/>
              <w:right w:val="nil"/>
            </w:tcBorders>
            <w:shd w:val="clear" w:color="auto" w:fill="auto"/>
            <w:noWrap/>
            <w:vAlign w:val="bottom"/>
            <w:hideMark/>
          </w:tcPr>
          <w:p w14:paraId="010516E3"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DLBCL</w:t>
            </w:r>
          </w:p>
        </w:tc>
        <w:tc>
          <w:tcPr>
            <w:tcW w:w="691" w:type="pct"/>
            <w:tcBorders>
              <w:top w:val="nil"/>
              <w:left w:val="nil"/>
              <w:bottom w:val="nil"/>
              <w:right w:val="nil"/>
            </w:tcBorders>
            <w:shd w:val="clear" w:color="auto" w:fill="auto"/>
            <w:noWrap/>
            <w:vAlign w:val="bottom"/>
            <w:hideMark/>
          </w:tcPr>
          <w:p w14:paraId="3B4BC3E1"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2246</w:t>
            </w:r>
          </w:p>
        </w:tc>
        <w:tc>
          <w:tcPr>
            <w:tcW w:w="1064" w:type="pct"/>
            <w:tcBorders>
              <w:top w:val="nil"/>
              <w:left w:val="nil"/>
              <w:bottom w:val="nil"/>
              <w:right w:val="nil"/>
            </w:tcBorders>
            <w:shd w:val="clear" w:color="auto" w:fill="auto"/>
            <w:noWrap/>
            <w:vAlign w:val="bottom"/>
            <w:hideMark/>
          </w:tcPr>
          <w:p w14:paraId="64A6582B"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(28%)</w:t>
            </w:r>
          </w:p>
        </w:tc>
      </w:tr>
      <w:tr w:rsidR="0049448B" w:rsidRPr="0049448B" w14:paraId="744D198E" w14:textId="77777777" w:rsidTr="0049448B">
        <w:trPr>
          <w:trHeight w:val="220"/>
        </w:trPr>
        <w:tc>
          <w:tcPr>
            <w:tcW w:w="960" w:type="pct"/>
            <w:tcBorders>
              <w:top w:val="nil"/>
              <w:left w:val="nil"/>
              <w:bottom w:val="nil"/>
              <w:right w:val="nil"/>
            </w:tcBorders>
            <w:shd w:val="clear" w:color="auto" w:fill="auto"/>
            <w:noWrap/>
            <w:vAlign w:val="bottom"/>
            <w:hideMark/>
          </w:tcPr>
          <w:p w14:paraId="4D99233C"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06E9935C"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CLL/SLL/PLL/MCL</w:t>
            </w:r>
          </w:p>
        </w:tc>
        <w:tc>
          <w:tcPr>
            <w:tcW w:w="691" w:type="pct"/>
            <w:tcBorders>
              <w:top w:val="nil"/>
              <w:left w:val="nil"/>
              <w:bottom w:val="nil"/>
              <w:right w:val="nil"/>
            </w:tcBorders>
            <w:shd w:val="clear" w:color="auto" w:fill="auto"/>
            <w:noWrap/>
            <w:vAlign w:val="bottom"/>
            <w:hideMark/>
          </w:tcPr>
          <w:p w14:paraId="49C6ECBD"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1466</w:t>
            </w:r>
          </w:p>
        </w:tc>
        <w:tc>
          <w:tcPr>
            <w:tcW w:w="1064" w:type="pct"/>
            <w:tcBorders>
              <w:top w:val="nil"/>
              <w:left w:val="nil"/>
              <w:bottom w:val="nil"/>
              <w:right w:val="nil"/>
            </w:tcBorders>
            <w:shd w:val="clear" w:color="auto" w:fill="auto"/>
            <w:noWrap/>
            <w:vAlign w:val="bottom"/>
            <w:hideMark/>
          </w:tcPr>
          <w:p w14:paraId="6F74F0F7"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(18%)</w:t>
            </w:r>
          </w:p>
        </w:tc>
      </w:tr>
      <w:tr w:rsidR="0049448B" w:rsidRPr="0049448B" w14:paraId="33C17583" w14:textId="77777777" w:rsidTr="0049448B">
        <w:trPr>
          <w:trHeight w:val="220"/>
        </w:trPr>
        <w:tc>
          <w:tcPr>
            <w:tcW w:w="960" w:type="pct"/>
            <w:tcBorders>
              <w:top w:val="nil"/>
              <w:left w:val="nil"/>
              <w:bottom w:val="nil"/>
              <w:right w:val="nil"/>
            </w:tcBorders>
            <w:shd w:val="clear" w:color="auto" w:fill="auto"/>
            <w:noWrap/>
            <w:vAlign w:val="bottom"/>
            <w:hideMark/>
          </w:tcPr>
          <w:p w14:paraId="4CDA5718"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6F4C0CF5"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Follicular</w:t>
            </w:r>
          </w:p>
        </w:tc>
        <w:tc>
          <w:tcPr>
            <w:tcW w:w="691" w:type="pct"/>
            <w:tcBorders>
              <w:top w:val="nil"/>
              <w:left w:val="nil"/>
              <w:bottom w:val="nil"/>
              <w:right w:val="nil"/>
            </w:tcBorders>
            <w:shd w:val="clear" w:color="auto" w:fill="auto"/>
            <w:noWrap/>
            <w:vAlign w:val="bottom"/>
            <w:hideMark/>
          </w:tcPr>
          <w:p w14:paraId="5399F9A8"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1691</w:t>
            </w:r>
          </w:p>
        </w:tc>
        <w:tc>
          <w:tcPr>
            <w:tcW w:w="1064" w:type="pct"/>
            <w:tcBorders>
              <w:top w:val="nil"/>
              <w:left w:val="nil"/>
              <w:bottom w:val="nil"/>
              <w:right w:val="nil"/>
            </w:tcBorders>
            <w:shd w:val="clear" w:color="auto" w:fill="auto"/>
            <w:noWrap/>
            <w:vAlign w:val="bottom"/>
            <w:hideMark/>
          </w:tcPr>
          <w:p w14:paraId="550B762D"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(21%)</w:t>
            </w:r>
          </w:p>
        </w:tc>
      </w:tr>
      <w:tr w:rsidR="0049448B" w:rsidRPr="0049448B" w14:paraId="53494549" w14:textId="77777777" w:rsidTr="0049448B">
        <w:trPr>
          <w:trHeight w:val="220"/>
        </w:trPr>
        <w:tc>
          <w:tcPr>
            <w:tcW w:w="960" w:type="pct"/>
            <w:tcBorders>
              <w:top w:val="nil"/>
              <w:left w:val="nil"/>
              <w:bottom w:val="nil"/>
              <w:right w:val="nil"/>
            </w:tcBorders>
            <w:shd w:val="clear" w:color="auto" w:fill="auto"/>
            <w:noWrap/>
            <w:vAlign w:val="bottom"/>
            <w:hideMark/>
          </w:tcPr>
          <w:p w14:paraId="1FC60247"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0A520F8D"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MZL</w:t>
            </w:r>
          </w:p>
        </w:tc>
        <w:tc>
          <w:tcPr>
            <w:tcW w:w="691" w:type="pct"/>
            <w:tcBorders>
              <w:top w:val="nil"/>
              <w:left w:val="nil"/>
              <w:bottom w:val="nil"/>
              <w:right w:val="nil"/>
            </w:tcBorders>
            <w:shd w:val="clear" w:color="auto" w:fill="auto"/>
            <w:noWrap/>
            <w:vAlign w:val="bottom"/>
            <w:hideMark/>
          </w:tcPr>
          <w:p w14:paraId="092B38B7"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447</w:t>
            </w:r>
          </w:p>
        </w:tc>
        <w:tc>
          <w:tcPr>
            <w:tcW w:w="1064" w:type="pct"/>
            <w:tcBorders>
              <w:top w:val="nil"/>
              <w:left w:val="nil"/>
              <w:bottom w:val="nil"/>
              <w:right w:val="nil"/>
            </w:tcBorders>
            <w:shd w:val="clear" w:color="auto" w:fill="auto"/>
            <w:noWrap/>
            <w:vAlign w:val="bottom"/>
            <w:hideMark/>
          </w:tcPr>
          <w:p w14:paraId="5A2B8990"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(6%)</w:t>
            </w:r>
          </w:p>
        </w:tc>
      </w:tr>
      <w:tr w:rsidR="0049448B" w:rsidRPr="0049448B" w14:paraId="55E3F336" w14:textId="77777777" w:rsidTr="0049448B">
        <w:trPr>
          <w:trHeight w:val="220"/>
        </w:trPr>
        <w:tc>
          <w:tcPr>
            <w:tcW w:w="960" w:type="pct"/>
            <w:tcBorders>
              <w:top w:val="nil"/>
              <w:left w:val="nil"/>
              <w:bottom w:val="nil"/>
              <w:right w:val="nil"/>
            </w:tcBorders>
            <w:shd w:val="clear" w:color="auto" w:fill="auto"/>
            <w:noWrap/>
            <w:vAlign w:val="bottom"/>
            <w:hideMark/>
          </w:tcPr>
          <w:p w14:paraId="3CF3D18B"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70BA9B08"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MCL</w:t>
            </w:r>
          </w:p>
        </w:tc>
        <w:tc>
          <w:tcPr>
            <w:tcW w:w="691" w:type="pct"/>
            <w:tcBorders>
              <w:top w:val="nil"/>
              <w:left w:val="nil"/>
              <w:bottom w:val="nil"/>
              <w:right w:val="nil"/>
            </w:tcBorders>
            <w:shd w:val="clear" w:color="auto" w:fill="auto"/>
            <w:noWrap/>
            <w:vAlign w:val="bottom"/>
            <w:hideMark/>
          </w:tcPr>
          <w:p w14:paraId="41DA846E"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325</w:t>
            </w:r>
          </w:p>
        </w:tc>
        <w:tc>
          <w:tcPr>
            <w:tcW w:w="1064" w:type="pct"/>
            <w:tcBorders>
              <w:top w:val="nil"/>
              <w:left w:val="nil"/>
              <w:bottom w:val="nil"/>
              <w:right w:val="nil"/>
            </w:tcBorders>
            <w:shd w:val="clear" w:color="auto" w:fill="auto"/>
            <w:noWrap/>
            <w:vAlign w:val="bottom"/>
            <w:hideMark/>
          </w:tcPr>
          <w:p w14:paraId="771759FB"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(4%)</w:t>
            </w:r>
          </w:p>
        </w:tc>
      </w:tr>
      <w:tr w:rsidR="0049448B" w:rsidRPr="0049448B" w14:paraId="53549D5D" w14:textId="77777777" w:rsidTr="0049448B">
        <w:trPr>
          <w:trHeight w:val="220"/>
        </w:trPr>
        <w:tc>
          <w:tcPr>
            <w:tcW w:w="960" w:type="pct"/>
            <w:tcBorders>
              <w:top w:val="nil"/>
              <w:left w:val="nil"/>
              <w:bottom w:val="nil"/>
              <w:right w:val="nil"/>
            </w:tcBorders>
            <w:shd w:val="clear" w:color="auto" w:fill="auto"/>
            <w:noWrap/>
            <w:vAlign w:val="bottom"/>
            <w:hideMark/>
          </w:tcPr>
          <w:p w14:paraId="24F6305E"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13AA4025"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LPL/Waldenstrom</w:t>
            </w:r>
          </w:p>
        </w:tc>
        <w:tc>
          <w:tcPr>
            <w:tcW w:w="691" w:type="pct"/>
            <w:tcBorders>
              <w:top w:val="nil"/>
              <w:left w:val="nil"/>
              <w:bottom w:val="nil"/>
              <w:right w:val="nil"/>
            </w:tcBorders>
            <w:shd w:val="clear" w:color="auto" w:fill="auto"/>
            <w:noWrap/>
            <w:vAlign w:val="bottom"/>
            <w:hideMark/>
          </w:tcPr>
          <w:p w14:paraId="056B958D"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228</w:t>
            </w:r>
          </w:p>
        </w:tc>
        <w:tc>
          <w:tcPr>
            <w:tcW w:w="1064" w:type="pct"/>
            <w:tcBorders>
              <w:top w:val="nil"/>
              <w:left w:val="nil"/>
              <w:bottom w:val="nil"/>
              <w:right w:val="nil"/>
            </w:tcBorders>
            <w:shd w:val="clear" w:color="auto" w:fill="auto"/>
            <w:noWrap/>
            <w:vAlign w:val="bottom"/>
            <w:hideMark/>
          </w:tcPr>
          <w:p w14:paraId="0B54E7FD"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(3%)</w:t>
            </w:r>
          </w:p>
        </w:tc>
      </w:tr>
      <w:tr w:rsidR="0049448B" w:rsidRPr="0049448B" w14:paraId="0B33643A" w14:textId="77777777" w:rsidTr="0049448B">
        <w:trPr>
          <w:trHeight w:val="220"/>
        </w:trPr>
        <w:tc>
          <w:tcPr>
            <w:tcW w:w="960" w:type="pct"/>
            <w:tcBorders>
              <w:top w:val="nil"/>
              <w:left w:val="nil"/>
              <w:bottom w:val="nil"/>
              <w:right w:val="nil"/>
            </w:tcBorders>
            <w:shd w:val="clear" w:color="auto" w:fill="auto"/>
            <w:noWrap/>
            <w:vAlign w:val="bottom"/>
            <w:hideMark/>
          </w:tcPr>
          <w:p w14:paraId="7025EB6C"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79C58AFD"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Hairy cell</w:t>
            </w:r>
          </w:p>
        </w:tc>
        <w:tc>
          <w:tcPr>
            <w:tcW w:w="691" w:type="pct"/>
            <w:tcBorders>
              <w:top w:val="nil"/>
              <w:left w:val="nil"/>
              <w:bottom w:val="nil"/>
              <w:right w:val="nil"/>
            </w:tcBorders>
            <w:shd w:val="clear" w:color="auto" w:fill="auto"/>
            <w:noWrap/>
            <w:vAlign w:val="bottom"/>
            <w:hideMark/>
          </w:tcPr>
          <w:p w14:paraId="2A71F663"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75</w:t>
            </w:r>
          </w:p>
        </w:tc>
        <w:tc>
          <w:tcPr>
            <w:tcW w:w="1064" w:type="pct"/>
            <w:tcBorders>
              <w:top w:val="nil"/>
              <w:left w:val="nil"/>
              <w:bottom w:val="nil"/>
              <w:right w:val="nil"/>
            </w:tcBorders>
            <w:shd w:val="clear" w:color="auto" w:fill="auto"/>
            <w:noWrap/>
            <w:vAlign w:val="bottom"/>
            <w:hideMark/>
          </w:tcPr>
          <w:p w14:paraId="7105EBC9"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(1%)</w:t>
            </w:r>
          </w:p>
        </w:tc>
      </w:tr>
      <w:tr w:rsidR="0049448B" w:rsidRPr="0049448B" w14:paraId="2DDDDB1D" w14:textId="77777777" w:rsidTr="0049448B">
        <w:trPr>
          <w:trHeight w:val="220"/>
        </w:trPr>
        <w:tc>
          <w:tcPr>
            <w:tcW w:w="960" w:type="pct"/>
            <w:tcBorders>
              <w:top w:val="nil"/>
              <w:left w:val="nil"/>
              <w:bottom w:val="nil"/>
              <w:right w:val="nil"/>
            </w:tcBorders>
            <w:shd w:val="clear" w:color="auto" w:fill="auto"/>
            <w:noWrap/>
            <w:vAlign w:val="bottom"/>
            <w:hideMark/>
          </w:tcPr>
          <w:p w14:paraId="4D98AF41"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75883491"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Burkitt</w:t>
            </w:r>
          </w:p>
        </w:tc>
        <w:tc>
          <w:tcPr>
            <w:tcW w:w="691" w:type="pct"/>
            <w:tcBorders>
              <w:top w:val="nil"/>
              <w:left w:val="nil"/>
              <w:bottom w:val="nil"/>
              <w:right w:val="nil"/>
            </w:tcBorders>
            <w:shd w:val="clear" w:color="auto" w:fill="auto"/>
            <w:noWrap/>
            <w:vAlign w:val="bottom"/>
            <w:hideMark/>
          </w:tcPr>
          <w:p w14:paraId="0555845B"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63</w:t>
            </w:r>
          </w:p>
        </w:tc>
        <w:tc>
          <w:tcPr>
            <w:tcW w:w="1064" w:type="pct"/>
            <w:tcBorders>
              <w:top w:val="nil"/>
              <w:left w:val="nil"/>
              <w:bottom w:val="nil"/>
              <w:right w:val="nil"/>
            </w:tcBorders>
            <w:shd w:val="clear" w:color="auto" w:fill="auto"/>
            <w:noWrap/>
            <w:vAlign w:val="bottom"/>
            <w:hideMark/>
          </w:tcPr>
          <w:p w14:paraId="3CC35D44"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(1%)</w:t>
            </w:r>
          </w:p>
        </w:tc>
      </w:tr>
      <w:tr w:rsidR="0049448B" w:rsidRPr="0049448B" w14:paraId="5EE5463D" w14:textId="77777777" w:rsidTr="0049448B">
        <w:trPr>
          <w:trHeight w:val="220"/>
        </w:trPr>
        <w:tc>
          <w:tcPr>
            <w:tcW w:w="960" w:type="pct"/>
            <w:tcBorders>
              <w:top w:val="nil"/>
              <w:left w:val="nil"/>
              <w:bottom w:val="nil"/>
              <w:right w:val="nil"/>
            </w:tcBorders>
            <w:shd w:val="clear" w:color="auto" w:fill="auto"/>
            <w:noWrap/>
            <w:vAlign w:val="bottom"/>
            <w:hideMark/>
          </w:tcPr>
          <w:p w14:paraId="332BA01B"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2BAA0AF8"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Precursor B-cell</w:t>
            </w:r>
          </w:p>
        </w:tc>
        <w:tc>
          <w:tcPr>
            <w:tcW w:w="691" w:type="pct"/>
            <w:tcBorders>
              <w:top w:val="nil"/>
              <w:left w:val="nil"/>
              <w:bottom w:val="nil"/>
              <w:right w:val="nil"/>
            </w:tcBorders>
            <w:shd w:val="clear" w:color="auto" w:fill="auto"/>
            <w:noWrap/>
            <w:vAlign w:val="bottom"/>
            <w:hideMark/>
          </w:tcPr>
          <w:p w14:paraId="357399CC"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40</w:t>
            </w:r>
          </w:p>
        </w:tc>
        <w:tc>
          <w:tcPr>
            <w:tcW w:w="1064" w:type="pct"/>
            <w:tcBorders>
              <w:top w:val="nil"/>
              <w:left w:val="nil"/>
              <w:bottom w:val="nil"/>
              <w:right w:val="nil"/>
            </w:tcBorders>
            <w:shd w:val="clear" w:color="auto" w:fill="auto"/>
            <w:noWrap/>
            <w:vAlign w:val="bottom"/>
            <w:hideMark/>
          </w:tcPr>
          <w:p w14:paraId="2EDFE873"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(1%)</w:t>
            </w:r>
          </w:p>
        </w:tc>
      </w:tr>
      <w:tr w:rsidR="0049448B" w:rsidRPr="0049448B" w14:paraId="2B361D8C" w14:textId="77777777" w:rsidTr="0049448B">
        <w:trPr>
          <w:trHeight w:val="220"/>
        </w:trPr>
        <w:tc>
          <w:tcPr>
            <w:tcW w:w="960" w:type="pct"/>
            <w:tcBorders>
              <w:top w:val="nil"/>
              <w:left w:val="nil"/>
              <w:bottom w:val="nil"/>
              <w:right w:val="nil"/>
            </w:tcBorders>
            <w:shd w:val="clear" w:color="auto" w:fill="auto"/>
            <w:noWrap/>
            <w:vAlign w:val="bottom"/>
            <w:hideMark/>
          </w:tcPr>
          <w:p w14:paraId="1CC4706C"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3719A60B"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Burkitt-like</w:t>
            </w:r>
          </w:p>
        </w:tc>
        <w:tc>
          <w:tcPr>
            <w:tcW w:w="691" w:type="pct"/>
            <w:tcBorders>
              <w:top w:val="nil"/>
              <w:left w:val="nil"/>
              <w:bottom w:val="nil"/>
              <w:right w:val="nil"/>
            </w:tcBorders>
            <w:shd w:val="clear" w:color="auto" w:fill="auto"/>
            <w:noWrap/>
            <w:vAlign w:val="bottom"/>
            <w:hideMark/>
          </w:tcPr>
          <w:p w14:paraId="6E03C06C"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27</w:t>
            </w:r>
          </w:p>
        </w:tc>
        <w:tc>
          <w:tcPr>
            <w:tcW w:w="1064" w:type="pct"/>
            <w:tcBorders>
              <w:top w:val="nil"/>
              <w:left w:val="nil"/>
              <w:bottom w:val="nil"/>
              <w:right w:val="nil"/>
            </w:tcBorders>
            <w:shd w:val="clear" w:color="auto" w:fill="auto"/>
            <w:noWrap/>
            <w:vAlign w:val="bottom"/>
            <w:hideMark/>
          </w:tcPr>
          <w:p w14:paraId="20F9D391"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(0.3%)</w:t>
            </w:r>
          </w:p>
        </w:tc>
      </w:tr>
      <w:tr w:rsidR="0049448B" w:rsidRPr="0049448B" w14:paraId="0A3573A3" w14:textId="77777777" w:rsidTr="0049448B">
        <w:trPr>
          <w:trHeight w:val="220"/>
        </w:trPr>
        <w:tc>
          <w:tcPr>
            <w:tcW w:w="960" w:type="pct"/>
            <w:tcBorders>
              <w:top w:val="nil"/>
              <w:left w:val="nil"/>
              <w:bottom w:val="nil"/>
              <w:right w:val="nil"/>
            </w:tcBorders>
            <w:shd w:val="clear" w:color="auto" w:fill="auto"/>
            <w:noWrap/>
            <w:vAlign w:val="bottom"/>
            <w:hideMark/>
          </w:tcPr>
          <w:p w14:paraId="56183C5B"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7AD0473F"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PLL</w:t>
            </w:r>
          </w:p>
        </w:tc>
        <w:tc>
          <w:tcPr>
            <w:tcW w:w="691" w:type="pct"/>
            <w:tcBorders>
              <w:top w:val="nil"/>
              <w:left w:val="nil"/>
              <w:bottom w:val="nil"/>
              <w:right w:val="nil"/>
            </w:tcBorders>
            <w:shd w:val="clear" w:color="auto" w:fill="auto"/>
            <w:noWrap/>
            <w:vAlign w:val="bottom"/>
            <w:hideMark/>
          </w:tcPr>
          <w:p w14:paraId="234A3413"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4</w:t>
            </w:r>
          </w:p>
        </w:tc>
        <w:tc>
          <w:tcPr>
            <w:tcW w:w="1064" w:type="pct"/>
            <w:tcBorders>
              <w:top w:val="nil"/>
              <w:left w:val="nil"/>
              <w:bottom w:val="nil"/>
              <w:right w:val="nil"/>
            </w:tcBorders>
            <w:shd w:val="clear" w:color="auto" w:fill="auto"/>
            <w:noWrap/>
            <w:vAlign w:val="bottom"/>
            <w:hideMark/>
          </w:tcPr>
          <w:p w14:paraId="70BC7DDD"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(0.05%)</w:t>
            </w:r>
          </w:p>
        </w:tc>
      </w:tr>
      <w:tr w:rsidR="0049448B" w:rsidRPr="0049448B" w14:paraId="0FC69C43" w14:textId="77777777" w:rsidTr="0049448B">
        <w:trPr>
          <w:trHeight w:val="220"/>
        </w:trPr>
        <w:tc>
          <w:tcPr>
            <w:tcW w:w="960" w:type="pct"/>
            <w:tcBorders>
              <w:top w:val="nil"/>
              <w:left w:val="nil"/>
              <w:bottom w:val="nil"/>
              <w:right w:val="nil"/>
            </w:tcBorders>
            <w:shd w:val="clear" w:color="auto" w:fill="auto"/>
            <w:noWrap/>
            <w:vAlign w:val="bottom"/>
            <w:hideMark/>
          </w:tcPr>
          <w:p w14:paraId="3FA1DA81"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single" w:sz="4" w:space="0" w:color="auto"/>
              <w:right w:val="nil"/>
            </w:tcBorders>
            <w:shd w:val="clear" w:color="auto" w:fill="auto"/>
            <w:noWrap/>
            <w:vAlign w:val="bottom"/>
            <w:hideMark/>
          </w:tcPr>
          <w:p w14:paraId="3F4859BC"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B-Cell NOS</w:t>
            </w:r>
          </w:p>
        </w:tc>
        <w:tc>
          <w:tcPr>
            <w:tcW w:w="691" w:type="pct"/>
            <w:tcBorders>
              <w:top w:val="nil"/>
              <w:left w:val="nil"/>
              <w:bottom w:val="single" w:sz="4" w:space="0" w:color="auto"/>
              <w:right w:val="nil"/>
            </w:tcBorders>
            <w:shd w:val="clear" w:color="auto" w:fill="auto"/>
            <w:noWrap/>
            <w:vAlign w:val="bottom"/>
            <w:hideMark/>
          </w:tcPr>
          <w:p w14:paraId="55A75717"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534</w:t>
            </w:r>
          </w:p>
        </w:tc>
        <w:tc>
          <w:tcPr>
            <w:tcW w:w="1064" w:type="pct"/>
            <w:tcBorders>
              <w:top w:val="nil"/>
              <w:left w:val="nil"/>
              <w:bottom w:val="single" w:sz="4" w:space="0" w:color="auto"/>
              <w:right w:val="nil"/>
            </w:tcBorders>
            <w:shd w:val="clear" w:color="auto" w:fill="auto"/>
            <w:noWrap/>
            <w:vAlign w:val="bottom"/>
            <w:hideMark/>
          </w:tcPr>
          <w:p w14:paraId="0FC4E660"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(7%)</w:t>
            </w:r>
          </w:p>
        </w:tc>
      </w:tr>
      <w:tr w:rsidR="0049448B" w:rsidRPr="0049448B" w14:paraId="5CFBFA6E" w14:textId="77777777" w:rsidTr="0049448B">
        <w:trPr>
          <w:trHeight w:val="220"/>
        </w:trPr>
        <w:tc>
          <w:tcPr>
            <w:tcW w:w="960" w:type="pct"/>
            <w:tcBorders>
              <w:top w:val="nil"/>
              <w:left w:val="nil"/>
              <w:bottom w:val="nil"/>
              <w:right w:val="nil"/>
            </w:tcBorders>
            <w:shd w:val="clear" w:color="auto" w:fill="auto"/>
            <w:noWrap/>
            <w:vAlign w:val="bottom"/>
            <w:hideMark/>
          </w:tcPr>
          <w:p w14:paraId="51657055"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3B935D59"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TOTAL B-Cell</w:t>
            </w:r>
          </w:p>
        </w:tc>
        <w:tc>
          <w:tcPr>
            <w:tcW w:w="691" w:type="pct"/>
            <w:tcBorders>
              <w:top w:val="nil"/>
              <w:left w:val="nil"/>
              <w:bottom w:val="nil"/>
              <w:right w:val="nil"/>
            </w:tcBorders>
            <w:shd w:val="clear" w:color="auto" w:fill="auto"/>
            <w:noWrap/>
            <w:vAlign w:val="bottom"/>
            <w:hideMark/>
          </w:tcPr>
          <w:p w14:paraId="1F70EB76"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7146</w:t>
            </w:r>
          </w:p>
        </w:tc>
        <w:tc>
          <w:tcPr>
            <w:tcW w:w="1064" w:type="pct"/>
            <w:tcBorders>
              <w:top w:val="nil"/>
              <w:left w:val="nil"/>
              <w:bottom w:val="nil"/>
              <w:right w:val="nil"/>
            </w:tcBorders>
            <w:shd w:val="clear" w:color="auto" w:fill="auto"/>
            <w:noWrap/>
            <w:vAlign w:val="bottom"/>
            <w:hideMark/>
          </w:tcPr>
          <w:p w14:paraId="4A05D653"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(90%)</w:t>
            </w:r>
          </w:p>
        </w:tc>
      </w:tr>
      <w:tr w:rsidR="0049448B" w:rsidRPr="0049448B" w14:paraId="44E49516" w14:textId="77777777" w:rsidTr="0049448B">
        <w:trPr>
          <w:trHeight w:val="220"/>
        </w:trPr>
        <w:tc>
          <w:tcPr>
            <w:tcW w:w="960" w:type="pct"/>
            <w:tcBorders>
              <w:top w:val="nil"/>
              <w:left w:val="nil"/>
              <w:bottom w:val="nil"/>
              <w:right w:val="nil"/>
            </w:tcBorders>
            <w:shd w:val="clear" w:color="auto" w:fill="auto"/>
            <w:noWrap/>
            <w:vAlign w:val="bottom"/>
            <w:hideMark/>
          </w:tcPr>
          <w:p w14:paraId="49C3245A"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5E567B18" w14:textId="77777777" w:rsidR="0049448B" w:rsidRPr="0049448B" w:rsidRDefault="0049448B" w:rsidP="00B451CD">
            <w:pPr>
              <w:rPr>
                <w:rFonts w:ascii="Times New Roman" w:eastAsia="Times New Roman" w:hAnsi="Times New Roman" w:cs="Times New Roman"/>
                <w:sz w:val="20"/>
                <w:szCs w:val="20"/>
                <w:lang w:eastAsia="en-US"/>
              </w:rPr>
            </w:pPr>
          </w:p>
        </w:tc>
        <w:tc>
          <w:tcPr>
            <w:tcW w:w="691" w:type="pct"/>
            <w:tcBorders>
              <w:top w:val="nil"/>
              <w:left w:val="nil"/>
              <w:bottom w:val="nil"/>
              <w:right w:val="nil"/>
            </w:tcBorders>
            <w:shd w:val="clear" w:color="auto" w:fill="auto"/>
            <w:noWrap/>
            <w:vAlign w:val="bottom"/>
            <w:hideMark/>
          </w:tcPr>
          <w:p w14:paraId="36BD1EDC" w14:textId="77777777" w:rsidR="0049448B" w:rsidRPr="0049448B" w:rsidRDefault="0049448B" w:rsidP="00B451CD">
            <w:pPr>
              <w:rPr>
                <w:rFonts w:ascii="Times New Roman" w:eastAsia="Times New Roman" w:hAnsi="Times New Roman" w:cs="Times New Roman"/>
                <w:sz w:val="20"/>
                <w:szCs w:val="20"/>
                <w:lang w:eastAsia="en-US"/>
              </w:rPr>
            </w:pPr>
          </w:p>
        </w:tc>
        <w:tc>
          <w:tcPr>
            <w:tcW w:w="1064" w:type="pct"/>
            <w:tcBorders>
              <w:top w:val="nil"/>
              <w:left w:val="nil"/>
              <w:bottom w:val="nil"/>
              <w:right w:val="nil"/>
            </w:tcBorders>
            <w:shd w:val="clear" w:color="auto" w:fill="auto"/>
            <w:noWrap/>
            <w:vAlign w:val="bottom"/>
            <w:hideMark/>
          </w:tcPr>
          <w:p w14:paraId="1055C148" w14:textId="77777777" w:rsidR="0049448B" w:rsidRPr="0049448B" w:rsidRDefault="0049448B" w:rsidP="00B451CD">
            <w:pPr>
              <w:rPr>
                <w:rFonts w:ascii="Times New Roman" w:eastAsia="Times New Roman" w:hAnsi="Times New Roman" w:cs="Times New Roman"/>
                <w:sz w:val="20"/>
                <w:szCs w:val="20"/>
                <w:lang w:eastAsia="en-US"/>
              </w:rPr>
            </w:pPr>
          </w:p>
        </w:tc>
      </w:tr>
      <w:tr w:rsidR="0049448B" w:rsidRPr="0049448B" w14:paraId="551ABDE7" w14:textId="77777777" w:rsidTr="0049448B">
        <w:trPr>
          <w:trHeight w:val="220"/>
        </w:trPr>
        <w:tc>
          <w:tcPr>
            <w:tcW w:w="960" w:type="pct"/>
            <w:tcBorders>
              <w:top w:val="nil"/>
              <w:left w:val="nil"/>
              <w:bottom w:val="nil"/>
              <w:right w:val="nil"/>
            </w:tcBorders>
            <w:shd w:val="clear" w:color="auto" w:fill="auto"/>
            <w:noWrap/>
            <w:vAlign w:val="bottom"/>
            <w:hideMark/>
          </w:tcPr>
          <w:p w14:paraId="10385419"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T-Cell</w:t>
            </w:r>
          </w:p>
        </w:tc>
        <w:tc>
          <w:tcPr>
            <w:tcW w:w="2285" w:type="pct"/>
            <w:tcBorders>
              <w:top w:val="nil"/>
              <w:left w:val="nil"/>
              <w:bottom w:val="nil"/>
              <w:right w:val="nil"/>
            </w:tcBorders>
            <w:shd w:val="clear" w:color="auto" w:fill="auto"/>
            <w:noWrap/>
            <w:vAlign w:val="bottom"/>
            <w:hideMark/>
          </w:tcPr>
          <w:p w14:paraId="5BFEF429"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Peripheral T-cell</w:t>
            </w:r>
          </w:p>
        </w:tc>
        <w:tc>
          <w:tcPr>
            <w:tcW w:w="691" w:type="pct"/>
            <w:tcBorders>
              <w:top w:val="nil"/>
              <w:left w:val="nil"/>
              <w:bottom w:val="nil"/>
              <w:right w:val="nil"/>
            </w:tcBorders>
            <w:shd w:val="clear" w:color="auto" w:fill="auto"/>
            <w:noWrap/>
            <w:vAlign w:val="bottom"/>
            <w:hideMark/>
          </w:tcPr>
          <w:p w14:paraId="5EE9A1C2"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262</w:t>
            </w:r>
          </w:p>
        </w:tc>
        <w:tc>
          <w:tcPr>
            <w:tcW w:w="1064" w:type="pct"/>
            <w:tcBorders>
              <w:top w:val="nil"/>
              <w:left w:val="nil"/>
              <w:bottom w:val="nil"/>
              <w:right w:val="nil"/>
            </w:tcBorders>
            <w:shd w:val="clear" w:color="auto" w:fill="auto"/>
            <w:noWrap/>
            <w:vAlign w:val="bottom"/>
            <w:hideMark/>
          </w:tcPr>
          <w:p w14:paraId="43EF79A6"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(3%)</w:t>
            </w:r>
          </w:p>
        </w:tc>
      </w:tr>
      <w:tr w:rsidR="0049448B" w:rsidRPr="0049448B" w14:paraId="431396C2" w14:textId="77777777" w:rsidTr="0049448B">
        <w:trPr>
          <w:trHeight w:val="220"/>
        </w:trPr>
        <w:tc>
          <w:tcPr>
            <w:tcW w:w="960" w:type="pct"/>
            <w:tcBorders>
              <w:top w:val="nil"/>
              <w:left w:val="nil"/>
              <w:bottom w:val="nil"/>
              <w:right w:val="nil"/>
            </w:tcBorders>
            <w:shd w:val="clear" w:color="auto" w:fill="auto"/>
            <w:noWrap/>
            <w:vAlign w:val="bottom"/>
            <w:hideMark/>
          </w:tcPr>
          <w:p w14:paraId="7DF436A2"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1CE0DE63"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MF/SS</w:t>
            </w:r>
          </w:p>
        </w:tc>
        <w:tc>
          <w:tcPr>
            <w:tcW w:w="691" w:type="pct"/>
            <w:tcBorders>
              <w:top w:val="nil"/>
              <w:left w:val="nil"/>
              <w:bottom w:val="nil"/>
              <w:right w:val="nil"/>
            </w:tcBorders>
            <w:shd w:val="clear" w:color="auto" w:fill="auto"/>
            <w:noWrap/>
            <w:vAlign w:val="bottom"/>
            <w:hideMark/>
          </w:tcPr>
          <w:p w14:paraId="79C0476A"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166</w:t>
            </w:r>
          </w:p>
        </w:tc>
        <w:tc>
          <w:tcPr>
            <w:tcW w:w="1064" w:type="pct"/>
            <w:tcBorders>
              <w:top w:val="nil"/>
              <w:left w:val="nil"/>
              <w:bottom w:val="nil"/>
              <w:right w:val="nil"/>
            </w:tcBorders>
            <w:shd w:val="clear" w:color="auto" w:fill="auto"/>
            <w:noWrap/>
            <w:vAlign w:val="bottom"/>
            <w:hideMark/>
          </w:tcPr>
          <w:p w14:paraId="6080AA56"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(2%)</w:t>
            </w:r>
          </w:p>
        </w:tc>
      </w:tr>
      <w:tr w:rsidR="0049448B" w:rsidRPr="0049448B" w14:paraId="5B3C9DE1" w14:textId="77777777" w:rsidTr="0049448B">
        <w:trPr>
          <w:trHeight w:val="220"/>
        </w:trPr>
        <w:tc>
          <w:tcPr>
            <w:tcW w:w="960" w:type="pct"/>
            <w:tcBorders>
              <w:top w:val="nil"/>
              <w:left w:val="nil"/>
              <w:bottom w:val="nil"/>
              <w:right w:val="nil"/>
            </w:tcBorders>
            <w:shd w:val="clear" w:color="auto" w:fill="auto"/>
            <w:noWrap/>
            <w:vAlign w:val="bottom"/>
            <w:hideMark/>
          </w:tcPr>
          <w:p w14:paraId="618B716F"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3D8B8AD0"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Precursor T-cell</w:t>
            </w:r>
          </w:p>
        </w:tc>
        <w:tc>
          <w:tcPr>
            <w:tcW w:w="691" w:type="pct"/>
            <w:tcBorders>
              <w:top w:val="nil"/>
              <w:left w:val="nil"/>
              <w:bottom w:val="nil"/>
              <w:right w:val="nil"/>
            </w:tcBorders>
            <w:shd w:val="clear" w:color="auto" w:fill="auto"/>
            <w:noWrap/>
            <w:vAlign w:val="bottom"/>
            <w:hideMark/>
          </w:tcPr>
          <w:p w14:paraId="2D591F16"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26</w:t>
            </w:r>
          </w:p>
        </w:tc>
        <w:tc>
          <w:tcPr>
            <w:tcW w:w="1064" w:type="pct"/>
            <w:tcBorders>
              <w:top w:val="nil"/>
              <w:left w:val="nil"/>
              <w:bottom w:val="nil"/>
              <w:right w:val="nil"/>
            </w:tcBorders>
            <w:shd w:val="clear" w:color="auto" w:fill="auto"/>
            <w:noWrap/>
            <w:vAlign w:val="bottom"/>
            <w:hideMark/>
          </w:tcPr>
          <w:p w14:paraId="4F0A5A72"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(0.3%)</w:t>
            </w:r>
          </w:p>
        </w:tc>
      </w:tr>
      <w:tr w:rsidR="0049448B" w:rsidRPr="0049448B" w14:paraId="3C201743" w14:textId="77777777" w:rsidTr="0049448B">
        <w:trPr>
          <w:trHeight w:val="220"/>
        </w:trPr>
        <w:tc>
          <w:tcPr>
            <w:tcW w:w="960" w:type="pct"/>
            <w:tcBorders>
              <w:top w:val="nil"/>
              <w:left w:val="nil"/>
              <w:bottom w:val="nil"/>
              <w:right w:val="nil"/>
            </w:tcBorders>
            <w:shd w:val="clear" w:color="auto" w:fill="auto"/>
            <w:noWrap/>
            <w:vAlign w:val="bottom"/>
            <w:hideMark/>
          </w:tcPr>
          <w:p w14:paraId="3F81B21B"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6D9A88D4"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Nasal NK</w:t>
            </w:r>
          </w:p>
        </w:tc>
        <w:tc>
          <w:tcPr>
            <w:tcW w:w="691" w:type="pct"/>
            <w:tcBorders>
              <w:top w:val="nil"/>
              <w:left w:val="nil"/>
              <w:bottom w:val="nil"/>
              <w:right w:val="nil"/>
            </w:tcBorders>
            <w:shd w:val="clear" w:color="auto" w:fill="auto"/>
            <w:noWrap/>
            <w:vAlign w:val="bottom"/>
            <w:hideMark/>
          </w:tcPr>
          <w:p w14:paraId="5C8010BE"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17</w:t>
            </w:r>
          </w:p>
        </w:tc>
        <w:tc>
          <w:tcPr>
            <w:tcW w:w="1064" w:type="pct"/>
            <w:tcBorders>
              <w:top w:val="nil"/>
              <w:left w:val="nil"/>
              <w:bottom w:val="nil"/>
              <w:right w:val="nil"/>
            </w:tcBorders>
            <w:shd w:val="clear" w:color="auto" w:fill="auto"/>
            <w:noWrap/>
            <w:vAlign w:val="bottom"/>
            <w:hideMark/>
          </w:tcPr>
          <w:p w14:paraId="380F403C"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(0.2%)</w:t>
            </w:r>
          </w:p>
        </w:tc>
      </w:tr>
      <w:tr w:rsidR="0049448B" w:rsidRPr="0049448B" w14:paraId="22383C60" w14:textId="77777777" w:rsidTr="0049448B">
        <w:trPr>
          <w:trHeight w:val="220"/>
        </w:trPr>
        <w:tc>
          <w:tcPr>
            <w:tcW w:w="960" w:type="pct"/>
            <w:tcBorders>
              <w:top w:val="nil"/>
              <w:left w:val="nil"/>
              <w:bottom w:val="nil"/>
              <w:right w:val="nil"/>
            </w:tcBorders>
            <w:shd w:val="clear" w:color="auto" w:fill="auto"/>
            <w:noWrap/>
            <w:vAlign w:val="bottom"/>
            <w:hideMark/>
          </w:tcPr>
          <w:p w14:paraId="36293A89"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66B76166"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Large granular</w:t>
            </w:r>
          </w:p>
        </w:tc>
        <w:tc>
          <w:tcPr>
            <w:tcW w:w="691" w:type="pct"/>
            <w:tcBorders>
              <w:top w:val="nil"/>
              <w:left w:val="nil"/>
              <w:bottom w:val="nil"/>
              <w:right w:val="nil"/>
            </w:tcBorders>
            <w:shd w:val="clear" w:color="auto" w:fill="auto"/>
            <w:noWrap/>
            <w:vAlign w:val="bottom"/>
            <w:hideMark/>
          </w:tcPr>
          <w:p w14:paraId="242078C6"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7</w:t>
            </w:r>
          </w:p>
        </w:tc>
        <w:tc>
          <w:tcPr>
            <w:tcW w:w="1064" w:type="pct"/>
            <w:tcBorders>
              <w:top w:val="nil"/>
              <w:left w:val="nil"/>
              <w:bottom w:val="nil"/>
              <w:right w:val="nil"/>
            </w:tcBorders>
            <w:shd w:val="clear" w:color="auto" w:fill="auto"/>
            <w:noWrap/>
            <w:vAlign w:val="bottom"/>
            <w:hideMark/>
          </w:tcPr>
          <w:p w14:paraId="0CC5FAEE"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(0.1%)</w:t>
            </w:r>
          </w:p>
        </w:tc>
      </w:tr>
      <w:tr w:rsidR="0049448B" w:rsidRPr="0049448B" w14:paraId="4603F8A9" w14:textId="77777777" w:rsidTr="0049448B">
        <w:trPr>
          <w:trHeight w:val="220"/>
        </w:trPr>
        <w:tc>
          <w:tcPr>
            <w:tcW w:w="960" w:type="pct"/>
            <w:tcBorders>
              <w:top w:val="nil"/>
              <w:left w:val="nil"/>
              <w:bottom w:val="nil"/>
              <w:right w:val="nil"/>
            </w:tcBorders>
            <w:shd w:val="clear" w:color="auto" w:fill="auto"/>
            <w:noWrap/>
            <w:vAlign w:val="bottom"/>
            <w:hideMark/>
          </w:tcPr>
          <w:p w14:paraId="62710664"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250F0A2A"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T-PLL</w:t>
            </w:r>
          </w:p>
        </w:tc>
        <w:tc>
          <w:tcPr>
            <w:tcW w:w="691" w:type="pct"/>
            <w:tcBorders>
              <w:top w:val="nil"/>
              <w:left w:val="nil"/>
              <w:bottom w:val="nil"/>
              <w:right w:val="nil"/>
            </w:tcBorders>
            <w:shd w:val="clear" w:color="auto" w:fill="auto"/>
            <w:noWrap/>
            <w:vAlign w:val="bottom"/>
            <w:hideMark/>
          </w:tcPr>
          <w:p w14:paraId="4D05ACF2"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4</w:t>
            </w:r>
          </w:p>
        </w:tc>
        <w:tc>
          <w:tcPr>
            <w:tcW w:w="1064" w:type="pct"/>
            <w:tcBorders>
              <w:top w:val="nil"/>
              <w:left w:val="nil"/>
              <w:bottom w:val="nil"/>
              <w:right w:val="nil"/>
            </w:tcBorders>
            <w:shd w:val="clear" w:color="auto" w:fill="auto"/>
            <w:noWrap/>
            <w:vAlign w:val="bottom"/>
            <w:hideMark/>
          </w:tcPr>
          <w:p w14:paraId="6DC8A8E3"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(0.1%)</w:t>
            </w:r>
          </w:p>
        </w:tc>
      </w:tr>
      <w:tr w:rsidR="0049448B" w:rsidRPr="0049448B" w14:paraId="2CFB7B4C" w14:textId="77777777" w:rsidTr="0049448B">
        <w:trPr>
          <w:trHeight w:val="220"/>
        </w:trPr>
        <w:tc>
          <w:tcPr>
            <w:tcW w:w="960" w:type="pct"/>
            <w:tcBorders>
              <w:top w:val="nil"/>
              <w:left w:val="nil"/>
              <w:bottom w:val="nil"/>
              <w:right w:val="nil"/>
            </w:tcBorders>
            <w:shd w:val="clear" w:color="auto" w:fill="auto"/>
            <w:noWrap/>
            <w:vAlign w:val="bottom"/>
            <w:hideMark/>
          </w:tcPr>
          <w:p w14:paraId="21675053"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single" w:sz="4" w:space="0" w:color="auto"/>
              <w:right w:val="nil"/>
            </w:tcBorders>
            <w:shd w:val="clear" w:color="auto" w:fill="auto"/>
            <w:noWrap/>
            <w:vAlign w:val="bottom"/>
            <w:hideMark/>
          </w:tcPr>
          <w:p w14:paraId="13814D55"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T-Cell NOS</w:t>
            </w:r>
          </w:p>
        </w:tc>
        <w:tc>
          <w:tcPr>
            <w:tcW w:w="691" w:type="pct"/>
            <w:tcBorders>
              <w:top w:val="nil"/>
              <w:left w:val="nil"/>
              <w:bottom w:val="single" w:sz="4" w:space="0" w:color="auto"/>
              <w:right w:val="nil"/>
            </w:tcBorders>
            <w:shd w:val="clear" w:color="auto" w:fill="auto"/>
            <w:noWrap/>
            <w:vAlign w:val="bottom"/>
            <w:hideMark/>
          </w:tcPr>
          <w:p w14:paraId="62806CCD"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27</w:t>
            </w:r>
          </w:p>
        </w:tc>
        <w:tc>
          <w:tcPr>
            <w:tcW w:w="1064" w:type="pct"/>
            <w:tcBorders>
              <w:top w:val="nil"/>
              <w:left w:val="nil"/>
              <w:bottom w:val="single" w:sz="4" w:space="0" w:color="auto"/>
              <w:right w:val="nil"/>
            </w:tcBorders>
            <w:shd w:val="clear" w:color="auto" w:fill="auto"/>
            <w:noWrap/>
            <w:vAlign w:val="bottom"/>
            <w:hideMark/>
          </w:tcPr>
          <w:p w14:paraId="73DAD3C7"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(0.3%)</w:t>
            </w:r>
          </w:p>
        </w:tc>
      </w:tr>
      <w:tr w:rsidR="0049448B" w:rsidRPr="0049448B" w14:paraId="52EDD0B4" w14:textId="77777777" w:rsidTr="0049448B">
        <w:trPr>
          <w:trHeight w:val="220"/>
        </w:trPr>
        <w:tc>
          <w:tcPr>
            <w:tcW w:w="960" w:type="pct"/>
            <w:tcBorders>
              <w:top w:val="nil"/>
              <w:left w:val="nil"/>
              <w:bottom w:val="nil"/>
              <w:right w:val="nil"/>
            </w:tcBorders>
            <w:shd w:val="clear" w:color="auto" w:fill="auto"/>
            <w:noWrap/>
            <w:vAlign w:val="bottom"/>
            <w:hideMark/>
          </w:tcPr>
          <w:p w14:paraId="46B5CBC8"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475781D6"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TOTAL T-Cell</w:t>
            </w:r>
          </w:p>
        </w:tc>
        <w:tc>
          <w:tcPr>
            <w:tcW w:w="691" w:type="pct"/>
            <w:tcBorders>
              <w:top w:val="nil"/>
              <w:left w:val="nil"/>
              <w:bottom w:val="nil"/>
              <w:right w:val="nil"/>
            </w:tcBorders>
            <w:shd w:val="clear" w:color="auto" w:fill="auto"/>
            <w:noWrap/>
            <w:vAlign w:val="bottom"/>
            <w:hideMark/>
          </w:tcPr>
          <w:p w14:paraId="031CC1D7"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509</w:t>
            </w:r>
          </w:p>
        </w:tc>
        <w:tc>
          <w:tcPr>
            <w:tcW w:w="1064" w:type="pct"/>
            <w:tcBorders>
              <w:top w:val="nil"/>
              <w:left w:val="nil"/>
              <w:bottom w:val="nil"/>
              <w:right w:val="nil"/>
            </w:tcBorders>
            <w:shd w:val="clear" w:color="auto" w:fill="auto"/>
            <w:noWrap/>
            <w:vAlign w:val="bottom"/>
            <w:hideMark/>
          </w:tcPr>
          <w:p w14:paraId="01451972"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(6%)</w:t>
            </w:r>
          </w:p>
        </w:tc>
      </w:tr>
      <w:tr w:rsidR="0049448B" w:rsidRPr="0049448B" w14:paraId="526DCC4F" w14:textId="77777777" w:rsidTr="0049448B">
        <w:trPr>
          <w:trHeight w:val="220"/>
        </w:trPr>
        <w:tc>
          <w:tcPr>
            <w:tcW w:w="960" w:type="pct"/>
            <w:tcBorders>
              <w:top w:val="nil"/>
              <w:left w:val="nil"/>
              <w:bottom w:val="nil"/>
              <w:right w:val="nil"/>
            </w:tcBorders>
            <w:shd w:val="clear" w:color="auto" w:fill="auto"/>
            <w:noWrap/>
            <w:vAlign w:val="bottom"/>
            <w:hideMark/>
          </w:tcPr>
          <w:p w14:paraId="086C7343" w14:textId="77777777" w:rsidR="0049448B" w:rsidRPr="0049448B" w:rsidRDefault="0049448B" w:rsidP="0049448B">
            <w:pPr>
              <w:jc w:val="right"/>
              <w:rPr>
                <w:rFonts w:eastAsia="Times New Roman" w:cs="Arial"/>
                <w:color w:val="000000"/>
                <w:sz w:val="16"/>
                <w:szCs w:val="16"/>
                <w:lang w:eastAsia="en-US"/>
              </w:rPr>
            </w:pPr>
          </w:p>
        </w:tc>
        <w:tc>
          <w:tcPr>
            <w:tcW w:w="2285" w:type="pct"/>
            <w:tcBorders>
              <w:top w:val="nil"/>
              <w:left w:val="nil"/>
              <w:bottom w:val="nil"/>
              <w:right w:val="nil"/>
            </w:tcBorders>
            <w:shd w:val="clear" w:color="auto" w:fill="auto"/>
            <w:noWrap/>
            <w:vAlign w:val="bottom"/>
            <w:hideMark/>
          </w:tcPr>
          <w:p w14:paraId="438E8AF6" w14:textId="77777777" w:rsidR="0049448B" w:rsidRPr="0049448B" w:rsidRDefault="0049448B" w:rsidP="00B451CD">
            <w:pPr>
              <w:rPr>
                <w:rFonts w:ascii="Times New Roman" w:eastAsia="Times New Roman" w:hAnsi="Times New Roman" w:cs="Times New Roman"/>
                <w:sz w:val="20"/>
                <w:szCs w:val="20"/>
                <w:lang w:eastAsia="en-US"/>
              </w:rPr>
            </w:pPr>
          </w:p>
        </w:tc>
        <w:tc>
          <w:tcPr>
            <w:tcW w:w="691" w:type="pct"/>
            <w:tcBorders>
              <w:top w:val="nil"/>
              <w:left w:val="nil"/>
              <w:bottom w:val="nil"/>
              <w:right w:val="nil"/>
            </w:tcBorders>
            <w:shd w:val="clear" w:color="auto" w:fill="auto"/>
            <w:noWrap/>
            <w:vAlign w:val="bottom"/>
            <w:hideMark/>
          </w:tcPr>
          <w:p w14:paraId="4E75CCFE" w14:textId="77777777" w:rsidR="0049448B" w:rsidRPr="0049448B" w:rsidRDefault="0049448B" w:rsidP="00B451CD">
            <w:pPr>
              <w:rPr>
                <w:rFonts w:ascii="Times New Roman" w:eastAsia="Times New Roman" w:hAnsi="Times New Roman" w:cs="Times New Roman"/>
                <w:sz w:val="20"/>
                <w:szCs w:val="20"/>
                <w:lang w:eastAsia="en-US"/>
              </w:rPr>
            </w:pPr>
          </w:p>
        </w:tc>
        <w:tc>
          <w:tcPr>
            <w:tcW w:w="1064" w:type="pct"/>
            <w:tcBorders>
              <w:top w:val="nil"/>
              <w:left w:val="nil"/>
              <w:bottom w:val="nil"/>
              <w:right w:val="nil"/>
            </w:tcBorders>
            <w:shd w:val="clear" w:color="auto" w:fill="auto"/>
            <w:noWrap/>
            <w:vAlign w:val="bottom"/>
            <w:hideMark/>
          </w:tcPr>
          <w:p w14:paraId="18460D02" w14:textId="77777777" w:rsidR="0049448B" w:rsidRPr="0049448B" w:rsidRDefault="0049448B" w:rsidP="00B451CD">
            <w:pPr>
              <w:rPr>
                <w:rFonts w:ascii="Times New Roman" w:eastAsia="Times New Roman" w:hAnsi="Times New Roman" w:cs="Times New Roman"/>
                <w:sz w:val="20"/>
                <w:szCs w:val="20"/>
                <w:lang w:eastAsia="en-US"/>
              </w:rPr>
            </w:pPr>
          </w:p>
        </w:tc>
      </w:tr>
      <w:tr w:rsidR="0049448B" w:rsidRPr="0049448B" w14:paraId="74273F49" w14:textId="77777777" w:rsidTr="0049448B">
        <w:trPr>
          <w:trHeight w:val="220"/>
        </w:trPr>
        <w:tc>
          <w:tcPr>
            <w:tcW w:w="960" w:type="pct"/>
            <w:tcBorders>
              <w:top w:val="nil"/>
              <w:left w:val="nil"/>
              <w:bottom w:val="nil"/>
              <w:right w:val="nil"/>
            </w:tcBorders>
            <w:shd w:val="clear" w:color="auto" w:fill="auto"/>
            <w:noWrap/>
            <w:vAlign w:val="bottom"/>
            <w:hideMark/>
          </w:tcPr>
          <w:p w14:paraId="5943D095"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NOS</w:t>
            </w:r>
          </w:p>
        </w:tc>
        <w:tc>
          <w:tcPr>
            <w:tcW w:w="2285" w:type="pct"/>
            <w:tcBorders>
              <w:top w:val="nil"/>
              <w:left w:val="nil"/>
              <w:bottom w:val="nil"/>
              <w:right w:val="nil"/>
            </w:tcBorders>
            <w:shd w:val="clear" w:color="auto" w:fill="auto"/>
            <w:noWrap/>
            <w:vAlign w:val="bottom"/>
            <w:hideMark/>
          </w:tcPr>
          <w:p w14:paraId="19A5D4D3" w14:textId="77777777" w:rsidR="0049448B" w:rsidRPr="0049448B" w:rsidRDefault="0049448B" w:rsidP="00B451CD">
            <w:pPr>
              <w:rPr>
                <w:rFonts w:eastAsia="Times New Roman" w:cs="Arial"/>
                <w:color w:val="000000"/>
                <w:sz w:val="16"/>
                <w:szCs w:val="16"/>
                <w:lang w:eastAsia="en-US"/>
              </w:rPr>
            </w:pPr>
          </w:p>
        </w:tc>
        <w:tc>
          <w:tcPr>
            <w:tcW w:w="691" w:type="pct"/>
            <w:tcBorders>
              <w:top w:val="nil"/>
              <w:left w:val="nil"/>
              <w:bottom w:val="nil"/>
              <w:right w:val="nil"/>
            </w:tcBorders>
            <w:shd w:val="clear" w:color="auto" w:fill="auto"/>
            <w:noWrap/>
            <w:vAlign w:val="bottom"/>
            <w:hideMark/>
          </w:tcPr>
          <w:p w14:paraId="09E25D53"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210</w:t>
            </w:r>
          </w:p>
        </w:tc>
        <w:tc>
          <w:tcPr>
            <w:tcW w:w="1064" w:type="pct"/>
            <w:tcBorders>
              <w:top w:val="nil"/>
              <w:left w:val="nil"/>
              <w:bottom w:val="nil"/>
              <w:right w:val="nil"/>
            </w:tcBorders>
            <w:shd w:val="clear" w:color="auto" w:fill="auto"/>
            <w:noWrap/>
            <w:vAlign w:val="bottom"/>
            <w:hideMark/>
          </w:tcPr>
          <w:p w14:paraId="4C22F53F"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(3%)</w:t>
            </w:r>
          </w:p>
        </w:tc>
      </w:tr>
      <w:tr w:rsidR="0049448B" w:rsidRPr="0049448B" w14:paraId="017645BC" w14:textId="77777777" w:rsidTr="0049448B">
        <w:trPr>
          <w:trHeight w:val="240"/>
        </w:trPr>
        <w:tc>
          <w:tcPr>
            <w:tcW w:w="960" w:type="pct"/>
            <w:tcBorders>
              <w:top w:val="nil"/>
              <w:left w:val="nil"/>
              <w:bottom w:val="single" w:sz="8" w:space="0" w:color="auto"/>
              <w:right w:val="nil"/>
            </w:tcBorders>
            <w:shd w:val="clear" w:color="auto" w:fill="auto"/>
            <w:noWrap/>
            <w:vAlign w:val="bottom"/>
            <w:hideMark/>
          </w:tcPr>
          <w:p w14:paraId="20B3C5B6"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Missing</w:t>
            </w:r>
          </w:p>
        </w:tc>
        <w:tc>
          <w:tcPr>
            <w:tcW w:w="2285" w:type="pct"/>
            <w:tcBorders>
              <w:top w:val="nil"/>
              <w:left w:val="nil"/>
              <w:bottom w:val="single" w:sz="8" w:space="0" w:color="auto"/>
              <w:right w:val="nil"/>
            </w:tcBorders>
            <w:shd w:val="clear" w:color="auto" w:fill="auto"/>
            <w:noWrap/>
            <w:vAlign w:val="bottom"/>
            <w:hideMark/>
          </w:tcPr>
          <w:p w14:paraId="2BB4AA10" w14:textId="77777777" w:rsidR="0049448B" w:rsidRPr="0049448B" w:rsidRDefault="0049448B" w:rsidP="00B451CD">
            <w:pPr>
              <w:rPr>
                <w:rFonts w:eastAsia="Times New Roman" w:cs="Arial"/>
                <w:i/>
                <w:iCs/>
                <w:color w:val="000000"/>
                <w:sz w:val="16"/>
                <w:szCs w:val="16"/>
                <w:lang w:eastAsia="en-US"/>
              </w:rPr>
            </w:pPr>
            <w:r w:rsidRPr="0049448B">
              <w:rPr>
                <w:rFonts w:eastAsia="Times New Roman" w:cs="Arial"/>
                <w:i/>
                <w:iCs/>
                <w:color w:val="000000"/>
                <w:sz w:val="16"/>
                <w:szCs w:val="16"/>
                <w:lang w:eastAsia="en-US"/>
              </w:rPr>
              <w:t> </w:t>
            </w:r>
          </w:p>
        </w:tc>
        <w:tc>
          <w:tcPr>
            <w:tcW w:w="691" w:type="pct"/>
            <w:tcBorders>
              <w:top w:val="nil"/>
              <w:left w:val="nil"/>
              <w:bottom w:val="single" w:sz="8" w:space="0" w:color="auto"/>
              <w:right w:val="nil"/>
            </w:tcBorders>
            <w:shd w:val="clear" w:color="auto" w:fill="auto"/>
            <w:noWrap/>
            <w:vAlign w:val="bottom"/>
            <w:hideMark/>
          </w:tcPr>
          <w:p w14:paraId="4CED0493"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61</w:t>
            </w:r>
          </w:p>
        </w:tc>
        <w:tc>
          <w:tcPr>
            <w:tcW w:w="1064" w:type="pct"/>
            <w:tcBorders>
              <w:top w:val="nil"/>
              <w:left w:val="nil"/>
              <w:bottom w:val="single" w:sz="8" w:space="0" w:color="auto"/>
              <w:right w:val="nil"/>
            </w:tcBorders>
            <w:shd w:val="clear" w:color="auto" w:fill="auto"/>
            <w:noWrap/>
            <w:vAlign w:val="bottom"/>
            <w:hideMark/>
          </w:tcPr>
          <w:p w14:paraId="3BD5504C" w14:textId="77777777" w:rsidR="0049448B" w:rsidRPr="0049448B" w:rsidRDefault="0049448B" w:rsidP="00B451CD">
            <w:pPr>
              <w:rPr>
                <w:rFonts w:eastAsia="Times New Roman" w:cs="Arial"/>
                <w:color w:val="000000"/>
                <w:sz w:val="16"/>
                <w:szCs w:val="16"/>
                <w:lang w:eastAsia="en-US"/>
              </w:rPr>
            </w:pPr>
            <w:r w:rsidRPr="0049448B">
              <w:rPr>
                <w:rFonts w:eastAsia="Times New Roman" w:cs="Arial"/>
                <w:color w:val="000000"/>
                <w:sz w:val="16"/>
                <w:szCs w:val="16"/>
                <w:lang w:eastAsia="en-US"/>
              </w:rPr>
              <w:t xml:space="preserve"> (1%)</w:t>
            </w:r>
          </w:p>
        </w:tc>
      </w:tr>
    </w:tbl>
    <w:p w14:paraId="5003A356" w14:textId="4C08A441" w:rsidR="00A07A85" w:rsidRDefault="00A07A85" w:rsidP="00EF7273"/>
    <w:p w14:paraId="57F439F9" w14:textId="7E6BF4FB" w:rsidR="00B451CD" w:rsidRDefault="00B451CD" w:rsidP="00EF7273"/>
    <w:p w14:paraId="0EA24C2E" w14:textId="4469B2C2" w:rsidR="00B451CD" w:rsidRDefault="00B451CD" w:rsidP="00EF7273"/>
    <w:p w14:paraId="25FBA095" w14:textId="4FA64033" w:rsidR="00B451CD" w:rsidRDefault="00B451CD" w:rsidP="00B451CD">
      <w:pPr>
        <w:tabs>
          <w:tab w:val="left" w:pos="4140"/>
        </w:tabs>
      </w:pPr>
      <w:r>
        <w:tab/>
      </w:r>
    </w:p>
    <w:p w14:paraId="67458B48" w14:textId="77777777" w:rsidR="0049448B" w:rsidRDefault="0049448B" w:rsidP="00EF7273">
      <w:r w:rsidRPr="00B451CD">
        <w:br w:type="column"/>
      </w:r>
    </w:p>
    <w:tbl>
      <w:tblPr>
        <w:tblW w:w="5000" w:type="pct"/>
        <w:tblLook w:val="04A0" w:firstRow="1" w:lastRow="0" w:firstColumn="1" w:lastColumn="0" w:noHBand="0" w:noVBand="1"/>
      </w:tblPr>
      <w:tblGrid>
        <w:gridCol w:w="1071"/>
        <w:gridCol w:w="3041"/>
        <w:gridCol w:w="1376"/>
        <w:gridCol w:w="1499"/>
        <w:gridCol w:w="1257"/>
        <w:gridCol w:w="1562"/>
        <w:gridCol w:w="994"/>
      </w:tblGrid>
      <w:tr w:rsidR="0049448B" w:rsidRPr="0049448B" w14:paraId="5479E03A" w14:textId="77777777" w:rsidTr="0049448B">
        <w:trPr>
          <w:trHeight w:val="720"/>
        </w:trPr>
        <w:tc>
          <w:tcPr>
            <w:tcW w:w="5000" w:type="pct"/>
            <w:gridSpan w:val="7"/>
            <w:tcBorders>
              <w:top w:val="nil"/>
              <w:left w:val="nil"/>
              <w:bottom w:val="single" w:sz="8" w:space="0" w:color="auto"/>
              <w:right w:val="nil"/>
            </w:tcBorders>
            <w:shd w:val="clear" w:color="auto" w:fill="auto"/>
            <w:vAlign w:val="bottom"/>
            <w:hideMark/>
          </w:tcPr>
          <w:p w14:paraId="4F60ED3B" w14:textId="77777777" w:rsidR="0049448B" w:rsidRPr="0049448B" w:rsidRDefault="0049448B" w:rsidP="0049448B">
            <w:pPr>
              <w:rPr>
                <w:rFonts w:eastAsia="Times New Roman" w:cs="Arial"/>
                <w:b/>
                <w:bCs/>
                <w:color w:val="000000"/>
                <w:sz w:val="16"/>
                <w:szCs w:val="16"/>
                <w:lang w:eastAsia="en-US"/>
              </w:rPr>
            </w:pPr>
            <w:r w:rsidRPr="0049448B">
              <w:rPr>
                <w:rFonts w:eastAsia="Times New Roman" w:cs="Arial"/>
                <w:b/>
                <w:bCs/>
                <w:color w:val="000000"/>
                <w:sz w:val="16"/>
                <w:szCs w:val="16"/>
                <w:lang w:eastAsia="en-US"/>
              </w:rPr>
              <w:t>Table 3: Interaction between IM history and candidate risk variants [IL1A (rs1800587), IL1B (rs1143627), IL1RN (rs454078), IL2 (rs2069762), IL6 (rs1800795, rs1800797), IL10 (rs1800890), TNFA (rs1800629), HLA I (rs6457327), and HLA II (rs10484561)] by NHL subtype: empirical-Bayes estimates of interaction effects</w:t>
            </w:r>
          </w:p>
        </w:tc>
      </w:tr>
      <w:tr w:rsidR="0049448B" w:rsidRPr="0049448B" w14:paraId="7FF70D35" w14:textId="77777777" w:rsidTr="0049448B">
        <w:trPr>
          <w:trHeight w:val="460"/>
        </w:trPr>
        <w:tc>
          <w:tcPr>
            <w:tcW w:w="496" w:type="pct"/>
            <w:vMerge w:val="restart"/>
            <w:tcBorders>
              <w:top w:val="nil"/>
              <w:left w:val="nil"/>
              <w:bottom w:val="single" w:sz="4" w:space="0" w:color="000000"/>
              <w:right w:val="nil"/>
            </w:tcBorders>
            <w:shd w:val="clear" w:color="auto" w:fill="auto"/>
            <w:vAlign w:val="bottom"/>
            <w:hideMark/>
          </w:tcPr>
          <w:p w14:paraId="629BEB35"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NHL Subtype</w:t>
            </w:r>
          </w:p>
        </w:tc>
        <w:tc>
          <w:tcPr>
            <w:tcW w:w="1408" w:type="pct"/>
            <w:tcBorders>
              <w:top w:val="nil"/>
              <w:left w:val="nil"/>
              <w:bottom w:val="nil"/>
              <w:right w:val="nil"/>
            </w:tcBorders>
            <w:shd w:val="clear" w:color="auto" w:fill="auto"/>
            <w:noWrap/>
            <w:vAlign w:val="bottom"/>
            <w:hideMark/>
          </w:tcPr>
          <w:p w14:paraId="129B3DCD" w14:textId="77777777" w:rsidR="0049448B" w:rsidRPr="0049448B" w:rsidRDefault="0049448B" w:rsidP="0049448B">
            <w:pPr>
              <w:rPr>
                <w:rFonts w:eastAsia="Times New Roman" w:cs="Arial"/>
                <w:sz w:val="16"/>
                <w:szCs w:val="16"/>
                <w:lang w:eastAsia="en-US"/>
              </w:rPr>
            </w:pPr>
          </w:p>
        </w:tc>
        <w:tc>
          <w:tcPr>
            <w:tcW w:w="637" w:type="pct"/>
            <w:tcBorders>
              <w:top w:val="nil"/>
              <w:left w:val="nil"/>
              <w:bottom w:val="nil"/>
              <w:right w:val="nil"/>
            </w:tcBorders>
            <w:shd w:val="clear" w:color="auto" w:fill="auto"/>
            <w:vAlign w:val="bottom"/>
            <w:hideMark/>
          </w:tcPr>
          <w:p w14:paraId="689EAA60"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 xml:space="preserve">Genotyped </w:t>
            </w:r>
            <w:r w:rsidRPr="0049448B">
              <w:rPr>
                <w:rFonts w:eastAsia="Times New Roman" w:cs="Arial"/>
                <w:sz w:val="16"/>
                <w:szCs w:val="16"/>
                <w:lang w:eastAsia="en-US"/>
              </w:rPr>
              <w:br/>
              <w:t>Controls</w:t>
            </w:r>
          </w:p>
        </w:tc>
        <w:tc>
          <w:tcPr>
            <w:tcW w:w="694" w:type="pct"/>
            <w:tcBorders>
              <w:top w:val="nil"/>
              <w:left w:val="nil"/>
              <w:bottom w:val="nil"/>
              <w:right w:val="nil"/>
            </w:tcBorders>
            <w:shd w:val="clear" w:color="auto" w:fill="auto"/>
            <w:vAlign w:val="bottom"/>
            <w:hideMark/>
          </w:tcPr>
          <w:p w14:paraId="29FB1AF7"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 xml:space="preserve">Genotyped </w:t>
            </w:r>
            <w:r w:rsidRPr="0049448B">
              <w:rPr>
                <w:rFonts w:eastAsia="Times New Roman" w:cs="Arial"/>
                <w:sz w:val="16"/>
                <w:szCs w:val="16"/>
                <w:lang w:eastAsia="en-US"/>
              </w:rPr>
              <w:br/>
              <w:t>NHL Patients</w:t>
            </w:r>
          </w:p>
        </w:tc>
        <w:tc>
          <w:tcPr>
            <w:tcW w:w="582" w:type="pct"/>
            <w:vMerge w:val="restart"/>
            <w:tcBorders>
              <w:top w:val="nil"/>
              <w:left w:val="nil"/>
              <w:bottom w:val="single" w:sz="4" w:space="0" w:color="000000"/>
              <w:right w:val="nil"/>
            </w:tcBorders>
            <w:shd w:val="clear" w:color="auto" w:fill="auto"/>
            <w:vAlign w:val="bottom"/>
            <w:hideMark/>
          </w:tcPr>
          <w:p w14:paraId="21463366"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 xml:space="preserve">Interaction OR </w:t>
            </w:r>
            <w:r w:rsidRPr="0049448B">
              <w:rPr>
                <w:rFonts w:eastAsia="Times New Roman" w:cs="Arial"/>
                <w:sz w:val="16"/>
                <w:szCs w:val="16"/>
                <w:vertAlign w:val="superscript"/>
                <w:lang w:eastAsia="en-US"/>
              </w:rPr>
              <w:t>a</w:t>
            </w:r>
          </w:p>
        </w:tc>
        <w:tc>
          <w:tcPr>
            <w:tcW w:w="723" w:type="pct"/>
            <w:vMerge w:val="restart"/>
            <w:tcBorders>
              <w:top w:val="nil"/>
              <w:left w:val="nil"/>
              <w:bottom w:val="single" w:sz="4" w:space="0" w:color="000000"/>
              <w:right w:val="nil"/>
            </w:tcBorders>
            <w:shd w:val="clear" w:color="auto" w:fill="auto"/>
            <w:vAlign w:val="bottom"/>
            <w:hideMark/>
          </w:tcPr>
          <w:p w14:paraId="1D2E9657"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Interaction 95% CI</w:t>
            </w:r>
          </w:p>
        </w:tc>
        <w:tc>
          <w:tcPr>
            <w:tcW w:w="459" w:type="pct"/>
            <w:tcBorders>
              <w:top w:val="nil"/>
              <w:left w:val="nil"/>
              <w:bottom w:val="nil"/>
              <w:right w:val="nil"/>
            </w:tcBorders>
            <w:shd w:val="clear" w:color="auto" w:fill="auto"/>
            <w:noWrap/>
            <w:vAlign w:val="bottom"/>
            <w:hideMark/>
          </w:tcPr>
          <w:p w14:paraId="1F4A499F" w14:textId="77777777" w:rsidR="0049448B" w:rsidRPr="0049448B" w:rsidRDefault="0049448B" w:rsidP="0049448B">
            <w:pPr>
              <w:jc w:val="right"/>
              <w:rPr>
                <w:rFonts w:eastAsia="Times New Roman" w:cs="Arial"/>
                <w:sz w:val="16"/>
                <w:szCs w:val="16"/>
                <w:lang w:eastAsia="en-US"/>
              </w:rPr>
            </w:pPr>
          </w:p>
        </w:tc>
      </w:tr>
      <w:tr w:rsidR="0049448B" w:rsidRPr="0049448B" w14:paraId="3A0AAA84" w14:textId="77777777" w:rsidTr="0049448B">
        <w:trPr>
          <w:trHeight w:val="260"/>
        </w:trPr>
        <w:tc>
          <w:tcPr>
            <w:tcW w:w="496" w:type="pct"/>
            <w:vMerge/>
            <w:tcBorders>
              <w:top w:val="nil"/>
              <w:left w:val="nil"/>
              <w:bottom w:val="single" w:sz="4" w:space="0" w:color="000000"/>
              <w:right w:val="nil"/>
            </w:tcBorders>
            <w:vAlign w:val="center"/>
            <w:hideMark/>
          </w:tcPr>
          <w:p w14:paraId="43C2B027" w14:textId="77777777" w:rsidR="0049448B" w:rsidRPr="0049448B" w:rsidRDefault="0049448B" w:rsidP="0049448B">
            <w:pPr>
              <w:rPr>
                <w:rFonts w:eastAsia="Times New Roman" w:cs="Arial"/>
                <w:sz w:val="16"/>
                <w:szCs w:val="16"/>
                <w:lang w:eastAsia="en-US"/>
              </w:rPr>
            </w:pPr>
          </w:p>
        </w:tc>
        <w:tc>
          <w:tcPr>
            <w:tcW w:w="1408" w:type="pct"/>
            <w:tcBorders>
              <w:top w:val="nil"/>
              <w:left w:val="nil"/>
              <w:bottom w:val="single" w:sz="4" w:space="0" w:color="auto"/>
              <w:right w:val="nil"/>
            </w:tcBorders>
            <w:shd w:val="clear" w:color="auto" w:fill="auto"/>
            <w:noWrap/>
            <w:vAlign w:val="bottom"/>
            <w:hideMark/>
          </w:tcPr>
          <w:p w14:paraId="1EEC926D"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Variant</w:t>
            </w:r>
          </w:p>
        </w:tc>
        <w:tc>
          <w:tcPr>
            <w:tcW w:w="637" w:type="pct"/>
            <w:tcBorders>
              <w:top w:val="nil"/>
              <w:left w:val="nil"/>
              <w:bottom w:val="single" w:sz="4" w:space="0" w:color="auto"/>
              <w:right w:val="nil"/>
            </w:tcBorders>
            <w:shd w:val="clear" w:color="auto" w:fill="auto"/>
            <w:noWrap/>
            <w:vAlign w:val="bottom"/>
            <w:hideMark/>
          </w:tcPr>
          <w:p w14:paraId="74BA134C"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N</w:t>
            </w:r>
          </w:p>
        </w:tc>
        <w:tc>
          <w:tcPr>
            <w:tcW w:w="694" w:type="pct"/>
            <w:tcBorders>
              <w:top w:val="nil"/>
              <w:left w:val="nil"/>
              <w:bottom w:val="single" w:sz="4" w:space="0" w:color="auto"/>
              <w:right w:val="nil"/>
            </w:tcBorders>
            <w:shd w:val="clear" w:color="auto" w:fill="auto"/>
            <w:noWrap/>
            <w:vAlign w:val="bottom"/>
            <w:hideMark/>
          </w:tcPr>
          <w:p w14:paraId="21833130"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N</w:t>
            </w:r>
          </w:p>
        </w:tc>
        <w:tc>
          <w:tcPr>
            <w:tcW w:w="582" w:type="pct"/>
            <w:vMerge/>
            <w:tcBorders>
              <w:top w:val="nil"/>
              <w:left w:val="nil"/>
              <w:bottom w:val="single" w:sz="4" w:space="0" w:color="000000"/>
              <w:right w:val="nil"/>
            </w:tcBorders>
            <w:vAlign w:val="center"/>
            <w:hideMark/>
          </w:tcPr>
          <w:p w14:paraId="4102CB8A" w14:textId="77777777" w:rsidR="0049448B" w:rsidRPr="0049448B" w:rsidRDefault="0049448B" w:rsidP="0049448B">
            <w:pPr>
              <w:rPr>
                <w:rFonts w:eastAsia="Times New Roman" w:cs="Arial"/>
                <w:sz w:val="16"/>
                <w:szCs w:val="16"/>
                <w:lang w:eastAsia="en-US"/>
              </w:rPr>
            </w:pPr>
          </w:p>
        </w:tc>
        <w:tc>
          <w:tcPr>
            <w:tcW w:w="723" w:type="pct"/>
            <w:vMerge/>
            <w:tcBorders>
              <w:top w:val="nil"/>
              <w:left w:val="nil"/>
              <w:bottom w:val="single" w:sz="4" w:space="0" w:color="000000"/>
              <w:right w:val="nil"/>
            </w:tcBorders>
            <w:vAlign w:val="center"/>
            <w:hideMark/>
          </w:tcPr>
          <w:p w14:paraId="23474374" w14:textId="77777777" w:rsidR="0049448B" w:rsidRPr="0049448B" w:rsidRDefault="0049448B" w:rsidP="0049448B">
            <w:pPr>
              <w:rPr>
                <w:rFonts w:eastAsia="Times New Roman" w:cs="Arial"/>
                <w:sz w:val="16"/>
                <w:szCs w:val="16"/>
                <w:lang w:eastAsia="en-US"/>
              </w:rPr>
            </w:pPr>
          </w:p>
        </w:tc>
        <w:tc>
          <w:tcPr>
            <w:tcW w:w="459" w:type="pct"/>
            <w:tcBorders>
              <w:top w:val="nil"/>
              <w:left w:val="nil"/>
              <w:bottom w:val="single" w:sz="4" w:space="0" w:color="auto"/>
              <w:right w:val="nil"/>
            </w:tcBorders>
            <w:shd w:val="clear" w:color="auto" w:fill="auto"/>
            <w:noWrap/>
            <w:vAlign w:val="bottom"/>
            <w:hideMark/>
          </w:tcPr>
          <w:p w14:paraId="7FF37634"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 xml:space="preserve">p-value </w:t>
            </w:r>
            <w:r w:rsidRPr="0049448B">
              <w:rPr>
                <w:rFonts w:eastAsia="Times New Roman" w:cs="Arial"/>
                <w:sz w:val="16"/>
                <w:szCs w:val="16"/>
                <w:vertAlign w:val="superscript"/>
                <w:lang w:eastAsia="en-US"/>
              </w:rPr>
              <w:t>b</w:t>
            </w:r>
          </w:p>
        </w:tc>
      </w:tr>
      <w:tr w:rsidR="0049448B" w:rsidRPr="0049448B" w14:paraId="03C7C487" w14:textId="77777777" w:rsidTr="0049448B">
        <w:trPr>
          <w:trHeight w:val="220"/>
        </w:trPr>
        <w:tc>
          <w:tcPr>
            <w:tcW w:w="496" w:type="pct"/>
            <w:tcBorders>
              <w:top w:val="nil"/>
              <w:left w:val="nil"/>
              <w:bottom w:val="nil"/>
              <w:right w:val="nil"/>
            </w:tcBorders>
            <w:shd w:val="clear" w:color="auto" w:fill="auto"/>
            <w:noWrap/>
            <w:vAlign w:val="bottom"/>
            <w:hideMark/>
          </w:tcPr>
          <w:p w14:paraId="463C6D15"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All NHL</w:t>
            </w:r>
          </w:p>
        </w:tc>
        <w:tc>
          <w:tcPr>
            <w:tcW w:w="1408" w:type="pct"/>
            <w:tcBorders>
              <w:top w:val="nil"/>
              <w:left w:val="nil"/>
              <w:bottom w:val="nil"/>
              <w:right w:val="nil"/>
            </w:tcBorders>
            <w:shd w:val="clear" w:color="auto" w:fill="auto"/>
            <w:noWrap/>
            <w:vAlign w:val="bottom"/>
            <w:hideMark/>
          </w:tcPr>
          <w:p w14:paraId="1731A462"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IL1A-889C&gt;T (rs1800587)</w:t>
            </w:r>
          </w:p>
        </w:tc>
        <w:tc>
          <w:tcPr>
            <w:tcW w:w="637" w:type="pct"/>
            <w:tcBorders>
              <w:top w:val="nil"/>
              <w:left w:val="nil"/>
              <w:bottom w:val="nil"/>
              <w:right w:val="nil"/>
            </w:tcBorders>
            <w:shd w:val="clear" w:color="auto" w:fill="auto"/>
            <w:noWrap/>
            <w:vAlign w:val="bottom"/>
            <w:hideMark/>
          </w:tcPr>
          <w:p w14:paraId="667C10B3"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2,317</w:t>
            </w:r>
          </w:p>
        </w:tc>
        <w:tc>
          <w:tcPr>
            <w:tcW w:w="694" w:type="pct"/>
            <w:tcBorders>
              <w:top w:val="nil"/>
              <w:left w:val="nil"/>
              <w:bottom w:val="nil"/>
              <w:right w:val="nil"/>
            </w:tcBorders>
            <w:shd w:val="clear" w:color="auto" w:fill="auto"/>
            <w:noWrap/>
            <w:vAlign w:val="bottom"/>
            <w:hideMark/>
          </w:tcPr>
          <w:p w14:paraId="40999FB5"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2,084</w:t>
            </w:r>
          </w:p>
        </w:tc>
        <w:tc>
          <w:tcPr>
            <w:tcW w:w="582" w:type="pct"/>
            <w:tcBorders>
              <w:top w:val="nil"/>
              <w:left w:val="nil"/>
              <w:bottom w:val="nil"/>
              <w:right w:val="nil"/>
            </w:tcBorders>
            <w:shd w:val="clear" w:color="auto" w:fill="auto"/>
            <w:noWrap/>
            <w:vAlign w:val="bottom"/>
            <w:hideMark/>
          </w:tcPr>
          <w:p w14:paraId="6090C62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1.13</w:t>
            </w:r>
          </w:p>
        </w:tc>
        <w:tc>
          <w:tcPr>
            <w:tcW w:w="723" w:type="pct"/>
            <w:tcBorders>
              <w:top w:val="nil"/>
              <w:left w:val="nil"/>
              <w:bottom w:val="nil"/>
              <w:right w:val="nil"/>
            </w:tcBorders>
            <w:shd w:val="clear" w:color="auto" w:fill="auto"/>
            <w:noWrap/>
            <w:vAlign w:val="bottom"/>
            <w:hideMark/>
          </w:tcPr>
          <w:p w14:paraId="2D0FD45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[0.69, 1.87]</w:t>
            </w:r>
          </w:p>
        </w:tc>
        <w:tc>
          <w:tcPr>
            <w:tcW w:w="459" w:type="pct"/>
            <w:tcBorders>
              <w:top w:val="nil"/>
              <w:left w:val="nil"/>
              <w:bottom w:val="nil"/>
              <w:right w:val="nil"/>
            </w:tcBorders>
            <w:shd w:val="clear" w:color="auto" w:fill="auto"/>
            <w:noWrap/>
            <w:vAlign w:val="bottom"/>
            <w:hideMark/>
          </w:tcPr>
          <w:p w14:paraId="5351CA3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0.69</w:t>
            </w:r>
          </w:p>
        </w:tc>
      </w:tr>
      <w:tr w:rsidR="0049448B" w:rsidRPr="0049448B" w14:paraId="471A45AC" w14:textId="77777777" w:rsidTr="0049448B">
        <w:trPr>
          <w:trHeight w:val="260"/>
        </w:trPr>
        <w:tc>
          <w:tcPr>
            <w:tcW w:w="496" w:type="pct"/>
            <w:tcBorders>
              <w:top w:val="nil"/>
              <w:left w:val="nil"/>
              <w:bottom w:val="nil"/>
              <w:right w:val="nil"/>
            </w:tcBorders>
            <w:shd w:val="clear" w:color="auto" w:fill="auto"/>
            <w:noWrap/>
            <w:vAlign w:val="bottom"/>
            <w:hideMark/>
          </w:tcPr>
          <w:p w14:paraId="21CB1E06"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084BA1C0"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IL1B-511C&gt;T (rs16944)</w:t>
            </w:r>
          </w:p>
        </w:tc>
        <w:tc>
          <w:tcPr>
            <w:tcW w:w="637" w:type="pct"/>
            <w:tcBorders>
              <w:top w:val="nil"/>
              <w:left w:val="nil"/>
              <w:bottom w:val="nil"/>
              <w:right w:val="nil"/>
            </w:tcBorders>
            <w:shd w:val="clear" w:color="auto" w:fill="auto"/>
            <w:noWrap/>
            <w:vAlign w:val="bottom"/>
            <w:hideMark/>
          </w:tcPr>
          <w:p w14:paraId="588906DC"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1,280</w:t>
            </w:r>
          </w:p>
        </w:tc>
        <w:tc>
          <w:tcPr>
            <w:tcW w:w="694" w:type="pct"/>
            <w:tcBorders>
              <w:top w:val="nil"/>
              <w:left w:val="nil"/>
              <w:bottom w:val="nil"/>
              <w:right w:val="nil"/>
            </w:tcBorders>
            <w:shd w:val="clear" w:color="auto" w:fill="auto"/>
            <w:noWrap/>
            <w:vAlign w:val="bottom"/>
            <w:hideMark/>
          </w:tcPr>
          <w:p w14:paraId="1BD90409"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1,311</w:t>
            </w:r>
          </w:p>
        </w:tc>
        <w:tc>
          <w:tcPr>
            <w:tcW w:w="582" w:type="pct"/>
            <w:tcBorders>
              <w:top w:val="nil"/>
              <w:left w:val="nil"/>
              <w:bottom w:val="nil"/>
              <w:right w:val="nil"/>
            </w:tcBorders>
            <w:shd w:val="clear" w:color="auto" w:fill="auto"/>
            <w:noWrap/>
            <w:vAlign w:val="bottom"/>
            <w:hideMark/>
          </w:tcPr>
          <w:p w14:paraId="6F7C862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0.66</w:t>
            </w:r>
          </w:p>
        </w:tc>
        <w:tc>
          <w:tcPr>
            <w:tcW w:w="723" w:type="pct"/>
            <w:tcBorders>
              <w:top w:val="nil"/>
              <w:left w:val="nil"/>
              <w:bottom w:val="nil"/>
              <w:right w:val="nil"/>
            </w:tcBorders>
            <w:shd w:val="clear" w:color="auto" w:fill="auto"/>
            <w:noWrap/>
            <w:vAlign w:val="bottom"/>
            <w:hideMark/>
          </w:tcPr>
          <w:p w14:paraId="1732E7C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[0.35, 1.22]</w:t>
            </w:r>
          </w:p>
        </w:tc>
        <w:tc>
          <w:tcPr>
            <w:tcW w:w="459" w:type="pct"/>
            <w:tcBorders>
              <w:top w:val="nil"/>
              <w:left w:val="nil"/>
              <w:bottom w:val="nil"/>
              <w:right w:val="nil"/>
            </w:tcBorders>
            <w:shd w:val="clear" w:color="auto" w:fill="auto"/>
            <w:noWrap/>
            <w:vAlign w:val="bottom"/>
            <w:hideMark/>
          </w:tcPr>
          <w:p w14:paraId="16F16E1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0.09</w:t>
            </w:r>
          </w:p>
        </w:tc>
      </w:tr>
      <w:tr w:rsidR="0049448B" w:rsidRPr="0049448B" w14:paraId="1D6AC429" w14:textId="77777777" w:rsidTr="0049448B">
        <w:trPr>
          <w:trHeight w:val="220"/>
        </w:trPr>
        <w:tc>
          <w:tcPr>
            <w:tcW w:w="496" w:type="pct"/>
            <w:tcBorders>
              <w:top w:val="nil"/>
              <w:left w:val="nil"/>
              <w:bottom w:val="nil"/>
              <w:right w:val="nil"/>
            </w:tcBorders>
            <w:shd w:val="clear" w:color="auto" w:fill="auto"/>
            <w:noWrap/>
            <w:vAlign w:val="bottom"/>
            <w:hideMark/>
          </w:tcPr>
          <w:p w14:paraId="55EFA9FB"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6658DB7F" w14:textId="69D7A04E"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IL1B-</w:t>
            </w:r>
            <w:r w:rsidR="00651E47">
              <w:rPr>
                <w:rFonts w:eastAsia="Times New Roman" w:cs="Arial"/>
                <w:color w:val="000000"/>
                <w:sz w:val="16"/>
                <w:szCs w:val="16"/>
                <w:lang w:eastAsia="en-US"/>
              </w:rPr>
              <w:t>31T&gt;C</w:t>
            </w:r>
            <w:r w:rsidRPr="0049448B">
              <w:rPr>
                <w:rFonts w:eastAsia="Times New Roman" w:cs="Arial"/>
                <w:color w:val="000000"/>
                <w:sz w:val="16"/>
                <w:szCs w:val="16"/>
                <w:lang w:eastAsia="en-US"/>
              </w:rPr>
              <w:t xml:space="preserve"> (rs1143627)</w:t>
            </w:r>
          </w:p>
        </w:tc>
        <w:tc>
          <w:tcPr>
            <w:tcW w:w="637" w:type="pct"/>
            <w:tcBorders>
              <w:top w:val="nil"/>
              <w:left w:val="nil"/>
              <w:bottom w:val="nil"/>
              <w:right w:val="nil"/>
            </w:tcBorders>
            <w:shd w:val="clear" w:color="auto" w:fill="auto"/>
            <w:noWrap/>
            <w:vAlign w:val="bottom"/>
            <w:hideMark/>
          </w:tcPr>
          <w:p w14:paraId="79E984C1"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3,715</w:t>
            </w:r>
          </w:p>
        </w:tc>
        <w:tc>
          <w:tcPr>
            <w:tcW w:w="694" w:type="pct"/>
            <w:tcBorders>
              <w:top w:val="nil"/>
              <w:left w:val="nil"/>
              <w:bottom w:val="nil"/>
              <w:right w:val="nil"/>
            </w:tcBorders>
            <w:shd w:val="clear" w:color="auto" w:fill="auto"/>
            <w:noWrap/>
            <w:vAlign w:val="bottom"/>
            <w:hideMark/>
          </w:tcPr>
          <w:p w14:paraId="0E96D65A"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3,130</w:t>
            </w:r>
          </w:p>
        </w:tc>
        <w:tc>
          <w:tcPr>
            <w:tcW w:w="582" w:type="pct"/>
            <w:tcBorders>
              <w:top w:val="nil"/>
              <w:left w:val="nil"/>
              <w:bottom w:val="nil"/>
              <w:right w:val="nil"/>
            </w:tcBorders>
            <w:shd w:val="clear" w:color="auto" w:fill="auto"/>
            <w:noWrap/>
            <w:vAlign w:val="bottom"/>
            <w:hideMark/>
          </w:tcPr>
          <w:p w14:paraId="4BAA0673"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0.76</w:t>
            </w:r>
          </w:p>
        </w:tc>
        <w:tc>
          <w:tcPr>
            <w:tcW w:w="723" w:type="pct"/>
            <w:tcBorders>
              <w:top w:val="nil"/>
              <w:left w:val="nil"/>
              <w:bottom w:val="nil"/>
              <w:right w:val="nil"/>
            </w:tcBorders>
            <w:shd w:val="clear" w:color="auto" w:fill="auto"/>
            <w:noWrap/>
            <w:vAlign w:val="bottom"/>
            <w:hideMark/>
          </w:tcPr>
          <w:p w14:paraId="54C635C1"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[0.57, 1.02]</w:t>
            </w:r>
          </w:p>
        </w:tc>
        <w:tc>
          <w:tcPr>
            <w:tcW w:w="459" w:type="pct"/>
            <w:tcBorders>
              <w:top w:val="nil"/>
              <w:left w:val="nil"/>
              <w:bottom w:val="nil"/>
              <w:right w:val="nil"/>
            </w:tcBorders>
            <w:shd w:val="clear" w:color="auto" w:fill="auto"/>
            <w:noWrap/>
            <w:vAlign w:val="bottom"/>
            <w:hideMark/>
          </w:tcPr>
          <w:p w14:paraId="53090DFF"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0.03</w:t>
            </w:r>
          </w:p>
        </w:tc>
      </w:tr>
      <w:tr w:rsidR="0049448B" w:rsidRPr="0049448B" w14:paraId="17D8AE82" w14:textId="77777777" w:rsidTr="0049448B">
        <w:trPr>
          <w:trHeight w:val="220"/>
        </w:trPr>
        <w:tc>
          <w:tcPr>
            <w:tcW w:w="496" w:type="pct"/>
            <w:tcBorders>
              <w:top w:val="nil"/>
              <w:left w:val="nil"/>
              <w:bottom w:val="nil"/>
              <w:right w:val="nil"/>
            </w:tcBorders>
            <w:shd w:val="clear" w:color="auto" w:fill="auto"/>
            <w:noWrap/>
            <w:vAlign w:val="bottom"/>
            <w:hideMark/>
          </w:tcPr>
          <w:p w14:paraId="23F4082D" w14:textId="77777777" w:rsidR="0049448B" w:rsidRPr="0049448B" w:rsidRDefault="0049448B" w:rsidP="0049448B">
            <w:pPr>
              <w:jc w:val="right"/>
              <w:rPr>
                <w:rFonts w:eastAsia="Times New Roman" w:cs="Arial"/>
                <w:b/>
                <w:bCs/>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63EA716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IL1RN-9589A&gt;T (rs454078)</w:t>
            </w:r>
          </w:p>
        </w:tc>
        <w:tc>
          <w:tcPr>
            <w:tcW w:w="637" w:type="pct"/>
            <w:tcBorders>
              <w:top w:val="nil"/>
              <w:left w:val="nil"/>
              <w:bottom w:val="nil"/>
              <w:right w:val="nil"/>
            </w:tcBorders>
            <w:shd w:val="clear" w:color="auto" w:fill="auto"/>
            <w:noWrap/>
            <w:vAlign w:val="bottom"/>
            <w:hideMark/>
          </w:tcPr>
          <w:p w14:paraId="340E3C96"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2,319</w:t>
            </w:r>
          </w:p>
        </w:tc>
        <w:tc>
          <w:tcPr>
            <w:tcW w:w="694" w:type="pct"/>
            <w:tcBorders>
              <w:top w:val="nil"/>
              <w:left w:val="nil"/>
              <w:bottom w:val="nil"/>
              <w:right w:val="nil"/>
            </w:tcBorders>
            <w:shd w:val="clear" w:color="auto" w:fill="auto"/>
            <w:noWrap/>
            <w:vAlign w:val="bottom"/>
            <w:hideMark/>
          </w:tcPr>
          <w:p w14:paraId="2137261A"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2,068</w:t>
            </w:r>
          </w:p>
        </w:tc>
        <w:tc>
          <w:tcPr>
            <w:tcW w:w="582" w:type="pct"/>
            <w:tcBorders>
              <w:top w:val="nil"/>
              <w:left w:val="nil"/>
              <w:bottom w:val="nil"/>
              <w:right w:val="nil"/>
            </w:tcBorders>
            <w:shd w:val="clear" w:color="auto" w:fill="auto"/>
            <w:noWrap/>
            <w:vAlign w:val="bottom"/>
            <w:hideMark/>
          </w:tcPr>
          <w:p w14:paraId="5BBD849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1.02</w:t>
            </w:r>
          </w:p>
        </w:tc>
        <w:tc>
          <w:tcPr>
            <w:tcW w:w="723" w:type="pct"/>
            <w:tcBorders>
              <w:top w:val="nil"/>
              <w:left w:val="nil"/>
              <w:bottom w:val="nil"/>
              <w:right w:val="nil"/>
            </w:tcBorders>
            <w:shd w:val="clear" w:color="auto" w:fill="auto"/>
            <w:noWrap/>
            <w:vAlign w:val="bottom"/>
            <w:hideMark/>
          </w:tcPr>
          <w:p w14:paraId="10948A3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[0.62, 1.67]</w:t>
            </w:r>
          </w:p>
        </w:tc>
        <w:tc>
          <w:tcPr>
            <w:tcW w:w="459" w:type="pct"/>
            <w:tcBorders>
              <w:top w:val="nil"/>
              <w:left w:val="nil"/>
              <w:bottom w:val="nil"/>
              <w:right w:val="nil"/>
            </w:tcBorders>
            <w:shd w:val="clear" w:color="auto" w:fill="auto"/>
            <w:noWrap/>
            <w:vAlign w:val="bottom"/>
            <w:hideMark/>
          </w:tcPr>
          <w:p w14:paraId="2D8664E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0.53</w:t>
            </w:r>
          </w:p>
        </w:tc>
      </w:tr>
      <w:tr w:rsidR="0049448B" w:rsidRPr="0049448B" w14:paraId="50496751" w14:textId="77777777" w:rsidTr="0049448B">
        <w:trPr>
          <w:trHeight w:val="220"/>
        </w:trPr>
        <w:tc>
          <w:tcPr>
            <w:tcW w:w="496" w:type="pct"/>
            <w:tcBorders>
              <w:top w:val="nil"/>
              <w:left w:val="nil"/>
              <w:bottom w:val="nil"/>
              <w:right w:val="nil"/>
            </w:tcBorders>
            <w:shd w:val="clear" w:color="auto" w:fill="auto"/>
            <w:noWrap/>
            <w:vAlign w:val="bottom"/>
            <w:hideMark/>
          </w:tcPr>
          <w:p w14:paraId="6EAB6F7D"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41E10C71"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IL2–384T&gt;G (rs2069762)</w:t>
            </w:r>
          </w:p>
        </w:tc>
        <w:tc>
          <w:tcPr>
            <w:tcW w:w="637" w:type="pct"/>
            <w:tcBorders>
              <w:top w:val="nil"/>
              <w:left w:val="nil"/>
              <w:bottom w:val="nil"/>
              <w:right w:val="nil"/>
            </w:tcBorders>
            <w:shd w:val="clear" w:color="auto" w:fill="auto"/>
            <w:noWrap/>
            <w:vAlign w:val="bottom"/>
            <w:hideMark/>
          </w:tcPr>
          <w:p w14:paraId="71A7129B"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2,320</w:t>
            </w:r>
          </w:p>
        </w:tc>
        <w:tc>
          <w:tcPr>
            <w:tcW w:w="694" w:type="pct"/>
            <w:tcBorders>
              <w:top w:val="nil"/>
              <w:left w:val="nil"/>
              <w:bottom w:val="nil"/>
              <w:right w:val="nil"/>
            </w:tcBorders>
            <w:shd w:val="clear" w:color="auto" w:fill="auto"/>
            <w:noWrap/>
            <w:vAlign w:val="bottom"/>
            <w:hideMark/>
          </w:tcPr>
          <w:p w14:paraId="3181B00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2,080</w:t>
            </w:r>
          </w:p>
        </w:tc>
        <w:tc>
          <w:tcPr>
            <w:tcW w:w="582" w:type="pct"/>
            <w:tcBorders>
              <w:top w:val="nil"/>
              <w:left w:val="nil"/>
              <w:bottom w:val="nil"/>
              <w:right w:val="nil"/>
            </w:tcBorders>
            <w:shd w:val="clear" w:color="auto" w:fill="auto"/>
            <w:noWrap/>
            <w:vAlign w:val="bottom"/>
            <w:hideMark/>
          </w:tcPr>
          <w:p w14:paraId="574BEAB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0.99</w:t>
            </w:r>
          </w:p>
        </w:tc>
        <w:tc>
          <w:tcPr>
            <w:tcW w:w="723" w:type="pct"/>
            <w:tcBorders>
              <w:top w:val="nil"/>
              <w:left w:val="nil"/>
              <w:bottom w:val="nil"/>
              <w:right w:val="nil"/>
            </w:tcBorders>
            <w:shd w:val="clear" w:color="auto" w:fill="auto"/>
            <w:noWrap/>
            <w:vAlign w:val="bottom"/>
            <w:hideMark/>
          </w:tcPr>
          <w:p w14:paraId="1678625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[0.62, 1.57]</w:t>
            </w:r>
          </w:p>
        </w:tc>
        <w:tc>
          <w:tcPr>
            <w:tcW w:w="459" w:type="pct"/>
            <w:tcBorders>
              <w:top w:val="nil"/>
              <w:left w:val="nil"/>
              <w:bottom w:val="nil"/>
              <w:right w:val="nil"/>
            </w:tcBorders>
            <w:shd w:val="clear" w:color="auto" w:fill="auto"/>
            <w:noWrap/>
            <w:vAlign w:val="bottom"/>
            <w:hideMark/>
          </w:tcPr>
          <w:p w14:paraId="2360B69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0.48</w:t>
            </w:r>
          </w:p>
        </w:tc>
      </w:tr>
      <w:tr w:rsidR="0049448B" w:rsidRPr="0049448B" w14:paraId="71E86F99" w14:textId="77777777" w:rsidTr="0049448B">
        <w:trPr>
          <w:trHeight w:val="220"/>
        </w:trPr>
        <w:tc>
          <w:tcPr>
            <w:tcW w:w="496" w:type="pct"/>
            <w:tcBorders>
              <w:top w:val="nil"/>
              <w:left w:val="nil"/>
              <w:bottom w:val="nil"/>
              <w:right w:val="nil"/>
            </w:tcBorders>
            <w:shd w:val="clear" w:color="auto" w:fill="auto"/>
            <w:noWrap/>
            <w:vAlign w:val="bottom"/>
            <w:hideMark/>
          </w:tcPr>
          <w:p w14:paraId="2B0D6B90"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3CE444AF"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IL6-174G&gt;C (rs1800795)</w:t>
            </w:r>
          </w:p>
        </w:tc>
        <w:tc>
          <w:tcPr>
            <w:tcW w:w="637" w:type="pct"/>
            <w:tcBorders>
              <w:top w:val="nil"/>
              <w:left w:val="nil"/>
              <w:bottom w:val="nil"/>
              <w:right w:val="nil"/>
            </w:tcBorders>
            <w:shd w:val="clear" w:color="auto" w:fill="auto"/>
            <w:noWrap/>
            <w:vAlign w:val="bottom"/>
            <w:hideMark/>
          </w:tcPr>
          <w:p w14:paraId="1C2BD175"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2,347</w:t>
            </w:r>
          </w:p>
        </w:tc>
        <w:tc>
          <w:tcPr>
            <w:tcW w:w="694" w:type="pct"/>
            <w:tcBorders>
              <w:top w:val="nil"/>
              <w:left w:val="nil"/>
              <w:bottom w:val="nil"/>
              <w:right w:val="nil"/>
            </w:tcBorders>
            <w:shd w:val="clear" w:color="auto" w:fill="auto"/>
            <w:noWrap/>
            <w:vAlign w:val="bottom"/>
            <w:hideMark/>
          </w:tcPr>
          <w:p w14:paraId="580F2DD9"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2,099</w:t>
            </w:r>
          </w:p>
        </w:tc>
        <w:tc>
          <w:tcPr>
            <w:tcW w:w="582" w:type="pct"/>
            <w:tcBorders>
              <w:top w:val="nil"/>
              <w:left w:val="nil"/>
              <w:bottom w:val="nil"/>
              <w:right w:val="nil"/>
            </w:tcBorders>
            <w:shd w:val="clear" w:color="auto" w:fill="auto"/>
            <w:noWrap/>
            <w:vAlign w:val="bottom"/>
            <w:hideMark/>
          </w:tcPr>
          <w:p w14:paraId="595ECE7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1.08</w:t>
            </w:r>
          </w:p>
        </w:tc>
        <w:tc>
          <w:tcPr>
            <w:tcW w:w="723" w:type="pct"/>
            <w:tcBorders>
              <w:top w:val="nil"/>
              <w:left w:val="nil"/>
              <w:bottom w:val="nil"/>
              <w:right w:val="nil"/>
            </w:tcBorders>
            <w:shd w:val="clear" w:color="auto" w:fill="auto"/>
            <w:noWrap/>
            <w:vAlign w:val="bottom"/>
            <w:hideMark/>
          </w:tcPr>
          <w:p w14:paraId="2522EBD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[0.77, 1.52]</w:t>
            </w:r>
          </w:p>
        </w:tc>
        <w:tc>
          <w:tcPr>
            <w:tcW w:w="459" w:type="pct"/>
            <w:tcBorders>
              <w:top w:val="nil"/>
              <w:left w:val="nil"/>
              <w:bottom w:val="nil"/>
              <w:right w:val="nil"/>
            </w:tcBorders>
            <w:shd w:val="clear" w:color="auto" w:fill="auto"/>
            <w:noWrap/>
            <w:vAlign w:val="bottom"/>
            <w:hideMark/>
          </w:tcPr>
          <w:p w14:paraId="47BE7DA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0.68</w:t>
            </w:r>
          </w:p>
        </w:tc>
      </w:tr>
      <w:tr w:rsidR="0049448B" w:rsidRPr="0049448B" w14:paraId="035161BB" w14:textId="77777777" w:rsidTr="0049448B">
        <w:trPr>
          <w:trHeight w:val="220"/>
        </w:trPr>
        <w:tc>
          <w:tcPr>
            <w:tcW w:w="496" w:type="pct"/>
            <w:tcBorders>
              <w:top w:val="nil"/>
              <w:left w:val="nil"/>
              <w:bottom w:val="nil"/>
              <w:right w:val="nil"/>
            </w:tcBorders>
            <w:shd w:val="clear" w:color="auto" w:fill="auto"/>
            <w:noWrap/>
            <w:vAlign w:val="bottom"/>
            <w:hideMark/>
          </w:tcPr>
          <w:p w14:paraId="7D0E364A"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2545C2E0"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IL6-597G&gt;A (rs1800797)</w:t>
            </w:r>
          </w:p>
        </w:tc>
        <w:tc>
          <w:tcPr>
            <w:tcW w:w="637" w:type="pct"/>
            <w:tcBorders>
              <w:top w:val="nil"/>
              <w:left w:val="nil"/>
              <w:bottom w:val="nil"/>
              <w:right w:val="nil"/>
            </w:tcBorders>
            <w:shd w:val="clear" w:color="auto" w:fill="auto"/>
            <w:noWrap/>
            <w:vAlign w:val="bottom"/>
            <w:hideMark/>
          </w:tcPr>
          <w:p w14:paraId="0051C6F2"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3,852</w:t>
            </w:r>
          </w:p>
        </w:tc>
        <w:tc>
          <w:tcPr>
            <w:tcW w:w="694" w:type="pct"/>
            <w:tcBorders>
              <w:top w:val="nil"/>
              <w:left w:val="nil"/>
              <w:bottom w:val="nil"/>
              <w:right w:val="nil"/>
            </w:tcBorders>
            <w:shd w:val="clear" w:color="auto" w:fill="auto"/>
            <w:noWrap/>
            <w:vAlign w:val="bottom"/>
            <w:hideMark/>
          </w:tcPr>
          <w:p w14:paraId="5C49F4E6"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3,304</w:t>
            </w:r>
          </w:p>
        </w:tc>
        <w:tc>
          <w:tcPr>
            <w:tcW w:w="582" w:type="pct"/>
            <w:tcBorders>
              <w:top w:val="nil"/>
              <w:left w:val="nil"/>
              <w:bottom w:val="nil"/>
              <w:right w:val="nil"/>
            </w:tcBorders>
            <w:shd w:val="clear" w:color="auto" w:fill="auto"/>
            <w:noWrap/>
            <w:vAlign w:val="bottom"/>
            <w:hideMark/>
          </w:tcPr>
          <w:p w14:paraId="1C45043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1.10</w:t>
            </w:r>
          </w:p>
        </w:tc>
        <w:tc>
          <w:tcPr>
            <w:tcW w:w="723" w:type="pct"/>
            <w:tcBorders>
              <w:top w:val="nil"/>
              <w:left w:val="nil"/>
              <w:bottom w:val="nil"/>
              <w:right w:val="nil"/>
            </w:tcBorders>
            <w:shd w:val="clear" w:color="auto" w:fill="auto"/>
            <w:noWrap/>
            <w:vAlign w:val="bottom"/>
            <w:hideMark/>
          </w:tcPr>
          <w:p w14:paraId="1EC02A2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[0.81, 1.49]</w:t>
            </w:r>
          </w:p>
        </w:tc>
        <w:tc>
          <w:tcPr>
            <w:tcW w:w="459" w:type="pct"/>
            <w:tcBorders>
              <w:top w:val="nil"/>
              <w:left w:val="nil"/>
              <w:bottom w:val="nil"/>
              <w:right w:val="nil"/>
            </w:tcBorders>
            <w:shd w:val="clear" w:color="auto" w:fill="auto"/>
            <w:noWrap/>
            <w:vAlign w:val="bottom"/>
            <w:hideMark/>
          </w:tcPr>
          <w:p w14:paraId="4D1D97B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0.72</w:t>
            </w:r>
          </w:p>
        </w:tc>
      </w:tr>
      <w:tr w:rsidR="0049448B" w:rsidRPr="0049448B" w14:paraId="525C2C80" w14:textId="77777777" w:rsidTr="0049448B">
        <w:trPr>
          <w:trHeight w:val="220"/>
        </w:trPr>
        <w:tc>
          <w:tcPr>
            <w:tcW w:w="496" w:type="pct"/>
            <w:tcBorders>
              <w:top w:val="nil"/>
              <w:left w:val="nil"/>
              <w:bottom w:val="nil"/>
              <w:right w:val="nil"/>
            </w:tcBorders>
            <w:shd w:val="clear" w:color="auto" w:fill="auto"/>
            <w:noWrap/>
            <w:vAlign w:val="bottom"/>
            <w:hideMark/>
          </w:tcPr>
          <w:p w14:paraId="641F0325"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4C895D6"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IL10-1082A&gt;G (rs1800896)</w:t>
            </w:r>
          </w:p>
        </w:tc>
        <w:tc>
          <w:tcPr>
            <w:tcW w:w="637" w:type="pct"/>
            <w:tcBorders>
              <w:top w:val="nil"/>
              <w:left w:val="nil"/>
              <w:bottom w:val="nil"/>
              <w:right w:val="nil"/>
            </w:tcBorders>
            <w:shd w:val="clear" w:color="auto" w:fill="auto"/>
            <w:noWrap/>
            <w:vAlign w:val="bottom"/>
            <w:hideMark/>
          </w:tcPr>
          <w:p w14:paraId="6E28F2BA"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4,173</w:t>
            </w:r>
          </w:p>
        </w:tc>
        <w:tc>
          <w:tcPr>
            <w:tcW w:w="694" w:type="pct"/>
            <w:tcBorders>
              <w:top w:val="nil"/>
              <w:left w:val="nil"/>
              <w:bottom w:val="nil"/>
              <w:right w:val="nil"/>
            </w:tcBorders>
            <w:shd w:val="clear" w:color="auto" w:fill="auto"/>
            <w:noWrap/>
            <w:vAlign w:val="bottom"/>
            <w:hideMark/>
          </w:tcPr>
          <w:p w14:paraId="33F4CE6B"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3,472</w:t>
            </w:r>
          </w:p>
        </w:tc>
        <w:tc>
          <w:tcPr>
            <w:tcW w:w="582" w:type="pct"/>
            <w:tcBorders>
              <w:top w:val="nil"/>
              <w:left w:val="nil"/>
              <w:bottom w:val="nil"/>
              <w:right w:val="nil"/>
            </w:tcBorders>
            <w:shd w:val="clear" w:color="auto" w:fill="auto"/>
            <w:noWrap/>
            <w:vAlign w:val="bottom"/>
            <w:hideMark/>
          </w:tcPr>
          <w:p w14:paraId="519FBAA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0.81</w:t>
            </w:r>
          </w:p>
        </w:tc>
        <w:tc>
          <w:tcPr>
            <w:tcW w:w="723" w:type="pct"/>
            <w:tcBorders>
              <w:top w:val="nil"/>
              <w:left w:val="nil"/>
              <w:bottom w:val="nil"/>
              <w:right w:val="nil"/>
            </w:tcBorders>
            <w:shd w:val="clear" w:color="auto" w:fill="auto"/>
            <w:noWrap/>
            <w:vAlign w:val="bottom"/>
            <w:hideMark/>
          </w:tcPr>
          <w:p w14:paraId="77C8AC6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[0.59, 1.10]</w:t>
            </w:r>
          </w:p>
        </w:tc>
        <w:tc>
          <w:tcPr>
            <w:tcW w:w="459" w:type="pct"/>
            <w:tcBorders>
              <w:top w:val="nil"/>
              <w:left w:val="nil"/>
              <w:bottom w:val="nil"/>
              <w:right w:val="nil"/>
            </w:tcBorders>
            <w:shd w:val="clear" w:color="auto" w:fill="auto"/>
            <w:noWrap/>
            <w:vAlign w:val="bottom"/>
            <w:hideMark/>
          </w:tcPr>
          <w:p w14:paraId="688BB2E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0.09</w:t>
            </w:r>
          </w:p>
        </w:tc>
      </w:tr>
      <w:tr w:rsidR="0049448B" w:rsidRPr="0049448B" w14:paraId="15B709F3" w14:textId="77777777" w:rsidTr="0049448B">
        <w:trPr>
          <w:trHeight w:val="220"/>
        </w:trPr>
        <w:tc>
          <w:tcPr>
            <w:tcW w:w="496" w:type="pct"/>
            <w:tcBorders>
              <w:top w:val="nil"/>
              <w:left w:val="nil"/>
              <w:bottom w:val="nil"/>
              <w:right w:val="nil"/>
            </w:tcBorders>
            <w:shd w:val="clear" w:color="auto" w:fill="auto"/>
            <w:noWrap/>
            <w:vAlign w:val="bottom"/>
            <w:hideMark/>
          </w:tcPr>
          <w:p w14:paraId="352414C0"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443CD2F4"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IL10-3575T&gt;A (rs1800890)</w:t>
            </w:r>
          </w:p>
        </w:tc>
        <w:tc>
          <w:tcPr>
            <w:tcW w:w="637" w:type="pct"/>
            <w:tcBorders>
              <w:top w:val="nil"/>
              <w:left w:val="nil"/>
              <w:bottom w:val="nil"/>
              <w:right w:val="nil"/>
            </w:tcBorders>
            <w:shd w:val="clear" w:color="auto" w:fill="auto"/>
            <w:noWrap/>
            <w:vAlign w:val="bottom"/>
            <w:hideMark/>
          </w:tcPr>
          <w:p w14:paraId="6C75C63C"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5,914</w:t>
            </w:r>
          </w:p>
        </w:tc>
        <w:tc>
          <w:tcPr>
            <w:tcW w:w="694" w:type="pct"/>
            <w:tcBorders>
              <w:top w:val="nil"/>
              <w:left w:val="nil"/>
              <w:bottom w:val="nil"/>
              <w:right w:val="nil"/>
            </w:tcBorders>
            <w:shd w:val="clear" w:color="auto" w:fill="auto"/>
            <w:noWrap/>
            <w:vAlign w:val="bottom"/>
            <w:hideMark/>
          </w:tcPr>
          <w:p w14:paraId="7D42E5B4"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5,629</w:t>
            </w:r>
          </w:p>
        </w:tc>
        <w:tc>
          <w:tcPr>
            <w:tcW w:w="582" w:type="pct"/>
            <w:tcBorders>
              <w:top w:val="nil"/>
              <w:left w:val="nil"/>
              <w:bottom w:val="nil"/>
              <w:right w:val="nil"/>
            </w:tcBorders>
            <w:shd w:val="clear" w:color="auto" w:fill="auto"/>
            <w:noWrap/>
            <w:vAlign w:val="bottom"/>
            <w:hideMark/>
          </w:tcPr>
          <w:p w14:paraId="0A73189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0.80</w:t>
            </w:r>
          </w:p>
        </w:tc>
        <w:tc>
          <w:tcPr>
            <w:tcW w:w="723" w:type="pct"/>
            <w:tcBorders>
              <w:top w:val="nil"/>
              <w:left w:val="nil"/>
              <w:bottom w:val="nil"/>
              <w:right w:val="nil"/>
            </w:tcBorders>
            <w:shd w:val="clear" w:color="auto" w:fill="auto"/>
            <w:noWrap/>
            <w:vAlign w:val="bottom"/>
            <w:hideMark/>
          </w:tcPr>
          <w:p w14:paraId="7C83FA0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[0.57, 1.13]</w:t>
            </w:r>
          </w:p>
        </w:tc>
        <w:tc>
          <w:tcPr>
            <w:tcW w:w="459" w:type="pct"/>
            <w:tcBorders>
              <w:top w:val="nil"/>
              <w:left w:val="nil"/>
              <w:bottom w:val="nil"/>
              <w:right w:val="nil"/>
            </w:tcBorders>
            <w:shd w:val="clear" w:color="auto" w:fill="auto"/>
            <w:noWrap/>
            <w:vAlign w:val="bottom"/>
            <w:hideMark/>
          </w:tcPr>
          <w:p w14:paraId="6E1AD05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0.10</w:t>
            </w:r>
          </w:p>
        </w:tc>
      </w:tr>
      <w:tr w:rsidR="0049448B" w:rsidRPr="0049448B" w14:paraId="1C9A1872" w14:textId="77777777" w:rsidTr="0049448B">
        <w:trPr>
          <w:trHeight w:val="220"/>
        </w:trPr>
        <w:tc>
          <w:tcPr>
            <w:tcW w:w="496" w:type="pct"/>
            <w:tcBorders>
              <w:top w:val="nil"/>
              <w:left w:val="nil"/>
              <w:bottom w:val="nil"/>
              <w:right w:val="nil"/>
            </w:tcBorders>
            <w:shd w:val="clear" w:color="auto" w:fill="auto"/>
            <w:noWrap/>
            <w:vAlign w:val="bottom"/>
            <w:hideMark/>
          </w:tcPr>
          <w:p w14:paraId="2A056441"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2BE3D533"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TNF-308G&gt;A (rs1800629)</w:t>
            </w:r>
          </w:p>
        </w:tc>
        <w:tc>
          <w:tcPr>
            <w:tcW w:w="637" w:type="pct"/>
            <w:tcBorders>
              <w:top w:val="nil"/>
              <w:left w:val="nil"/>
              <w:bottom w:val="nil"/>
              <w:right w:val="nil"/>
            </w:tcBorders>
            <w:shd w:val="clear" w:color="auto" w:fill="auto"/>
            <w:noWrap/>
            <w:vAlign w:val="bottom"/>
            <w:hideMark/>
          </w:tcPr>
          <w:p w14:paraId="5E76D939"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5,562</w:t>
            </w:r>
          </w:p>
        </w:tc>
        <w:tc>
          <w:tcPr>
            <w:tcW w:w="694" w:type="pct"/>
            <w:tcBorders>
              <w:top w:val="nil"/>
              <w:left w:val="nil"/>
              <w:bottom w:val="nil"/>
              <w:right w:val="nil"/>
            </w:tcBorders>
            <w:shd w:val="clear" w:color="auto" w:fill="auto"/>
            <w:noWrap/>
            <w:vAlign w:val="bottom"/>
            <w:hideMark/>
          </w:tcPr>
          <w:p w14:paraId="1078356E"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5,546</w:t>
            </w:r>
          </w:p>
        </w:tc>
        <w:tc>
          <w:tcPr>
            <w:tcW w:w="582" w:type="pct"/>
            <w:tcBorders>
              <w:top w:val="nil"/>
              <w:left w:val="nil"/>
              <w:bottom w:val="nil"/>
              <w:right w:val="nil"/>
            </w:tcBorders>
            <w:shd w:val="clear" w:color="auto" w:fill="auto"/>
            <w:noWrap/>
            <w:vAlign w:val="bottom"/>
            <w:hideMark/>
          </w:tcPr>
          <w:p w14:paraId="6EA668A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0.86</w:t>
            </w:r>
          </w:p>
        </w:tc>
        <w:tc>
          <w:tcPr>
            <w:tcW w:w="723" w:type="pct"/>
            <w:tcBorders>
              <w:top w:val="nil"/>
              <w:left w:val="nil"/>
              <w:bottom w:val="nil"/>
              <w:right w:val="nil"/>
            </w:tcBorders>
            <w:shd w:val="clear" w:color="auto" w:fill="auto"/>
            <w:noWrap/>
            <w:vAlign w:val="bottom"/>
            <w:hideMark/>
          </w:tcPr>
          <w:p w14:paraId="010957D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[0.59, 1.27]</w:t>
            </w:r>
          </w:p>
        </w:tc>
        <w:tc>
          <w:tcPr>
            <w:tcW w:w="459" w:type="pct"/>
            <w:tcBorders>
              <w:top w:val="nil"/>
              <w:left w:val="nil"/>
              <w:bottom w:val="nil"/>
              <w:right w:val="nil"/>
            </w:tcBorders>
            <w:shd w:val="clear" w:color="auto" w:fill="auto"/>
            <w:noWrap/>
            <w:vAlign w:val="bottom"/>
            <w:hideMark/>
          </w:tcPr>
          <w:p w14:paraId="5E7A805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0.23</w:t>
            </w:r>
          </w:p>
        </w:tc>
      </w:tr>
      <w:tr w:rsidR="0049448B" w:rsidRPr="0049448B" w14:paraId="0B97E4DF" w14:textId="77777777" w:rsidTr="0049448B">
        <w:trPr>
          <w:trHeight w:val="220"/>
        </w:trPr>
        <w:tc>
          <w:tcPr>
            <w:tcW w:w="496" w:type="pct"/>
            <w:tcBorders>
              <w:top w:val="nil"/>
              <w:left w:val="nil"/>
              <w:bottom w:val="nil"/>
              <w:right w:val="nil"/>
            </w:tcBorders>
            <w:shd w:val="clear" w:color="auto" w:fill="auto"/>
            <w:noWrap/>
            <w:vAlign w:val="bottom"/>
            <w:hideMark/>
          </w:tcPr>
          <w:p w14:paraId="5EA88B01"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02E98B0C"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C&gt;A (rs6457327)</w:t>
            </w:r>
          </w:p>
        </w:tc>
        <w:tc>
          <w:tcPr>
            <w:tcW w:w="637" w:type="pct"/>
            <w:tcBorders>
              <w:top w:val="nil"/>
              <w:left w:val="nil"/>
              <w:bottom w:val="nil"/>
              <w:right w:val="nil"/>
            </w:tcBorders>
            <w:shd w:val="clear" w:color="auto" w:fill="auto"/>
            <w:noWrap/>
            <w:vAlign w:val="bottom"/>
            <w:hideMark/>
          </w:tcPr>
          <w:p w14:paraId="5487EB21"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2,963</w:t>
            </w:r>
          </w:p>
        </w:tc>
        <w:tc>
          <w:tcPr>
            <w:tcW w:w="694" w:type="pct"/>
            <w:tcBorders>
              <w:top w:val="nil"/>
              <w:left w:val="nil"/>
              <w:bottom w:val="nil"/>
              <w:right w:val="nil"/>
            </w:tcBorders>
            <w:shd w:val="clear" w:color="auto" w:fill="auto"/>
            <w:noWrap/>
            <w:vAlign w:val="bottom"/>
            <w:hideMark/>
          </w:tcPr>
          <w:p w14:paraId="7D542B6D"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2,457</w:t>
            </w:r>
          </w:p>
        </w:tc>
        <w:tc>
          <w:tcPr>
            <w:tcW w:w="582" w:type="pct"/>
            <w:tcBorders>
              <w:top w:val="nil"/>
              <w:left w:val="nil"/>
              <w:bottom w:val="nil"/>
              <w:right w:val="nil"/>
            </w:tcBorders>
            <w:shd w:val="clear" w:color="auto" w:fill="auto"/>
            <w:noWrap/>
            <w:vAlign w:val="bottom"/>
            <w:hideMark/>
          </w:tcPr>
          <w:p w14:paraId="2112EEA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1.07</w:t>
            </w:r>
          </w:p>
        </w:tc>
        <w:tc>
          <w:tcPr>
            <w:tcW w:w="723" w:type="pct"/>
            <w:tcBorders>
              <w:top w:val="nil"/>
              <w:left w:val="nil"/>
              <w:bottom w:val="nil"/>
              <w:right w:val="nil"/>
            </w:tcBorders>
            <w:shd w:val="clear" w:color="auto" w:fill="auto"/>
            <w:noWrap/>
            <w:vAlign w:val="bottom"/>
            <w:hideMark/>
          </w:tcPr>
          <w:p w14:paraId="6E5A78D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[0.65, 1.76]</w:t>
            </w:r>
          </w:p>
        </w:tc>
        <w:tc>
          <w:tcPr>
            <w:tcW w:w="459" w:type="pct"/>
            <w:tcBorders>
              <w:top w:val="nil"/>
              <w:left w:val="nil"/>
              <w:bottom w:val="nil"/>
              <w:right w:val="nil"/>
            </w:tcBorders>
            <w:shd w:val="clear" w:color="auto" w:fill="auto"/>
            <w:noWrap/>
            <w:vAlign w:val="bottom"/>
            <w:hideMark/>
          </w:tcPr>
          <w:p w14:paraId="1FDA0FA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0.61</w:t>
            </w:r>
          </w:p>
        </w:tc>
      </w:tr>
      <w:tr w:rsidR="0049448B" w:rsidRPr="0049448B" w14:paraId="4CDB68F8" w14:textId="77777777" w:rsidTr="0049448B">
        <w:trPr>
          <w:trHeight w:val="220"/>
        </w:trPr>
        <w:tc>
          <w:tcPr>
            <w:tcW w:w="496" w:type="pct"/>
            <w:tcBorders>
              <w:top w:val="nil"/>
              <w:left w:val="nil"/>
              <w:bottom w:val="nil"/>
              <w:right w:val="nil"/>
            </w:tcBorders>
            <w:shd w:val="clear" w:color="auto" w:fill="auto"/>
            <w:noWrap/>
            <w:vAlign w:val="bottom"/>
            <w:hideMark/>
          </w:tcPr>
          <w:p w14:paraId="5D33F901"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2DE48BD5"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T&gt;G (rs10484561)</w:t>
            </w:r>
          </w:p>
        </w:tc>
        <w:tc>
          <w:tcPr>
            <w:tcW w:w="637" w:type="pct"/>
            <w:tcBorders>
              <w:top w:val="nil"/>
              <w:left w:val="nil"/>
              <w:bottom w:val="nil"/>
              <w:right w:val="nil"/>
            </w:tcBorders>
            <w:shd w:val="clear" w:color="auto" w:fill="auto"/>
            <w:noWrap/>
            <w:vAlign w:val="bottom"/>
            <w:hideMark/>
          </w:tcPr>
          <w:p w14:paraId="33D53682"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3,989</w:t>
            </w:r>
          </w:p>
        </w:tc>
        <w:tc>
          <w:tcPr>
            <w:tcW w:w="694" w:type="pct"/>
            <w:tcBorders>
              <w:top w:val="nil"/>
              <w:left w:val="nil"/>
              <w:bottom w:val="nil"/>
              <w:right w:val="nil"/>
            </w:tcBorders>
            <w:shd w:val="clear" w:color="auto" w:fill="auto"/>
            <w:noWrap/>
            <w:vAlign w:val="bottom"/>
            <w:hideMark/>
          </w:tcPr>
          <w:p w14:paraId="1598E1A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3,176</w:t>
            </w:r>
          </w:p>
        </w:tc>
        <w:tc>
          <w:tcPr>
            <w:tcW w:w="582" w:type="pct"/>
            <w:tcBorders>
              <w:top w:val="nil"/>
              <w:left w:val="nil"/>
              <w:bottom w:val="nil"/>
              <w:right w:val="nil"/>
            </w:tcBorders>
            <w:shd w:val="clear" w:color="auto" w:fill="auto"/>
            <w:noWrap/>
            <w:vAlign w:val="bottom"/>
            <w:hideMark/>
          </w:tcPr>
          <w:p w14:paraId="2516C2D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0.93</w:t>
            </w:r>
          </w:p>
        </w:tc>
        <w:tc>
          <w:tcPr>
            <w:tcW w:w="723" w:type="pct"/>
            <w:tcBorders>
              <w:top w:val="nil"/>
              <w:left w:val="nil"/>
              <w:bottom w:val="nil"/>
              <w:right w:val="nil"/>
            </w:tcBorders>
            <w:shd w:val="clear" w:color="auto" w:fill="auto"/>
            <w:noWrap/>
            <w:vAlign w:val="bottom"/>
            <w:hideMark/>
          </w:tcPr>
          <w:p w14:paraId="753DFB9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[0.62, 1.40]</w:t>
            </w:r>
          </w:p>
        </w:tc>
        <w:tc>
          <w:tcPr>
            <w:tcW w:w="459" w:type="pct"/>
            <w:tcBorders>
              <w:top w:val="nil"/>
              <w:left w:val="nil"/>
              <w:bottom w:val="nil"/>
              <w:right w:val="nil"/>
            </w:tcBorders>
            <w:shd w:val="clear" w:color="auto" w:fill="auto"/>
            <w:noWrap/>
            <w:vAlign w:val="bottom"/>
            <w:hideMark/>
          </w:tcPr>
          <w:p w14:paraId="65E993E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0.37</w:t>
            </w:r>
          </w:p>
        </w:tc>
      </w:tr>
      <w:tr w:rsidR="0049448B" w:rsidRPr="0049448B" w14:paraId="1D44723F" w14:textId="77777777" w:rsidTr="0049448B">
        <w:trPr>
          <w:trHeight w:val="220"/>
        </w:trPr>
        <w:tc>
          <w:tcPr>
            <w:tcW w:w="496" w:type="pct"/>
            <w:tcBorders>
              <w:top w:val="nil"/>
              <w:left w:val="nil"/>
              <w:bottom w:val="nil"/>
              <w:right w:val="nil"/>
            </w:tcBorders>
            <w:shd w:val="clear" w:color="auto" w:fill="auto"/>
            <w:noWrap/>
            <w:vAlign w:val="bottom"/>
            <w:hideMark/>
          </w:tcPr>
          <w:p w14:paraId="1856D574"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56477112" w14:textId="77777777" w:rsidR="0049448B" w:rsidRPr="0049448B" w:rsidRDefault="0049448B" w:rsidP="0049448B">
            <w:pPr>
              <w:rPr>
                <w:rFonts w:ascii="Times New Roman" w:eastAsia="Times New Roman" w:hAnsi="Times New Roman" w:cs="Times New Roman"/>
                <w:sz w:val="20"/>
                <w:szCs w:val="20"/>
                <w:lang w:eastAsia="en-US"/>
              </w:rPr>
            </w:pPr>
          </w:p>
        </w:tc>
        <w:tc>
          <w:tcPr>
            <w:tcW w:w="637" w:type="pct"/>
            <w:tcBorders>
              <w:top w:val="nil"/>
              <w:left w:val="nil"/>
              <w:bottom w:val="nil"/>
              <w:right w:val="nil"/>
            </w:tcBorders>
            <w:shd w:val="clear" w:color="auto" w:fill="auto"/>
            <w:noWrap/>
            <w:vAlign w:val="bottom"/>
            <w:hideMark/>
          </w:tcPr>
          <w:p w14:paraId="0DC9A6A5" w14:textId="77777777" w:rsidR="0049448B" w:rsidRPr="0049448B" w:rsidRDefault="0049448B" w:rsidP="0049448B">
            <w:pPr>
              <w:rPr>
                <w:rFonts w:ascii="Times New Roman" w:eastAsia="Times New Roman" w:hAnsi="Times New Roman" w:cs="Times New Roman"/>
                <w:sz w:val="20"/>
                <w:szCs w:val="20"/>
                <w:lang w:eastAsia="en-US"/>
              </w:rPr>
            </w:pPr>
          </w:p>
        </w:tc>
        <w:tc>
          <w:tcPr>
            <w:tcW w:w="694" w:type="pct"/>
            <w:tcBorders>
              <w:top w:val="nil"/>
              <w:left w:val="nil"/>
              <w:bottom w:val="nil"/>
              <w:right w:val="nil"/>
            </w:tcBorders>
            <w:shd w:val="clear" w:color="auto" w:fill="auto"/>
            <w:noWrap/>
            <w:vAlign w:val="bottom"/>
            <w:hideMark/>
          </w:tcPr>
          <w:p w14:paraId="0C0AB906"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582" w:type="pct"/>
            <w:tcBorders>
              <w:top w:val="nil"/>
              <w:left w:val="nil"/>
              <w:bottom w:val="nil"/>
              <w:right w:val="nil"/>
            </w:tcBorders>
            <w:shd w:val="clear" w:color="auto" w:fill="auto"/>
            <w:noWrap/>
            <w:vAlign w:val="bottom"/>
            <w:hideMark/>
          </w:tcPr>
          <w:p w14:paraId="1268CDAF"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723" w:type="pct"/>
            <w:tcBorders>
              <w:top w:val="nil"/>
              <w:left w:val="nil"/>
              <w:bottom w:val="nil"/>
              <w:right w:val="nil"/>
            </w:tcBorders>
            <w:shd w:val="clear" w:color="auto" w:fill="auto"/>
            <w:noWrap/>
            <w:vAlign w:val="bottom"/>
            <w:hideMark/>
          </w:tcPr>
          <w:p w14:paraId="59A77662"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459" w:type="pct"/>
            <w:tcBorders>
              <w:top w:val="nil"/>
              <w:left w:val="nil"/>
              <w:bottom w:val="nil"/>
              <w:right w:val="nil"/>
            </w:tcBorders>
            <w:shd w:val="clear" w:color="auto" w:fill="auto"/>
            <w:noWrap/>
            <w:vAlign w:val="bottom"/>
            <w:hideMark/>
          </w:tcPr>
          <w:p w14:paraId="08757635" w14:textId="77777777" w:rsidR="0049448B" w:rsidRPr="0049448B" w:rsidRDefault="0049448B" w:rsidP="0049448B">
            <w:pPr>
              <w:jc w:val="right"/>
              <w:rPr>
                <w:rFonts w:ascii="Times New Roman" w:eastAsia="Times New Roman" w:hAnsi="Times New Roman" w:cs="Times New Roman"/>
                <w:sz w:val="20"/>
                <w:szCs w:val="20"/>
                <w:lang w:eastAsia="en-US"/>
              </w:rPr>
            </w:pPr>
          </w:p>
        </w:tc>
      </w:tr>
      <w:tr w:rsidR="0049448B" w:rsidRPr="0049448B" w14:paraId="4C9C4882" w14:textId="77777777" w:rsidTr="0049448B">
        <w:trPr>
          <w:trHeight w:val="220"/>
        </w:trPr>
        <w:tc>
          <w:tcPr>
            <w:tcW w:w="496" w:type="pct"/>
            <w:tcBorders>
              <w:top w:val="nil"/>
              <w:left w:val="nil"/>
              <w:bottom w:val="nil"/>
              <w:right w:val="nil"/>
            </w:tcBorders>
            <w:shd w:val="clear" w:color="auto" w:fill="auto"/>
            <w:noWrap/>
            <w:vAlign w:val="bottom"/>
            <w:hideMark/>
          </w:tcPr>
          <w:p w14:paraId="65DFAE0E"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CLL/SLL</w:t>
            </w:r>
          </w:p>
        </w:tc>
        <w:tc>
          <w:tcPr>
            <w:tcW w:w="1408" w:type="pct"/>
            <w:tcBorders>
              <w:top w:val="nil"/>
              <w:left w:val="nil"/>
              <w:bottom w:val="nil"/>
              <w:right w:val="nil"/>
            </w:tcBorders>
            <w:shd w:val="clear" w:color="auto" w:fill="auto"/>
            <w:noWrap/>
            <w:vAlign w:val="bottom"/>
            <w:hideMark/>
          </w:tcPr>
          <w:p w14:paraId="512540C0"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IL1A-889C&gt;T (rs1800587)</w:t>
            </w:r>
          </w:p>
        </w:tc>
        <w:tc>
          <w:tcPr>
            <w:tcW w:w="637" w:type="pct"/>
            <w:tcBorders>
              <w:top w:val="nil"/>
              <w:left w:val="nil"/>
              <w:bottom w:val="nil"/>
              <w:right w:val="nil"/>
            </w:tcBorders>
            <w:shd w:val="clear" w:color="auto" w:fill="auto"/>
            <w:noWrap/>
            <w:vAlign w:val="bottom"/>
            <w:hideMark/>
          </w:tcPr>
          <w:p w14:paraId="1D31F4A5"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2,317</w:t>
            </w:r>
          </w:p>
        </w:tc>
        <w:tc>
          <w:tcPr>
            <w:tcW w:w="694" w:type="pct"/>
            <w:tcBorders>
              <w:top w:val="nil"/>
              <w:left w:val="nil"/>
              <w:bottom w:val="nil"/>
              <w:right w:val="nil"/>
            </w:tcBorders>
            <w:shd w:val="clear" w:color="auto" w:fill="auto"/>
            <w:noWrap/>
            <w:vAlign w:val="bottom"/>
            <w:hideMark/>
          </w:tcPr>
          <w:p w14:paraId="20833130"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366</w:t>
            </w:r>
          </w:p>
        </w:tc>
        <w:tc>
          <w:tcPr>
            <w:tcW w:w="582" w:type="pct"/>
            <w:tcBorders>
              <w:top w:val="nil"/>
              <w:left w:val="nil"/>
              <w:bottom w:val="nil"/>
              <w:right w:val="nil"/>
            </w:tcBorders>
            <w:shd w:val="clear" w:color="auto" w:fill="auto"/>
            <w:noWrap/>
            <w:vAlign w:val="bottom"/>
            <w:hideMark/>
          </w:tcPr>
          <w:p w14:paraId="6402D0B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1.03</w:t>
            </w:r>
          </w:p>
        </w:tc>
        <w:tc>
          <w:tcPr>
            <w:tcW w:w="723" w:type="pct"/>
            <w:tcBorders>
              <w:top w:val="nil"/>
              <w:left w:val="nil"/>
              <w:bottom w:val="nil"/>
              <w:right w:val="nil"/>
            </w:tcBorders>
            <w:shd w:val="clear" w:color="auto" w:fill="auto"/>
            <w:noWrap/>
            <w:vAlign w:val="bottom"/>
            <w:hideMark/>
          </w:tcPr>
          <w:p w14:paraId="5B0D9A8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[0.45, 2.35]</w:t>
            </w:r>
          </w:p>
        </w:tc>
        <w:tc>
          <w:tcPr>
            <w:tcW w:w="459" w:type="pct"/>
            <w:tcBorders>
              <w:top w:val="nil"/>
              <w:left w:val="nil"/>
              <w:bottom w:val="nil"/>
              <w:right w:val="nil"/>
            </w:tcBorders>
            <w:shd w:val="clear" w:color="auto" w:fill="auto"/>
            <w:noWrap/>
            <w:vAlign w:val="bottom"/>
            <w:hideMark/>
          </w:tcPr>
          <w:p w14:paraId="33EE00A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0.53</w:t>
            </w:r>
          </w:p>
        </w:tc>
      </w:tr>
      <w:tr w:rsidR="0049448B" w:rsidRPr="0049448B" w14:paraId="78E4C3D0" w14:textId="77777777" w:rsidTr="0049448B">
        <w:trPr>
          <w:trHeight w:val="260"/>
        </w:trPr>
        <w:tc>
          <w:tcPr>
            <w:tcW w:w="496" w:type="pct"/>
            <w:tcBorders>
              <w:top w:val="nil"/>
              <w:left w:val="nil"/>
              <w:bottom w:val="nil"/>
              <w:right w:val="nil"/>
            </w:tcBorders>
            <w:shd w:val="clear" w:color="auto" w:fill="auto"/>
            <w:noWrap/>
            <w:vAlign w:val="bottom"/>
            <w:hideMark/>
          </w:tcPr>
          <w:p w14:paraId="22967965"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01BBED30"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IL1B-511C&gt;T (rs16944)</w:t>
            </w:r>
          </w:p>
        </w:tc>
        <w:tc>
          <w:tcPr>
            <w:tcW w:w="637" w:type="pct"/>
            <w:tcBorders>
              <w:top w:val="nil"/>
              <w:left w:val="nil"/>
              <w:bottom w:val="nil"/>
              <w:right w:val="nil"/>
            </w:tcBorders>
            <w:shd w:val="clear" w:color="auto" w:fill="auto"/>
            <w:noWrap/>
            <w:vAlign w:val="bottom"/>
            <w:hideMark/>
          </w:tcPr>
          <w:p w14:paraId="21870795"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1,280</w:t>
            </w:r>
          </w:p>
        </w:tc>
        <w:tc>
          <w:tcPr>
            <w:tcW w:w="694" w:type="pct"/>
            <w:tcBorders>
              <w:top w:val="nil"/>
              <w:left w:val="nil"/>
              <w:bottom w:val="nil"/>
              <w:right w:val="nil"/>
            </w:tcBorders>
            <w:shd w:val="clear" w:color="auto" w:fill="auto"/>
            <w:noWrap/>
            <w:vAlign w:val="bottom"/>
            <w:hideMark/>
          </w:tcPr>
          <w:p w14:paraId="543A9B00"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117</w:t>
            </w:r>
          </w:p>
        </w:tc>
        <w:tc>
          <w:tcPr>
            <w:tcW w:w="582" w:type="pct"/>
            <w:tcBorders>
              <w:top w:val="nil"/>
              <w:left w:val="nil"/>
              <w:bottom w:val="nil"/>
              <w:right w:val="nil"/>
            </w:tcBorders>
            <w:shd w:val="clear" w:color="auto" w:fill="auto"/>
            <w:noWrap/>
            <w:vAlign w:val="bottom"/>
            <w:hideMark/>
          </w:tcPr>
          <w:p w14:paraId="67591E7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1.30</w:t>
            </w:r>
          </w:p>
        </w:tc>
        <w:tc>
          <w:tcPr>
            <w:tcW w:w="723" w:type="pct"/>
            <w:tcBorders>
              <w:top w:val="nil"/>
              <w:left w:val="nil"/>
              <w:bottom w:val="nil"/>
              <w:right w:val="nil"/>
            </w:tcBorders>
            <w:shd w:val="clear" w:color="auto" w:fill="auto"/>
            <w:noWrap/>
            <w:vAlign w:val="bottom"/>
            <w:hideMark/>
          </w:tcPr>
          <w:p w14:paraId="60F3E39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[0.22, 7.56]</w:t>
            </w:r>
          </w:p>
        </w:tc>
        <w:tc>
          <w:tcPr>
            <w:tcW w:w="459" w:type="pct"/>
            <w:tcBorders>
              <w:top w:val="nil"/>
              <w:left w:val="nil"/>
              <w:bottom w:val="nil"/>
              <w:right w:val="nil"/>
            </w:tcBorders>
            <w:shd w:val="clear" w:color="auto" w:fill="auto"/>
            <w:noWrap/>
            <w:vAlign w:val="bottom"/>
            <w:hideMark/>
          </w:tcPr>
          <w:p w14:paraId="077043C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0.62</w:t>
            </w:r>
          </w:p>
        </w:tc>
      </w:tr>
      <w:tr w:rsidR="0049448B" w:rsidRPr="0049448B" w14:paraId="3E60ECB4" w14:textId="77777777" w:rsidTr="0049448B">
        <w:trPr>
          <w:trHeight w:val="220"/>
        </w:trPr>
        <w:tc>
          <w:tcPr>
            <w:tcW w:w="496" w:type="pct"/>
            <w:tcBorders>
              <w:top w:val="nil"/>
              <w:left w:val="nil"/>
              <w:bottom w:val="nil"/>
              <w:right w:val="nil"/>
            </w:tcBorders>
            <w:shd w:val="clear" w:color="auto" w:fill="auto"/>
            <w:noWrap/>
            <w:vAlign w:val="bottom"/>
            <w:hideMark/>
          </w:tcPr>
          <w:p w14:paraId="7B390E4D"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56E69708" w14:textId="102DB0EC"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IL1B-</w:t>
            </w:r>
            <w:r w:rsidR="00651E47">
              <w:rPr>
                <w:rFonts w:eastAsia="Times New Roman" w:cs="Arial"/>
                <w:color w:val="000000"/>
                <w:sz w:val="16"/>
                <w:szCs w:val="16"/>
                <w:lang w:eastAsia="en-US"/>
              </w:rPr>
              <w:t>31T&gt;C</w:t>
            </w:r>
            <w:r w:rsidRPr="0049448B">
              <w:rPr>
                <w:rFonts w:eastAsia="Times New Roman" w:cs="Arial"/>
                <w:color w:val="000000"/>
                <w:sz w:val="16"/>
                <w:szCs w:val="16"/>
                <w:lang w:eastAsia="en-US"/>
              </w:rPr>
              <w:t xml:space="preserve"> (rs1143627)</w:t>
            </w:r>
          </w:p>
        </w:tc>
        <w:tc>
          <w:tcPr>
            <w:tcW w:w="637" w:type="pct"/>
            <w:tcBorders>
              <w:top w:val="nil"/>
              <w:left w:val="nil"/>
              <w:bottom w:val="nil"/>
              <w:right w:val="nil"/>
            </w:tcBorders>
            <w:shd w:val="clear" w:color="auto" w:fill="auto"/>
            <w:noWrap/>
            <w:vAlign w:val="bottom"/>
            <w:hideMark/>
          </w:tcPr>
          <w:p w14:paraId="673CFFD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3,715</w:t>
            </w:r>
          </w:p>
        </w:tc>
        <w:tc>
          <w:tcPr>
            <w:tcW w:w="694" w:type="pct"/>
            <w:tcBorders>
              <w:top w:val="nil"/>
              <w:left w:val="nil"/>
              <w:bottom w:val="nil"/>
              <w:right w:val="nil"/>
            </w:tcBorders>
            <w:shd w:val="clear" w:color="auto" w:fill="auto"/>
            <w:noWrap/>
            <w:vAlign w:val="bottom"/>
            <w:hideMark/>
          </w:tcPr>
          <w:p w14:paraId="2A30F26B"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646</w:t>
            </w:r>
          </w:p>
        </w:tc>
        <w:tc>
          <w:tcPr>
            <w:tcW w:w="582" w:type="pct"/>
            <w:tcBorders>
              <w:top w:val="nil"/>
              <w:left w:val="nil"/>
              <w:bottom w:val="nil"/>
              <w:right w:val="nil"/>
            </w:tcBorders>
            <w:shd w:val="clear" w:color="auto" w:fill="auto"/>
            <w:noWrap/>
            <w:vAlign w:val="bottom"/>
            <w:hideMark/>
          </w:tcPr>
          <w:p w14:paraId="32D0B5A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0.96</w:t>
            </w:r>
          </w:p>
        </w:tc>
        <w:tc>
          <w:tcPr>
            <w:tcW w:w="723" w:type="pct"/>
            <w:tcBorders>
              <w:top w:val="nil"/>
              <w:left w:val="nil"/>
              <w:bottom w:val="nil"/>
              <w:right w:val="nil"/>
            </w:tcBorders>
            <w:shd w:val="clear" w:color="auto" w:fill="auto"/>
            <w:noWrap/>
            <w:vAlign w:val="bottom"/>
            <w:hideMark/>
          </w:tcPr>
          <w:p w14:paraId="0BD4DBA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[0.49, 1.87]</w:t>
            </w:r>
          </w:p>
        </w:tc>
        <w:tc>
          <w:tcPr>
            <w:tcW w:w="459" w:type="pct"/>
            <w:tcBorders>
              <w:top w:val="nil"/>
              <w:left w:val="nil"/>
              <w:bottom w:val="nil"/>
              <w:right w:val="nil"/>
            </w:tcBorders>
            <w:shd w:val="clear" w:color="auto" w:fill="auto"/>
            <w:noWrap/>
            <w:vAlign w:val="bottom"/>
            <w:hideMark/>
          </w:tcPr>
          <w:p w14:paraId="7FFA3F7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0.45</w:t>
            </w:r>
          </w:p>
        </w:tc>
      </w:tr>
      <w:tr w:rsidR="0049448B" w:rsidRPr="0049448B" w14:paraId="70AB6D2C" w14:textId="77777777" w:rsidTr="0049448B">
        <w:trPr>
          <w:trHeight w:val="220"/>
        </w:trPr>
        <w:tc>
          <w:tcPr>
            <w:tcW w:w="496" w:type="pct"/>
            <w:tcBorders>
              <w:top w:val="nil"/>
              <w:left w:val="nil"/>
              <w:bottom w:val="nil"/>
              <w:right w:val="nil"/>
            </w:tcBorders>
            <w:shd w:val="clear" w:color="auto" w:fill="auto"/>
            <w:noWrap/>
            <w:vAlign w:val="bottom"/>
            <w:hideMark/>
          </w:tcPr>
          <w:p w14:paraId="27658BA3"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7DAAA24F"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IL1RN-9589A&gt;T (rs454078)</w:t>
            </w:r>
          </w:p>
        </w:tc>
        <w:tc>
          <w:tcPr>
            <w:tcW w:w="637" w:type="pct"/>
            <w:tcBorders>
              <w:top w:val="nil"/>
              <w:left w:val="nil"/>
              <w:bottom w:val="nil"/>
              <w:right w:val="nil"/>
            </w:tcBorders>
            <w:shd w:val="clear" w:color="auto" w:fill="auto"/>
            <w:noWrap/>
            <w:vAlign w:val="bottom"/>
            <w:hideMark/>
          </w:tcPr>
          <w:p w14:paraId="1621B673"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2,319</w:t>
            </w:r>
          </w:p>
        </w:tc>
        <w:tc>
          <w:tcPr>
            <w:tcW w:w="694" w:type="pct"/>
            <w:tcBorders>
              <w:top w:val="nil"/>
              <w:left w:val="nil"/>
              <w:bottom w:val="nil"/>
              <w:right w:val="nil"/>
            </w:tcBorders>
            <w:shd w:val="clear" w:color="auto" w:fill="auto"/>
            <w:noWrap/>
            <w:vAlign w:val="bottom"/>
            <w:hideMark/>
          </w:tcPr>
          <w:p w14:paraId="26611619"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364</w:t>
            </w:r>
          </w:p>
        </w:tc>
        <w:tc>
          <w:tcPr>
            <w:tcW w:w="582" w:type="pct"/>
            <w:tcBorders>
              <w:top w:val="nil"/>
              <w:left w:val="nil"/>
              <w:bottom w:val="nil"/>
              <w:right w:val="nil"/>
            </w:tcBorders>
            <w:shd w:val="clear" w:color="auto" w:fill="auto"/>
            <w:noWrap/>
            <w:vAlign w:val="bottom"/>
            <w:hideMark/>
          </w:tcPr>
          <w:p w14:paraId="7599790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1.81</w:t>
            </w:r>
          </w:p>
        </w:tc>
        <w:tc>
          <w:tcPr>
            <w:tcW w:w="723" w:type="pct"/>
            <w:tcBorders>
              <w:top w:val="nil"/>
              <w:left w:val="nil"/>
              <w:bottom w:val="nil"/>
              <w:right w:val="nil"/>
            </w:tcBorders>
            <w:shd w:val="clear" w:color="auto" w:fill="auto"/>
            <w:noWrap/>
            <w:vAlign w:val="bottom"/>
            <w:hideMark/>
          </w:tcPr>
          <w:p w14:paraId="1BC4C10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[0.80, 4.07]</w:t>
            </w:r>
          </w:p>
        </w:tc>
        <w:tc>
          <w:tcPr>
            <w:tcW w:w="459" w:type="pct"/>
            <w:tcBorders>
              <w:top w:val="nil"/>
              <w:left w:val="nil"/>
              <w:bottom w:val="nil"/>
              <w:right w:val="nil"/>
            </w:tcBorders>
            <w:shd w:val="clear" w:color="auto" w:fill="auto"/>
            <w:noWrap/>
            <w:vAlign w:val="bottom"/>
            <w:hideMark/>
          </w:tcPr>
          <w:p w14:paraId="662D3DD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0.92</w:t>
            </w:r>
          </w:p>
        </w:tc>
      </w:tr>
      <w:tr w:rsidR="0049448B" w:rsidRPr="0049448B" w14:paraId="6D917938" w14:textId="77777777" w:rsidTr="0049448B">
        <w:trPr>
          <w:trHeight w:val="220"/>
        </w:trPr>
        <w:tc>
          <w:tcPr>
            <w:tcW w:w="496" w:type="pct"/>
            <w:tcBorders>
              <w:top w:val="nil"/>
              <w:left w:val="nil"/>
              <w:bottom w:val="nil"/>
              <w:right w:val="nil"/>
            </w:tcBorders>
            <w:shd w:val="clear" w:color="auto" w:fill="auto"/>
            <w:noWrap/>
            <w:vAlign w:val="bottom"/>
            <w:hideMark/>
          </w:tcPr>
          <w:p w14:paraId="7B883707"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33B40619"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IL2–384T&gt;G (rs2069762)</w:t>
            </w:r>
          </w:p>
        </w:tc>
        <w:tc>
          <w:tcPr>
            <w:tcW w:w="637" w:type="pct"/>
            <w:tcBorders>
              <w:top w:val="nil"/>
              <w:left w:val="nil"/>
              <w:bottom w:val="nil"/>
              <w:right w:val="nil"/>
            </w:tcBorders>
            <w:shd w:val="clear" w:color="auto" w:fill="auto"/>
            <w:noWrap/>
            <w:vAlign w:val="bottom"/>
            <w:hideMark/>
          </w:tcPr>
          <w:p w14:paraId="1C5ABEFB"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2,320</w:t>
            </w:r>
          </w:p>
        </w:tc>
        <w:tc>
          <w:tcPr>
            <w:tcW w:w="694" w:type="pct"/>
            <w:tcBorders>
              <w:top w:val="nil"/>
              <w:left w:val="nil"/>
              <w:bottom w:val="nil"/>
              <w:right w:val="nil"/>
            </w:tcBorders>
            <w:shd w:val="clear" w:color="auto" w:fill="auto"/>
            <w:noWrap/>
            <w:vAlign w:val="bottom"/>
            <w:hideMark/>
          </w:tcPr>
          <w:p w14:paraId="605D6B1D"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365</w:t>
            </w:r>
          </w:p>
        </w:tc>
        <w:tc>
          <w:tcPr>
            <w:tcW w:w="582" w:type="pct"/>
            <w:tcBorders>
              <w:top w:val="nil"/>
              <w:left w:val="nil"/>
              <w:bottom w:val="nil"/>
              <w:right w:val="nil"/>
            </w:tcBorders>
            <w:shd w:val="clear" w:color="auto" w:fill="auto"/>
            <w:noWrap/>
            <w:vAlign w:val="bottom"/>
            <w:hideMark/>
          </w:tcPr>
          <w:p w14:paraId="7AE31FC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1.77</w:t>
            </w:r>
          </w:p>
        </w:tc>
        <w:tc>
          <w:tcPr>
            <w:tcW w:w="723" w:type="pct"/>
            <w:tcBorders>
              <w:top w:val="nil"/>
              <w:left w:val="nil"/>
              <w:bottom w:val="nil"/>
              <w:right w:val="nil"/>
            </w:tcBorders>
            <w:shd w:val="clear" w:color="auto" w:fill="auto"/>
            <w:noWrap/>
            <w:vAlign w:val="bottom"/>
            <w:hideMark/>
          </w:tcPr>
          <w:p w14:paraId="764648B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[0.79, 3.98]</w:t>
            </w:r>
          </w:p>
        </w:tc>
        <w:tc>
          <w:tcPr>
            <w:tcW w:w="459" w:type="pct"/>
            <w:tcBorders>
              <w:top w:val="nil"/>
              <w:left w:val="nil"/>
              <w:bottom w:val="nil"/>
              <w:right w:val="nil"/>
            </w:tcBorders>
            <w:shd w:val="clear" w:color="auto" w:fill="auto"/>
            <w:noWrap/>
            <w:vAlign w:val="bottom"/>
            <w:hideMark/>
          </w:tcPr>
          <w:p w14:paraId="01607C6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0.92</w:t>
            </w:r>
          </w:p>
        </w:tc>
      </w:tr>
      <w:tr w:rsidR="0049448B" w:rsidRPr="0049448B" w14:paraId="471E4123" w14:textId="77777777" w:rsidTr="0049448B">
        <w:trPr>
          <w:trHeight w:val="220"/>
        </w:trPr>
        <w:tc>
          <w:tcPr>
            <w:tcW w:w="496" w:type="pct"/>
            <w:tcBorders>
              <w:top w:val="nil"/>
              <w:left w:val="nil"/>
              <w:bottom w:val="nil"/>
              <w:right w:val="nil"/>
            </w:tcBorders>
            <w:shd w:val="clear" w:color="auto" w:fill="auto"/>
            <w:noWrap/>
            <w:vAlign w:val="bottom"/>
            <w:hideMark/>
          </w:tcPr>
          <w:p w14:paraId="00E45894"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5326CEC0"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IL6-174G&gt;C (rs1800795)</w:t>
            </w:r>
          </w:p>
        </w:tc>
        <w:tc>
          <w:tcPr>
            <w:tcW w:w="637" w:type="pct"/>
            <w:tcBorders>
              <w:top w:val="nil"/>
              <w:left w:val="nil"/>
              <w:bottom w:val="nil"/>
              <w:right w:val="nil"/>
            </w:tcBorders>
            <w:shd w:val="clear" w:color="auto" w:fill="auto"/>
            <w:noWrap/>
            <w:vAlign w:val="bottom"/>
            <w:hideMark/>
          </w:tcPr>
          <w:p w14:paraId="12D6834E"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2,347</w:t>
            </w:r>
          </w:p>
        </w:tc>
        <w:tc>
          <w:tcPr>
            <w:tcW w:w="694" w:type="pct"/>
            <w:tcBorders>
              <w:top w:val="nil"/>
              <w:left w:val="nil"/>
              <w:bottom w:val="nil"/>
              <w:right w:val="nil"/>
            </w:tcBorders>
            <w:shd w:val="clear" w:color="auto" w:fill="auto"/>
            <w:noWrap/>
            <w:vAlign w:val="bottom"/>
            <w:hideMark/>
          </w:tcPr>
          <w:p w14:paraId="4A780753"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364</w:t>
            </w:r>
          </w:p>
        </w:tc>
        <w:tc>
          <w:tcPr>
            <w:tcW w:w="582" w:type="pct"/>
            <w:tcBorders>
              <w:top w:val="nil"/>
              <w:left w:val="nil"/>
              <w:bottom w:val="nil"/>
              <w:right w:val="nil"/>
            </w:tcBorders>
            <w:shd w:val="clear" w:color="auto" w:fill="auto"/>
            <w:noWrap/>
            <w:vAlign w:val="bottom"/>
            <w:hideMark/>
          </w:tcPr>
          <w:p w14:paraId="79BDD9A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1.13</w:t>
            </w:r>
          </w:p>
        </w:tc>
        <w:tc>
          <w:tcPr>
            <w:tcW w:w="723" w:type="pct"/>
            <w:tcBorders>
              <w:top w:val="nil"/>
              <w:left w:val="nil"/>
              <w:bottom w:val="nil"/>
              <w:right w:val="nil"/>
            </w:tcBorders>
            <w:shd w:val="clear" w:color="auto" w:fill="auto"/>
            <w:noWrap/>
            <w:vAlign w:val="bottom"/>
            <w:hideMark/>
          </w:tcPr>
          <w:p w14:paraId="03531DE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[0.49, 2.57]</w:t>
            </w:r>
          </w:p>
        </w:tc>
        <w:tc>
          <w:tcPr>
            <w:tcW w:w="459" w:type="pct"/>
            <w:tcBorders>
              <w:top w:val="nil"/>
              <w:left w:val="nil"/>
              <w:bottom w:val="nil"/>
              <w:right w:val="nil"/>
            </w:tcBorders>
            <w:shd w:val="clear" w:color="auto" w:fill="auto"/>
            <w:noWrap/>
            <w:vAlign w:val="bottom"/>
            <w:hideMark/>
          </w:tcPr>
          <w:p w14:paraId="26AFF38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0.61</w:t>
            </w:r>
          </w:p>
        </w:tc>
      </w:tr>
      <w:tr w:rsidR="0049448B" w:rsidRPr="0049448B" w14:paraId="67E16A08" w14:textId="77777777" w:rsidTr="0049448B">
        <w:trPr>
          <w:trHeight w:val="220"/>
        </w:trPr>
        <w:tc>
          <w:tcPr>
            <w:tcW w:w="496" w:type="pct"/>
            <w:tcBorders>
              <w:top w:val="nil"/>
              <w:left w:val="nil"/>
              <w:bottom w:val="nil"/>
              <w:right w:val="nil"/>
            </w:tcBorders>
            <w:shd w:val="clear" w:color="auto" w:fill="auto"/>
            <w:noWrap/>
            <w:vAlign w:val="bottom"/>
            <w:hideMark/>
          </w:tcPr>
          <w:p w14:paraId="6EB5A3F1"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495F58A6"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IL6-597G&gt;A (rs1800797)</w:t>
            </w:r>
          </w:p>
        </w:tc>
        <w:tc>
          <w:tcPr>
            <w:tcW w:w="637" w:type="pct"/>
            <w:tcBorders>
              <w:top w:val="nil"/>
              <w:left w:val="nil"/>
              <w:bottom w:val="nil"/>
              <w:right w:val="nil"/>
            </w:tcBorders>
            <w:shd w:val="clear" w:color="auto" w:fill="auto"/>
            <w:noWrap/>
            <w:vAlign w:val="bottom"/>
            <w:hideMark/>
          </w:tcPr>
          <w:p w14:paraId="69D8BB22"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3,852</w:t>
            </w:r>
          </w:p>
        </w:tc>
        <w:tc>
          <w:tcPr>
            <w:tcW w:w="694" w:type="pct"/>
            <w:tcBorders>
              <w:top w:val="nil"/>
              <w:left w:val="nil"/>
              <w:bottom w:val="nil"/>
              <w:right w:val="nil"/>
            </w:tcBorders>
            <w:shd w:val="clear" w:color="auto" w:fill="auto"/>
            <w:noWrap/>
            <w:vAlign w:val="bottom"/>
            <w:hideMark/>
          </w:tcPr>
          <w:p w14:paraId="3A8FF798"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666</w:t>
            </w:r>
          </w:p>
        </w:tc>
        <w:tc>
          <w:tcPr>
            <w:tcW w:w="582" w:type="pct"/>
            <w:tcBorders>
              <w:top w:val="nil"/>
              <w:left w:val="nil"/>
              <w:bottom w:val="nil"/>
              <w:right w:val="nil"/>
            </w:tcBorders>
            <w:shd w:val="clear" w:color="auto" w:fill="auto"/>
            <w:noWrap/>
            <w:vAlign w:val="bottom"/>
            <w:hideMark/>
          </w:tcPr>
          <w:p w14:paraId="401A5FC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0.89</w:t>
            </w:r>
          </w:p>
        </w:tc>
        <w:tc>
          <w:tcPr>
            <w:tcW w:w="723" w:type="pct"/>
            <w:tcBorders>
              <w:top w:val="nil"/>
              <w:left w:val="nil"/>
              <w:bottom w:val="nil"/>
              <w:right w:val="nil"/>
            </w:tcBorders>
            <w:shd w:val="clear" w:color="auto" w:fill="auto"/>
            <w:noWrap/>
            <w:vAlign w:val="bottom"/>
            <w:hideMark/>
          </w:tcPr>
          <w:p w14:paraId="4EDA36A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[0.45, 1.76]</w:t>
            </w:r>
          </w:p>
        </w:tc>
        <w:tc>
          <w:tcPr>
            <w:tcW w:w="459" w:type="pct"/>
            <w:tcBorders>
              <w:top w:val="nil"/>
              <w:left w:val="nil"/>
              <w:bottom w:val="nil"/>
              <w:right w:val="nil"/>
            </w:tcBorders>
            <w:shd w:val="clear" w:color="auto" w:fill="auto"/>
            <w:noWrap/>
            <w:vAlign w:val="bottom"/>
            <w:hideMark/>
          </w:tcPr>
          <w:p w14:paraId="246F963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0.37</w:t>
            </w:r>
          </w:p>
        </w:tc>
      </w:tr>
      <w:tr w:rsidR="0049448B" w:rsidRPr="0049448B" w14:paraId="3212B075" w14:textId="77777777" w:rsidTr="0049448B">
        <w:trPr>
          <w:trHeight w:val="220"/>
        </w:trPr>
        <w:tc>
          <w:tcPr>
            <w:tcW w:w="496" w:type="pct"/>
            <w:tcBorders>
              <w:top w:val="nil"/>
              <w:left w:val="nil"/>
              <w:bottom w:val="nil"/>
              <w:right w:val="nil"/>
            </w:tcBorders>
            <w:shd w:val="clear" w:color="auto" w:fill="auto"/>
            <w:noWrap/>
            <w:vAlign w:val="bottom"/>
            <w:hideMark/>
          </w:tcPr>
          <w:p w14:paraId="4DAD9065"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6894437"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IL10-1082A&gt;G (rs1800896)</w:t>
            </w:r>
          </w:p>
        </w:tc>
        <w:tc>
          <w:tcPr>
            <w:tcW w:w="637" w:type="pct"/>
            <w:tcBorders>
              <w:top w:val="nil"/>
              <w:left w:val="nil"/>
              <w:bottom w:val="nil"/>
              <w:right w:val="nil"/>
            </w:tcBorders>
            <w:shd w:val="clear" w:color="auto" w:fill="auto"/>
            <w:noWrap/>
            <w:vAlign w:val="bottom"/>
            <w:hideMark/>
          </w:tcPr>
          <w:p w14:paraId="2B0ABD6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4,173</w:t>
            </w:r>
          </w:p>
        </w:tc>
        <w:tc>
          <w:tcPr>
            <w:tcW w:w="694" w:type="pct"/>
            <w:tcBorders>
              <w:top w:val="nil"/>
              <w:left w:val="nil"/>
              <w:bottom w:val="nil"/>
              <w:right w:val="nil"/>
            </w:tcBorders>
            <w:shd w:val="clear" w:color="auto" w:fill="auto"/>
            <w:noWrap/>
            <w:vAlign w:val="bottom"/>
            <w:hideMark/>
          </w:tcPr>
          <w:p w14:paraId="561221CA"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669</w:t>
            </w:r>
          </w:p>
        </w:tc>
        <w:tc>
          <w:tcPr>
            <w:tcW w:w="582" w:type="pct"/>
            <w:tcBorders>
              <w:top w:val="nil"/>
              <w:left w:val="nil"/>
              <w:bottom w:val="nil"/>
              <w:right w:val="nil"/>
            </w:tcBorders>
            <w:shd w:val="clear" w:color="auto" w:fill="auto"/>
            <w:noWrap/>
            <w:vAlign w:val="bottom"/>
            <w:hideMark/>
          </w:tcPr>
          <w:p w14:paraId="10A733C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0.80</w:t>
            </w:r>
          </w:p>
        </w:tc>
        <w:tc>
          <w:tcPr>
            <w:tcW w:w="723" w:type="pct"/>
            <w:tcBorders>
              <w:top w:val="nil"/>
              <w:left w:val="nil"/>
              <w:bottom w:val="nil"/>
              <w:right w:val="nil"/>
            </w:tcBorders>
            <w:shd w:val="clear" w:color="auto" w:fill="auto"/>
            <w:noWrap/>
            <w:vAlign w:val="bottom"/>
            <w:hideMark/>
          </w:tcPr>
          <w:p w14:paraId="79791FC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[0.39, 1.62]</w:t>
            </w:r>
          </w:p>
        </w:tc>
        <w:tc>
          <w:tcPr>
            <w:tcW w:w="459" w:type="pct"/>
            <w:tcBorders>
              <w:top w:val="nil"/>
              <w:left w:val="nil"/>
              <w:bottom w:val="nil"/>
              <w:right w:val="nil"/>
            </w:tcBorders>
            <w:shd w:val="clear" w:color="auto" w:fill="auto"/>
            <w:noWrap/>
            <w:vAlign w:val="bottom"/>
            <w:hideMark/>
          </w:tcPr>
          <w:p w14:paraId="36C4AC4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0.27</w:t>
            </w:r>
          </w:p>
        </w:tc>
      </w:tr>
      <w:tr w:rsidR="0049448B" w:rsidRPr="0049448B" w14:paraId="32B9B603" w14:textId="77777777" w:rsidTr="0049448B">
        <w:trPr>
          <w:trHeight w:val="220"/>
        </w:trPr>
        <w:tc>
          <w:tcPr>
            <w:tcW w:w="496" w:type="pct"/>
            <w:tcBorders>
              <w:top w:val="nil"/>
              <w:left w:val="nil"/>
              <w:bottom w:val="nil"/>
              <w:right w:val="nil"/>
            </w:tcBorders>
            <w:shd w:val="clear" w:color="auto" w:fill="auto"/>
            <w:noWrap/>
            <w:vAlign w:val="bottom"/>
            <w:hideMark/>
          </w:tcPr>
          <w:p w14:paraId="120851F9"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643D6C49"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IL10-3575T&gt;A (rs1800890)</w:t>
            </w:r>
          </w:p>
        </w:tc>
        <w:tc>
          <w:tcPr>
            <w:tcW w:w="637" w:type="pct"/>
            <w:tcBorders>
              <w:top w:val="nil"/>
              <w:left w:val="nil"/>
              <w:bottom w:val="nil"/>
              <w:right w:val="nil"/>
            </w:tcBorders>
            <w:shd w:val="clear" w:color="auto" w:fill="auto"/>
            <w:noWrap/>
            <w:vAlign w:val="bottom"/>
            <w:hideMark/>
          </w:tcPr>
          <w:p w14:paraId="23701A84"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5,914</w:t>
            </w:r>
          </w:p>
        </w:tc>
        <w:tc>
          <w:tcPr>
            <w:tcW w:w="694" w:type="pct"/>
            <w:tcBorders>
              <w:top w:val="nil"/>
              <w:left w:val="nil"/>
              <w:bottom w:val="nil"/>
              <w:right w:val="nil"/>
            </w:tcBorders>
            <w:shd w:val="clear" w:color="auto" w:fill="auto"/>
            <w:noWrap/>
            <w:vAlign w:val="bottom"/>
            <w:hideMark/>
          </w:tcPr>
          <w:p w14:paraId="1EB6064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1,204</w:t>
            </w:r>
          </w:p>
        </w:tc>
        <w:tc>
          <w:tcPr>
            <w:tcW w:w="582" w:type="pct"/>
            <w:tcBorders>
              <w:top w:val="nil"/>
              <w:left w:val="nil"/>
              <w:bottom w:val="nil"/>
              <w:right w:val="nil"/>
            </w:tcBorders>
            <w:shd w:val="clear" w:color="auto" w:fill="auto"/>
            <w:noWrap/>
            <w:vAlign w:val="bottom"/>
            <w:hideMark/>
          </w:tcPr>
          <w:p w14:paraId="481CBBB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0.68</w:t>
            </w:r>
          </w:p>
        </w:tc>
        <w:tc>
          <w:tcPr>
            <w:tcW w:w="723" w:type="pct"/>
            <w:tcBorders>
              <w:top w:val="nil"/>
              <w:left w:val="nil"/>
              <w:bottom w:val="nil"/>
              <w:right w:val="nil"/>
            </w:tcBorders>
            <w:shd w:val="clear" w:color="auto" w:fill="auto"/>
            <w:noWrap/>
            <w:vAlign w:val="bottom"/>
            <w:hideMark/>
          </w:tcPr>
          <w:p w14:paraId="115981F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[0.37, 1.24]</w:t>
            </w:r>
          </w:p>
        </w:tc>
        <w:tc>
          <w:tcPr>
            <w:tcW w:w="459" w:type="pct"/>
            <w:tcBorders>
              <w:top w:val="nil"/>
              <w:left w:val="nil"/>
              <w:bottom w:val="nil"/>
              <w:right w:val="nil"/>
            </w:tcBorders>
            <w:shd w:val="clear" w:color="auto" w:fill="auto"/>
            <w:noWrap/>
            <w:vAlign w:val="bottom"/>
            <w:hideMark/>
          </w:tcPr>
          <w:p w14:paraId="31DAD21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0.10</w:t>
            </w:r>
          </w:p>
        </w:tc>
      </w:tr>
      <w:tr w:rsidR="0049448B" w:rsidRPr="0049448B" w14:paraId="4BC486A3" w14:textId="77777777" w:rsidTr="0049448B">
        <w:trPr>
          <w:trHeight w:val="220"/>
        </w:trPr>
        <w:tc>
          <w:tcPr>
            <w:tcW w:w="496" w:type="pct"/>
            <w:tcBorders>
              <w:top w:val="nil"/>
              <w:left w:val="nil"/>
              <w:bottom w:val="nil"/>
              <w:right w:val="nil"/>
            </w:tcBorders>
            <w:shd w:val="clear" w:color="auto" w:fill="auto"/>
            <w:noWrap/>
            <w:vAlign w:val="bottom"/>
            <w:hideMark/>
          </w:tcPr>
          <w:p w14:paraId="198850C8"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D8FCB45"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TNF-308G&gt;A (rs1800629)</w:t>
            </w:r>
          </w:p>
        </w:tc>
        <w:tc>
          <w:tcPr>
            <w:tcW w:w="637" w:type="pct"/>
            <w:tcBorders>
              <w:top w:val="nil"/>
              <w:left w:val="nil"/>
              <w:bottom w:val="nil"/>
              <w:right w:val="nil"/>
            </w:tcBorders>
            <w:shd w:val="clear" w:color="auto" w:fill="auto"/>
            <w:noWrap/>
            <w:vAlign w:val="bottom"/>
            <w:hideMark/>
          </w:tcPr>
          <w:p w14:paraId="3075DBE7"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5,562</w:t>
            </w:r>
          </w:p>
        </w:tc>
        <w:tc>
          <w:tcPr>
            <w:tcW w:w="694" w:type="pct"/>
            <w:tcBorders>
              <w:top w:val="nil"/>
              <w:left w:val="nil"/>
              <w:bottom w:val="nil"/>
              <w:right w:val="nil"/>
            </w:tcBorders>
            <w:shd w:val="clear" w:color="auto" w:fill="auto"/>
            <w:noWrap/>
            <w:vAlign w:val="bottom"/>
            <w:hideMark/>
          </w:tcPr>
          <w:p w14:paraId="3481EB7C"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1,186</w:t>
            </w:r>
          </w:p>
        </w:tc>
        <w:tc>
          <w:tcPr>
            <w:tcW w:w="582" w:type="pct"/>
            <w:tcBorders>
              <w:top w:val="nil"/>
              <w:left w:val="nil"/>
              <w:bottom w:val="nil"/>
              <w:right w:val="nil"/>
            </w:tcBorders>
            <w:shd w:val="clear" w:color="auto" w:fill="auto"/>
            <w:noWrap/>
            <w:vAlign w:val="bottom"/>
            <w:hideMark/>
          </w:tcPr>
          <w:p w14:paraId="7733C13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0.89</w:t>
            </w:r>
          </w:p>
        </w:tc>
        <w:tc>
          <w:tcPr>
            <w:tcW w:w="723" w:type="pct"/>
            <w:tcBorders>
              <w:top w:val="nil"/>
              <w:left w:val="nil"/>
              <w:bottom w:val="nil"/>
              <w:right w:val="nil"/>
            </w:tcBorders>
            <w:shd w:val="clear" w:color="auto" w:fill="auto"/>
            <w:noWrap/>
            <w:vAlign w:val="bottom"/>
            <w:hideMark/>
          </w:tcPr>
          <w:p w14:paraId="178884F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[0.47, 1.71]</w:t>
            </w:r>
          </w:p>
        </w:tc>
        <w:tc>
          <w:tcPr>
            <w:tcW w:w="459" w:type="pct"/>
            <w:tcBorders>
              <w:top w:val="nil"/>
              <w:left w:val="nil"/>
              <w:bottom w:val="nil"/>
              <w:right w:val="nil"/>
            </w:tcBorders>
            <w:shd w:val="clear" w:color="auto" w:fill="auto"/>
            <w:noWrap/>
            <w:vAlign w:val="bottom"/>
            <w:hideMark/>
          </w:tcPr>
          <w:p w14:paraId="6B62E3A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0.37</w:t>
            </w:r>
          </w:p>
        </w:tc>
      </w:tr>
      <w:tr w:rsidR="0049448B" w:rsidRPr="0049448B" w14:paraId="44CE1C04" w14:textId="77777777" w:rsidTr="0049448B">
        <w:trPr>
          <w:trHeight w:val="220"/>
        </w:trPr>
        <w:tc>
          <w:tcPr>
            <w:tcW w:w="496" w:type="pct"/>
            <w:tcBorders>
              <w:top w:val="nil"/>
              <w:left w:val="nil"/>
              <w:bottom w:val="nil"/>
              <w:right w:val="nil"/>
            </w:tcBorders>
            <w:shd w:val="clear" w:color="auto" w:fill="auto"/>
            <w:noWrap/>
            <w:vAlign w:val="bottom"/>
            <w:hideMark/>
          </w:tcPr>
          <w:p w14:paraId="4D6DF68D"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0E98692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C&gt;A (rs6457327)</w:t>
            </w:r>
          </w:p>
        </w:tc>
        <w:tc>
          <w:tcPr>
            <w:tcW w:w="637" w:type="pct"/>
            <w:tcBorders>
              <w:top w:val="nil"/>
              <w:left w:val="nil"/>
              <w:bottom w:val="nil"/>
              <w:right w:val="nil"/>
            </w:tcBorders>
            <w:shd w:val="clear" w:color="auto" w:fill="auto"/>
            <w:noWrap/>
            <w:vAlign w:val="bottom"/>
            <w:hideMark/>
          </w:tcPr>
          <w:p w14:paraId="080790A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2,963</w:t>
            </w:r>
          </w:p>
        </w:tc>
        <w:tc>
          <w:tcPr>
            <w:tcW w:w="694" w:type="pct"/>
            <w:tcBorders>
              <w:top w:val="nil"/>
              <w:left w:val="nil"/>
              <w:bottom w:val="nil"/>
              <w:right w:val="nil"/>
            </w:tcBorders>
            <w:shd w:val="clear" w:color="auto" w:fill="auto"/>
            <w:noWrap/>
            <w:vAlign w:val="bottom"/>
            <w:hideMark/>
          </w:tcPr>
          <w:p w14:paraId="254638EE"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389</w:t>
            </w:r>
          </w:p>
        </w:tc>
        <w:tc>
          <w:tcPr>
            <w:tcW w:w="582" w:type="pct"/>
            <w:tcBorders>
              <w:top w:val="nil"/>
              <w:left w:val="nil"/>
              <w:bottom w:val="nil"/>
              <w:right w:val="nil"/>
            </w:tcBorders>
            <w:shd w:val="clear" w:color="auto" w:fill="auto"/>
            <w:noWrap/>
            <w:vAlign w:val="bottom"/>
            <w:hideMark/>
          </w:tcPr>
          <w:p w14:paraId="1202D48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1.05</w:t>
            </w:r>
          </w:p>
        </w:tc>
        <w:tc>
          <w:tcPr>
            <w:tcW w:w="723" w:type="pct"/>
            <w:tcBorders>
              <w:top w:val="nil"/>
              <w:left w:val="nil"/>
              <w:bottom w:val="nil"/>
              <w:right w:val="nil"/>
            </w:tcBorders>
            <w:shd w:val="clear" w:color="auto" w:fill="auto"/>
            <w:noWrap/>
            <w:vAlign w:val="bottom"/>
            <w:hideMark/>
          </w:tcPr>
          <w:p w14:paraId="119F551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[0.36, 3.02]</w:t>
            </w:r>
          </w:p>
        </w:tc>
        <w:tc>
          <w:tcPr>
            <w:tcW w:w="459" w:type="pct"/>
            <w:tcBorders>
              <w:top w:val="nil"/>
              <w:left w:val="nil"/>
              <w:bottom w:val="nil"/>
              <w:right w:val="nil"/>
            </w:tcBorders>
            <w:shd w:val="clear" w:color="auto" w:fill="auto"/>
            <w:noWrap/>
            <w:vAlign w:val="bottom"/>
            <w:hideMark/>
          </w:tcPr>
          <w:p w14:paraId="289059B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0.54</w:t>
            </w:r>
          </w:p>
        </w:tc>
      </w:tr>
      <w:tr w:rsidR="0049448B" w:rsidRPr="0049448B" w14:paraId="4400888F" w14:textId="77777777" w:rsidTr="0049448B">
        <w:trPr>
          <w:trHeight w:val="220"/>
        </w:trPr>
        <w:tc>
          <w:tcPr>
            <w:tcW w:w="496" w:type="pct"/>
            <w:tcBorders>
              <w:top w:val="nil"/>
              <w:left w:val="nil"/>
              <w:bottom w:val="nil"/>
              <w:right w:val="nil"/>
            </w:tcBorders>
            <w:shd w:val="clear" w:color="auto" w:fill="auto"/>
            <w:noWrap/>
            <w:vAlign w:val="bottom"/>
            <w:hideMark/>
          </w:tcPr>
          <w:p w14:paraId="3215A630"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03954606"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T&gt;G (rs10484561)</w:t>
            </w:r>
          </w:p>
        </w:tc>
        <w:tc>
          <w:tcPr>
            <w:tcW w:w="637" w:type="pct"/>
            <w:tcBorders>
              <w:top w:val="nil"/>
              <w:left w:val="nil"/>
              <w:bottom w:val="nil"/>
              <w:right w:val="nil"/>
            </w:tcBorders>
            <w:shd w:val="clear" w:color="auto" w:fill="auto"/>
            <w:noWrap/>
            <w:vAlign w:val="bottom"/>
            <w:hideMark/>
          </w:tcPr>
          <w:p w14:paraId="10AC0BB4"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3,989</w:t>
            </w:r>
          </w:p>
        </w:tc>
        <w:tc>
          <w:tcPr>
            <w:tcW w:w="694" w:type="pct"/>
            <w:tcBorders>
              <w:top w:val="nil"/>
              <w:left w:val="nil"/>
              <w:bottom w:val="nil"/>
              <w:right w:val="nil"/>
            </w:tcBorders>
            <w:shd w:val="clear" w:color="auto" w:fill="auto"/>
            <w:noWrap/>
            <w:vAlign w:val="bottom"/>
            <w:hideMark/>
          </w:tcPr>
          <w:p w14:paraId="3349C2B8"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623</w:t>
            </w:r>
          </w:p>
        </w:tc>
        <w:tc>
          <w:tcPr>
            <w:tcW w:w="582" w:type="pct"/>
            <w:tcBorders>
              <w:top w:val="nil"/>
              <w:left w:val="nil"/>
              <w:bottom w:val="nil"/>
              <w:right w:val="nil"/>
            </w:tcBorders>
            <w:shd w:val="clear" w:color="auto" w:fill="auto"/>
            <w:noWrap/>
            <w:vAlign w:val="bottom"/>
            <w:hideMark/>
          </w:tcPr>
          <w:p w14:paraId="2FBFEDE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0.54</w:t>
            </w:r>
          </w:p>
        </w:tc>
        <w:tc>
          <w:tcPr>
            <w:tcW w:w="723" w:type="pct"/>
            <w:tcBorders>
              <w:top w:val="nil"/>
              <w:left w:val="nil"/>
              <w:bottom w:val="nil"/>
              <w:right w:val="nil"/>
            </w:tcBorders>
            <w:shd w:val="clear" w:color="auto" w:fill="auto"/>
            <w:noWrap/>
            <w:vAlign w:val="bottom"/>
            <w:hideMark/>
          </w:tcPr>
          <w:p w14:paraId="71158CD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[0.20, 1.50]</w:t>
            </w:r>
          </w:p>
        </w:tc>
        <w:tc>
          <w:tcPr>
            <w:tcW w:w="459" w:type="pct"/>
            <w:tcBorders>
              <w:top w:val="nil"/>
              <w:left w:val="nil"/>
              <w:bottom w:val="nil"/>
              <w:right w:val="nil"/>
            </w:tcBorders>
            <w:shd w:val="clear" w:color="auto" w:fill="auto"/>
            <w:noWrap/>
            <w:vAlign w:val="bottom"/>
            <w:hideMark/>
          </w:tcPr>
          <w:p w14:paraId="62C894C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0.12</w:t>
            </w:r>
          </w:p>
        </w:tc>
      </w:tr>
      <w:tr w:rsidR="0049448B" w:rsidRPr="0049448B" w14:paraId="310C9BE7" w14:textId="77777777" w:rsidTr="0049448B">
        <w:trPr>
          <w:trHeight w:val="220"/>
        </w:trPr>
        <w:tc>
          <w:tcPr>
            <w:tcW w:w="496" w:type="pct"/>
            <w:tcBorders>
              <w:top w:val="nil"/>
              <w:left w:val="nil"/>
              <w:bottom w:val="nil"/>
              <w:right w:val="nil"/>
            </w:tcBorders>
            <w:shd w:val="clear" w:color="auto" w:fill="auto"/>
            <w:noWrap/>
            <w:vAlign w:val="bottom"/>
            <w:hideMark/>
          </w:tcPr>
          <w:p w14:paraId="6383AFDC"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4DFE89ED" w14:textId="77777777" w:rsidR="0049448B" w:rsidRPr="0049448B" w:rsidRDefault="0049448B" w:rsidP="0049448B">
            <w:pPr>
              <w:rPr>
                <w:rFonts w:ascii="Times New Roman" w:eastAsia="Times New Roman" w:hAnsi="Times New Roman" w:cs="Times New Roman"/>
                <w:sz w:val="20"/>
                <w:szCs w:val="20"/>
                <w:lang w:eastAsia="en-US"/>
              </w:rPr>
            </w:pPr>
          </w:p>
        </w:tc>
        <w:tc>
          <w:tcPr>
            <w:tcW w:w="637" w:type="pct"/>
            <w:tcBorders>
              <w:top w:val="nil"/>
              <w:left w:val="nil"/>
              <w:bottom w:val="nil"/>
              <w:right w:val="nil"/>
            </w:tcBorders>
            <w:shd w:val="clear" w:color="auto" w:fill="auto"/>
            <w:noWrap/>
            <w:vAlign w:val="bottom"/>
            <w:hideMark/>
          </w:tcPr>
          <w:p w14:paraId="38FE1E5E" w14:textId="77777777" w:rsidR="0049448B" w:rsidRPr="0049448B" w:rsidRDefault="0049448B" w:rsidP="0049448B">
            <w:pPr>
              <w:rPr>
                <w:rFonts w:ascii="Times New Roman" w:eastAsia="Times New Roman" w:hAnsi="Times New Roman" w:cs="Times New Roman"/>
                <w:sz w:val="20"/>
                <w:szCs w:val="20"/>
                <w:lang w:eastAsia="en-US"/>
              </w:rPr>
            </w:pPr>
          </w:p>
        </w:tc>
        <w:tc>
          <w:tcPr>
            <w:tcW w:w="694" w:type="pct"/>
            <w:tcBorders>
              <w:top w:val="nil"/>
              <w:left w:val="nil"/>
              <w:bottom w:val="nil"/>
              <w:right w:val="nil"/>
            </w:tcBorders>
            <w:shd w:val="clear" w:color="auto" w:fill="auto"/>
            <w:noWrap/>
            <w:vAlign w:val="bottom"/>
            <w:hideMark/>
          </w:tcPr>
          <w:p w14:paraId="07DFCAC1"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582" w:type="pct"/>
            <w:tcBorders>
              <w:top w:val="nil"/>
              <w:left w:val="nil"/>
              <w:bottom w:val="nil"/>
              <w:right w:val="nil"/>
            </w:tcBorders>
            <w:shd w:val="clear" w:color="auto" w:fill="auto"/>
            <w:noWrap/>
            <w:vAlign w:val="bottom"/>
            <w:hideMark/>
          </w:tcPr>
          <w:p w14:paraId="2F71EFFB"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723" w:type="pct"/>
            <w:tcBorders>
              <w:top w:val="nil"/>
              <w:left w:val="nil"/>
              <w:bottom w:val="nil"/>
              <w:right w:val="nil"/>
            </w:tcBorders>
            <w:shd w:val="clear" w:color="auto" w:fill="auto"/>
            <w:noWrap/>
            <w:vAlign w:val="bottom"/>
            <w:hideMark/>
          </w:tcPr>
          <w:p w14:paraId="41104DEB"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459" w:type="pct"/>
            <w:tcBorders>
              <w:top w:val="nil"/>
              <w:left w:val="nil"/>
              <w:bottom w:val="nil"/>
              <w:right w:val="nil"/>
            </w:tcBorders>
            <w:shd w:val="clear" w:color="auto" w:fill="auto"/>
            <w:noWrap/>
            <w:vAlign w:val="bottom"/>
            <w:hideMark/>
          </w:tcPr>
          <w:p w14:paraId="298A1321" w14:textId="77777777" w:rsidR="0049448B" w:rsidRPr="0049448B" w:rsidRDefault="0049448B" w:rsidP="0049448B">
            <w:pPr>
              <w:jc w:val="right"/>
              <w:rPr>
                <w:rFonts w:ascii="Times New Roman" w:eastAsia="Times New Roman" w:hAnsi="Times New Roman" w:cs="Times New Roman"/>
                <w:sz w:val="20"/>
                <w:szCs w:val="20"/>
                <w:lang w:eastAsia="en-US"/>
              </w:rPr>
            </w:pPr>
          </w:p>
        </w:tc>
      </w:tr>
      <w:tr w:rsidR="0049448B" w:rsidRPr="0049448B" w14:paraId="2064D002" w14:textId="77777777" w:rsidTr="0049448B">
        <w:trPr>
          <w:trHeight w:val="220"/>
        </w:trPr>
        <w:tc>
          <w:tcPr>
            <w:tcW w:w="496" w:type="pct"/>
            <w:tcBorders>
              <w:top w:val="nil"/>
              <w:left w:val="nil"/>
              <w:bottom w:val="nil"/>
              <w:right w:val="nil"/>
            </w:tcBorders>
            <w:shd w:val="clear" w:color="auto" w:fill="auto"/>
            <w:noWrap/>
            <w:vAlign w:val="bottom"/>
            <w:hideMark/>
          </w:tcPr>
          <w:p w14:paraId="4BC5A843"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DLBCL</w:t>
            </w:r>
          </w:p>
        </w:tc>
        <w:tc>
          <w:tcPr>
            <w:tcW w:w="1408" w:type="pct"/>
            <w:tcBorders>
              <w:top w:val="nil"/>
              <w:left w:val="nil"/>
              <w:bottom w:val="nil"/>
              <w:right w:val="nil"/>
            </w:tcBorders>
            <w:shd w:val="clear" w:color="auto" w:fill="auto"/>
            <w:noWrap/>
            <w:vAlign w:val="bottom"/>
            <w:hideMark/>
          </w:tcPr>
          <w:p w14:paraId="78D4E6C8"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IL1A-889C&gt;T (rs1800587)</w:t>
            </w:r>
          </w:p>
        </w:tc>
        <w:tc>
          <w:tcPr>
            <w:tcW w:w="637" w:type="pct"/>
            <w:tcBorders>
              <w:top w:val="nil"/>
              <w:left w:val="nil"/>
              <w:bottom w:val="nil"/>
              <w:right w:val="nil"/>
            </w:tcBorders>
            <w:shd w:val="clear" w:color="auto" w:fill="auto"/>
            <w:noWrap/>
            <w:vAlign w:val="bottom"/>
            <w:hideMark/>
          </w:tcPr>
          <w:p w14:paraId="1AA67BB2"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2,317</w:t>
            </w:r>
          </w:p>
        </w:tc>
        <w:tc>
          <w:tcPr>
            <w:tcW w:w="694" w:type="pct"/>
            <w:tcBorders>
              <w:top w:val="nil"/>
              <w:left w:val="nil"/>
              <w:bottom w:val="nil"/>
              <w:right w:val="nil"/>
            </w:tcBorders>
            <w:shd w:val="clear" w:color="auto" w:fill="auto"/>
            <w:noWrap/>
            <w:vAlign w:val="bottom"/>
            <w:hideMark/>
          </w:tcPr>
          <w:p w14:paraId="7FE42B02"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541</w:t>
            </w:r>
          </w:p>
        </w:tc>
        <w:tc>
          <w:tcPr>
            <w:tcW w:w="582" w:type="pct"/>
            <w:tcBorders>
              <w:top w:val="nil"/>
              <w:left w:val="nil"/>
              <w:bottom w:val="nil"/>
              <w:right w:val="nil"/>
            </w:tcBorders>
            <w:shd w:val="clear" w:color="auto" w:fill="auto"/>
            <w:noWrap/>
            <w:vAlign w:val="bottom"/>
            <w:hideMark/>
          </w:tcPr>
          <w:p w14:paraId="6F52F9A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0.98</w:t>
            </w:r>
          </w:p>
        </w:tc>
        <w:tc>
          <w:tcPr>
            <w:tcW w:w="723" w:type="pct"/>
            <w:tcBorders>
              <w:top w:val="nil"/>
              <w:left w:val="nil"/>
              <w:bottom w:val="nil"/>
              <w:right w:val="nil"/>
            </w:tcBorders>
            <w:shd w:val="clear" w:color="auto" w:fill="auto"/>
            <w:noWrap/>
            <w:vAlign w:val="bottom"/>
            <w:hideMark/>
          </w:tcPr>
          <w:p w14:paraId="5D3FE39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[0.48, 2.01]</w:t>
            </w:r>
          </w:p>
        </w:tc>
        <w:tc>
          <w:tcPr>
            <w:tcW w:w="459" w:type="pct"/>
            <w:tcBorders>
              <w:top w:val="nil"/>
              <w:left w:val="nil"/>
              <w:bottom w:val="nil"/>
              <w:right w:val="nil"/>
            </w:tcBorders>
            <w:shd w:val="clear" w:color="auto" w:fill="auto"/>
            <w:noWrap/>
            <w:vAlign w:val="bottom"/>
            <w:hideMark/>
          </w:tcPr>
          <w:p w14:paraId="770BF28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0.48</w:t>
            </w:r>
          </w:p>
        </w:tc>
      </w:tr>
      <w:tr w:rsidR="0049448B" w:rsidRPr="0049448B" w14:paraId="601C47A9" w14:textId="77777777" w:rsidTr="0049448B">
        <w:trPr>
          <w:trHeight w:val="260"/>
        </w:trPr>
        <w:tc>
          <w:tcPr>
            <w:tcW w:w="496" w:type="pct"/>
            <w:tcBorders>
              <w:top w:val="nil"/>
              <w:left w:val="nil"/>
              <w:bottom w:val="nil"/>
              <w:right w:val="nil"/>
            </w:tcBorders>
            <w:shd w:val="clear" w:color="auto" w:fill="auto"/>
            <w:noWrap/>
            <w:vAlign w:val="bottom"/>
            <w:hideMark/>
          </w:tcPr>
          <w:p w14:paraId="568CACF9"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6DD4BAE6"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IL1B-511C&gt;T (rs16944)</w:t>
            </w:r>
          </w:p>
        </w:tc>
        <w:tc>
          <w:tcPr>
            <w:tcW w:w="637" w:type="pct"/>
            <w:tcBorders>
              <w:top w:val="nil"/>
              <w:left w:val="nil"/>
              <w:bottom w:val="nil"/>
              <w:right w:val="nil"/>
            </w:tcBorders>
            <w:shd w:val="clear" w:color="auto" w:fill="auto"/>
            <w:noWrap/>
            <w:vAlign w:val="bottom"/>
            <w:hideMark/>
          </w:tcPr>
          <w:p w14:paraId="1512FFB8"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1,280</w:t>
            </w:r>
          </w:p>
        </w:tc>
        <w:tc>
          <w:tcPr>
            <w:tcW w:w="694" w:type="pct"/>
            <w:tcBorders>
              <w:top w:val="nil"/>
              <w:left w:val="nil"/>
              <w:bottom w:val="nil"/>
              <w:right w:val="nil"/>
            </w:tcBorders>
            <w:shd w:val="clear" w:color="auto" w:fill="auto"/>
            <w:noWrap/>
            <w:vAlign w:val="bottom"/>
            <w:hideMark/>
          </w:tcPr>
          <w:p w14:paraId="14E8FA8E"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384</w:t>
            </w:r>
          </w:p>
        </w:tc>
        <w:tc>
          <w:tcPr>
            <w:tcW w:w="582" w:type="pct"/>
            <w:tcBorders>
              <w:top w:val="nil"/>
              <w:left w:val="nil"/>
              <w:bottom w:val="nil"/>
              <w:right w:val="nil"/>
            </w:tcBorders>
            <w:shd w:val="clear" w:color="auto" w:fill="auto"/>
            <w:noWrap/>
            <w:vAlign w:val="bottom"/>
            <w:hideMark/>
          </w:tcPr>
          <w:p w14:paraId="48E0E2B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0.75</w:t>
            </w:r>
          </w:p>
        </w:tc>
        <w:tc>
          <w:tcPr>
            <w:tcW w:w="723" w:type="pct"/>
            <w:tcBorders>
              <w:top w:val="nil"/>
              <w:left w:val="nil"/>
              <w:bottom w:val="nil"/>
              <w:right w:val="nil"/>
            </w:tcBorders>
            <w:shd w:val="clear" w:color="auto" w:fill="auto"/>
            <w:noWrap/>
            <w:vAlign w:val="bottom"/>
            <w:hideMark/>
          </w:tcPr>
          <w:p w14:paraId="76666B1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[0.34, 1.68]</w:t>
            </w:r>
          </w:p>
        </w:tc>
        <w:tc>
          <w:tcPr>
            <w:tcW w:w="459" w:type="pct"/>
            <w:tcBorders>
              <w:top w:val="nil"/>
              <w:left w:val="nil"/>
              <w:bottom w:val="nil"/>
              <w:right w:val="nil"/>
            </w:tcBorders>
            <w:shd w:val="clear" w:color="auto" w:fill="auto"/>
            <w:noWrap/>
            <w:vAlign w:val="bottom"/>
            <w:hideMark/>
          </w:tcPr>
          <w:p w14:paraId="5227E8D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0.24</w:t>
            </w:r>
          </w:p>
        </w:tc>
      </w:tr>
      <w:tr w:rsidR="0049448B" w:rsidRPr="0049448B" w14:paraId="265A7EF4" w14:textId="77777777" w:rsidTr="0049448B">
        <w:trPr>
          <w:trHeight w:val="220"/>
        </w:trPr>
        <w:tc>
          <w:tcPr>
            <w:tcW w:w="496" w:type="pct"/>
            <w:tcBorders>
              <w:top w:val="nil"/>
              <w:left w:val="nil"/>
              <w:bottom w:val="nil"/>
              <w:right w:val="nil"/>
            </w:tcBorders>
            <w:shd w:val="clear" w:color="auto" w:fill="auto"/>
            <w:noWrap/>
            <w:vAlign w:val="bottom"/>
            <w:hideMark/>
          </w:tcPr>
          <w:p w14:paraId="37F60A24"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74EFE88F" w14:textId="43E90661"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IL1B-</w:t>
            </w:r>
            <w:r w:rsidR="00651E47">
              <w:rPr>
                <w:rFonts w:eastAsia="Times New Roman" w:cs="Arial"/>
                <w:color w:val="000000"/>
                <w:sz w:val="16"/>
                <w:szCs w:val="16"/>
                <w:lang w:eastAsia="en-US"/>
              </w:rPr>
              <w:t>31T&gt;C</w:t>
            </w:r>
            <w:r w:rsidRPr="0049448B">
              <w:rPr>
                <w:rFonts w:eastAsia="Times New Roman" w:cs="Arial"/>
                <w:color w:val="000000"/>
                <w:sz w:val="16"/>
                <w:szCs w:val="16"/>
                <w:lang w:eastAsia="en-US"/>
              </w:rPr>
              <w:t xml:space="preserve"> (rs1143627)</w:t>
            </w:r>
          </w:p>
        </w:tc>
        <w:tc>
          <w:tcPr>
            <w:tcW w:w="637" w:type="pct"/>
            <w:tcBorders>
              <w:top w:val="nil"/>
              <w:left w:val="nil"/>
              <w:bottom w:val="nil"/>
              <w:right w:val="nil"/>
            </w:tcBorders>
            <w:shd w:val="clear" w:color="auto" w:fill="auto"/>
            <w:noWrap/>
            <w:vAlign w:val="bottom"/>
            <w:hideMark/>
          </w:tcPr>
          <w:p w14:paraId="32B99BDA"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3,715</w:t>
            </w:r>
          </w:p>
        </w:tc>
        <w:tc>
          <w:tcPr>
            <w:tcW w:w="694" w:type="pct"/>
            <w:tcBorders>
              <w:top w:val="nil"/>
              <w:left w:val="nil"/>
              <w:bottom w:val="nil"/>
              <w:right w:val="nil"/>
            </w:tcBorders>
            <w:shd w:val="clear" w:color="auto" w:fill="auto"/>
            <w:noWrap/>
            <w:vAlign w:val="bottom"/>
            <w:hideMark/>
          </w:tcPr>
          <w:p w14:paraId="159CD53C"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877</w:t>
            </w:r>
          </w:p>
        </w:tc>
        <w:tc>
          <w:tcPr>
            <w:tcW w:w="582" w:type="pct"/>
            <w:tcBorders>
              <w:top w:val="nil"/>
              <w:left w:val="nil"/>
              <w:bottom w:val="nil"/>
              <w:right w:val="nil"/>
            </w:tcBorders>
            <w:shd w:val="clear" w:color="auto" w:fill="auto"/>
            <w:noWrap/>
            <w:vAlign w:val="bottom"/>
            <w:hideMark/>
          </w:tcPr>
          <w:p w14:paraId="3CAD2CDF"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0.61</w:t>
            </w:r>
          </w:p>
        </w:tc>
        <w:tc>
          <w:tcPr>
            <w:tcW w:w="723" w:type="pct"/>
            <w:tcBorders>
              <w:top w:val="nil"/>
              <w:left w:val="nil"/>
              <w:bottom w:val="nil"/>
              <w:right w:val="nil"/>
            </w:tcBorders>
            <w:shd w:val="clear" w:color="auto" w:fill="auto"/>
            <w:noWrap/>
            <w:vAlign w:val="bottom"/>
            <w:hideMark/>
          </w:tcPr>
          <w:p w14:paraId="5A9F4B31"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[0.34, 1.08]</w:t>
            </w:r>
          </w:p>
        </w:tc>
        <w:tc>
          <w:tcPr>
            <w:tcW w:w="459" w:type="pct"/>
            <w:tcBorders>
              <w:top w:val="nil"/>
              <w:left w:val="nil"/>
              <w:bottom w:val="nil"/>
              <w:right w:val="nil"/>
            </w:tcBorders>
            <w:shd w:val="clear" w:color="auto" w:fill="auto"/>
            <w:noWrap/>
            <w:vAlign w:val="bottom"/>
            <w:hideMark/>
          </w:tcPr>
          <w:p w14:paraId="2C146B06"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0.04</w:t>
            </w:r>
          </w:p>
        </w:tc>
      </w:tr>
      <w:tr w:rsidR="0049448B" w:rsidRPr="0049448B" w14:paraId="74081000" w14:textId="77777777" w:rsidTr="0049448B">
        <w:trPr>
          <w:trHeight w:val="220"/>
        </w:trPr>
        <w:tc>
          <w:tcPr>
            <w:tcW w:w="496" w:type="pct"/>
            <w:tcBorders>
              <w:top w:val="nil"/>
              <w:left w:val="nil"/>
              <w:bottom w:val="nil"/>
              <w:right w:val="nil"/>
            </w:tcBorders>
            <w:shd w:val="clear" w:color="auto" w:fill="auto"/>
            <w:noWrap/>
            <w:vAlign w:val="bottom"/>
            <w:hideMark/>
          </w:tcPr>
          <w:p w14:paraId="78C50BD6" w14:textId="77777777" w:rsidR="0049448B" w:rsidRPr="0049448B" w:rsidRDefault="0049448B" w:rsidP="0049448B">
            <w:pPr>
              <w:jc w:val="right"/>
              <w:rPr>
                <w:rFonts w:eastAsia="Times New Roman" w:cs="Arial"/>
                <w:b/>
                <w:bCs/>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3A640F99"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IL1RN-9589A&gt;T (rs454078)</w:t>
            </w:r>
          </w:p>
        </w:tc>
        <w:tc>
          <w:tcPr>
            <w:tcW w:w="637" w:type="pct"/>
            <w:tcBorders>
              <w:top w:val="nil"/>
              <w:left w:val="nil"/>
              <w:bottom w:val="nil"/>
              <w:right w:val="nil"/>
            </w:tcBorders>
            <w:shd w:val="clear" w:color="auto" w:fill="auto"/>
            <w:noWrap/>
            <w:vAlign w:val="bottom"/>
            <w:hideMark/>
          </w:tcPr>
          <w:p w14:paraId="2BB727FE"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2,319</w:t>
            </w:r>
          </w:p>
        </w:tc>
        <w:tc>
          <w:tcPr>
            <w:tcW w:w="694" w:type="pct"/>
            <w:tcBorders>
              <w:top w:val="nil"/>
              <w:left w:val="nil"/>
              <w:bottom w:val="nil"/>
              <w:right w:val="nil"/>
            </w:tcBorders>
            <w:shd w:val="clear" w:color="auto" w:fill="auto"/>
            <w:noWrap/>
            <w:vAlign w:val="bottom"/>
            <w:hideMark/>
          </w:tcPr>
          <w:p w14:paraId="2C85F2B9"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530</w:t>
            </w:r>
          </w:p>
        </w:tc>
        <w:tc>
          <w:tcPr>
            <w:tcW w:w="582" w:type="pct"/>
            <w:tcBorders>
              <w:top w:val="nil"/>
              <w:left w:val="nil"/>
              <w:bottom w:val="nil"/>
              <w:right w:val="nil"/>
            </w:tcBorders>
            <w:shd w:val="clear" w:color="auto" w:fill="auto"/>
            <w:noWrap/>
            <w:vAlign w:val="bottom"/>
            <w:hideMark/>
          </w:tcPr>
          <w:p w14:paraId="29BD669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0.83</w:t>
            </w:r>
          </w:p>
        </w:tc>
        <w:tc>
          <w:tcPr>
            <w:tcW w:w="723" w:type="pct"/>
            <w:tcBorders>
              <w:top w:val="nil"/>
              <w:left w:val="nil"/>
              <w:bottom w:val="nil"/>
              <w:right w:val="nil"/>
            </w:tcBorders>
            <w:shd w:val="clear" w:color="auto" w:fill="auto"/>
            <w:noWrap/>
            <w:vAlign w:val="bottom"/>
            <w:hideMark/>
          </w:tcPr>
          <w:p w14:paraId="6214ADD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[0.41, 1.68]</w:t>
            </w:r>
          </w:p>
        </w:tc>
        <w:tc>
          <w:tcPr>
            <w:tcW w:w="459" w:type="pct"/>
            <w:tcBorders>
              <w:top w:val="nil"/>
              <w:left w:val="nil"/>
              <w:bottom w:val="nil"/>
              <w:right w:val="nil"/>
            </w:tcBorders>
            <w:shd w:val="clear" w:color="auto" w:fill="auto"/>
            <w:noWrap/>
            <w:vAlign w:val="bottom"/>
            <w:hideMark/>
          </w:tcPr>
          <w:p w14:paraId="4E5D801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0.30</w:t>
            </w:r>
          </w:p>
        </w:tc>
      </w:tr>
      <w:tr w:rsidR="0049448B" w:rsidRPr="0049448B" w14:paraId="711A6271" w14:textId="77777777" w:rsidTr="0049448B">
        <w:trPr>
          <w:trHeight w:val="220"/>
        </w:trPr>
        <w:tc>
          <w:tcPr>
            <w:tcW w:w="496" w:type="pct"/>
            <w:tcBorders>
              <w:top w:val="nil"/>
              <w:left w:val="nil"/>
              <w:bottom w:val="nil"/>
              <w:right w:val="nil"/>
            </w:tcBorders>
            <w:shd w:val="clear" w:color="auto" w:fill="auto"/>
            <w:noWrap/>
            <w:vAlign w:val="bottom"/>
            <w:hideMark/>
          </w:tcPr>
          <w:p w14:paraId="745AD6CB"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5BEF2141"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IL2–384T&gt;G (rs2069762)</w:t>
            </w:r>
          </w:p>
        </w:tc>
        <w:tc>
          <w:tcPr>
            <w:tcW w:w="637" w:type="pct"/>
            <w:tcBorders>
              <w:top w:val="nil"/>
              <w:left w:val="nil"/>
              <w:bottom w:val="nil"/>
              <w:right w:val="nil"/>
            </w:tcBorders>
            <w:shd w:val="clear" w:color="auto" w:fill="auto"/>
            <w:noWrap/>
            <w:vAlign w:val="bottom"/>
            <w:hideMark/>
          </w:tcPr>
          <w:p w14:paraId="7FDBB006"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2,320</w:t>
            </w:r>
          </w:p>
        </w:tc>
        <w:tc>
          <w:tcPr>
            <w:tcW w:w="694" w:type="pct"/>
            <w:tcBorders>
              <w:top w:val="nil"/>
              <w:left w:val="nil"/>
              <w:bottom w:val="nil"/>
              <w:right w:val="nil"/>
            </w:tcBorders>
            <w:shd w:val="clear" w:color="auto" w:fill="auto"/>
            <w:noWrap/>
            <w:vAlign w:val="bottom"/>
            <w:hideMark/>
          </w:tcPr>
          <w:p w14:paraId="29FCC839"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538</w:t>
            </w:r>
          </w:p>
        </w:tc>
        <w:tc>
          <w:tcPr>
            <w:tcW w:w="582" w:type="pct"/>
            <w:tcBorders>
              <w:top w:val="nil"/>
              <w:left w:val="nil"/>
              <w:bottom w:val="nil"/>
              <w:right w:val="nil"/>
            </w:tcBorders>
            <w:shd w:val="clear" w:color="auto" w:fill="auto"/>
            <w:noWrap/>
            <w:vAlign w:val="bottom"/>
            <w:hideMark/>
          </w:tcPr>
          <w:p w14:paraId="6199F7D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2.02</w:t>
            </w:r>
          </w:p>
        </w:tc>
        <w:tc>
          <w:tcPr>
            <w:tcW w:w="723" w:type="pct"/>
            <w:tcBorders>
              <w:top w:val="nil"/>
              <w:left w:val="nil"/>
              <w:bottom w:val="nil"/>
              <w:right w:val="nil"/>
            </w:tcBorders>
            <w:shd w:val="clear" w:color="auto" w:fill="auto"/>
            <w:noWrap/>
            <w:vAlign w:val="bottom"/>
            <w:hideMark/>
          </w:tcPr>
          <w:p w14:paraId="6AC6CC3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[0.99, 4.13]</w:t>
            </w:r>
          </w:p>
        </w:tc>
        <w:tc>
          <w:tcPr>
            <w:tcW w:w="459" w:type="pct"/>
            <w:tcBorders>
              <w:top w:val="nil"/>
              <w:left w:val="nil"/>
              <w:bottom w:val="nil"/>
              <w:right w:val="nil"/>
            </w:tcBorders>
            <w:shd w:val="clear" w:color="auto" w:fill="auto"/>
            <w:noWrap/>
            <w:vAlign w:val="bottom"/>
            <w:hideMark/>
          </w:tcPr>
          <w:p w14:paraId="679598F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0.97</w:t>
            </w:r>
          </w:p>
        </w:tc>
      </w:tr>
      <w:tr w:rsidR="0049448B" w:rsidRPr="0049448B" w14:paraId="63B881D1" w14:textId="77777777" w:rsidTr="0049448B">
        <w:trPr>
          <w:trHeight w:val="220"/>
        </w:trPr>
        <w:tc>
          <w:tcPr>
            <w:tcW w:w="496" w:type="pct"/>
            <w:tcBorders>
              <w:top w:val="nil"/>
              <w:left w:val="nil"/>
              <w:bottom w:val="nil"/>
              <w:right w:val="nil"/>
            </w:tcBorders>
            <w:shd w:val="clear" w:color="auto" w:fill="auto"/>
            <w:noWrap/>
            <w:vAlign w:val="bottom"/>
            <w:hideMark/>
          </w:tcPr>
          <w:p w14:paraId="1C3F8F06"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4D5EAA54"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IL6-174G&gt;C (rs1800795)</w:t>
            </w:r>
          </w:p>
        </w:tc>
        <w:tc>
          <w:tcPr>
            <w:tcW w:w="637" w:type="pct"/>
            <w:tcBorders>
              <w:top w:val="nil"/>
              <w:left w:val="nil"/>
              <w:bottom w:val="nil"/>
              <w:right w:val="nil"/>
            </w:tcBorders>
            <w:shd w:val="clear" w:color="auto" w:fill="auto"/>
            <w:noWrap/>
            <w:vAlign w:val="bottom"/>
            <w:hideMark/>
          </w:tcPr>
          <w:p w14:paraId="43B9277D"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2,347</w:t>
            </w:r>
          </w:p>
        </w:tc>
        <w:tc>
          <w:tcPr>
            <w:tcW w:w="694" w:type="pct"/>
            <w:tcBorders>
              <w:top w:val="nil"/>
              <w:left w:val="nil"/>
              <w:bottom w:val="nil"/>
              <w:right w:val="nil"/>
            </w:tcBorders>
            <w:shd w:val="clear" w:color="auto" w:fill="auto"/>
            <w:noWrap/>
            <w:vAlign w:val="bottom"/>
            <w:hideMark/>
          </w:tcPr>
          <w:p w14:paraId="312CD17C"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537</w:t>
            </w:r>
          </w:p>
        </w:tc>
        <w:tc>
          <w:tcPr>
            <w:tcW w:w="582" w:type="pct"/>
            <w:tcBorders>
              <w:top w:val="nil"/>
              <w:left w:val="nil"/>
              <w:bottom w:val="nil"/>
              <w:right w:val="nil"/>
            </w:tcBorders>
            <w:shd w:val="clear" w:color="auto" w:fill="auto"/>
            <w:noWrap/>
            <w:vAlign w:val="bottom"/>
            <w:hideMark/>
          </w:tcPr>
          <w:p w14:paraId="1F6D4B2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0.83</w:t>
            </w:r>
          </w:p>
        </w:tc>
        <w:tc>
          <w:tcPr>
            <w:tcW w:w="723" w:type="pct"/>
            <w:tcBorders>
              <w:top w:val="nil"/>
              <w:left w:val="nil"/>
              <w:bottom w:val="nil"/>
              <w:right w:val="nil"/>
            </w:tcBorders>
            <w:shd w:val="clear" w:color="auto" w:fill="auto"/>
            <w:noWrap/>
            <w:vAlign w:val="bottom"/>
            <w:hideMark/>
          </w:tcPr>
          <w:p w14:paraId="3EE9E1F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[0.43, 1.60]</w:t>
            </w:r>
          </w:p>
        </w:tc>
        <w:tc>
          <w:tcPr>
            <w:tcW w:w="459" w:type="pct"/>
            <w:tcBorders>
              <w:top w:val="nil"/>
              <w:left w:val="nil"/>
              <w:bottom w:val="nil"/>
              <w:right w:val="nil"/>
            </w:tcBorders>
            <w:shd w:val="clear" w:color="auto" w:fill="auto"/>
            <w:noWrap/>
            <w:vAlign w:val="bottom"/>
            <w:hideMark/>
          </w:tcPr>
          <w:p w14:paraId="2D8F0B7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0.29</w:t>
            </w:r>
          </w:p>
        </w:tc>
      </w:tr>
      <w:tr w:rsidR="0049448B" w:rsidRPr="0049448B" w14:paraId="01A22AD9" w14:textId="77777777" w:rsidTr="0049448B">
        <w:trPr>
          <w:trHeight w:val="220"/>
        </w:trPr>
        <w:tc>
          <w:tcPr>
            <w:tcW w:w="496" w:type="pct"/>
            <w:tcBorders>
              <w:top w:val="nil"/>
              <w:left w:val="nil"/>
              <w:bottom w:val="nil"/>
              <w:right w:val="nil"/>
            </w:tcBorders>
            <w:shd w:val="clear" w:color="auto" w:fill="auto"/>
            <w:noWrap/>
            <w:vAlign w:val="bottom"/>
            <w:hideMark/>
          </w:tcPr>
          <w:p w14:paraId="38590CBD"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4B4A7205"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IL6-597G&gt;A (rs1800797)</w:t>
            </w:r>
          </w:p>
        </w:tc>
        <w:tc>
          <w:tcPr>
            <w:tcW w:w="637" w:type="pct"/>
            <w:tcBorders>
              <w:top w:val="nil"/>
              <w:left w:val="nil"/>
              <w:bottom w:val="nil"/>
              <w:right w:val="nil"/>
            </w:tcBorders>
            <w:shd w:val="clear" w:color="auto" w:fill="auto"/>
            <w:noWrap/>
            <w:vAlign w:val="bottom"/>
            <w:hideMark/>
          </w:tcPr>
          <w:p w14:paraId="02050EF9"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3,852</w:t>
            </w:r>
          </w:p>
        </w:tc>
        <w:tc>
          <w:tcPr>
            <w:tcW w:w="694" w:type="pct"/>
            <w:tcBorders>
              <w:top w:val="nil"/>
              <w:left w:val="nil"/>
              <w:bottom w:val="nil"/>
              <w:right w:val="nil"/>
            </w:tcBorders>
            <w:shd w:val="clear" w:color="auto" w:fill="auto"/>
            <w:noWrap/>
            <w:vAlign w:val="bottom"/>
            <w:hideMark/>
          </w:tcPr>
          <w:p w14:paraId="171C222D"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922</w:t>
            </w:r>
          </w:p>
        </w:tc>
        <w:tc>
          <w:tcPr>
            <w:tcW w:w="582" w:type="pct"/>
            <w:tcBorders>
              <w:top w:val="nil"/>
              <w:left w:val="nil"/>
              <w:bottom w:val="nil"/>
              <w:right w:val="nil"/>
            </w:tcBorders>
            <w:shd w:val="clear" w:color="auto" w:fill="auto"/>
            <w:noWrap/>
            <w:vAlign w:val="bottom"/>
            <w:hideMark/>
          </w:tcPr>
          <w:p w14:paraId="2D57E94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0.92</w:t>
            </w:r>
          </w:p>
        </w:tc>
        <w:tc>
          <w:tcPr>
            <w:tcW w:w="723" w:type="pct"/>
            <w:tcBorders>
              <w:top w:val="nil"/>
              <w:left w:val="nil"/>
              <w:bottom w:val="nil"/>
              <w:right w:val="nil"/>
            </w:tcBorders>
            <w:shd w:val="clear" w:color="auto" w:fill="auto"/>
            <w:noWrap/>
            <w:vAlign w:val="bottom"/>
            <w:hideMark/>
          </w:tcPr>
          <w:p w14:paraId="209CF38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[0.52, 1.64]</w:t>
            </w:r>
          </w:p>
        </w:tc>
        <w:tc>
          <w:tcPr>
            <w:tcW w:w="459" w:type="pct"/>
            <w:tcBorders>
              <w:top w:val="nil"/>
              <w:left w:val="nil"/>
              <w:bottom w:val="nil"/>
              <w:right w:val="nil"/>
            </w:tcBorders>
            <w:shd w:val="clear" w:color="auto" w:fill="auto"/>
            <w:noWrap/>
            <w:vAlign w:val="bottom"/>
            <w:hideMark/>
          </w:tcPr>
          <w:p w14:paraId="403663D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0.39</w:t>
            </w:r>
          </w:p>
        </w:tc>
      </w:tr>
      <w:tr w:rsidR="0049448B" w:rsidRPr="0049448B" w14:paraId="371A911B" w14:textId="77777777" w:rsidTr="0049448B">
        <w:trPr>
          <w:trHeight w:val="220"/>
        </w:trPr>
        <w:tc>
          <w:tcPr>
            <w:tcW w:w="496" w:type="pct"/>
            <w:tcBorders>
              <w:top w:val="nil"/>
              <w:left w:val="nil"/>
              <w:bottom w:val="nil"/>
              <w:right w:val="nil"/>
            </w:tcBorders>
            <w:shd w:val="clear" w:color="auto" w:fill="auto"/>
            <w:noWrap/>
            <w:vAlign w:val="bottom"/>
            <w:hideMark/>
          </w:tcPr>
          <w:p w14:paraId="45526939"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059B97D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IL10-1082A&gt;G (rs1800896)</w:t>
            </w:r>
          </w:p>
        </w:tc>
        <w:tc>
          <w:tcPr>
            <w:tcW w:w="637" w:type="pct"/>
            <w:tcBorders>
              <w:top w:val="nil"/>
              <w:left w:val="nil"/>
              <w:bottom w:val="nil"/>
              <w:right w:val="nil"/>
            </w:tcBorders>
            <w:shd w:val="clear" w:color="auto" w:fill="auto"/>
            <w:noWrap/>
            <w:vAlign w:val="bottom"/>
            <w:hideMark/>
          </w:tcPr>
          <w:p w14:paraId="3D1DA44B"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4,173</w:t>
            </w:r>
          </w:p>
        </w:tc>
        <w:tc>
          <w:tcPr>
            <w:tcW w:w="694" w:type="pct"/>
            <w:tcBorders>
              <w:top w:val="nil"/>
              <w:left w:val="nil"/>
              <w:bottom w:val="nil"/>
              <w:right w:val="nil"/>
            </w:tcBorders>
            <w:shd w:val="clear" w:color="auto" w:fill="auto"/>
            <w:noWrap/>
            <w:vAlign w:val="bottom"/>
            <w:hideMark/>
          </w:tcPr>
          <w:p w14:paraId="3534B520"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928</w:t>
            </w:r>
          </w:p>
        </w:tc>
        <w:tc>
          <w:tcPr>
            <w:tcW w:w="582" w:type="pct"/>
            <w:tcBorders>
              <w:top w:val="nil"/>
              <w:left w:val="nil"/>
              <w:bottom w:val="nil"/>
              <w:right w:val="nil"/>
            </w:tcBorders>
            <w:shd w:val="clear" w:color="auto" w:fill="auto"/>
            <w:noWrap/>
            <w:vAlign w:val="bottom"/>
            <w:hideMark/>
          </w:tcPr>
          <w:p w14:paraId="42156B5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1.10</w:t>
            </w:r>
          </w:p>
        </w:tc>
        <w:tc>
          <w:tcPr>
            <w:tcW w:w="723" w:type="pct"/>
            <w:tcBorders>
              <w:top w:val="nil"/>
              <w:left w:val="nil"/>
              <w:bottom w:val="nil"/>
              <w:right w:val="nil"/>
            </w:tcBorders>
            <w:shd w:val="clear" w:color="auto" w:fill="auto"/>
            <w:noWrap/>
            <w:vAlign w:val="bottom"/>
            <w:hideMark/>
          </w:tcPr>
          <w:p w14:paraId="4AC38C7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[0.58, 2.09]</w:t>
            </w:r>
          </w:p>
        </w:tc>
        <w:tc>
          <w:tcPr>
            <w:tcW w:w="459" w:type="pct"/>
            <w:tcBorders>
              <w:top w:val="nil"/>
              <w:left w:val="nil"/>
              <w:bottom w:val="nil"/>
              <w:right w:val="nil"/>
            </w:tcBorders>
            <w:shd w:val="clear" w:color="auto" w:fill="auto"/>
            <w:noWrap/>
            <w:vAlign w:val="bottom"/>
            <w:hideMark/>
          </w:tcPr>
          <w:p w14:paraId="4AF1BE3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0.61</w:t>
            </w:r>
          </w:p>
        </w:tc>
      </w:tr>
      <w:tr w:rsidR="0049448B" w:rsidRPr="0049448B" w14:paraId="0302141C" w14:textId="77777777" w:rsidTr="0049448B">
        <w:trPr>
          <w:trHeight w:val="220"/>
        </w:trPr>
        <w:tc>
          <w:tcPr>
            <w:tcW w:w="496" w:type="pct"/>
            <w:tcBorders>
              <w:top w:val="nil"/>
              <w:left w:val="nil"/>
              <w:bottom w:val="nil"/>
              <w:right w:val="nil"/>
            </w:tcBorders>
            <w:shd w:val="clear" w:color="auto" w:fill="auto"/>
            <w:noWrap/>
            <w:vAlign w:val="bottom"/>
            <w:hideMark/>
          </w:tcPr>
          <w:p w14:paraId="113D85D7"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00443218"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IL10-3575T&gt;A (rs1800890)</w:t>
            </w:r>
          </w:p>
        </w:tc>
        <w:tc>
          <w:tcPr>
            <w:tcW w:w="637" w:type="pct"/>
            <w:tcBorders>
              <w:top w:val="nil"/>
              <w:left w:val="nil"/>
              <w:bottom w:val="nil"/>
              <w:right w:val="nil"/>
            </w:tcBorders>
            <w:shd w:val="clear" w:color="auto" w:fill="auto"/>
            <w:noWrap/>
            <w:vAlign w:val="bottom"/>
            <w:hideMark/>
          </w:tcPr>
          <w:p w14:paraId="534283E8"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5,914</w:t>
            </w:r>
          </w:p>
        </w:tc>
        <w:tc>
          <w:tcPr>
            <w:tcW w:w="694" w:type="pct"/>
            <w:tcBorders>
              <w:top w:val="nil"/>
              <w:left w:val="nil"/>
              <w:bottom w:val="nil"/>
              <w:right w:val="nil"/>
            </w:tcBorders>
            <w:shd w:val="clear" w:color="auto" w:fill="auto"/>
            <w:noWrap/>
            <w:vAlign w:val="bottom"/>
            <w:hideMark/>
          </w:tcPr>
          <w:p w14:paraId="39CB362C"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1,496</w:t>
            </w:r>
          </w:p>
        </w:tc>
        <w:tc>
          <w:tcPr>
            <w:tcW w:w="582" w:type="pct"/>
            <w:tcBorders>
              <w:top w:val="nil"/>
              <w:left w:val="nil"/>
              <w:bottom w:val="nil"/>
              <w:right w:val="nil"/>
            </w:tcBorders>
            <w:shd w:val="clear" w:color="auto" w:fill="auto"/>
            <w:noWrap/>
            <w:vAlign w:val="bottom"/>
            <w:hideMark/>
          </w:tcPr>
          <w:p w14:paraId="43EA048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0.74</w:t>
            </w:r>
          </w:p>
        </w:tc>
        <w:tc>
          <w:tcPr>
            <w:tcW w:w="723" w:type="pct"/>
            <w:tcBorders>
              <w:top w:val="nil"/>
              <w:left w:val="nil"/>
              <w:bottom w:val="nil"/>
              <w:right w:val="nil"/>
            </w:tcBorders>
            <w:shd w:val="clear" w:color="auto" w:fill="auto"/>
            <w:noWrap/>
            <w:vAlign w:val="bottom"/>
            <w:hideMark/>
          </w:tcPr>
          <w:p w14:paraId="03BBD6D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[0.45, 1.21]</w:t>
            </w:r>
          </w:p>
        </w:tc>
        <w:tc>
          <w:tcPr>
            <w:tcW w:w="459" w:type="pct"/>
            <w:tcBorders>
              <w:top w:val="nil"/>
              <w:left w:val="nil"/>
              <w:bottom w:val="nil"/>
              <w:right w:val="nil"/>
            </w:tcBorders>
            <w:shd w:val="clear" w:color="auto" w:fill="auto"/>
            <w:noWrap/>
            <w:vAlign w:val="bottom"/>
            <w:hideMark/>
          </w:tcPr>
          <w:p w14:paraId="582E4B0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0.11</w:t>
            </w:r>
          </w:p>
        </w:tc>
      </w:tr>
      <w:tr w:rsidR="0049448B" w:rsidRPr="0049448B" w14:paraId="47618EA7" w14:textId="77777777" w:rsidTr="0049448B">
        <w:trPr>
          <w:trHeight w:val="220"/>
        </w:trPr>
        <w:tc>
          <w:tcPr>
            <w:tcW w:w="496" w:type="pct"/>
            <w:tcBorders>
              <w:top w:val="nil"/>
              <w:left w:val="nil"/>
              <w:bottom w:val="nil"/>
              <w:right w:val="nil"/>
            </w:tcBorders>
            <w:shd w:val="clear" w:color="auto" w:fill="auto"/>
            <w:noWrap/>
            <w:vAlign w:val="bottom"/>
            <w:hideMark/>
          </w:tcPr>
          <w:p w14:paraId="01CA163F"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40C41879"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TNF-308G&gt;A (rs1800629)</w:t>
            </w:r>
          </w:p>
        </w:tc>
        <w:tc>
          <w:tcPr>
            <w:tcW w:w="637" w:type="pct"/>
            <w:tcBorders>
              <w:top w:val="nil"/>
              <w:left w:val="nil"/>
              <w:bottom w:val="nil"/>
              <w:right w:val="nil"/>
            </w:tcBorders>
            <w:shd w:val="clear" w:color="auto" w:fill="auto"/>
            <w:noWrap/>
            <w:vAlign w:val="bottom"/>
            <w:hideMark/>
          </w:tcPr>
          <w:p w14:paraId="3DEBC387"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5,562</w:t>
            </w:r>
          </w:p>
        </w:tc>
        <w:tc>
          <w:tcPr>
            <w:tcW w:w="694" w:type="pct"/>
            <w:tcBorders>
              <w:top w:val="nil"/>
              <w:left w:val="nil"/>
              <w:bottom w:val="nil"/>
              <w:right w:val="nil"/>
            </w:tcBorders>
            <w:shd w:val="clear" w:color="auto" w:fill="auto"/>
            <w:noWrap/>
            <w:vAlign w:val="bottom"/>
            <w:hideMark/>
          </w:tcPr>
          <w:p w14:paraId="18B8E19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1,447</w:t>
            </w:r>
          </w:p>
        </w:tc>
        <w:tc>
          <w:tcPr>
            <w:tcW w:w="582" w:type="pct"/>
            <w:tcBorders>
              <w:top w:val="nil"/>
              <w:left w:val="nil"/>
              <w:bottom w:val="nil"/>
              <w:right w:val="nil"/>
            </w:tcBorders>
            <w:shd w:val="clear" w:color="auto" w:fill="auto"/>
            <w:noWrap/>
            <w:vAlign w:val="bottom"/>
            <w:hideMark/>
          </w:tcPr>
          <w:p w14:paraId="07B4407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0.72</w:t>
            </w:r>
          </w:p>
        </w:tc>
        <w:tc>
          <w:tcPr>
            <w:tcW w:w="723" w:type="pct"/>
            <w:tcBorders>
              <w:top w:val="nil"/>
              <w:left w:val="nil"/>
              <w:bottom w:val="nil"/>
              <w:right w:val="nil"/>
            </w:tcBorders>
            <w:shd w:val="clear" w:color="auto" w:fill="auto"/>
            <w:noWrap/>
            <w:vAlign w:val="bottom"/>
            <w:hideMark/>
          </w:tcPr>
          <w:p w14:paraId="291AF04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[0.42, 1.23]</w:t>
            </w:r>
          </w:p>
        </w:tc>
        <w:tc>
          <w:tcPr>
            <w:tcW w:w="459" w:type="pct"/>
            <w:tcBorders>
              <w:top w:val="nil"/>
              <w:left w:val="nil"/>
              <w:bottom w:val="nil"/>
              <w:right w:val="nil"/>
            </w:tcBorders>
            <w:shd w:val="clear" w:color="auto" w:fill="auto"/>
            <w:noWrap/>
            <w:vAlign w:val="bottom"/>
            <w:hideMark/>
          </w:tcPr>
          <w:p w14:paraId="09817B3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0.11</w:t>
            </w:r>
          </w:p>
        </w:tc>
      </w:tr>
      <w:tr w:rsidR="0049448B" w:rsidRPr="0049448B" w14:paraId="5679054D" w14:textId="77777777" w:rsidTr="0049448B">
        <w:trPr>
          <w:trHeight w:val="220"/>
        </w:trPr>
        <w:tc>
          <w:tcPr>
            <w:tcW w:w="496" w:type="pct"/>
            <w:tcBorders>
              <w:top w:val="nil"/>
              <w:left w:val="nil"/>
              <w:bottom w:val="nil"/>
              <w:right w:val="nil"/>
            </w:tcBorders>
            <w:shd w:val="clear" w:color="auto" w:fill="auto"/>
            <w:noWrap/>
            <w:vAlign w:val="bottom"/>
            <w:hideMark/>
          </w:tcPr>
          <w:p w14:paraId="04AA7F0E"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BD8DC28"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C&gt;A (rs6457327)</w:t>
            </w:r>
          </w:p>
        </w:tc>
        <w:tc>
          <w:tcPr>
            <w:tcW w:w="637" w:type="pct"/>
            <w:tcBorders>
              <w:top w:val="nil"/>
              <w:left w:val="nil"/>
              <w:bottom w:val="nil"/>
              <w:right w:val="nil"/>
            </w:tcBorders>
            <w:shd w:val="clear" w:color="auto" w:fill="auto"/>
            <w:noWrap/>
            <w:vAlign w:val="bottom"/>
            <w:hideMark/>
          </w:tcPr>
          <w:p w14:paraId="6982BA7A"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2,963</w:t>
            </w:r>
          </w:p>
        </w:tc>
        <w:tc>
          <w:tcPr>
            <w:tcW w:w="694" w:type="pct"/>
            <w:tcBorders>
              <w:top w:val="nil"/>
              <w:left w:val="nil"/>
              <w:bottom w:val="nil"/>
              <w:right w:val="nil"/>
            </w:tcBorders>
            <w:shd w:val="clear" w:color="auto" w:fill="auto"/>
            <w:noWrap/>
            <w:vAlign w:val="bottom"/>
            <w:hideMark/>
          </w:tcPr>
          <w:p w14:paraId="5738D341"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701</w:t>
            </w:r>
          </w:p>
        </w:tc>
        <w:tc>
          <w:tcPr>
            <w:tcW w:w="582" w:type="pct"/>
            <w:tcBorders>
              <w:top w:val="nil"/>
              <w:left w:val="nil"/>
              <w:bottom w:val="nil"/>
              <w:right w:val="nil"/>
            </w:tcBorders>
            <w:shd w:val="clear" w:color="auto" w:fill="auto"/>
            <w:noWrap/>
            <w:vAlign w:val="bottom"/>
            <w:hideMark/>
          </w:tcPr>
          <w:p w14:paraId="3A0D44E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0.66</w:t>
            </w:r>
          </w:p>
        </w:tc>
        <w:tc>
          <w:tcPr>
            <w:tcW w:w="723" w:type="pct"/>
            <w:tcBorders>
              <w:top w:val="nil"/>
              <w:left w:val="nil"/>
              <w:bottom w:val="nil"/>
              <w:right w:val="nil"/>
            </w:tcBorders>
            <w:shd w:val="clear" w:color="auto" w:fill="auto"/>
            <w:noWrap/>
            <w:vAlign w:val="bottom"/>
            <w:hideMark/>
          </w:tcPr>
          <w:p w14:paraId="2A18EEB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[0.32, 1.37]</w:t>
            </w:r>
          </w:p>
        </w:tc>
        <w:tc>
          <w:tcPr>
            <w:tcW w:w="459" w:type="pct"/>
            <w:tcBorders>
              <w:top w:val="nil"/>
              <w:left w:val="nil"/>
              <w:bottom w:val="nil"/>
              <w:right w:val="nil"/>
            </w:tcBorders>
            <w:shd w:val="clear" w:color="auto" w:fill="auto"/>
            <w:noWrap/>
            <w:vAlign w:val="bottom"/>
            <w:hideMark/>
          </w:tcPr>
          <w:p w14:paraId="1989CC8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0.13</w:t>
            </w:r>
          </w:p>
        </w:tc>
      </w:tr>
      <w:tr w:rsidR="0049448B" w:rsidRPr="0049448B" w14:paraId="62370766" w14:textId="77777777" w:rsidTr="0049448B">
        <w:trPr>
          <w:trHeight w:val="220"/>
        </w:trPr>
        <w:tc>
          <w:tcPr>
            <w:tcW w:w="496" w:type="pct"/>
            <w:tcBorders>
              <w:top w:val="nil"/>
              <w:left w:val="nil"/>
              <w:bottom w:val="nil"/>
              <w:right w:val="nil"/>
            </w:tcBorders>
            <w:shd w:val="clear" w:color="auto" w:fill="auto"/>
            <w:noWrap/>
            <w:vAlign w:val="bottom"/>
            <w:hideMark/>
          </w:tcPr>
          <w:p w14:paraId="7BCD5122"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0EAE705A"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T&gt;G (rs10484561)</w:t>
            </w:r>
          </w:p>
        </w:tc>
        <w:tc>
          <w:tcPr>
            <w:tcW w:w="637" w:type="pct"/>
            <w:tcBorders>
              <w:top w:val="nil"/>
              <w:left w:val="nil"/>
              <w:bottom w:val="nil"/>
              <w:right w:val="nil"/>
            </w:tcBorders>
            <w:shd w:val="clear" w:color="auto" w:fill="auto"/>
            <w:noWrap/>
            <w:vAlign w:val="bottom"/>
            <w:hideMark/>
          </w:tcPr>
          <w:p w14:paraId="5518EEDB"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3,989</w:t>
            </w:r>
          </w:p>
        </w:tc>
        <w:tc>
          <w:tcPr>
            <w:tcW w:w="694" w:type="pct"/>
            <w:tcBorders>
              <w:top w:val="nil"/>
              <w:left w:val="nil"/>
              <w:bottom w:val="nil"/>
              <w:right w:val="nil"/>
            </w:tcBorders>
            <w:shd w:val="clear" w:color="auto" w:fill="auto"/>
            <w:noWrap/>
            <w:vAlign w:val="bottom"/>
            <w:hideMark/>
          </w:tcPr>
          <w:p w14:paraId="3890304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840</w:t>
            </w:r>
          </w:p>
        </w:tc>
        <w:tc>
          <w:tcPr>
            <w:tcW w:w="582" w:type="pct"/>
            <w:tcBorders>
              <w:top w:val="nil"/>
              <w:left w:val="nil"/>
              <w:bottom w:val="nil"/>
              <w:right w:val="nil"/>
            </w:tcBorders>
            <w:shd w:val="clear" w:color="auto" w:fill="auto"/>
            <w:noWrap/>
            <w:vAlign w:val="bottom"/>
            <w:hideMark/>
          </w:tcPr>
          <w:p w14:paraId="0E9A1DF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1.05</w:t>
            </w:r>
          </w:p>
        </w:tc>
        <w:tc>
          <w:tcPr>
            <w:tcW w:w="723" w:type="pct"/>
            <w:tcBorders>
              <w:top w:val="nil"/>
              <w:left w:val="nil"/>
              <w:bottom w:val="nil"/>
              <w:right w:val="nil"/>
            </w:tcBorders>
            <w:shd w:val="clear" w:color="auto" w:fill="auto"/>
            <w:noWrap/>
            <w:vAlign w:val="bottom"/>
            <w:hideMark/>
          </w:tcPr>
          <w:p w14:paraId="497D643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[0.51, 2.17]</w:t>
            </w:r>
          </w:p>
        </w:tc>
        <w:tc>
          <w:tcPr>
            <w:tcW w:w="459" w:type="pct"/>
            <w:tcBorders>
              <w:top w:val="nil"/>
              <w:left w:val="nil"/>
              <w:bottom w:val="nil"/>
              <w:right w:val="nil"/>
            </w:tcBorders>
            <w:shd w:val="clear" w:color="auto" w:fill="auto"/>
            <w:noWrap/>
            <w:vAlign w:val="bottom"/>
            <w:hideMark/>
          </w:tcPr>
          <w:p w14:paraId="6A79EAF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0.55</w:t>
            </w:r>
          </w:p>
        </w:tc>
      </w:tr>
      <w:tr w:rsidR="0049448B" w:rsidRPr="0049448B" w14:paraId="30A9D883" w14:textId="77777777" w:rsidTr="0049448B">
        <w:trPr>
          <w:trHeight w:val="220"/>
        </w:trPr>
        <w:tc>
          <w:tcPr>
            <w:tcW w:w="496" w:type="pct"/>
            <w:tcBorders>
              <w:top w:val="nil"/>
              <w:left w:val="nil"/>
              <w:bottom w:val="nil"/>
              <w:right w:val="nil"/>
            </w:tcBorders>
            <w:shd w:val="clear" w:color="auto" w:fill="auto"/>
            <w:noWrap/>
            <w:vAlign w:val="bottom"/>
            <w:hideMark/>
          </w:tcPr>
          <w:p w14:paraId="7423CAD0"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C2889F2" w14:textId="77777777" w:rsidR="0049448B" w:rsidRPr="0049448B" w:rsidRDefault="0049448B" w:rsidP="0049448B">
            <w:pPr>
              <w:rPr>
                <w:rFonts w:ascii="Times New Roman" w:eastAsia="Times New Roman" w:hAnsi="Times New Roman" w:cs="Times New Roman"/>
                <w:sz w:val="20"/>
                <w:szCs w:val="20"/>
                <w:lang w:eastAsia="en-US"/>
              </w:rPr>
            </w:pPr>
          </w:p>
        </w:tc>
        <w:tc>
          <w:tcPr>
            <w:tcW w:w="637" w:type="pct"/>
            <w:tcBorders>
              <w:top w:val="nil"/>
              <w:left w:val="nil"/>
              <w:bottom w:val="nil"/>
              <w:right w:val="nil"/>
            </w:tcBorders>
            <w:shd w:val="clear" w:color="auto" w:fill="auto"/>
            <w:noWrap/>
            <w:vAlign w:val="bottom"/>
            <w:hideMark/>
          </w:tcPr>
          <w:p w14:paraId="5A40D078" w14:textId="77777777" w:rsidR="0049448B" w:rsidRPr="0049448B" w:rsidRDefault="0049448B" w:rsidP="0049448B">
            <w:pPr>
              <w:rPr>
                <w:rFonts w:ascii="Times New Roman" w:eastAsia="Times New Roman" w:hAnsi="Times New Roman" w:cs="Times New Roman"/>
                <w:sz w:val="20"/>
                <w:szCs w:val="20"/>
                <w:lang w:eastAsia="en-US"/>
              </w:rPr>
            </w:pPr>
          </w:p>
        </w:tc>
        <w:tc>
          <w:tcPr>
            <w:tcW w:w="694" w:type="pct"/>
            <w:tcBorders>
              <w:top w:val="nil"/>
              <w:left w:val="nil"/>
              <w:bottom w:val="nil"/>
              <w:right w:val="nil"/>
            </w:tcBorders>
            <w:shd w:val="clear" w:color="auto" w:fill="auto"/>
            <w:noWrap/>
            <w:vAlign w:val="bottom"/>
            <w:hideMark/>
          </w:tcPr>
          <w:p w14:paraId="038A7758"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582" w:type="pct"/>
            <w:tcBorders>
              <w:top w:val="nil"/>
              <w:left w:val="nil"/>
              <w:bottom w:val="nil"/>
              <w:right w:val="nil"/>
            </w:tcBorders>
            <w:shd w:val="clear" w:color="auto" w:fill="auto"/>
            <w:noWrap/>
            <w:vAlign w:val="bottom"/>
            <w:hideMark/>
          </w:tcPr>
          <w:p w14:paraId="72112616"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723" w:type="pct"/>
            <w:tcBorders>
              <w:top w:val="nil"/>
              <w:left w:val="nil"/>
              <w:bottom w:val="nil"/>
              <w:right w:val="nil"/>
            </w:tcBorders>
            <w:shd w:val="clear" w:color="auto" w:fill="auto"/>
            <w:noWrap/>
            <w:vAlign w:val="bottom"/>
            <w:hideMark/>
          </w:tcPr>
          <w:p w14:paraId="16EEFFE6"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459" w:type="pct"/>
            <w:tcBorders>
              <w:top w:val="nil"/>
              <w:left w:val="nil"/>
              <w:bottom w:val="nil"/>
              <w:right w:val="nil"/>
            </w:tcBorders>
            <w:shd w:val="clear" w:color="auto" w:fill="auto"/>
            <w:noWrap/>
            <w:vAlign w:val="bottom"/>
            <w:hideMark/>
          </w:tcPr>
          <w:p w14:paraId="69DBCF3A" w14:textId="77777777" w:rsidR="0049448B" w:rsidRPr="0049448B" w:rsidRDefault="0049448B" w:rsidP="0049448B">
            <w:pPr>
              <w:jc w:val="right"/>
              <w:rPr>
                <w:rFonts w:ascii="Times New Roman" w:eastAsia="Times New Roman" w:hAnsi="Times New Roman" w:cs="Times New Roman"/>
                <w:sz w:val="20"/>
                <w:szCs w:val="20"/>
                <w:lang w:eastAsia="en-US"/>
              </w:rPr>
            </w:pPr>
          </w:p>
        </w:tc>
      </w:tr>
      <w:tr w:rsidR="0049448B" w:rsidRPr="0049448B" w14:paraId="4D741698" w14:textId="77777777" w:rsidTr="0049448B">
        <w:trPr>
          <w:trHeight w:val="220"/>
        </w:trPr>
        <w:tc>
          <w:tcPr>
            <w:tcW w:w="496" w:type="pct"/>
            <w:tcBorders>
              <w:top w:val="nil"/>
              <w:left w:val="nil"/>
              <w:bottom w:val="nil"/>
              <w:right w:val="nil"/>
            </w:tcBorders>
            <w:shd w:val="clear" w:color="auto" w:fill="auto"/>
            <w:noWrap/>
            <w:vAlign w:val="bottom"/>
            <w:hideMark/>
          </w:tcPr>
          <w:p w14:paraId="7EE3D767"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FL</w:t>
            </w:r>
          </w:p>
        </w:tc>
        <w:tc>
          <w:tcPr>
            <w:tcW w:w="1408" w:type="pct"/>
            <w:tcBorders>
              <w:top w:val="nil"/>
              <w:left w:val="nil"/>
              <w:bottom w:val="nil"/>
              <w:right w:val="nil"/>
            </w:tcBorders>
            <w:shd w:val="clear" w:color="auto" w:fill="auto"/>
            <w:noWrap/>
            <w:vAlign w:val="bottom"/>
            <w:hideMark/>
          </w:tcPr>
          <w:p w14:paraId="05CB8501"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IL1A-889C&gt;T (rs1800587)</w:t>
            </w:r>
          </w:p>
        </w:tc>
        <w:tc>
          <w:tcPr>
            <w:tcW w:w="637" w:type="pct"/>
            <w:tcBorders>
              <w:top w:val="nil"/>
              <w:left w:val="nil"/>
              <w:bottom w:val="nil"/>
              <w:right w:val="nil"/>
            </w:tcBorders>
            <w:shd w:val="clear" w:color="auto" w:fill="auto"/>
            <w:noWrap/>
            <w:vAlign w:val="bottom"/>
            <w:hideMark/>
          </w:tcPr>
          <w:p w14:paraId="6BBA3121"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2,317</w:t>
            </w:r>
          </w:p>
        </w:tc>
        <w:tc>
          <w:tcPr>
            <w:tcW w:w="694" w:type="pct"/>
            <w:tcBorders>
              <w:top w:val="nil"/>
              <w:left w:val="nil"/>
              <w:bottom w:val="nil"/>
              <w:right w:val="nil"/>
            </w:tcBorders>
            <w:shd w:val="clear" w:color="auto" w:fill="auto"/>
            <w:noWrap/>
            <w:vAlign w:val="bottom"/>
            <w:hideMark/>
          </w:tcPr>
          <w:p w14:paraId="60FBC0EA"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527</w:t>
            </w:r>
          </w:p>
        </w:tc>
        <w:tc>
          <w:tcPr>
            <w:tcW w:w="582" w:type="pct"/>
            <w:tcBorders>
              <w:top w:val="nil"/>
              <w:left w:val="nil"/>
              <w:bottom w:val="nil"/>
              <w:right w:val="nil"/>
            </w:tcBorders>
            <w:shd w:val="clear" w:color="auto" w:fill="auto"/>
            <w:noWrap/>
            <w:vAlign w:val="bottom"/>
            <w:hideMark/>
          </w:tcPr>
          <w:p w14:paraId="3524A9A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1.18</w:t>
            </w:r>
          </w:p>
        </w:tc>
        <w:tc>
          <w:tcPr>
            <w:tcW w:w="723" w:type="pct"/>
            <w:tcBorders>
              <w:top w:val="nil"/>
              <w:left w:val="nil"/>
              <w:bottom w:val="nil"/>
              <w:right w:val="nil"/>
            </w:tcBorders>
            <w:shd w:val="clear" w:color="auto" w:fill="auto"/>
            <w:noWrap/>
            <w:vAlign w:val="bottom"/>
            <w:hideMark/>
          </w:tcPr>
          <w:p w14:paraId="5A8D1A9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[0.58, 2.41]</w:t>
            </w:r>
          </w:p>
        </w:tc>
        <w:tc>
          <w:tcPr>
            <w:tcW w:w="459" w:type="pct"/>
            <w:tcBorders>
              <w:top w:val="nil"/>
              <w:left w:val="nil"/>
              <w:bottom w:val="nil"/>
              <w:right w:val="nil"/>
            </w:tcBorders>
            <w:shd w:val="clear" w:color="auto" w:fill="auto"/>
            <w:noWrap/>
            <w:vAlign w:val="bottom"/>
            <w:hideMark/>
          </w:tcPr>
          <w:p w14:paraId="7241480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0.68</w:t>
            </w:r>
          </w:p>
        </w:tc>
      </w:tr>
      <w:tr w:rsidR="0049448B" w:rsidRPr="0049448B" w14:paraId="230FF8E6" w14:textId="77777777" w:rsidTr="0049448B">
        <w:trPr>
          <w:trHeight w:val="260"/>
        </w:trPr>
        <w:tc>
          <w:tcPr>
            <w:tcW w:w="496" w:type="pct"/>
            <w:tcBorders>
              <w:top w:val="nil"/>
              <w:left w:val="nil"/>
              <w:bottom w:val="nil"/>
              <w:right w:val="nil"/>
            </w:tcBorders>
            <w:shd w:val="clear" w:color="auto" w:fill="auto"/>
            <w:noWrap/>
            <w:vAlign w:val="bottom"/>
            <w:hideMark/>
          </w:tcPr>
          <w:p w14:paraId="7993A2F3"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2FDF4D66"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IL1B-511C&gt;T (rs16944)</w:t>
            </w:r>
          </w:p>
        </w:tc>
        <w:tc>
          <w:tcPr>
            <w:tcW w:w="637" w:type="pct"/>
            <w:tcBorders>
              <w:top w:val="nil"/>
              <w:left w:val="nil"/>
              <w:bottom w:val="nil"/>
              <w:right w:val="nil"/>
            </w:tcBorders>
            <w:shd w:val="clear" w:color="auto" w:fill="auto"/>
            <w:noWrap/>
            <w:vAlign w:val="bottom"/>
            <w:hideMark/>
          </w:tcPr>
          <w:p w14:paraId="24A9051E"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1,280</w:t>
            </w:r>
          </w:p>
        </w:tc>
        <w:tc>
          <w:tcPr>
            <w:tcW w:w="694" w:type="pct"/>
            <w:tcBorders>
              <w:top w:val="nil"/>
              <w:left w:val="nil"/>
              <w:bottom w:val="nil"/>
              <w:right w:val="nil"/>
            </w:tcBorders>
            <w:shd w:val="clear" w:color="auto" w:fill="auto"/>
            <w:noWrap/>
            <w:vAlign w:val="bottom"/>
            <w:hideMark/>
          </w:tcPr>
          <w:p w14:paraId="0336192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331</w:t>
            </w:r>
          </w:p>
        </w:tc>
        <w:tc>
          <w:tcPr>
            <w:tcW w:w="582" w:type="pct"/>
            <w:tcBorders>
              <w:top w:val="nil"/>
              <w:left w:val="nil"/>
              <w:bottom w:val="nil"/>
              <w:right w:val="nil"/>
            </w:tcBorders>
            <w:shd w:val="clear" w:color="auto" w:fill="auto"/>
            <w:noWrap/>
            <w:vAlign w:val="bottom"/>
            <w:hideMark/>
          </w:tcPr>
          <w:p w14:paraId="4D70C5E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0.53</w:t>
            </w:r>
          </w:p>
        </w:tc>
        <w:tc>
          <w:tcPr>
            <w:tcW w:w="723" w:type="pct"/>
            <w:tcBorders>
              <w:top w:val="nil"/>
              <w:left w:val="nil"/>
              <w:bottom w:val="nil"/>
              <w:right w:val="nil"/>
            </w:tcBorders>
            <w:shd w:val="clear" w:color="auto" w:fill="auto"/>
            <w:noWrap/>
            <w:vAlign w:val="bottom"/>
            <w:hideMark/>
          </w:tcPr>
          <w:p w14:paraId="7A65716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[0.20, 1.36]</w:t>
            </w:r>
          </w:p>
        </w:tc>
        <w:tc>
          <w:tcPr>
            <w:tcW w:w="459" w:type="pct"/>
            <w:tcBorders>
              <w:top w:val="nil"/>
              <w:left w:val="nil"/>
              <w:bottom w:val="nil"/>
              <w:right w:val="nil"/>
            </w:tcBorders>
            <w:shd w:val="clear" w:color="auto" w:fill="auto"/>
            <w:noWrap/>
            <w:vAlign w:val="bottom"/>
            <w:hideMark/>
          </w:tcPr>
          <w:p w14:paraId="20BD8E7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0.09</w:t>
            </w:r>
          </w:p>
        </w:tc>
      </w:tr>
      <w:tr w:rsidR="0049448B" w:rsidRPr="0049448B" w14:paraId="7518BF88" w14:textId="77777777" w:rsidTr="0049448B">
        <w:trPr>
          <w:trHeight w:val="220"/>
        </w:trPr>
        <w:tc>
          <w:tcPr>
            <w:tcW w:w="496" w:type="pct"/>
            <w:tcBorders>
              <w:top w:val="nil"/>
              <w:left w:val="nil"/>
              <w:bottom w:val="nil"/>
              <w:right w:val="nil"/>
            </w:tcBorders>
            <w:shd w:val="clear" w:color="auto" w:fill="auto"/>
            <w:noWrap/>
            <w:vAlign w:val="bottom"/>
            <w:hideMark/>
          </w:tcPr>
          <w:p w14:paraId="36CC5ED4"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595ECB99" w14:textId="5DA69D5D"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IL1B-</w:t>
            </w:r>
            <w:r w:rsidR="00651E47">
              <w:rPr>
                <w:rFonts w:eastAsia="Times New Roman" w:cs="Arial"/>
                <w:color w:val="000000"/>
                <w:sz w:val="16"/>
                <w:szCs w:val="16"/>
                <w:lang w:eastAsia="en-US"/>
              </w:rPr>
              <w:t>31T&gt;C</w:t>
            </w:r>
            <w:r w:rsidRPr="0049448B">
              <w:rPr>
                <w:rFonts w:eastAsia="Times New Roman" w:cs="Arial"/>
                <w:color w:val="000000"/>
                <w:sz w:val="16"/>
                <w:szCs w:val="16"/>
                <w:lang w:eastAsia="en-US"/>
              </w:rPr>
              <w:t xml:space="preserve"> (rs1143627)</w:t>
            </w:r>
          </w:p>
        </w:tc>
        <w:tc>
          <w:tcPr>
            <w:tcW w:w="637" w:type="pct"/>
            <w:tcBorders>
              <w:top w:val="nil"/>
              <w:left w:val="nil"/>
              <w:bottom w:val="nil"/>
              <w:right w:val="nil"/>
            </w:tcBorders>
            <w:shd w:val="clear" w:color="auto" w:fill="auto"/>
            <w:noWrap/>
            <w:vAlign w:val="bottom"/>
            <w:hideMark/>
          </w:tcPr>
          <w:p w14:paraId="24B58B98"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3,715</w:t>
            </w:r>
          </w:p>
        </w:tc>
        <w:tc>
          <w:tcPr>
            <w:tcW w:w="694" w:type="pct"/>
            <w:tcBorders>
              <w:top w:val="nil"/>
              <w:left w:val="nil"/>
              <w:bottom w:val="nil"/>
              <w:right w:val="nil"/>
            </w:tcBorders>
            <w:shd w:val="clear" w:color="auto" w:fill="auto"/>
            <w:noWrap/>
            <w:vAlign w:val="bottom"/>
            <w:hideMark/>
          </w:tcPr>
          <w:p w14:paraId="63B905FB"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706</w:t>
            </w:r>
          </w:p>
        </w:tc>
        <w:tc>
          <w:tcPr>
            <w:tcW w:w="582" w:type="pct"/>
            <w:tcBorders>
              <w:top w:val="nil"/>
              <w:left w:val="nil"/>
              <w:bottom w:val="nil"/>
              <w:right w:val="nil"/>
            </w:tcBorders>
            <w:shd w:val="clear" w:color="auto" w:fill="auto"/>
            <w:noWrap/>
            <w:vAlign w:val="bottom"/>
            <w:hideMark/>
          </w:tcPr>
          <w:p w14:paraId="4C275E2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0.98</w:t>
            </w:r>
          </w:p>
        </w:tc>
        <w:tc>
          <w:tcPr>
            <w:tcW w:w="723" w:type="pct"/>
            <w:tcBorders>
              <w:top w:val="nil"/>
              <w:left w:val="nil"/>
              <w:bottom w:val="nil"/>
              <w:right w:val="nil"/>
            </w:tcBorders>
            <w:shd w:val="clear" w:color="auto" w:fill="auto"/>
            <w:noWrap/>
            <w:vAlign w:val="bottom"/>
            <w:hideMark/>
          </w:tcPr>
          <w:p w14:paraId="1D52D9B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[0.54, 1.77]</w:t>
            </w:r>
          </w:p>
        </w:tc>
        <w:tc>
          <w:tcPr>
            <w:tcW w:w="459" w:type="pct"/>
            <w:tcBorders>
              <w:top w:val="nil"/>
              <w:left w:val="nil"/>
              <w:bottom w:val="nil"/>
              <w:right w:val="nil"/>
            </w:tcBorders>
            <w:shd w:val="clear" w:color="auto" w:fill="auto"/>
            <w:noWrap/>
            <w:vAlign w:val="bottom"/>
            <w:hideMark/>
          </w:tcPr>
          <w:p w14:paraId="0E768D5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0.47</w:t>
            </w:r>
          </w:p>
        </w:tc>
      </w:tr>
      <w:tr w:rsidR="0049448B" w:rsidRPr="0049448B" w14:paraId="68A8431F" w14:textId="77777777" w:rsidTr="0049448B">
        <w:trPr>
          <w:trHeight w:val="220"/>
        </w:trPr>
        <w:tc>
          <w:tcPr>
            <w:tcW w:w="496" w:type="pct"/>
            <w:tcBorders>
              <w:top w:val="nil"/>
              <w:left w:val="nil"/>
              <w:bottom w:val="nil"/>
              <w:right w:val="nil"/>
            </w:tcBorders>
            <w:shd w:val="clear" w:color="auto" w:fill="auto"/>
            <w:noWrap/>
            <w:vAlign w:val="bottom"/>
            <w:hideMark/>
          </w:tcPr>
          <w:p w14:paraId="5178B373"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E89241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IL1RN-9589A&gt;T (rs454078)</w:t>
            </w:r>
          </w:p>
        </w:tc>
        <w:tc>
          <w:tcPr>
            <w:tcW w:w="637" w:type="pct"/>
            <w:tcBorders>
              <w:top w:val="nil"/>
              <w:left w:val="nil"/>
              <w:bottom w:val="nil"/>
              <w:right w:val="nil"/>
            </w:tcBorders>
            <w:shd w:val="clear" w:color="auto" w:fill="auto"/>
            <w:noWrap/>
            <w:vAlign w:val="bottom"/>
            <w:hideMark/>
          </w:tcPr>
          <w:p w14:paraId="0E3B1E24"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2,319</w:t>
            </w:r>
          </w:p>
        </w:tc>
        <w:tc>
          <w:tcPr>
            <w:tcW w:w="694" w:type="pct"/>
            <w:tcBorders>
              <w:top w:val="nil"/>
              <w:left w:val="nil"/>
              <w:bottom w:val="nil"/>
              <w:right w:val="nil"/>
            </w:tcBorders>
            <w:shd w:val="clear" w:color="auto" w:fill="auto"/>
            <w:noWrap/>
            <w:vAlign w:val="bottom"/>
            <w:hideMark/>
          </w:tcPr>
          <w:p w14:paraId="0D000800"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526</w:t>
            </w:r>
          </w:p>
        </w:tc>
        <w:tc>
          <w:tcPr>
            <w:tcW w:w="582" w:type="pct"/>
            <w:tcBorders>
              <w:top w:val="nil"/>
              <w:left w:val="nil"/>
              <w:bottom w:val="nil"/>
              <w:right w:val="nil"/>
            </w:tcBorders>
            <w:shd w:val="clear" w:color="auto" w:fill="auto"/>
            <w:noWrap/>
            <w:vAlign w:val="bottom"/>
            <w:hideMark/>
          </w:tcPr>
          <w:p w14:paraId="553F8EF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0.63</w:t>
            </w:r>
          </w:p>
        </w:tc>
        <w:tc>
          <w:tcPr>
            <w:tcW w:w="723" w:type="pct"/>
            <w:tcBorders>
              <w:top w:val="nil"/>
              <w:left w:val="nil"/>
              <w:bottom w:val="nil"/>
              <w:right w:val="nil"/>
            </w:tcBorders>
            <w:shd w:val="clear" w:color="auto" w:fill="auto"/>
            <w:noWrap/>
            <w:vAlign w:val="bottom"/>
            <w:hideMark/>
          </w:tcPr>
          <w:p w14:paraId="025C5E9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[0.31, 1.29]</w:t>
            </w:r>
          </w:p>
        </w:tc>
        <w:tc>
          <w:tcPr>
            <w:tcW w:w="459" w:type="pct"/>
            <w:tcBorders>
              <w:top w:val="nil"/>
              <w:left w:val="nil"/>
              <w:bottom w:val="nil"/>
              <w:right w:val="nil"/>
            </w:tcBorders>
            <w:shd w:val="clear" w:color="auto" w:fill="auto"/>
            <w:noWrap/>
            <w:vAlign w:val="bottom"/>
            <w:hideMark/>
          </w:tcPr>
          <w:p w14:paraId="2CA59DE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0.10</w:t>
            </w:r>
          </w:p>
        </w:tc>
      </w:tr>
      <w:tr w:rsidR="0049448B" w:rsidRPr="0049448B" w14:paraId="3D3624C3" w14:textId="77777777" w:rsidTr="0049448B">
        <w:trPr>
          <w:trHeight w:val="220"/>
        </w:trPr>
        <w:tc>
          <w:tcPr>
            <w:tcW w:w="496" w:type="pct"/>
            <w:tcBorders>
              <w:top w:val="nil"/>
              <w:left w:val="nil"/>
              <w:bottom w:val="nil"/>
              <w:right w:val="nil"/>
            </w:tcBorders>
            <w:shd w:val="clear" w:color="auto" w:fill="auto"/>
            <w:noWrap/>
            <w:vAlign w:val="bottom"/>
            <w:hideMark/>
          </w:tcPr>
          <w:p w14:paraId="1A23EBAF"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6F154FDE"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IL2–384T&gt;G (rs2069762)</w:t>
            </w:r>
          </w:p>
        </w:tc>
        <w:tc>
          <w:tcPr>
            <w:tcW w:w="637" w:type="pct"/>
            <w:tcBorders>
              <w:top w:val="nil"/>
              <w:left w:val="nil"/>
              <w:bottom w:val="nil"/>
              <w:right w:val="nil"/>
            </w:tcBorders>
            <w:shd w:val="clear" w:color="auto" w:fill="auto"/>
            <w:noWrap/>
            <w:vAlign w:val="bottom"/>
            <w:hideMark/>
          </w:tcPr>
          <w:p w14:paraId="1FA5F9CD"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2,320</w:t>
            </w:r>
          </w:p>
        </w:tc>
        <w:tc>
          <w:tcPr>
            <w:tcW w:w="694" w:type="pct"/>
            <w:tcBorders>
              <w:top w:val="nil"/>
              <w:left w:val="nil"/>
              <w:bottom w:val="nil"/>
              <w:right w:val="nil"/>
            </w:tcBorders>
            <w:shd w:val="clear" w:color="auto" w:fill="auto"/>
            <w:noWrap/>
            <w:vAlign w:val="bottom"/>
            <w:hideMark/>
          </w:tcPr>
          <w:p w14:paraId="3D6CF495"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528</w:t>
            </w:r>
          </w:p>
        </w:tc>
        <w:tc>
          <w:tcPr>
            <w:tcW w:w="582" w:type="pct"/>
            <w:tcBorders>
              <w:top w:val="nil"/>
              <w:left w:val="nil"/>
              <w:bottom w:val="nil"/>
              <w:right w:val="nil"/>
            </w:tcBorders>
            <w:shd w:val="clear" w:color="auto" w:fill="auto"/>
            <w:noWrap/>
            <w:vAlign w:val="bottom"/>
            <w:hideMark/>
          </w:tcPr>
          <w:p w14:paraId="17EFBA1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0.69</w:t>
            </w:r>
          </w:p>
        </w:tc>
        <w:tc>
          <w:tcPr>
            <w:tcW w:w="723" w:type="pct"/>
            <w:tcBorders>
              <w:top w:val="nil"/>
              <w:left w:val="nil"/>
              <w:bottom w:val="nil"/>
              <w:right w:val="nil"/>
            </w:tcBorders>
            <w:shd w:val="clear" w:color="auto" w:fill="auto"/>
            <w:noWrap/>
            <w:vAlign w:val="bottom"/>
            <w:hideMark/>
          </w:tcPr>
          <w:p w14:paraId="62C1F20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[0.35, 1.35]</w:t>
            </w:r>
          </w:p>
        </w:tc>
        <w:tc>
          <w:tcPr>
            <w:tcW w:w="459" w:type="pct"/>
            <w:tcBorders>
              <w:top w:val="nil"/>
              <w:left w:val="nil"/>
              <w:bottom w:val="nil"/>
              <w:right w:val="nil"/>
            </w:tcBorders>
            <w:shd w:val="clear" w:color="auto" w:fill="auto"/>
            <w:noWrap/>
            <w:vAlign w:val="bottom"/>
            <w:hideMark/>
          </w:tcPr>
          <w:p w14:paraId="456E8D7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0.14</w:t>
            </w:r>
          </w:p>
        </w:tc>
      </w:tr>
      <w:tr w:rsidR="0049448B" w:rsidRPr="0049448B" w14:paraId="5AF20B73" w14:textId="77777777" w:rsidTr="0049448B">
        <w:trPr>
          <w:trHeight w:val="220"/>
        </w:trPr>
        <w:tc>
          <w:tcPr>
            <w:tcW w:w="496" w:type="pct"/>
            <w:tcBorders>
              <w:top w:val="nil"/>
              <w:left w:val="nil"/>
              <w:bottom w:val="nil"/>
              <w:right w:val="nil"/>
            </w:tcBorders>
            <w:shd w:val="clear" w:color="auto" w:fill="auto"/>
            <w:noWrap/>
            <w:vAlign w:val="bottom"/>
            <w:hideMark/>
          </w:tcPr>
          <w:p w14:paraId="612D2375"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BB61872"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IL6-174G&gt;C (rs1800795)</w:t>
            </w:r>
          </w:p>
        </w:tc>
        <w:tc>
          <w:tcPr>
            <w:tcW w:w="637" w:type="pct"/>
            <w:tcBorders>
              <w:top w:val="nil"/>
              <w:left w:val="nil"/>
              <w:bottom w:val="nil"/>
              <w:right w:val="nil"/>
            </w:tcBorders>
            <w:shd w:val="clear" w:color="auto" w:fill="auto"/>
            <w:noWrap/>
            <w:vAlign w:val="bottom"/>
            <w:hideMark/>
          </w:tcPr>
          <w:p w14:paraId="33D49832"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2,347</w:t>
            </w:r>
          </w:p>
        </w:tc>
        <w:tc>
          <w:tcPr>
            <w:tcW w:w="694" w:type="pct"/>
            <w:tcBorders>
              <w:top w:val="nil"/>
              <w:left w:val="nil"/>
              <w:bottom w:val="nil"/>
              <w:right w:val="nil"/>
            </w:tcBorders>
            <w:shd w:val="clear" w:color="auto" w:fill="auto"/>
            <w:noWrap/>
            <w:vAlign w:val="bottom"/>
            <w:hideMark/>
          </w:tcPr>
          <w:p w14:paraId="7DDF7447"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533</w:t>
            </w:r>
          </w:p>
        </w:tc>
        <w:tc>
          <w:tcPr>
            <w:tcW w:w="582" w:type="pct"/>
            <w:tcBorders>
              <w:top w:val="nil"/>
              <w:left w:val="nil"/>
              <w:bottom w:val="nil"/>
              <w:right w:val="nil"/>
            </w:tcBorders>
            <w:shd w:val="clear" w:color="auto" w:fill="auto"/>
            <w:noWrap/>
            <w:vAlign w:val="bottom"/>
            <w:hideMark/>
          </w:tcPr>
          <w:p w14:paraId="007CB7E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1.34</w:t>
            </w:r>
          </w:p>
        </w:tc>
        <w:tc>
          <w:tcPr>
            <w:tcW w:w="723" w:type="pct"/>
            <w:tcBorders>
              <w:top w:val="nil"/>
              <w:left w:val="nil"/>
              <w:bottom w:val="nil"/>
              <w:right w:val="nil"/>
            </w:tcBorders>
            <w:shd w:val="clear" w:color="auto" w:fill="auto"/>
            <w:noWrap/>
            <w:vAlign w:val="bottom"/>
            <w:hideMark/>
          </w:tcPr>
          <w:p w14:paraId="4BA74F1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[0.69, 2.60]</w:t>
            </w:r>
          </w:p>
        </w:tc>
        <w:tc>
          <w:tcPr>
            <w:tcW w:w="459" w:type="pct"/>
            <w:tcBorders>
              <w:top w:val="nil"/>
              <w:left w:val="nil"/>
              <w:bottom w:val="nil"/>
              <w:right w:val="nil"/>
            </w:tcBorders>
            <w:shd w:val="clear" w:color="auto" w:fill="auto"/>
            <w:noWrap/>
            <w:vAlign w:val="bottom"/>
            <w:hideMark/>
          </w:tcPr>
          <w:p w14:paraId="6C92E89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0.80</w:t>
            </w:r>
          </w:p>
        </w:tc>
      </w:tr>
      <w:tr w:rsidR="0049448B" w:rsidRPr="0049448B" w14:paraId="58B95DE8" w14:textId="77777777" w:rsidTr="0049448B">
        <w:trPr>
          <w:trHeight w:val="220"/>
        </w:trPr>
        <w:tc>
          <w:tcPr>
            <w:tcW w:w="496" w:type="pct"/>
            <w:tcBorders>
              <w:top w:val="nil"/>
              <w:left w:val="nil"/>
              <w:bottom w:val="nil"/>
              <w:right w:val="nil"/>
            </w:tcBorders>
            <w:shd w:val="clear" w:color="auto" w:fill="auto"/>
            <w:noWrap/>
            <w:vAlign w:val="bottom"/>
            <w:hideMark/>
          </w:tcPr>
          <w:p w14:paraId="12AE1AEA"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3C4B3835"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IL6-597G&gt;A (rs1800797)</w:t>
            </w:r>
          </w:p>
        </w:tc>
        <w:tc>
          <w:tcPr>
            <w:tcW w:w="637" w:type="pct"/>
            <w:tcBorders>
              <w:top w:val="nil"/>
              <w:left w:val="nil"/>
              <w:bottom w:val="nil"/>
              <w:right w:val="nil"/>
            </w:tcBorders>
            <w:shd w:val="clear" w:color="auto" w:fill="auto"/>
            <w:noWrap/>
            <w:vAlign w:val="bottom"/>
            <w:hideMark/>
          </w:tcPr>
          <w:p w14:paraId="2CB821B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3,852</w:t>
            </w:r>
          </w:p>
        </w:tc>
        <w:tc>
          <w:tcPr>
            <w:tcW w:w="694" w:type="pct"/>
            <w:tcBorders>
              <w:top w:val="nil"/>
              <w:left w:val="nil"/>
              <w:bottom w:val="nil"/>
              <w:right w:val="nil"/>
            </w:tcBorders>
            <w:shd w:val="clear" w:color="auto" w:fill="auto"/>
            <w:noWrap/>
            <w:vAlign w:val="bottom"/>
            <w:hideMark/>
          </w:tcPr>
          <w:p w14:paraId="2EF363B8"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757</w:t>
            </w:r>
          </w:p>
        </w:tc>
        <w:tc>
          <w:tcPr>
            <w:tcW w:w="582" w:type="pct"/>
            <w:tcBorders>
              <w:top w:val="nil"/>
              <w:left w:val="nil"/>
              <w:bottom w:val="nil"/>
              <w:right w:val="nil"/>
            </w:tcBorders>
            <w:shd w:val="clear" w:color="auto" w:fill="auto"/>
            <w:noWrap/>
            <w:vAlign w:val="bottom"/>
            <w:hideMark/>
          </w:tcPr>
          <w:p w14:paraId="4A4560A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1.78</w:t>
            </w:r>
          </w:p>
        </w:tc>
        <w:tc>
          <w:tcPr>
            <w:tcW w:w="723" w:type="pct"/>
            <w:tcBorders>
              <w:top w:val="nil"/>
              <w:left w:val="nil"/>
              <w:bottom w:val="nil"/>
              <w:right w:val="nil"/>
            </w:tcBorders>
            <w:shd w:val="clear" w:color="auto" w:fill="auto"/>
            <w:noWrap/>
            <w:vAlign w:val="bottom"/>
            <w:hideMark/>
          </w:tcPr>
          <w:p w14:paraId="629B076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[0.94, 3.39]</w:t>
            </w:r>
          </w:p>
        </w:tc>
        <w:tc>
          <w:tcPr>
            <w:tcW w:w="459" w:type="pct"/>
            <w:tcBorders>
              <w:top w:val="nil"/>
              <w:left w:val="nil"/>
              <w:bottom w:val="nil"/>
              <w:right w:val="nil"/>
            </w:tcBorders>
            <w:shd w:val="clear" w:color="auto" w:fill="auto"/>
            <w:noWrap/>
            <w:vAlign w:val="bottom"/>
            <w:hideMark/>
          </w:tcPr>
          <w:p w14:paraId="707878A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0.96</w:t>
            </w:r>
          </w:p>
        </w:tc>
      </w:tr>
      <w:tr w:rsidR="0049448B" w:rsidRPr="0049448B" w14:paraId="195D6B79" w14:textId="77777777" w:rsidTr="0049448B">
        <w:trPr>
          <w:trHeight w:val="220"/>
        </w:trPr>
        <w:tc>
          <w:tcPr>
            <w:tcW w:w="496" w:type="pct"/>
            <w:tcBorders>
              <w:top w:val="nil"/>
              <w:left w:val="nil"/>
              <w:bottom w:val="nil"/>
              <w:right w:val="nil"/>
            </w:tcBorders>
            <w:shd w:val="clear" w:color="auto" w:fill="auto"/>
            <w:noWrap/>
            <w:vAlign w:val="bottom"/>
            <w:hideMark/>
          </w:tcPr>
          <w:p w14:paraId="5A5472CF"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74C54DC1"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IL10-1082A&gt;G (rs1800896)</w:t>
            </w:r>
          </w:p>
        </w:tc>
        <w:tc>
          <w:tcPr>
            <w:tcW w:w="637" w:type="pct"/>
            <w:tcBorders>
              <w:top w:val="nil"/>
              <w:left w:val="nil"/>
              <w:bottom w:val="nil"/>
              <w:right w:val="nil"/>
            </w:tcBorders>
            <w:shd w:val="clear" w:color="auto" w:fill="auto"/>
            <w:noWrap/>
            <w:vAlign w:val="bottom"/>
            <w:hideMark/>
          </w:tcPr>
          <w:p w14:paraId="5044EE28"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4,173</w:t>
            </w:r>
          </w:p>
        </w:tc>
        <w:tc>
          <w:tcPr>
            <w:tcW w:w="694" w:type="pct"/>
            <w:tcBorders>
              <w:top w:val="nil"/>
              <w:left w:val="nil"/>
              <w:bottom w:val="nil"/>
              <w:right w:val="nil"/>
            </w:tcBorders>
            <w:shd w:val="clear" w:color="auto" w:fill="auto"/>
            <w:noWrap/>
            <w:vAlign w:val="bottom"/>
            <w:hideMark/>
          </w:tcPr>
          <w:p w14:paraId="7F7156E9"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750</w:t>
            </w:r>
          </w:p>
        </w:tc>
        <w:tc>
          <w:tcPr>
            <w:tcW w:w="582" w:type="pct"/>
            <w:tcBorders>
              <w:top w:val="nil"/>
              <w:left w:val="nil"/>
              <w:bottom w:val="nil"/>
              <w:right w:val="nil"/>
            </w:tcBorders>
            <w:shd w:val="clear" w:color="auto" w:fill="auto"/>
            <w:noWrap/>
            <w:vAlign w:val="bottom"/>
            <w:hideMark/>
          </w:tcPr>
          <w:p w14:paraId="3A20157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0.67</w:t>
            </w:r>
          </w:p>
        </w:tc>
        <w:tc>
          <w:tcPr>
            <w:tcW w:w="723" w:type="pct"/>
            <w:tcBorders>
              <w:top w:val="nil"/>
              <w:left w:val="nil"/>
              <w:bottom w:val="nil"/>
              <w:right w:val="nil"/>
            </w:tcBorders>
            <w:shd w:val="clear" w:color="auto" w:fill="auto"/>
            <w:noWrap/>
            <w:vAlign w:val="bottom"/>
            <w:hideMark/>
          </w:tcPr>
          <w:p w14:paraId="7BE35FF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[0.37, 1.20]</w:t>
            </w:r>
          </w:p>
        </w:tc>
        <w:tc>
          <w:tcPr>
            <w:tcW w:w="459" w:type="pct"/>
            <w:tcBorders>
              <w:top w:val="nil"/>
              <w:left w:val="nil"/>
              <w:bottom w:val="nil"/>
              <w:right w:val="nil"/>
            </w:tcBorders>
            <w:shd w:val="clear" w:color="auto" w:fill="auto"/>
            <w:noWrap/>
            <w:vAlign w:val="bottom"/>
            <w:hideMark/>
          </w:tcPr>
          <w:p w14:paraId="5CE6B29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0.09</w:t>
            </w:r>
          </w:p>
        </w:tc>
      </w:tr>
      <w:tr w:rsidR="0049448B" w:rsidRPr="0049448B" w14:paraId="600D0C23" w14:textId="77777777" w:rsidTr="0049448B">
        <w:trPr>
          <w:trHeight w:val="220"/>
        </w:trPr>
        <w:tc>
          <w:tcPr>
            <w:tcW w:w="496" w:type="pct"/>
            <w:tcBorders>
              <w:top w:val="nil"/>
              <w:left w:val="nil"/>
              <w:bottom w:val="nil"/>
              <w:right w:val="nil"/>
            </w:tcBorders>
            <w:shd w:val="clear" w:color="auto" w:fill="auto"/>
            <w:noWrap/>
            <w:vAlign w:val="bottom"/>
            <w:hideMark/>
          </w:tcPr>
          <w:p w14:paraId="2FF0D208"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44B644EA"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IL10-3575T&gt;A (rs1800890)</w:t>
            </w:r>
          </w:p>
        </w:tc>
        <w:tc>
          <w:tcPr>
            <w:tcW w:w="637" w:type="pct"/>
            <w:tcBorders>
              <w:top w:val="nil"/>
              <w:left w:val="nil"/>
              <w:bottom w:val="nil"/>
              <w:right w:val="nil"/>
            </w:tcBorders>
            <w:shd w:val="clear" w:color="auto" w:fill="auto"/>
            <w:noWrap/>
            <w:vAlign w:val="bottom"/>
            <w:hideMark/>
          </w:tcPr>
          <w:p w14:paraId="1F7E8DD7"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5,914</w:t>
            </w:r>
          </w:p>
        </w:tc>
        <w:tc>
          <w:tcPr>
            <w:tcW w:w="694" w:type="pct"/>
            <w:tcBorders>
              <w:top w:val="nil"/>
              <w:left w:val="nil"/>
              <w:bottom w:val="nil"/>
              <w:right w:val="nil"/>
            </w:tcBorders>
            <w:shd w:val="clear" w:color="auto" w:fill="auto"/>
            <w:noWrap/>
            <w:vAlign w:val="bottom"/>
            <w:hideMark/>
          </w:tcPr>
          <w:p w14:paraId="551439DC"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1,125</w:t>
            </w:r>
          </w:p>
        </w:tc>
        <w:tc>
          <w:tcPr>
            <w:tcW w:w="582" w:type="pct"/>
            <w:tcBorders>
              <w:top w:val="nil"/>
              <w:left w:val="nil"/>
              <w:bottom w:val="nil"/>
              <w:right w:val="nil"/>
            </w:tcBorders>
            <w:shd w:val="clear" w:color="auto" w:fill="auto"/>
            <w:noWrap/>
            <w:vAlign w:val="bottom"/>
            <w:hideMark/>
          </w:tcPr>
          <w:p w14:paraId="03FC951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0.89</w:t>
            </w:r>
          </w:p>
        </w:tc>
        <w:tc>
          <w:tcPr>
            <w:tcW w:w="723" w:type="pct"/>
            <w:tcBorders>
              <w:top w:val="nil"/>
              <w:left w:val="nil"/>
              <w:bottom w:val="nil"/>
              <w:right w:val="nil"/>
            </w:tcBorders>
            <w:shd w:val="clear" w:color="auto" w:fill="auto"/>
            <w:noWrap/>
            <w:vAlign w:val="bottom"/>
            <w:hideMark/>
          </w:tcPr>
          <w:p w14:paraId="0BEFBFD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[0.51, 1.54]</w:t>
            </w:r>
          </w:p>
        </w:tc>
        <w:tc>
          <w:tcPr>
            <w:tcW w:w="459" w:type="pct"/>
            <w:tcBorders>
              <w:top w:val="nil"/>
              <w:left w:val="nil"/>
              <w:bottom w:val="nil"/>
              <w:right w:val="nil"/>
            </w:tcBorders>
            <w:shd w:val="clear" w:color="auto" w:fill="auto"/>
            <w:noWrap/>
            <w:vAlign w:val="bottom"/>
            <w:hideMark/>
          </w:tcPr>
          <w:p w14:paraId="079E541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0.34</w:t>
            </w:r>
          </w:p>
        </w:tc>
      </w:tr>
      <w:tr w:rsidR="0049448B" w:rsidRPr="0049448B" w14:paraId="7FDA4509" w14:textId="77777777" w:rsidTr="0049448B">
        <w:trPr>
          <w:trHeight w:val="220"/>
        </w:trPr>
        <w:tc>
          <w:tcPr>
            <w:tcW w:w="496" w:type="pct"/>
            <w:tcBorders>
              <w:top w:val="nil"/>
              <w:left w:val="nil"/>
              <w:bottom w:val="nil"/>
              <w:right w:val="nil"/>
            </w:tcBorders>
            <w:shd w:val="clear" w:color="auto" w:fill="auto"/>
            <w:noWrap/>
            <w:vAlign w:val="bottom"/>
            <w:hideMark/>
          </w:tcPr>
          <w:p w14:paraId="6F97785F"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20F1D6AA"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TNF-308G&gt;A (rs1800629)</w:t>
            </w:r>
          </w:p>
        </w:tc>
        <w:tc>
          <w:tcPr>
            <w:tcW w:w="637" w:type="pct"/>
            <w:tcBorders>
              <w:top w:val="nil"/>
              <w:left w:val="nil"/>
              <w:bottom w:val="nil"/>
              <w:right w:val="nil"/>
            </w:tcBorders>
            <w:shd w:val="clear" w:color="auto" w:fill="auto"/>
            <w:noWrap/>
            <w:vAlign w:val="bottom"/>
            <w:hideMark/>
          </w:tcPr>
          <w:p w14:paraId="78C4FEDD"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5,562</w:t>
            </w:r>
          </w:p>
        </w:tc>
        <w:tc>
          <w:tcPr>
            <w:tcW w:w="694" w:type="pct"/>
            <w:tcBorders>
              <w:top w:val="nil"/>
              <w:left w:val="nil"/>
              <w:bottom w:val="nil"/>
              <w:right w:val="nil"/>
            </w:tcBorders>
            <w:shd w:val="clear" w:color="auto" w:fill="auto"/>
            <w:noWrap/>
            <w:vAlign w:val="bottom"/>
            <w:hideMark/>
          </w:tcPr>
          <w:p w14:paraId="38724C96"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1,130</w:t>
            </w:r>
          </w:p>
        </w:tc>
        <w:tc>
          <w:tcPr>
            <w:tcW w:w="582" w:type="pct"/>
            <w:tcBorders>
              <w:top w:val="nil"/>
              <w:left w:val="nil"/>
              <w:bottom w:val="nil"/>
              <w:right w:val="nil"/>
            </w:tcBorders>
            <w:shd w:val="clear" w:color="auto" w:fill="auto"/>
            <w:noWrap/>
            <w:vAlign w:val="bottom"/>
            <w:hideMark/>
          </w:tcPr>
          <w:p w14:paraId="13F0EA5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0.91</w:t>
            </w:r>
          </w:p>
        </w:tc>
        <w:tc>
          <w:tcPr>
            <w:tcW w:w="723" w:type="pct"/>
            <w:tcBorders>
              <w:top w:val="nil"/>
              <w:left w:val="nil"/>
              <w:bottom w:val="nil"/>
              <w:right w:val="nil"/>
            </w:tcBorders>
            <w:shd w:val="clear" w:color="auto" w:fill="auto"/>
            <w:noWrap/>
            <w:vAlign w:val="bottom"/>
            <w:hideMark/>
          </w:tcPr>
          <w:p w14:paraId="1C5AC8E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[0.50, 1.65]</w:t>
            </w:r>
          </w:p>
        </w:tc>
        <w:tc>
          <w:tcPr>
            <w:tcW w:w="459" w:type="pct"/>
            <w:tcBorders>
              <w:top w:val="nil"/>
              <w:left w:val="nil"/>
              <w:bottom w:val="nil"/>
              <w:right w:val="nil"/>
            </w:tcBorders>
            <w:shd w:val="clear" w:color="auto" w:fill="auto"/>
            <w:noWrap/>
            <w:vAlign w:val="bottom"/>
            <w:hideMark/>
          </w:tcPr>
          <w:p w14:paraId="61D9E95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0.38</w:t>
            </w:r>
          </w:p>
        </w:tc>
      </w:tr>
      <w:tr w:rsidR="0049448B" w:rsidRPr="0049448B" w14:paraId="29EA049F" w14:textId="77777777" w:rsidTr="0049448B">
        <w:trPr>
          <w:trHeight w:val="220"/>
        </w:trPr>
        <w:tc>
          <w:tcPr>
            <w:tcW w:w="496" w:type="pct"/>
            <w:tcBorders>
              <w:top w:val="nil"/>
              <w:left w:val="nil"/>
              <w:bottom w:val="nil"/>
              <w:right w:val="nil"/>
            </w:tcBorders>
            <w:shd w:val="clear" w:color="auto" w:fill="auto"/>
            <w:noWrap/>
            <w:vAlign w:val="bottom"/>
            <w:hideMark/>
          </w:tcPr>
          <w:p w14:paraId="73976992"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2B9F742"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C&gt;A (rs6457327)</w:t>
            </w:r>
          </w:p>
        </w:tc>
        <w:tc>
          <w:tcPr>
            <w:tcW w:w="637" w:type="pct"/>
            <w:tcBorders>
              <w:top w:val="nil"/>
              <w:left w:val="nil"/>
              <w:bottom w:val="nil"/>
              <w:right w:val="nil"/>
            </w:tcBorders>
            <w:shd w:val="clear" w:color="auto" w:fill="auto"/>
            <w:noWrap/>
            <w:vAlign w:val="bottom"/>
            <w:hideMark/>
          </w:tcPr>
          <w:p w14:paraId="034F6424"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2,963</w:t>
            </w:r>
          </w:p>
        </w:tc>
        <w:tc>
          <w:tcPr>
            <w:tcW w:w="694" w:type="pct"/>
            <w:tcBorders>
              <w:top w:val="nil"/>
              <w:left w:val="nil"/>
              <w:bottom w:val="nil"/>
              <w:right w:val="nil"/>
            </w:tcBorders>
            <w:shd w:val="clear" w:color="auto" w:fill="auto"/>
            <w:noWrap/>
            <w:vAlign w:val="bottom"/>
            <w:hideMark/>
          </w:tcPr>
          <w:p w14:paraId="17C15F4B"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510</w:t>
            </w:r>
          </w:p>
        </w:tc>
        <w:tc>
          <w:tcPr>
            <w:tcW w:w="582" w:type="pct"/>
            <w:tcBorders>
              <w:top w:val="nil"/>
              <w:left w:val="nil"/>
              <w:bottom w:val="nil"/>
              <w:right w:val="nil"/>
            </w:tcBorders>
            <w:shd w:val="clear" w:color="auto" w:fill="auto"/>
            <w:noWrap/>
            <w:vAlign w:val="bottom"/>
            <w:hideMark/>
          </w:tcPr>
          <w:p w14:paraId="70718C2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1.65</w:t>
            </w:r>
          </w:p>
        </w:tc>
        <w:tc>
          <w:tcPr>
            <w:tcW w:w="723" w:type="pct"/>
            <w:tcBorders>
              <w:top w:val="nil"/>
              <w:left w:val="nil"/>
              <w:bottom w:val="nil"/>
              <w:right w:val="nil"/>
            </w:tcBorders>
            <w:shd w:val="clear" w:color="auto" w:fill="auto"/>
            <w:noWrap/>
            <w:vAlign w:val="bottom"/>
            <w:hideMark/>
          </w:tcPr>
          <w:p w14:paraId="4F1A7EB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[0.72, 3.79]</w:t>
            </w:r>
          </w:p>
        </w:tc>
        <w:tc>
          <w:tcPr>
            <w:tcW w:w="459" w:type="pct"/>
            <w:tcBorders>
              <w:top w:val="nil"/>
              <w:left w:val="nil"/>
              <w:bottom w:val="nil"/>
              <w:right w:val="nil"/>
            </w:tcBorders>
            <w:shd w:val="clear" w:color="auto" w:fill="auto"/>
            <w:noWrap/>
            <w:vAlign w:val="bottom"/>
            <w:hideMark/>
          </w:tcPr>
          <w:p w14:paraId="467C4ED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0.88</w:t>
            </w:r>
          </w:p>
        </w:tc>
      </w:tr>
      <w:tr w:rsidR="0049448B" w:rsidRPr="0049448B" w14:paraId="300CEF49" w14:textId="77777777" w:rsidTr="0049448B">
        <w:trPr>
          <w:trHeight w:val="220"/>
        </w:trPr>
        <w:tc>
          <w:tcPr>
            <w:tcW w:w="496" w:type="pct"/>
            <w:tcBorders>
              <w:top w:val="nil"/>
              <w:left w:val="nil"/>
              <w:bottom w:val="nil"/>
              <w:right w:val="nil"/>
            </w:tcBorders>
            <w:shd w:val="clear" w:color="auto" w:fill="auto"/>
            <w:noWrap/>
            <w:vAlign w:val="bottom"/>
            <w:hideMark/>
          </w:tcPr>
          <w:p w14:paraId="11C0122B"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085BD43"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T&gt;G (rs10484561)</w:t>
            </w:r>
          </w:p>
        </w:tc>
        <w:tc>
          <w:tcPr>
            <w:tcW w:w="637" w:type="pct"/>
            <w:tcBorders>
              <w:top w:val="nil"/>
              <w:left w:val="nil"/>
              <w:bottom w:val="nil"/>
              <w:right w:val="nil"/>
            </w:tcBorders>
            <w:shd w:val="clear" w:color="auto" w:fill="auto"/>
            <w:noWrap/>
            <w:vAlign w:val="bottom"/>
            <w:hideMark/>
          </w:tcPr>
          <w:p w14:paraId="75BA6B4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3,989</w:t>
            </w:r>
          </w:p>
        </w:tc>
        <w:tc>
          <w:tcPr>
            <w:tcW w:w="694" w:type="pct"/>
            <w:tcBorders>
              <w:top w:val="nil"/>
              <w:left w:val="nil"/>
              <w:bottom w:val="nil"/>
              <w:right w:val="nil"/>
            </w:tcBorders>
            <w:shd w:val="clear" w:color="auto" w:fill="auto"/>
            <w:noWrap/>
            <w:vAlign w:val="bottom"/>
            <w:hideMark/>
          </w:tcPr>
          <w:p w14:paraId="0BB3A9D7"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696</w:t>
            </w:r>
          </w:p>
        </w:tc>
        <w:tc>
          <w:tcPr>
            <w:tcW w:w="582" w:type="pct"/>
            <w:tcBorders>
              <w:top w:val="nil"/>
              <w:left w:val="nil"/>
              <w:bottom w:val="nil"/>
              <w:right w:val="nil"/>
            </w:tcBorders>
            <w:shd w:val="clear" w:color="auto" w:fill="auto"/>
            <w:noWrap/>
            <w:vAlign w:val="bottom"/>
            <w:hideMark/>
          </w:tcPr>
          <w:p w14:paraId="0687659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0.86</w:t>
            </w:r>
          </w:p>
        </w:tc>
        <w:tc>
          <w:tcPr>
            <w:tcW w:w="723" w:type="pct"/>
            <w:tcBorders>
              <w:top w:val="nil"/>
              <w:left w:val="nil"/>
              <w:bottom w:val="nil"/>
              <w:right w:val="nil"/>
            </w:tcBorders>
            <w:shd w:val="clear" w:color="auto" w:fill="auto"/>
            <w:noWrap/>
            <w:vAlign w:val="bottom"/>
            <w:hideMark/>
          </w:tcPr>
          <w:p w14:paraId="1350119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[0.46, 1.62]</w:t>
            </w:r>
          </w:p>
        </w:tc>
        <w:tc>
          <w:tcPr>
            <w:tcW w:w="459" w:type="pct"/>
            <w:tcBorders>
              <w:top w:val="nil"/>
              <w:left w:val="nil"/>
              <w:bottom w:val="nil"/>
              <w:right w:val="nil"/>
            </w:tcBorders>
            <w:shd w:val="clear" w:color="auto" w:fill="auto"/>
            <w:noWrap/>
            <w:vAlign w:val="bottom"/>
            <w:hideMark/>
          </w:tcPr>
          <w:p w14:paraId="01BFA44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0.32</w:t>
            </w:r>
          </w:p>
        </w:tc>
      </w:tr>
      <w:tr w:rsidR="0049448B" w:rsidRPr="0049448B" w14:paraId="6134DB1E" w14:textId="77777777" w:rsidTr="0049448B">
        <w:trPr>
          <w:trHeight w:val="220"/>
        </w:trPr>
        <w:tc>
          <w:tcPr>
            <w:tcW w:w="496" w:type="pct"/>
            <w:tcBorders>
              <w:top w:val="nil"/>
              <w:left w:val="nil"/>
              <w:bottom w:val="nil"/>
              <w:right w:val="nil"/>
            </w:tcBorders>
            <w:shd w:val="clear" w:color="auto" w:fill="auto"/>
            <w:noWrap/>
            <w:vAlign w:val="bottom"/>
            <w:hideMark/>
          </w:tcPr>
          <w:p w14:paraId="7B449AA9"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1EE3FC1" w14:textId="77777777" w:rsidR="0049448B" w:rsidRPr="0049448B" w:rsidRDefault="0049448B" w:rsidP="0049448B">
            <w:pPr>
              <w:rPr>
                <w:rFonts w:ascii="Times New Roman" w:eastAsia="Times New Roman" w:hAnsi="Times New Roman" w:cs="Times New Roman"/>
                <w:sz w:val="20"/>
                <w:szCs w:val="20"/>
                <w:lang w:eastAsia="en-US"/>
              </w:rPr>
            </w:pPr>
          </w:p>
        </w:tc>
        <w:tc>
          <w:tcPr>
            <w:tcW w:w="637" w:type="pct"/>
            <w:tcBorders>
              <w:top w:val="nil"/>
              <w:left w:val="nil"/>
              <w:bottom w:val="nil"/>
              <w:right w:val="nil"/>
            </w:tcBorders>
            <w:shd w:val="clear" w:color="auto" w:fill="auto"/>
            <w:noWrap/>
            <w:vAlign w:val="bottom"/>
            <w:hideMark/>
          </w:tcPr>
          <w:p w14:paraId="7C109A6A" w14:textId="77777777" w:rsidR="0049448B" w:rsidRPr="0049448B" w:rsidRDefault="0049448B" w:rsidP="0049448B">
            <w:pPr>
              <w:rPr>
                <w:rFonts w:ascii="Times New Roman" w:eastAsia="Times New Roman" w:hAnsi="Times New Roman" w:cs="Times New Roman"/>
                <w:sz w:val="20"/>
                <w:szCs w:val="20"/>
                <w:lang w:eastAsia="en-US"/>
              </w:rPr>
            </w:pPr>
          </w:p>
        </w:tc>
        <w:tc>
          <w:tcPr>
            <w:tcW w:w="694" w:type="pct"/>
            <w:tcBorders>
              <w:top w:val="nil"/>
              <w:left w:val="nil"/>
              <w:bottom w:val="nil"/>
              <w:right w:val="nil"/>
            </w:tcBorders>
            <w:shd w:val="clear" w:color="auto" w:fill="auto"/>
            <w:noWrap/>
            <w:vAlign w:val="bottom"/>
            <w:hideMark/>
          </w:tcPr>
          <w:p w14:paraId="2400C367"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582" w:type="pct"/>
            <w:tcBorders>
              <w:top w:val="nil"/>
              <w:left w:val="nil"/>
              <w:bottom w:val="nil"/>
              <w:right w:val="nil"/>
            </w:tcBorders>
            <w:shd w:val="clear" w:color="auto" w:fill="auto"/>
            <w:noWrap/>
            <w:vAlign w:val="bottom"/>
            <w:hideMark/>
          </w:tcPr>
          <w:p w14:paraId="4C5519AA"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723" w:type="pct"/>
            <w:tcBorders>
              <w:top w:val="nil"/>
              <w:left w:val="nil"/>
              <w:bottom w:val="nil"/>
              <w:right w:val="nil"/>
            </w:tcBorders>
            <w:shd w:val="clear" w:color="auto" w:fill="auto"/>
            <w:noWrap/>
            <w:vAlign w:val="bottom"/>
            <w:hideMark/>
          </w:tcPr>
          <w:p w14:paraId="77C66107"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459" w:type="pct"/>
            <w:tcBorders>
              <w:top w:val="nil"/>
              <w:left w:val="nil"/>
              <w:bottom w:val="nil"/>
              <w:right w:val="nil"/>
            </w:tcBorders>
            <w:shd w:val="clear" w:color="auto" w:fill="auto"/>
            <w:noWrap/>
            <w:vAlign w:val="bottom"/>
            <w:hideMark/>
          </w:tcPr>
          <w:p w14:paraId="10853452" w14:textId="77777777" w:rsidR="0049448B" w:rsidRPr="0049448B" w:rsidRDefault="0049448B" w:rsidP="0049448B">
            <w:pPr>
              <w:jc w:val="right"/>
              <w:rPr>
                <w:rFonts w:ascii="Times New Roman" w:eastAsia="Times New Roman" w:hAnsi="Times New Roman" w:cs="Times New Roman"/>
                <w:sz w:val="20"/>
                <w:szCs w:val="20"/>
                <w:lang w:eastAsia="en-US"/>
              </w:rPr>
            </w:pPr>
          </w:p>
        </w:tc>
      </w:tr>
      <w:tr w:rsidR="0049448B" w:rsidRPr="0049448B" w14:paraId="6D4034EA" w14:textId="77777777" w:rsidTr="0049448B">
        <w:trPr>
          <w:trHeight w:val="260"/>
        </w:trPr>
        <w:tc>
          <w:tcPr>
            <w:tcW w:w="496" w:type="pct"/>
            <w:tcBorders>
              <w:top w:val="nil"/>
              <w:left w:val="nil"/>
              <w:bottom w:val="nil"/>
              <w:right w:val="nil"/>
            </w:tcBorders>
            <w:shd w:val="clear" w:color="auto" w:fill="auto"/>
            <w:noWrap/>
            <w:vAlign w:val="bottom"/>
            <w:hideMark/>
          </w:tcPr>
          <w:p w14:paraId="43C709FB"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MCL</w:t>
            </w:r>
          </w:p>
        </w:tc>
        <w:tc>
          <w:tcPr>
            <w:tcW w:w="1408" w:type="pct"/>
            <w:tcBorders>
              <w:top w:val="nil"/>
              <w:left w:val="nil"/>
              <w:bottom w:val="nil"/>
              <w:right w:val="nil"/>
            </w:tcBorders>
            <w:shd w:val="clear" w:color="auto" w:fill="auto"/>
            <w:noWrap/>
            <w:vAlign w:val="bottom"/>
            <w:hideMark/>
          </w:tcPr>
          <w:p w14:paraId="45D6B43B"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IL1A-889C&gt;T (rs1800587)</w:t>
            </w:r>
          </w:p>
        </w:tc>
        <w:tc>
          <w:tcPr>
            <w:tcW w:w="637" w:type="pct"/>
            <w:tcBorders>
              <w:top w:val="nil"/>
              <w:left w:val="nil"/>
              <w:bottom w:val="nil"/>
              <w:right w:val="nil"/>
            </w:tcBorders>
            <w:shd w:val="clear" w:color="auto" w:fill="auto"/>
            <w:noWrap/>
            <w:vAlign w:val="bottom"/>
            <w:hideMark/>
          </w:tcPr>
          <w:p w14:paraId="58CD114D"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2,317</w:t>
            </w:r>
          </w:p>
        </w:tc>
        <w:tc>
          <w:tcPr>
            <w:tcW w:w="694" w:type="pct"/>
            <w:tcBorders>
              <w:top w:val="nil"/>
              <w:left w:val="nil"/>
              <w:bottom w:val="nil"/>
              <w:right w:val="nil"/>
            </w:tcBorders>
            <w:shd w:val="clear" w:color="auto" w:fill="auto"/>
            <w:noWrap/>
            <w:vAlign w:val="bottom"/>
            <w:hideMark/>
          </w:tcPr>
          <w:p w14:paraId="4E1D96F5"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103</w:t>
            </w:r>
          </w:p>
        </w:tc>
        <w:tc>
          <w:tcPr>
            <w:tcW w:w="582" w:type="pct"/>
            <w:tcBorders>
              <w:top w:val="nil"/>
              <w:left w:val="nil"/>
              <w:bottom w:val="nil"/>
              <w:right w:val="nil"/>
            </w:tcBorders>
            <w:shd w:val="clear" w:color="auto" w:fill="auto"/>
            <w:noWrap/>
            <w:vAlign w:val="bottom"/>
            <w:hideMark/>
          </w:tcPr>
          <w:p w14:paraId="603502A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2.24</w:t>
            </w:r>
          </w:p>
        </w:tc>
        <w:tc>
          <w:tcPr>
            <w:tcW w:w="723" w:type="pct"/>
            <w:tcBorders>
              <w:top w:val="nil"/>
              <w:left w:val="nil"/>
              <w:bottom w:val="nil"/>
              <w:right w:val="nil"/>
            </w:tcBorders>
            <w:shd w:val="clear" w:color="auto" w:fill="auto"/>
            <w:noWrap/>
            <w:vAlign w:val="bottom"/>
            <w:hideMark/>
          </w:tcPr>
          <w:p w14:paraId="6CB2BB3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[0.48, 10.33]</w:t>
            </w:r>
          </w:p>
        </w:tc>
        <w:tc>
          <w:tcPr>
            <w:tcW w:w="459" w:type="pct"/>
            <w:tcBorders>
              <w:top w:val="nil"/>
              <w:left w:val="nil"/>
              <w:bottom w:val="nil"/>
              <w:right w:val="nil"/>
            </w:tcBorders>
            <w:shd w:val="clear" w:color="auto" w:fill="auto"/>
            <w:noWrap/>
            <w:vAlign w:val="bottom"/>
            <w:hideMark/>
          </w:tcPr>
          <w:p w14:paraId="1FC5404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0.85</w:t>
            </w:r>
          </w:p>
        </w:tc>
      </w:tr>
      <w:tr w:rsidR="0049448B" w:rsidRPr="0049448B" w14:paraId="6E5245C2" w14:textId="77777777" w:rsidTr="0049448B">
        <w:trPr>
          <w:trHeight w:val="260"/>
        </w:trPr>
        <w:tc>
          <w:tcPr>
            <w:tcW w:w="496" w:type="pct"/>
            <w:tcBorders>
              <w:top w:val="nil"/>
              <w:left w:val="nil"/>
              <w:bottom w:val="nil"/>
              <w:right w:val="nil"/>
            </w:tcBorders>
            <w:shd w:val="clear" w:color="auto" w:fill="auto"/>
            <w:noWrap/>
            <w:vAlign w:val="bottom"/>
            <w:hideMark/>
          </w:tcPr>
          <w:p w14:paraId="533AF3A3"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7A18D28"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IL1B-511C&gt;T (rs16944)</w:t>
            </w:r>
          </w:p>
        </w:tc>
        <w:tc>
          <w:tcPr>
            <w:tcW w:w="637" w:type="pct"/>
            <w:tcBorders>
              <w:top w:val="nil"/>
              <w:left w:val="nil"/>
              <w:bottom w:val="nil"/>
              <w:right w:val="nil"/>
            </w:tcBorders>
            <w:shd w:val="clear" w:color="auto" w:fill="auto"/>
            <w:noWrap/>
            <w:vAlign w:val="bottom"/>
            <w:hideMark/>
          </w:tcPr>
          <w:p w14:paraId="2BB10250"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1,280</w:t>
            </w:r>
          </w:p>
        </w:tc>
        <w:tc>
          <w:tcPr>
            <w:tcW w:w="694" w:type="pct"/>
            <w:tcBorders>
              <w:top w:val="nil"/>
              <w:left w:val="nil"/>
              <w:bottom w:val="nil"/>
              <w:right w:val="nil"/>
            </w:tcBorders>
            <w:shd w:val="clear" w:color="auto" w:fill="auto"/>
            <w:noWrap/>
            <w:vAlign w:val="bottom"/>
            <w:hideMark/>
          </w:tcPr>
          <w:p w14:paraId="40B2752E"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61</w:t>
            </w:r>
          </w:p>
        </w:tc>
        <w:tc>
          <w:tcPr>
            <w:tcW w:w="582" w:type="pct"/>
            <w:tcBorders>
              <w:top w:val="nil"/>
              <w:left w:val="nil"/>
              <w:bottom w:val="nil"/>
              <w:right w:val="nil"/>
            </w:tcBorders>
            <w:shd w:val="clear" w:color="auto" w:fill="auto"/>
            <w:noWrap/>
            <w:vAlign w:val="bottom"/>
            <w:hideMark/>
          </w:tcPr>
          <w:p w14:paraId="19462F7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0.25</w:t>
            </w:r>
          </w:p>
        </w:tc>
        <w:tc>
          <w:tcPr>
            <w:tcW w:w="723" w:type="pct"/>
            <w:tcBorders>
              <w:top w:val="nil"/>
              <w:left w:val="nil"/>
              <w:bottom w:val="nil"/>
              <w:right w:val="nil"/>
            </w:tcBorders>
            <w:shd w:val="clear" w:color="auto" w:fill="auto"/>
            <w:noWrap/>
            <w:vAlign w:val="bottom"/>
            <w:hideMark/>
          </w:tcPr>
          <w:p w14:paraId="3496D1B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[0.02, 3.07]</w:t>
            </w:r>
          </w:p>
        </w:tc>
        <w:tc>
          <w:tcPr>
            <w:tcW w:w="459" w:type="pct"/>
            <w:tcBorders>
              <w:top w:val="nil"/>
              <w:left w:val="nil"/>
              <w:bottom w:val="nil"/>
              <w:right w:val="nil"/>
            </w:tcBorders>
            <w:shd w:val="clear" w:color="auto" w:fill="auto"/>
            <w:noWrap/>
            <w:vAlign w:val="bottom"/>
            <w:hideMark/>
          </w:tcPr>
          <w:p w14:paraId="18F79D1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0.14</w:t>
            </w:r>
          </w:p>
        </w:tc>
      </w:tr>
      <w:tr w:rsidR="0049448B" w:rsidRPr="0049448B" w14:paraId="59559E84" w14:textId="77777777" w:rsidTr="0049448B">
        <w:trPr>
          <w:trHeight w:val="260"/>
        </w:trPr>
        <w:tc>
          <w:tcPr>
            <w:tcW w:w="496" w:type="pct"/>
            <w:tcBorders>
              <w:top w:val="nil"/>
              <w:left w:val="nil"/>
              <w:bottom w:val="nil"/>
              <w:right w:val="nil"/>
            </w:tcBorders>
            <w:shd w:val="clear" w:color="auto" w:fill="auto"/>
            <w:noWrap/>
            <w:vAlign w:val="bottom"/>
            <w:hideMark/>
          </w:tcPr>
          <w:p w14:paraId="654B0B7A"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0B0425A9" w14:textId="5BEFE8BA"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IL1B-</w:t>
            </w:r>
            <w:r w:rsidR="00651E47">
              <w:rPr>
                <w:rFonts w:eastAsia="Times New Roman" w:cs="Arial"/>
                <w:color w:val="000000"/>
                <w:sz w:val="16"/>
                <w:szCs w:val="16"/>
                <w:lang w:eastAsia="en-US"/>
              </w:rPr>
              <w:t>31T&gt;C</w:t>
            </w:r>
            <w:r w:rsidRPr="0049448B">
              <w:rPr>
                <w:rFonts w:eastAsia="Times New Roman" w:cs="Arial"/>
                <w:color w:val="000000"/>
                <w:sz w:val="16"/>
                <w:szCs w:val="16"/>
                <w:lang w:eastAsia="en-US"/>
              </w:rPr>
              <w:t xml:space="preserve"> (rs1143627)</w:t>
            </w:r>
          </w:p>
        </w:tc>
        <w:tc>
          <w:tcPr>
            <w:tcW w:w="637" w:type="pct"/>
            <w:tcBorders>
              <w:top w:val="nil"/>
              <w:left w:val="nil"/>
              <w:bottom w:val="nil"/>
              <w:right w:val="nil"/>
            </w:tcBorders>
            <w:shd w:val="clear" w:color="auto" w:fill="auto"/>
            <w:noWrap/>
            <w:vAlign w:val="bottom"/>
            <w:hideMark/>
          </w:tcPr>
          <w:p w14:paraId="39256BC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3,715</w:t>
            </w:r>
          </w:p>
        </w:tc>
        <w:tc>
          <w:tcPr>
            <w:tcW w:w="694" w:type="pct"/>
            <w:tcBorders>
              <w:top w:val="nil"/>
              <w:left w:val="nil"/>
              <w:bottom w:val="nil"/>
              <w:right w:val="nil"/>
            </w:tcBorders>
            <w:shd w:val="clear" w:color="auto" w:fill="auto"/>
            <w:noWrap/>
            <w:vAlign w:val="bottom"/>
            <w:hideMark/>
          </w:tcPr>
          <w:p w14:paraId="6BA5AC81"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146</w:t>
            </w:r>
          </w:p>
        </w:tc>
        <w:tc>
          <w:tcPr>
            <w:tcW w:w="582" w:type="pct"/>
            <w:tcBorders>
              <w:top w:val="nil"/>
              <w:left w:val="nil"/>
              <w:bottom w:val="nil"/>
              <w:right w:val="nil"/>
            </w:tcBorders>
            <w:shd w:val="clear" w:color="auto" w:fill="auto"/>
            <w:noWrap/>
            <w:vAlign w:val="bottom"/>
            <w:hideMark/>
          </w:tcPr>
          <w:p w14:paraId="4DD7B59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1.35</w:t>
            </w:r>
          </w:p>
        </w:tc>
        <w:tc>
          <w:tcPr>
            <w:tcW w:w="723" w:type="pct"/>
            <w:tcBorders>
              <w:top w:val="nil"/>
              <w:left w:val="nil"/>
              <w:bottom w:val="nil"/>
              <w:right w:val="nil"/>
            </w:tcBorders>
            <w:shd w:val="clear" w:color="auto" w:fill="auto"/>
            <w:noWrap/>
            <w:vAlign w:val="bottom"/>
            <w:hideMark/>
          </w:tcPr>
          <w:p w14:paraId="675D5A4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[0.33, 5.57]</w:t>
            </w:r>
          </w:p>
        </w:tc>
        <w:tc>
          <w:tcPr>
            <w:tcW w:w="459" w:type="pct"/>
            <w:tcBorders>
              <w:top w:val="nil"/>
              <w:left w:val="nil"/>
              <w:bottom w:val="nil"/>
              <w:right w:val="nil"/>
            </w:tcBorders>
            <w:shd w:val="clear" w:color="auto" w:fill="auto"/>
            <w:noWrap/>
            <w:vAlign w:val="bottom"/>
            <w:hideMark/>
          </w:tcPr>
          <w:p w14:paraId="035E725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0.66</w:t>
            </w:r>
          </w:p>
        </w:tc>
      </w:tr>
      <w:tr w:rsidR="0049448B" w:rsidRPr="0049448B" w14:paraId="494DEA85" w14:textId="77777777" w:rsidTr="0049448B">
        <w:trPr>
          <w:trHeight w:val="260"/>
        </w:trPr>
        <w:tc>
          <w:tcPr>
            <w:tcW w:w="496" w:type="pct"/>
            <w:tcBorders>
              <w:top w:val="nil"/>
              <w:left w:val="nil"/>
              <w:bottom w:val="nil"/>
              <w:right w:val="nil"/>
            </w:tcBorders>
            <w:shd w:val="clear" w:color="auto" w:fill="auto"/>
            <w:noWrap/>
            <w:vAlign w:val="bottom"/>
            <w:hideMark/>
          </w:tcPr>
          <w:p w14:paraId="44AF1428"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0BA51315"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IL1RN-9589A&gt;T (rs454078)</w:t>
            </w:r>
          </w:p>
        </w:tc>
        <w:tc>
          <w:tcPr>
            <w:tcW w:w="637" w:type="pct"/>
            <w:tcBorders>
              <w:top w:val="nil"/>
              <w:left w:val="nil"/>
              <w:bottom w:val="nil"/>
              <w:right w:val="nil"/>
            </w:tcBorders>
            <w:shd w:val="clear" w:color="auto" w:fill="auto"/>
            <w:noWrap/>
            <w:vAlign w:val="bottom"/>
            <w:hideMark/>
          </w:tcPr>
          <w:p w14:paraId="56D9CA38"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2,319</w:t>
            </w:r>
          </w:p>
        </w:tc>
        <w:tc>
          <w:tcPr>
            <w:tcW w:w="694" w:type="pct"/>
            <w:tcBorders>
              <w:top w:val="nil"/>
              <w:left w:val="nil"/>
              <w:bottom w:val="nil"/>
              <w:right w:val="nil"/>
            </w:tcBorders>
            <w:shd w:val="clear" w:color="auto" w:fill="auto"/>
            <w:noWrap/>
            <w:vAlign w:val="bottom"/>
            <w:hideMark/>
          </w:tcPr>
          <w:p w14:paraId="7C2FAC05"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102</w:t>
            </w:r>
          </w:p>
        </w:tc>
        <w:tc>
          <w:tcPr>
            <w:tcW w:w="582" w:type="pct"/>
            <w:tcBorders>
              <w:top w:val="nil"/>
              <w:left w:val="nil"/>
              <w:bottom w:val="nil"/>
              <w:right w:val="nil"/>
            </w:tcBorders>
            <w:shd w:val="clear" w:color="auto" w:fill="auto"/>
            <w:noWrap/>
            <w:vAlign w:val="bottom"/>
            <w:hideMark/>
          </w:tcPr>
          <w:p w14:paraId="4BE7285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1.24</w:t>
            </w:r>
          </w:p>
        </w:tc>
        <w:tc>
          <w:tcPr>
            <w:tcW w:w="723" w:type="pct"/>
            <w:tcBorders>
              <w:top w:val="nil"/>
              <w:left w:val="nil"/>
              <w:bottom w:val="nil"/>
              <w:right w:val="nil"/>
            </w:tcBorders>
            <w:shd w:val="clear" w:color="auto" w:fill="auto"/>
            <w:noWrap/>
            <w:vAlign w:val="bottom"/>
            <w:hideMark/>
          </w:tcPr>
          <w:p w14:paraId="7E025F7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[0.28, 5.53]</w:t>
            </w:r>
          </w:p>
        </w:tc>
        <w:tc>
          <w:tcPr>
            <w:tcW w:w="459" w:type="pct"/>
            <w:tcBorders>
              <w:top w:val="nil"/>
              <w:left w:val="nil"/>
              <w:bottom w:val="nil"/>
              <w:right w:val="nil"/>
            </w:tcBorders>
            <w:shd w:val="clear" w:color="auto" w:fill="auto"/>
            <w:noWrap/>
            <w:vAlign w:val="bottom"/>
            <w:hideMark/>
          </w:tcPr>
          <w:p w14:paraId="3C16948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0.61</w:t>
            </w:r>
          </w:p>
        </w:tc>
      </w:tr>
      <w:tr w:rsidR="0049448B" w:rsidRPr="0049448B" w14:paraId="302E103B" w14:textId="77777777" w:rsidTr="0049448B">
        <w:trPr>
          <w:trHeight w:val="260"/>
        </w:trPr>
        <w:tc>
          <w:tcPr>
            <w:tcW w:w="496" w:type="pct"/>
            <w:tcBorders>
              <w:top w:val="nil"/>
              <w:left w:val="nil"/>
              <w:bottom w:val="nil"/>
              <w:right w:val="nil"/>
            </w:tcBorders>
            <w:shd w:val="clear" w:color="auto" w:fill="auto"/>
            <w:noWrap/>
            <w:vAlign w:val="bottom"/>
            <w:hideMark/>
          </w:tcPr>
          <w:p w14:paraId="4D2ACF7A"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7E664904"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IL2–384T&gt;G (rs2069762)</w:t>
            </w:r>
          </w:p>
        </w:tc>
        <w:tc>
          <w:tcPr>
            <w:tcW w:w="637" w:type="pct"/>
            <w:tcBorders>
              <w:top w:val="nil"/>
              <w:left w:val="nil"/>
              <w:bottom w:val="nil"/>
              <w:right w:val="nil"/>
            </w:tcBorders>
            <w:shd w:val="clear" w:color="auto" w:fill="auto"/>
            <w:noWrap/>
            <w:vAlign w:val="bottom"/>
            <w:hideMark/>
          </w:tcPr>
          <w:p w14:paraId="350C2C85"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2,320</w:t>
            </w:r>
          </w:p>
        </w:tc>
        <w:tc>
          <w:tcPr>
            <w:tcW w:w="694" w:type="pct"/>
            <w:tcBorders>
              <w:top w:val="nil"/>
              <w:left w:val="nil"/>
              <w:bottom w:val="nil"/>
              <w:right w:val="nil"/>
            </w:tcBorders>
            <w:shd w:val="clear" w:color="auto" w:fill="auto"/>
            <w:noWrap/>
            <w:vAlign w:val="bottom"/>
            <w:hideMark/>
          </w:tcPr>
          <w:p w14:paraId="2F14ACC7"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103</w:t>
            </w:r>
          </w:p>
        </w:tc>
        <w:tc>
          <w:tcPr>
            <w:tcW w:w="582" w:type="pct"/>
            <w:tcBorders>
              <w:top w:val="nil"/>
              <w:left w:val="nil"/>
              <w:bottom w:val="nil"/>
              <w:right w:val="nil"/>
            </w:tcBorders>
            <w:shd w:val="clear" w:color="auto" w:fill="auto"/>
            <w:noWrap/>
            <w:vAlign w:val="bottom"/>
            <w:hideMark/>
          </w:tcPr>
          <w:p w14:paraId="47352C8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0.74</w:t>
            </w:r>
          </w:p>
        </w:tc>
        <w:tc>
          <w:tcPr>
            <w:tcW w:w="723" w:type="pct"/>
            <w:tcBorders>
              <w:top w:val="nil"/>
              <w:left w:val="nil"/>
              <w:bottom w:val="nil"/>
              <w:right w:val="nil"/>
            </w:tcBorders>
            <w:shd w:val="clear" w:color="auto" w:fill="auto"/>
            <w:noWrap/>
            <w:vAlign w:val="bottom"/>
            <w:hideMark/>
          </w:tcPr>
          <w:p w14:paraId="5DFB0A6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[0.16, 3.43]</w:t>
            </w:r>
          </w:p>
        </w:tc>
        <w:tc>
          <w:tcPr>
            <w:tcW w:w="459" w:type="pct"/>
            <w:tcBorders>
              <w:top w:val="nil"/>
              <w:left w:val="nil"/>
              <w:bottom w:val="nil"/>
              <w:right w:val="nil"/>
            </w:tcBorders>
            <w:shd w:val="clear" w:color="auto" w:fill="auto"/>
            <w:noWrap/>
            <w:vAlign w:val="bottom"/>
            <w:hideMark/>
          </w:tcPr>
          <w:p w14:paraId="02CA911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0.35</w:t>
            </w:r>
          </w:p>
        </w:tc>
      </w:tr>
      <w:tr w:rsidR="0049448B" w:rsidRPr="0049448B" w14:paraId="64D9CAC5" w14:textId="77777777" w:rsidTr="0049448B">
        <w:trPr>
          <w:trHeight w:val="260"/>
        </w:trPr>
        <w:tc>
          <w:tcPr>
            <w:tcW w:w="496" w:type="pct"/>
            <w:tcBorders>
              <w:top w:val="nil"/>
              <w:left w:val="nil"/>
              <w:bottom w:val="nil"/>
              <w:right w:val="nil"/>
            </w:tcBorders>
            <w:shd w:val="clear" w:color="auto" w:fill="auto"/>
            <w:noWrap/>
            <w:vAlign w:val="bottom"/>
            <w:hideMark/>
          </w:tcPr>
          <w:p w14:paraId="7231633A"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6BB896F6"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IL6-174G&gt;C (rs1800795)</w:t>
            </w:r>
          </w:p>
        </w:tc>
        <w:tc>
          <w:tcPr>
            <w:tcW w:w="637" w:type="pct"/>
            <w:tcBorders>
              <w:top w:val="nil"/>
              <w:left w:val="nil"/>
              <w:bottom w:val="nil"/>
              <w:right w:val="nil"/>
            </w:tcBorders>
            <w:shd w:val="clear" w:color="auto" w:fill="auto"/>
            <w:noWrap/>
            <w:vAlign w:val="bottom"/>
            <w:hideMark/>
          </w:tcPr>
          <w:p w14:paraId="238454FA"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2,347</w:t>
            </w:r>
          </w:p>
        </w:tc>
        <w:tc>
          <w:tcPr>
            <w:tcW w:w="694" w:type="pct"/>
            <w:tcBorders>
              <w:top w:val="nil"/>
              <w:left w:val="nil"/>
              <w:bottom w:val="nil"/>
              <w:right w:val="nil"/>
            </w:tcBorders>
            <w:shd w:val="clear" w:color="auto" w:fill="auto"/>
            <w:noWrap/>
            <w:vAlign w:val="bottom"/>
            <w:hideMark/>
          </w:tcPr>
          <w:p w14:paraId="26BCCD2B"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105</w:t>
            </w:r>
          </w:p>
        </w:tc>
        <w:tc>
          <w:tcPr>
            <w:tcW w:w="582" w:type="pct"/>
            <w:tcBorders>
              <w:top w:val="nil"/>
              <w:left w:val="nil"/>
              <w:bottom w:val="nil"/>
              <w:right w:val="nil"/>
            </w:tcBorders>
            <w:shd w:val="clear" w:color="auto" w:fill="auto"/>
            <w:noWrap/>
            <w:vAlign w:val="bottom"/>
            <w:hideMark/>
          </w:tcPr>
          <w:p w14:paraId="3417B60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0.28</w:t>
            </w:r>
          </w:p>
        </w:tc>
        <w:tc>
          <w:tcPr>
            <w:tcW w:w="723" w:type="pct"/>
            <w:tcBorders>
              <w:top w:val="nil"/>
              <w:left w:val="nil"/>
              <w:bottom w:val="nil"/>
              <w:right w:val="nil"/>
            </w:tcBorders>
            <w:shd w:val="clear" w:color="auto" w:fill="auto"/>
            <w:noWrap/>
            <w:vAlign w:val="bottom"/>
            <w:hideMark/>
          </w:tcPr>
          <w:p w14:paraId="0CADED8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[0.06, 1.24]</w:t>
            </w:r>
          </w:p>
        </w:tc>
        <w:tc>
          <w:tcPr>
            <w:tcW w:w="459" w:type="pct"/>
            <w:tcBorders>
              <w:top w:val="nil"/>
              <w:left w:val="nil"/>
              <w:bottom w:val="nil"/>
              <w:right w:val="nil"/>
            </w:tcBorders>
            <w:shd w:val="clear" w:color="auto" w:fill="auto"/>
            <w:noWrap/>
            <w:vAlign w:val="bottom"/>
            <w:hideMark/>
          </w:tcPr>
          <w:p w14:paraId="077D16A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0.05</w:t>
            </w:r>
          </w:p>
        </w:tc>
      </w:tr>
      <w:tr w:rsidR="0049448B" w:rsidRPr="0049448B" w14:paraId="45C8BFD3" w14:textId="77777777" w:rsidTr="0049448B">
        <w:trPr>
          <w:trHeight w:val="260"/>
        </w:trPr>
        <w:tc>
          <w:tcPr>
            <w:tcW w:w="496" w:type="pct"/>
            <w:tcBorders>
              <w:top w:val="nil"/>
              <w:left w:val="nil"/>
              <w:bottom w:val="nil"/>
              <w:right w:val="nil"/>
            </w:tcBorders>
            <w:shd w:val="clear" w:color="auto" w:fill="auto"/>
            <w:noWrap/>
            <w:vAlign w:val="bottom"/>
            <w:hideMark/>
          </w:tcPr>
          <w:p w14:paraId="1244CED2"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74BF0D4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IL6-597G&gt;A (rs1800797)</w:t>
            </w:r>
          </w:p>
        </w:tc>
        <w:tc>
          <w:tcPr>
            <w:tcW w:w="637" w:type="pct"/>
            <w:tcBorders>
              <w:top w:val="nil"/>
              <w:left w:val="nil"/>
              <w:bottom w:val="nil"/>
              <w:right w:val="nil"/>
            </w:tcBorders>
            <w:shd w:val="clear" w:color="auto" w:fill="auto"/>
            <w:noWrap/>
            <w:vAlign w:val="bottom"/>
            <w:hideMark/>
          </w:tcPr>
          <w:p w14:paraId="606E39F5"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3,852</w:t>
            </w:r>
          </w:p>
        </w:tc>
        <w:tc>
          <w:tcPr>
            <w:tcW w:w="694" w:type="pct"/>
            <w:tcBorders>
              <w:top w:val="nil"/>
              <w:left w:val="nil"/>
              <w:bottom w:val="nil"/>
              <w:right w:val="nil"/>
            </w:tcBorders>
            <w:shd w:val="clear" w:color="auto" w:fill="auto"/>
            <w:noWrap/>
            <w:vAlign w:val="bottom"/>
            <w:hideMark/>
          </w:tcPr>
          <w:p w14:paraId="7FB256EC"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159</w:t>
            </w:r>
          </w:p>
        </w:tc>
        <w:tc>
          <w:tcPr>
            <w:tcW w:w="582" w:type="pct"/>
            <w:tcBorders>
              <w:top w:val="nil"/>
              <w:left w:val="nil"/>
              <w:bottom w:val="nil"/>
              <w:right w:val="nil"/>
            </w:tcBorders>
            <w:shd w:val="clear" w:color="auto" w:fill="auto"/>
            <w:noWrap/>
            <w:vAlign w:val="bottom"/>
            <w:hideMark/>
          </w:tcPr>
          <w:p w14:paraId="77BDA3A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0.29</w:t>
            </w:r>
          </w:p>
        </w:tc>
        <w:tc>
          <w:tcPr>
            <w:tcW w:w="723" w:type="pct"/>
            <w:tcBorders>
              <w:top w:val="nil"/>
              <w:left w:val="nil"/>
              <w:bottom w:val="nil"/>
              <w:right w:val="nil"/>
            </w:tcBorders>
            <w:shd w:val="clear" w:color="auto" w:fill="auto"/>
            <w:noWrap/>
            <w:vAlign w:val="bottom"/>
            <w:hideMark/>
          </w:tcPr>
          <w:p w14:paraId="413C2AB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[0.08, 1.11]</w:t>
            </w:r>
          </w:p>
        </w:tc>
        <w:tc>
          <w:tcPr>
            <w:tcW w:w="459" w:type="pct"/>
            <w:tcBorders>
              <w:top w:val="nil"/>
              <w:left w:val="nil"/>
              <w:bottom w:val="nil"/>
              <w:right w:val="nil"/>
            </w:tcBorders>
            <w:shd w:val="clear" w:color="auto" w:fill="auto"/>
            <w:noWrap/>
            <w:vAlign w:val="bottom"/>
            <w:hideMark/>
          </w:tcPr>
          <w:p w14:paraId="3C3E86D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0.04</w:t>
            </w:r>
          </w:p>
        </w:tc>
      </w:tr>
      <w:tr w:rsidR="0049448B" w:rsidRPr="0049448B" w14:paraId="62FE2334" w14:textId="77777777" w:rsidTr="0049448B">
        <w:trPr>
          <w:trHeight w:val="260"/>
        </w:trPr>
        <w:tc>
          <w:tcPr>
            <w:tcW w:w="496" w:type="pct"/>
            <w:tcBorders>
              <w:top w:val="nil"/>
              <w:left w:val="nil"/>
              <w:bottom w:val="nil"/>
              <w:right w:val="nil"/>
            </w:tcBorders>
            <w:shd w:val="clear" w:color="auto" w:fill="auto"/>
            <w:noWrap/>
            <w:vAlign w:val="bottom"/>
            <w:hideMark/>
          </w:tcPr>
          <w:p w14:paraId="4173DEF0"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53C7C80"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IL10-1082A&gt;G (rs1800896)</w:t>
            </w:r>
          </w:p>
        </w:tc>
        <w:tc>
          <w:tcPr>
            <w:tcW w:w="637" w:type="pct"/>
            <w:tcBorders>
              <w:top w:val="nil"/>
              <w:left w:val="nil"/>
              <w:bottom w:val="nil"/>
              <w:right w:val="nil"/>
            </w:tcBorders>
            <w:shd w:val="clear" w:color="auto" w:fill="auto"/>
            <w:noWrap/>
            <w:vAlign w:val="bottom"/>
            <w:hideMark/>
          </w:tcPr>
          <w:p w14:paraId="4C80EFC6"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4,173</w:t>
            </w:r>
          </w:p>
        </w:tc>
        <w:tc>
          <w:tcPr>
            <w:tcW w:w="694" w:type="pct"/>
            <w:tcBorders>
              <w:top w:val="nil"/>
              <w:left w:val="nil"/>
              <w:bottom w:val="nil"/>
              <w:right w:val="nil"/>
            </w:tcBorders>
            <w:shd w:val="clear" w:color="auto" w:fill="auto"/>
            <w:noWrap/>
            <w:vAlign w:val="bottom"/>
            <w:hideMark/>
          </w:tcPr>
          <w:p w14:paraId="097B5E64"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171</w:t>
            </w:r>
          </w:p>
        </w:tc>
        <w:tc>
          <w:tcPr>
            <w:tcW w:w="582" w:type="pct"/>
            <w:tcBorders>
              <w:top w:val="nil"/>
              <w:left w:val="nil"/>
              <w:bottom w:val="nil"/>
              <w:right w:val="nil"/>
            </w:tcBorders>
            <w:shd w:val="clear" w:color="auto" w:fill="auto"/>
            <w:noWrap/>
            <w:vAlign w:val="bottom"/>
            <w:hideMark/>
          </w:tcPr>
          <w:p w14:paraId="5CE0E58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0.70</w:t>
            </w:r>
          </w:p>
        </w:tc>
        <w:tc>
          <w:tcPr>
            <w:tcW w:w="723" w:type="pct"/>
            <w:tcBorders>
              <w:top w:val="nil"/>
              <w:left w:val="nil"/>
              <w:bottom w:val="nil"/>
              <w:right w:val="nil"/>
            </w:tcBorders>
            <w:shd w:val="clear" w:color="auto" w:fill="auto"/>
            <w:noWrap/>
            <w:vAlign w:val="bottom"/>
            <w:hideMark/>
          </w:tcPr>
          <w:p w14:paraId="3AD2B65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[0.15, 3.22]</w:t>
            </w:r>
          </w:p>
        </w:tc>
        <w:tc>
          <w:tcPr>
            <w:tcW w:w="459" w:type="pct"/>
            <w:tcBorders>
              <w:top w:val="nil"/>
              <w:left w:val="nil"/>
              <w:bottom w:val="nil"/>
              <w:right w:val="nil"/>
            </w:tcBorders>
            <w:shd w:val="clear" w:color="auto" w:fill="auto"/>
            <w:noWrap/>
            <w:vAlign w:val="bottom"/>
            <w:hideMark/>
          </w:tcPr>
          <w:p w14:paraId="40AA5EA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0.32</w:t>
            </w:r>
          </w:p>
        </w:tc>
      </w:tr>
      <w:tr w:rsidR="0049448B" w:rsidRPr="0049448B" w14:paraId="00193020" w14:textId="77777777" w:rsidTr="0049448B">
        <w:trPr>
          <w:trHeight w:val="260"/>
        </w:trPr>
        <w:tc>
          <w:tcPr>
            <w:tcW w:w="496" w:type="pct"/>
            <w:tcBorders>
              <w:top w:val="nil"/>
              <w:left w:val="nil"/>
              <w:bottom w:val="nil"/>
              <w:right w:val="nil"/>
            </w:tcBorders>
            <w:shd w:val="clear" w:color="auto" w:fill="auto"/>
            <w:noWrap/>
            <w:vAlign w:val="bottom"/>
            <w:hideMark/>
          </w:tcPr>
          <w:p w14:paraId="4A99695E"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7A6C0F11"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IL10-3575T&gt;A (rs1800890)</w:t>
            </w:r>
          </w:p>
        </w:tc>
        <w:tc>
          <w:tcPr>
            <w:tcW w:w="637" w:type="pct"/>
            <w:tcBorders>
              <w:top w:val="nil"/>
              <w:left w:val="nil"/>
              <w:bottom w:val="nil"/>
              <w:right w:val="nil"/>
            </w:tcBorders>
            <w:shd w:val="clear" w:color="auto" w:fill="auto"/>
            <w:noWrap/>
            <w:vAlign w:val="bottom"/>
            <w:hideMark/>
          </w:tcPr>
          <w:p w14:paraId="1E8AE9CD"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5,914</w:t>
            </w:r>
          </w:p>
        </w:tc>
        <w:tc>
          <w:tcPr>
            <w:tcW w:w="694" w:type="pct"/>
            <w:tcBorders>
              <w:top w:val="nil"/>
              <w:left w:val="nil"/>
              <w:bottom w:val="nil"/>
              <w:right w:val="nil"/>
            </w:tcBorders>
            <w:shd w:val="clear" w:color="auto" w:fill="auto"/>
            <w:noWrap/>
            <w:vAlign w:val="bottom"/>
            <w:hideMark/>
          </w:tcPr>
          <w:p w14:paraId="5238233B"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285</w:t>
            </w:r>
          </w:p>
        </w:tc>
        <w:tc>
          <w:tcPr>
            <w:tcW w:w="582" w:type="pct"/>
            <w:tcBorders>
              <w:top w:val="nil"/>
              <w:left w:val="nil"/>
              <w:bottom w:val="nil"/>
              <w:right w:val="nil"/>
            </w:tcBorders>
            <w:shd w:val="clear" w:color="auto" w:fill="auto"/>
            <w:noWrap/>
            <w:vAlign w:val="bottom"/>
            <w:hideMark/>
          </w:tcPr>
          <w:p w14:paraId="4EAC6C6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0.59</w:t>
            </w:r>
          </w:p>
        </w:tc>
        <w:tc>
          <w:tcPr>
            <w:tcW w:w="723" w:type="pct"/>
            <w:tcBorders>
              <w:top w:val="nil"/>
              <w:left w:val="nil"/>
              <w:bottom w:val="nil"/>
              <w:right w:val="nil"/>
            </w:tcBorders>
            <w:shd w:val="clear" w:color="auto" w:fill="auto"/>
            <w:noWrap/>
            <w:vAlign w:val="bottom"/>
            <w:hideMark/>
          </w:tcPr>
          <w:p w14:paraId="47C72FF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[0.20, 1.77]</w:t>
            </w:r>
          </w:p>
        </w:tc>
        <w:tc>
          <w:tcPr>
            <w:tcW w:w="459" w:type="pct"/>
            <w:tcBorders>
              <w:top w:val="nil"/>
              <w:left w:val="nil"/>
              <w:bottom w:val="nil"/>
              <w:right w:val="nil"/>
            </w:tcBorders>
            <w:shd w:val="clear" w:color="auto" w:fill="auto"/>
            <w:noWrap/>
            <w:vAlign w:val="bottom"/>
            <w:hideMark/>
          </w:tcPr>
          <w:p w14:paraId="3F88D9D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0.17</w:t>
            </w:r>
          </w:p>
        </w:tc>
      </w:tr>
      <w:tr w:rsidR="0049448B" w:rsidRPr="0049448B" w14:paraId="17631908" w14:textId="77777777" w:rsidTr="0049448B">
        <w:trPr>
          <w:trHeight w:val="260"/>
        </w:trPr>
        <w:tc>
          <w:tcPr>
            <w:tcW w:w="496" w:type="pct"/>
            <w:tcBorders>
              <w:top w:val="nil"/>
              <w:left w:val="nil"/>
              <w:bottom w:val="nil"/>
              <w:right w:val="nil"/>
            </w:tcBorders>
            <w:shd w:val="clear" w:color="auto" w:fill="auto"/>
            <w:noWrap/>
            <w:vAlign w:val="bottom"/>
            <w:hideMark/>
          </w:tcPr>
          <w:p w14:paraId="6157DF24"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031845AB"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TNF-308G&gt;A (rs1800629)</w:t>
            </w:r>
          </w:p>
        </w:tc>
        <w:tc>
          <w:tcPr>
            <w:tcW w:w="637" w:type="pct"/>
            <w:tcBorders>
              <w:top w:val="nil"/>
              <w:left w:val="nil"/>
              <w:bottom w:val="nil"/>
              <w:right w:val="nil"/>
            </w:tcBorders>
            <w:shd w:val="clear" w:color="auto" w:fill="auto"/>
            <w:noWrap/>
            <w:vAlign w:val="bottom"/>
            <w:hideMark/>
          </w:tcPr>
          <w:p w14:paraId="55356D36"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5,562</w:t>
            </w:r>
          </w:p>
        </w:tc>
        <w:tc>
          <w:tcPr>
            <w:tcW w:w="694" w:type="pct"/>
            <w:tcBorders>
              <w:top w:val="nil"/>
              <w:left w:val="nil"/>
              <w:bottom w:val="nil"/>
              <w:right w:val="nil"/>
            </w:tcBorders>
            <w:shd w:val="clear" w:color="auto" w:fill="auto"/>
            <w:noWrap/>
            <w:vAlign w:val="bottom"/>
            <w:hideMark/>
          </w:tcPr>
          <w:p w14:paraId="7DABA461"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279</w:t>
            </w:r>
          </w:p>
        </w:tc>
        <w:tc>
          <w:tcPr>
            <w:tcW w:w="582" w:type="pct"/>
            <w:tcBorders>
              <w:top w:val="nil"/>
              <w:left w:val="nil"/>
              <w:bottom w:val="nil"/>
              <w:right w:val="nil"/>
            </w:tcBorders>
            <w:shd w:val="clear" w:color="auto" w:fill="auto"/>
            <w:noWrap/>
            <w:vAlign w:val="bottom"/>
            <w:hideMark/>
          </w:tcPr>
          <w:p w14:paraId="3CCE266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3.27</w:t>
            </w:r>
          </w:p>
        </w:tc>
        <w:tc>
          <w:tcPr>
            <w:tcW w:w="723" w:type="pct"/>
            <w:tcBorders>
              <w:top w:val="nil"/>
              <w:left w:val="nil"/>
              <w:bottom w:val="nil"/>
              <w:right w:val="nil"/>
            </w:tcBorders>
            <w:shd w:val="clear" w:color="auto" w:fill="auto"/>
            <w:noWrap/>
            <w:vAlign w:val="bottom"/>
            <w:hideMark/>
          </w:tcPr>
          <w:p w14:paraId="4BA53A4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[1.06, 10.05]</w:t>
            </w:r>
          </w:p>
        </w:tc>
        <w:tc>
          <w:tcPr>
            <w:tcW w:w="459" w:type="pct"/>
            <w:tcBorders>
              <w:top w:val="nil"/>
              <w:left w:val="nil"/>
              <w:bottom w:val="nil"/>
              <w:right w:val="nil"/>
            </w:tcBorders>
            <w:shd w:val="clear" w:color="auto" w:fill="auto"/>
            <w:noWrap/>
            <w:vAlign w:val="bottom"/>
            <w:hideMark/>
          </w:tcPr>
          <w:p w14:paraId="1CB99A5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0.98</w:t>
            </w:r>
          </w:p>
        </w:tc>
      </w:tr>
      <w:tr w:rsidR="0049448B" w:rsidRPr="0049448B" w14:paraId="613EDEC2" w14:textId="77777777" w:rsidTr="0049448B">
        <w:trPr>
          <w:trHeight w:val="220"/>
        </w:trPr>
        <w:tc>
          <w:tcPr>
            <w:tcW w:w="496" w:type="pct"/>
            <w:tcBorders>
              <w:top w:val="nil"/>
              <w:left w:val="nil"/>
              <w:bottom w:val="nil"/>
              <w:right w:val="nil"/>
            </w:tcBorders>
            <w:shd w:val="clear" w:color="auto" w:fill="auto"/>
            <w:noWrap/>
            <w:vAlign w:val="bottom"/>
            <w:hideMark/>
          </w:tcPr>
          <w:p w14:paraId="4FC4136F"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302A66C3"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C&gt;A (rs6457327)</w:t>
            </w:r>
          </w:p>
        </w:tc>
        <w:tc>
          <w:tcPr>
            <w:tcW w:w="637" w:type="pct"/>
            <w:tcBorders>
              <w:top w:val="nil"/>
              <w:left w:val="nil"/>
              <w:bottom w:val="nil"/>
              <w:right w:val="nil"/>
            </w:tcBorders>
            <w:shd w:val="clear" w:color="auto" w:fill="auto"/>
            <w:noWrap/>
            <w:vAlign w:val="bottom"/>
            <w:hideMark/>
          </w:tcPr>
          <w:p w14:paraId="65B50DB8"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2,963</w:t>
            </w:r>
          </w:p>
        </w:tc>
        <w:tc>
          <w:tcPr>
            <w:tcW w:w="694" w:type="pct"/>
            <w:tcBorders>
              <w:top w:val="nil"/>
              <w:left w:val="nil"/>
              <w:bottom w:val="nil"/>
              <w:right w:val="nil"/>
            </w:tcBorders>
            <w:shd w:val="clear" w:color="auto" w:fill="auto"/>
            <w:noWrap/>
            <w:vAlign w:val="bottom"/>
            <w:hideMark/>
          </w:tcPr>
          <w:p w14:paraId="6DDC459A"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116</w:t>
            </w:r>
          </w:p>
        </w:tc>
        <w:tc>
          <w:tcPr>
            <w:tcW w:w="582" w:type="pct"/>
            <w:tcBorders>
              <w:top w:val="nil"/>
              <w:left w:val="nil"/>
              <w:bottom w:val="nil"/>
              <w:right w:val="nil"/>
            </w:tcBorders>
            <w:shd w:val="clear" w:color="auto" w:fill="auto"/>
            <w:noWrap/>
            <w:vAlign w:val="bottom"/>
            <w:hideMark/>
          </w:tcPr>
          <w:p w14:paraId="3667052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2.75</w:t>
            </w:r>
          </w:p>
        </w:tc>
        <w:tc>
          <w:tcPr>
            <w:tcW w:w="723" w:type="pct"/>
            <w:tcBorders>
              <w:top w:val="nil"/>
              <w:left w:val="nil"/>
              <w:bottom w:val="nil"/>
              <w:right w:val="nil"/>
            </w:tcBorders>
            <w:shd w:val="clear" w:color="auto" w:fill="auto"/>
            <w:noWrap/>
            <w:vAlign w:val="bottom"/>
            <w:hideMark/>
          </w:tcPr>
          <w:p w14:paraId="293D8BB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[0.34, 22.05]</w:t>
            </w:r>
          </w:p>
        </w:tc>
        <w:tc>
          <w:tcPr>
            <w:tcW w:w="459" w:type="pct"/>
            <w:tcBorders>
              <w:top w:val="nil"/>
              <w:left w:val="nil"/>
              <w:bottom w:val="nil"/>
              <w:right w:val="nil"/>
            </w:tcBorders>
            <w:shd w:val="clear" w:color="auto" w:fill="auto"/>
            <w:noWrap/>
            <w:vAlign w:val="bottom"/>
            <w:hideMark/>
          </w:tcPr>
          <w:p w14:paraId="3925266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0.83</w:t>
            </w:r>
          </w:p>
        </w:tc>
      </w:tr>
      <w:tr w:rsidR="0049448B" w:rsidRPr="0049448B" w14:paraId="24AD415F" w14:textId="77777777" w:rsidTr="0049448B">
        <w:trPr>
          <w:trHeight w:val="260"/>
        </w:trPr>
        <w:tc>
          <w:tcPr>
            <w:tcW w:w="496" w:type="pct"/>
            <w:tcBorders>
              <w:top w:val="nil"/>
              <w:left w:val="nil"/>
              <w:bottom w:val="nil"/>
              <w:right w:val="nil"/>
            </w:tcBorders>
            <w:shd w:val="clear" w:color="auto" w:fill="auto"/>
            <w:noWrap/>
            <w:vAlign w:val="bottom"/>
            <w:hideMark/>
          </w:tcPr>
          <w:p w14:paraId="43F4B229"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D63A823"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T&gt;G (rs10484561)</w:t>
            </w:r>
          </w:p>
        </w:tc>
        <w:tc>
          <w:tcPr>
            <w:tcW w:w="637" w:type="pct"/>
            <w:tcBorders>
              <w:top w:val="nil"/>
              <w:left w:val="nil"/>
              <w:bottom w:val="nil"/>
              <w:right w:val="nil"/>
            </w:tcBorders>
            <w:shd w:val="clear" w:color="auto" w:fill="auto"/>
            <w:noWrap/>
            <w:vAlign w:val="bottom"/>
            <w:hideMark/>
          </w:tcPr>
          <w:p w14:paraId="13360702"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3,989</w:t>
            </w:r>
          </w:p>
        </w:tc>
        <w:tc>
          <w:tcPr>
            <w:tcW w:w="694" w:type="pct"/>
            <w:tcBorders>
              <w:top w:val="nil"/>
              <w:left w:val="nil"/>
              <w:bottom w:val="nil"/>
              <w:right w:val="nil"/>
            </w:tcBorders>
            <w:shd w:val="clear" w:color="auto" w:fill="auto"/>
            <w:noWrap/>
            <w:vAlign w:val="bottom"/>
            <w:hideMark/>
          </w:tcPr>
          <w:p w14:paraId="1AB7855C"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158</w:t>
            </w:r>
          </w:p>
        </w:tc>
        <w:tc>
          <w:tcPr>
            <w:tcW w:w="582" w:type="pct"/>
            <w:tcBorders>
              <w:top w:val="nil"/>
              <w:left w:val="nil"/>
              <w:bottom w:val="nil"/>
              <w:right w:val="nil"/>
            </w:tcBorders>
            <w:shd w:val="clear" w:color="auto" w:fill="auto"/>
            <w:noWrap/>
            <w:vAlign w:val="bottom"/>
            <w:hideMark/>
          </w:tcPr>
          <w:p w14:paraId="0D83E5A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0.29</w:t>
            </w:r>
          </w:p>
        </w:tc>
        <w:tc>
          <w:tcPr>
            <w:tcW w:w="723" w:type="pct"/>
            <w:tcBorders>
              <w:top w:val="nil"/>
              <w:left w:val="nil"/>
              <w:bottom w:val="nil"/>
              <w:right w:val="nil"/>
            </w:tcBorders>
            <w:shd w:val="clear" w:color="auto" w:fill="auto"/>
            <w:noWrap/>
            <w:vAlign w:val="bottom"/>
            <w:hideMark/>
          </w:tcPr>
          <w:p w14:paraId="180DF93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[0.04, 2.33]</w:t>
            </w:r>
          </w:p>
        </w:tc>
        <w:tc>
          <w:tcPr>
            <w:tcW w:w="459" w:type="pct"/>
            <w:tcBorders>
              <w:top w:val="nil"/>
              <w:left w:val="nil"/>
              <w:bottom w:val="nil"/>
              <w:right w:val="nil"/>
            </w:tcBorders>
            <w:shd w:val="clear" w:color="auto" w:fill="auto"/>
            <w:noWrap/>
            <w:vAlign w:val="bottom"/>
            <w:hideMark/>
          </w:tcPr>
          <w:p w14:paraId="6B1F23C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0.12</w:t>
            </w:r>
          </w:p>
        </w:tc>
      </w:tr>
      <w:tr w:rsidR="0049448B" w:rsidRPr="0049448B" w14:paraId="1649E618" w14:textId="77777777" w:rsidTr="0049448B">
        <w:trPr>
          <w:trHeight w:val="220"/>
        </w:trPr>
        <w:tc>
          <w:tcPr>
            <w:tcW w:w="496" w:type="pct"/>
            <w:tcBorders>
              <w:top w:val="nil"/>
              <w:left w:val="nil"/>
              <w:bottom w:val="nil"/>
              <w:right w:val="nil"/>
            </w:tcBorders>
            <w:shd w:val="clear" w:color="auto" w:fill="auto"/>
            <w:noWrap/>
            <w:vAlign w:val="bottom"/>
            <w:hideMark/>
          </w:tcPr>
          <w:p w14:paraId="25B1A185"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2A8E3426" w14:textId="77777777" w:rsidR="0049448B" w:rsidRPr="0049448B" w:rsidRDefault="0049448B" w:rsidP="0049448B">
            <w:pPr>
              <w:rPr>
                <w:rFonts w:ascii="Times New Roman" w:eastAsia="Times New Roman" w:hAnsi="Times New Roman" w:cs="Times New Roman"/>
                <w:sz w:val="20"/>
                <w:szCs w:val="20"/>
                <w:lang w:eastAsia="en-US"/>
              </w:rPr>
            </w:pPr>
          </w:p>
        </w:tc>
        <w:tc>
          <w:tcPr>
            <w:tcW w:w="637" w:type="pct"/>
            <w:tcBorders>
              <w:top w:val="nil"/>
              <w:left w:val="nil"/>
              <w:bottom w:val="nil"/>
              <w:right w:val="nil"/>
            </w:tcBorders>
            <w:shd w:val="clear" w:color="auto" w:fill="auto"/>
            <w:noWrap/>
            <w:vAlign w:val="bottom"/>
            <w:hideMark/>
          </w:tcPr>
          <w:p w14:paraId="2C735E90" w14:textId="77777777" w:rsidR="0049448B" w:rsidRPr="0049448B" w:rsidRDefault="0049448B" w:rsidP="0049448B">
            <w:pPr>
              <w:rPr>
                <w:rFonts w:ascii="Times New Roman" w:eastAsia="Times New Roman" w:hAnsi="Times New Roman" w:cs="Times New Roman"/>
                <w:sz w:val="20"/>
                <w:szCs w:val="20"/>
                <w:lang w:eastAsia="en-US"/>
              </w:rPr>
            </w:pPr>
          </w:p>
        </w:tc>
        <w:tc>
          <w:tcPr>
            <w:tcW w:w="694" w:type="pct"/>
            <w:tcBorders>
              <w:top w:val="nil"/>
              <w:left w:val="nil"/>
              <w:bottom w:val="nil"/>
              <w:right w:val="nil"/>
            </w:tcBorders>
            <w:shd w:val="clear" w:color="auto" w:fill="auto"/>
            <w:noWrap/>
            <w:vAlign w:val="bottom"/>
            <w:hideMark/>
          </w:tcPr>
          <w:p w14:paraId="60FF7C19"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582" w:type="pct"/>
            <w:tcBorders>
              <w:top w:val="nil"/>
              <w:left w:val="nil"/>
              <w:bottom w:val="nil"/>
              <w:right w:val="nil"/>
            </w:tcBorders>
            <w:shd w:val="clear" w:color="auto" w:fill="auto"/>
            <w:noWrap/>
            <w:vAlign w:val="bottom"/>
            <w:hideMark/>
          </w:tcPr>
          <w:p w14:paraId="4448B75A"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723" w:type="pct"/>
            <w:tcBorders>
              <w:top w:val="nil"/>
              <w:left w:val="nil"/>
              <w:bottom w:val="nil"/>
              <w:right w:val="nil"/>
            </w:tcBorders>
            <w:shd w:val="clear" w:color="auto" w:fill="auto"/>
            <w:noWrap/>
            <w:vAlign w:val="bottom"/>
            <w:hideMark/>
          </w:tcPr>
          <w:p w14:paraId="34AEE398"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459" w:type="pct"/>
            <w:tcBorders>
              <w:top w:val="nil"/>
              <w:left w:val="nil"/>
              <w:bottom w:val="nil"/>
              <w:right w:val="nil"/>
            </w:tcBorders>
            <w:shd w:val="clear" w:color="auto" w:fill="auto"/>
            <w:noWrap/>
            <w:vAlign w:val="bottom"/>
            <w:hideMark/>
          </w:tcPr>
          <w:p w14:paraId="345E0746" w14:textId="77777777" w:rsidR="0049448B" w:rsidRPr="0049448B" w:rsidRDefault="0049448B" w:rsidP="0049448B">
            <w:pPr>
              <w:jc w:val="right"/>
              <w:rPr>
                <w:rFonts w:ascii="Times New Roman" w:eastAsia="Times New Roman" w:hAnsi="Times New Roman" w:cs="Times New Roman"/>
                <w:sz w:val="20"/>
                <w:szCs w:val="20"/>
                <w:lang w:eastAsia="en-US"/>
              </w:rPr>
            </w:pPr>
          </w:p>
        </w:tc>
      </w:tr>
      <w:tr w:rsidR="0049448B" w:rsidRPr="0049448B" w14:paraId="28EB1196" w14:textId="77777777" w:rsidTr="0049448B">
        <w:trPr>
          <w:trHeight w:val="260"/>
        </w:trPr>
        <w:tc>
          <w:tcPr>
            <w:tcW w:w="496" w:type="pct"/>
            <w:tcBorders>
              <w:top w:val="nil"/>
              <w:left w:val="nil"/>
              <w:bottom w:val="nil"/>
              <w:right w:val="nil"/>
            </w:tcBorders>
            <w:shd w:val="clear" w:color="auto" w:fill="auto"/>
            <w:noWrap/>
            <w:vAlign w:val="bottom"/>
            <w:hideMark/>
          </w:tcPr>
          <w:p w14:paraId="2C0CDC25"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T-Cell</w:t>
            </w:r>
          </w:p>
        </w:tc>
        <w:tc>
          <w:tcPr>
            <w:tcW w:w="1408" w:type="pct"/>
            <w:tcBorders>
              <w:top w:val="nil"/>
              <w:left w:val="nil"/>
              <w:bottom w:val="nil"/>
              <w:right w:val="nil"/>
            </w:tcBorders>
            <w:shd w:val="clear" w:color="auto" w:fill="auto"/>
            <w:noWrap/>
            <w:vAlign w:val="bottom"/>
            <w:hideMark/>
          </w:tcPr>
          <w:p w14:paraId="04663E7A"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IL1A-889C&gt;T (rs1800587)</w:t>
            </w:r>
          </w:p>
        </w:tc>
        <w:tc>
          <w:tcPr>
            <w:tcW w:w="637" w:type="pct"/>
            <w:tcBorders>
              <w:top w:val="nil"/>
              <w:left w:val="nil"/>
              <w:bottom w:val="nil"/>
              <w:right w:val="nil"/>
            </w:tcBorders>
            <w:shd w:val="clear" w:color="auto" w:fill="auto"/>
            <w:noWrap/>
            <w:vAlign w:val="bottom"/>
            <w:hideMark/>
          </w:tcPr>
          <w:p w14:paraId="6177894A"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2,317</w:t>
            </w:r>
          </w:p>
        </w:tc>
        <w:tc>
          <w:tcPr>
            <w:tcW w:w="694" w:type="pct"/>
            <w:tcBorders>
              <w:top w:val="nil"/>
              <w:left w:val="nil"/>
              <w:bottom w:val="nil"/>
              <w:right w:val="nil"/>
            </w:tcBorders>
            <w:shd w:val="clear" w:color="auto" w:fill="auto"/>
            <w:noWrap/>
            <w:vAlign w:val="bottom"/>
            <w:hideMark/>
          </w:tcPr>
          <w:p w14:paraId="41DAB3D9"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127</w:t>
            </w:r>
          </w:p>
        </w:tc>
        <w:tc>
          <w:tcPr>
            <w:tcW w:w="582" w:type="pct"/>
            <w:tcBorders>
              <w:top w:val="nil"/>
              <w:left w:val="nil"/>
              <w:bottom w:val="nil"/>
              <w:right w:val="nil"/>
            </w:tcBorders>
            <w:shd w:val="clear" w:color="auto" w:fill="auto"/>
            <w:noWrap/>
            <w:vAlign w:val="bottom"/>
            <w:hideMark/>
          </w:tcPr>
          <w:p w14:paraId="7E326F1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2.76</w:t>
            </w:r>
          </w:p>
        </w:tc>
        <w:tc>
          <w:tcPr>
            <w:tcW w:w="723" w:type="pct"/>
            <w:tcBorders>
              <w:top w:val="nil"/>
              <w:left w:val="nil"/>
              <w:bottom w:val="nil"/>
              <w:right w:val="nil"/>
            </w:tcBorders>
            <w:shd w:val="clear" w:color="auto" w:fill="auto"/>
            <w:noWrap/>
            <w:vAlign w:val="bottom"/>
            <w:hideMark/>
          </w:tcPr>
          <w:p w14:paraId="6FDD78D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[0.36, 21.42]</w:t>
            </w:r>
          </w:p>
        </w:tc>
        <w:tc>
          <w:tcPr>
            <w:tcW w:w="459" w:type="pct"/>
            <w:tcBorders>
              <w:top w:val="nil"/>
              <w:left w:val="nil"/>
              <w:bottom w:val="nil"/>
              <w:right w:val="nil"/>
            </w:tcBorders>
            <w:shd w:val="clear" w:color="auto" w:fill="auto"/>
            <w:noWrap/>
            <w:vAlign w:val="bottom"/>
            <w:hideMark/>
          </w:tcPr>
          <w:p w14:paraId="1E727B2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0.83</w:t>
            </w:r>
          </w:p>
        </w:tc>
      </w:tr>
      <w:tr w:rsidR="0049448B" w:rsidRPr="0049448B" w14:paraId="5E43452F" w14:textId="77777777" w:rsidTr="0049448B">
        <w:trPr>
          <w:trHeight w:val="260"/>
        </w:trPr>
        <w:tc>
          <w:tcPr>
            <w:tcW w:w="496" w:type="pct"/>
            <w:tcBorders>
              <w:top w:val="nil"/>
              <w:left w:val="nil"/>
              <w:bottom w:val="nil"/>
              <w:right w:val="nil"/>
            </w:tcBorders>
            <w:shd w:val="clear" w:color="auto" w:fill="auto"/>
            <w:noWrap/>
            <w:vAlign w:val="bottom"/>
            <w:hideMark/>
          </w:tcPr>
          <w:p w14:paraId="5D0E647B"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0C31BD58"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IL1B-511C&gt;T (rs16944)</w:t>
            </w:r>
          </w:p>
        </w:tc>
        <w:tc>
          <w:tcPr>
            <w:tcW w:w="637" w:type="pct"/>
            <w:tcBorders>
              <w:top w:val="nil"/>
              <w:left w:val="nil"/>
              <w:bottom w:val="nil"/>
              <w:right w:val="nil"/>
            </w:tcBorders>
            <w:shd w:val="clear" w:color="auto" w:fill="auto"/>
            <w:noWrap/>
            <w:vAlign w:val="bottom"/>
            <w:hideMark/>
          </w:tcPr>
          <w:p w14:paraId="6B3999B4"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1,280</w:t>
            </w:r>
          </w:p>
        </w:tc>
        <w:tc>
          <w:tcPr>
            <w:tcW w:w="694" w:type="pct"/>
            <w:tcBorders>
              <w:top w:val="nil"/>
              <w:left w:val="nil"/>
              <w:bottom w:val="nil"/>
              <w:right w:val="nil"/>
            </w:tcBorders>
            <w:shd w:val="clear" w:color="auto" w:fill="auto"/>
            <w:noWrap/>
            <w:vAlign w:val="bottom"/>
            <w:hideMark/>
          </w:tcPr>
          <w:p w14:paraId="1BCA8C33"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97</w:t>
            </w:r>
          </w:p>
        </w:tc>
        <w:tc>
          <w:tcPr>
            <w:tcW w:w="582" w:type="pct"/>
            <w:tcBorders>
              <w:top w:val="nil"/>
              <w:left w:val="nil"/>
              <w:bottom w:val="nil"/>
              <w:right w:val="nil"/>
            </w:tcBorders>
            <w:shd w:val="clear" w:color="auto" w:fill="auto"/>
            <w:noWrap/>
            <w:vAlign w:val="bottom"/>
            <w:hideMark/>
          </w:tcPr>
          <w:p w14:paraId="4471331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0.01</w:t>
            </w:r>
          </w:p>
        </w:tc>
        <w:tc>
          <w:tcPr>
            <w:tcW w:w="723" w:type="pct"/>
            <w:tcBorders>
              <w:top w:val="nil"/>
              <w:left w:val="nil"/>
              <w:bottom w:val="nil"/>
              <w:right w:val="nil"/>
            </w:tcBorders>
            <w:shd w:val="clear" w:color="auto" w:fill="auto"/>
            <w:noWrap/>
            <w:vAlign w:val="bottom"/>
            <w:hideMark/>
          </w:tcPr>
          <w:p w14:paraId="45C25D9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[0.00, 2.55]</w:t>
            </w:r>
          </w:p>
        </w:tc>
        <w:tc>
          <w:tcPr>
            <w:tcW w:w="459" w:type="pct"/>
            <w:tcBorders>
              <w:top w:val="nil"/>
              <w:left w:val="nil"/>
              <w:bottom w:val="nil"/>
              <w:right w:val="nil"/>
            </w:tcBorders>
            <w:shd w:val="clear" w:color="auto" w:fill="auto"/>
            <w:noWrap/>
            <w:vAlign w:val="bottom"/>
            <w:hideMark/>
          </w:tcPr>
          <w:p w14:paraId="4C8D27F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0.05</w:t>
            </w:r>
          </w:p>
        </w:tc>
      </w:tr>
      <w:tr w:rsidR="0049448B" w:rsidRPr="0049448B" w14:paraId="6BC28AB0" w14:textId="77777777" w:rsidTr="0049448B">
        <w:trPr>
          <w:trHeight w:val="260"/>
        </w:trPr>
        <w:tc>
          <w:tcPr>
            <w:tcW w:w="496" w:type="pct"/>
            <w:tcBorders>
              <w:top w:val="nil"/>
              <w:left w:val="nil"/>
              <w:bottom w:val="nil"/>
              <w:right w:val="nil"/>
            </w:tcBorders>
            <w:shd w:val="clear" w:color="auto" w:fill="auto"/>
            <w:noWrap/>
            <w:vAlign w:val="bottom"/>
            <w:hideMark/>
          </w:tcPr>
          <w:p w14:paraId="55C21216"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13CB30E" w14:textId="1DC00FA6"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IL1B-</w:t>
            </w:r>
            <w:r w:rsidR="00651E47">
              <w:rPr>
                <w:rFonts w:eastAsia="Times New Roman" w:cs="Arial"/>
                <w:color w:val="000000"/>
                <w:sz w:val="16"/>
                <w:szCs w:val="16"/>
                <w:lang w:eastAsia="en-US"/>
              </w:rPr>
              <w:t>31T&gt;C</w:t>
            </w:r>
            <w:r w:rsidRPr="0049448B">
              <w:rPr>
                <w:rFonts w:eastAsia="Times New Roman" w:cs="Arial"/>
                <w:color w:val="000000"/>
                <w:sz w:val="16"/>
                <w:szCs w:val="16"/>
                <w:lang w:eastAsia="en-US"/>
              </w:rPr>
              <w:t xml:space="preserve"> (rs1143627)</w:t>
            </w:r>
          </w:p>
        </w:tc>
        <w:tc>
          <w:tcPr>
            <w:tcW w:w="637" w:type="pct"/>
            <w:tcBorders>
              <w:top w:val="nil"/>
              <w:left w:val="nil"/>
              <w:bottom w:val="nil"/>
              <w:right w:val="nil"/>
            </w:tcBorders>
            <w:shd w:val="clear" w:color="auto" w:fill="auto"/>
            <w:noWrap/>
            <w:vAlign w:val="bottom"/>
            <w:hideMark/>
          </w:tcPr>
          <w:p w14:paraId="60ADEA7D"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3,715</w:t>
            </w:r>
          </w:p>
        </w:tc>
        <w:tc>
          <w:tcPr>
            <w:tcW w:w="694" w:type="pct"/>
            <w:tcBorders>
              <w:top w:val="nil"/>
              <w:left w:val="nil"/>
              <w:bottom w:val="nil"/>
              <w:right w:val="nil"/>
            </w:tcBorders>
            <w:shd w:val="clear" w:color="auto" w:fill="auto"/>
            <w:noWrap/>
            <w:vAlign w:val="bottom"/>
            <w:hideMark/>
          </w:tcPr>
          <w:p w14:paraId="0B09A56A"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206</w:t>
            </w:r>
          </w:p>
        </w:tc>
        <w:tc>
          <w:tcPr>
            <w:tcW w:w="582" w:type="pct"/>
            <w:tcBorders>
              <w:top w:val="nil"/>
              <w:left w:val="nil"/>
              <w:bottom w:val="nil"/>
              <w:right w:val="nil"/>
            </w:tcBorders>
            <w:shd w:val="clear" w:color="auto" w:fill="auto"/>
            <w:noWrap/>
            <w:vAlign w:val="bottom"/>
            <w:hideMark/>
          </w:tcPr>
          <w:p w14:paraId="0C1B8B7C"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0.09</w:t>
            </w:r>
          </w:p>
        </w:tc>
        <w:tc>
          <w:tcPr>
            <w:tcW w:w="723" w:type="pct"/>
            <w:tcBorders>
              <w:top w:val="nil"/>
              <w:left w:val="nil"/>
              <w:bottom w:val="nil"/>
              <w:right w:val="nil"/>
            </w:tcBorders>
            <w:shd w:val="clear" w:color="auto" w:fill="auto"/>
            <w:noWrap/>
            <w:vAlign w:val="bottom"/>
            <w:hideMark/>
          </w:tcPr>
          <w:p w14:paraId="17C2BB76"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[0.01, 0.87]</w:t>
            </w:r>
          </w:p>
        </w:tc>
        <w:tc>
          <w:tcPr>
            <w:tcW w:w="459" w:type="pct"/>
            <w:tcBorders>
              <w:top w:val="nil"/>
              <w:left w:val="nil"/>
              <w:bottom w:val="nil"/>
              <w:right w:val="nil"/>
            </w:tcBorders>
            <w:shd w:val="clear" w:color="auto" w:fill="auto"/>
            <w:noWrap/>
            <w:vAlign w:val="bottom"/>
            <w:hideMark/>
          </w:tcPr>
          <w:p w14:paraId="249E662D"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0.02</w:t>
            </w:r>
          </w:p>
        </w:tc>
      </w:tr>
      <w:tr w:rsidR="0049448B" w:rsidRPr="0049448B" w14:paraId="5FF7C422" w14:textId="77777777" w:rsidTr="0049448B">
        <w:trPr>
          <w:trHeight w:val="260"/>
        </w:trPr>
        <w:tc>
          <w:tcPr>
            <w:tcW w:w="496" w:type="pct"/>
            <w:tcBorders>
              <w:top w:val="nil"/>
              <w:left w:val="nil"/>
              <w:bottom w:val="nil"/>
              <w:right w:val="nil"/>
            </w:tcBorders>
            <w:shd w:val="clear" w:color="auto" w:fill="auto"/>
            <w:noWrap/>
            <w:vAlign w:val="bottom"/>
            <w:hideMark/>
          </w:tcPr>
          <w:p w14:paraId="214F6093" w14:textId="77777777" w:rsidR="0049448B" w:rsidRPr="0049448B" w:rsidRDefault="0049448B" w:rsidP="0049448B">
            <w:pPr>
              <w:jc w:val="right"/>
              <w:rPr>
                <w:rFonts w:eastAsia="Times New Roman" w:cs="Arial"/>
                <w:b/>
                <w:bCs/>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7D38AAC2"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IL1RN-9589A&gt;T (rs454078)</w:t>
            </w:r>
          </w:p>
        </w:tc>
        <w:tc>
          <w:tcPr>
            <w:tcW w:w="637" w:type="pct"/>
            <w:tcBorders>
              <w:top w:val="nil"/>
              <w:left w:val="nil"/>
              <w:bottom w:val="nil"/>
              <w:right w:val="nil"/>
            </w:tcBorders>
            <w:shd w:val="clear" w:color="auto" w:fill="auto"/>
            <w:noWrap/>
            <w:vAlign w:val="bottom"/>
            <w:hideMark/>
          </w:tcPr>
          <w:p w14:paraId="01FBDFF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2,319</w:t>
            </w:r>
          </w:p>
        </w:tc>
        <w:tc>
          <w:tcPr>
            <w:tcW w:w="694" w:type="pct"/>
            <w:tcBorders>
              <w:top w:val="nil"/>
              <w:left w:val="nil"/>
              <w:bottom w:val="nil"/>
              <w:right w:val="nil"/>
            </w:tcBorders>
            <w:shd w:val="clear" w:color="auto" w:fill="auto"/>
            <w:noWrap/>
            <w:vAlign w:val="bottom"/>
            <w:hideMark/>
          </w:tcPr>
          <w:p w14:paraId="36CCF581"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125</w:t>
            </w:r>
          </w:p>
        </w:tc>
        <w:tc>
          <w:tcPr>
            <w:tcW w:w="582" w:type="pct"/>
            <w:tcBorders>
              <w:top w:val="nil"/>
              <w:left w:val="nil"/>
              <w:bottom w:val="nil"/>
              <w:right w:val="nil"/>
            </w:tcBorders>
            <w:shd w:val="clear" w:color="auto" w:fill="auto"/>
            <w:noWrap/>
            <w:vAlign w:val="bottom"/>
            <w:hideMark/>
          </w:tcPr>
          <w:p w14:paraId="6FF334B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0.37</w:t>
            </w:r>
          </w:p>
        </w:tc>
        <w:tc>
          <w:tcPr>
            <w:tcW w:w="723" w:type="pct"/>
            <w:tcBorders>
              <w:top w:val="nil"/>
              <w:left w:val="nil"/>
              <w:bottom w:val="nil"/>
              <w:right w:val="nil"/>
            </w:tcBorders>
            <w:shd w:val="clear" w:color="auto" w:fill="auto"/>
            <w:noWrap/>
            <w:vAlign w:val="bottom"/>
            <w:hideMark/>
          </w:tcPr>
          <w:p w14:paraId="603A8C6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[0.05, 2.75]</w:t>
            </w:r>
          </w:p>
        </w:tc>
        <w:tc>
          <w:tcPr>
            <w:tcW w:w="459" w:type="pct"/>
            <w:tcBorders>
              <w:top w:val="nil"/>
              <w:left w:val="nil"/>
              <w:bottom w:val="nil"/>
              <w:right w:val="nil"/>
            </w:tcBorders>
            <w:shd w:val="clear" w:color="auto" w:fill="auto"/>
            <w:noWrap/>
            <w:vAlign w:val="bottom"/>
            <w:hideMark/>
          </w:tcPr>
          <w:p w14:paraId="4129142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0.16</w:t>
            </w:r>
          </w:p>
        </w:tc>
      </w:tr>
      <w:tr w:rsidR="0049448B" w:rsidRPr="0049448B" w14:paraId="43390621" w14:textId="77777777" w:rsidTr="0049448B">
        <w:trPr>
          <w:trHeight w:val="260"/>
        </w:trPr>
        <w:tc>
          <w:tcPr>
            <w:tcW w:w="496" w:type="pct"/>
            <w:tcBorders>
              <w:top w:val="nil"/>
              <w:left w:val="nil"/>
              <w:bottom w:val="nil"/>
              <w:right w:val="nil"/>
            </w:tcBorders>
            <w:shd w:val="clear" w:color="auto" w:fill="auto"/>
            <w:noWrap/>
            <w:vAlign w:val="bottom"/>
            <w:hideMark/>
          </w:tcPr>
          <w:p w14:paraId="3F2C38A0"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E8517A9"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IL2–384T&gt;G (rs2069762)</w:t>
            </w:r>
          </w:p>
        </w:tc>
        <w:tc>
          <w:tcPr>
            <w:tcW w:w="637" w:type="pct"/>
            <w:tcBorders>
              <w:top w:val="nil"/>
              <w:left w:val="nil"/>
              <w:bottom w:val="nil"/>
              <w:right w:val="nil"/>
            </w:tcBorders>
            <w:shd w:val="clear" w:color="auto" w:fill="auto"/>
            <w:noWrap/>
            <w:vAlign w:val="bottom"/>
            <w:hideMark/>
          </w:tcPr>
          <w:p w14:paraId="72E97772"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2,320</w:t>
            </w:r>
          </w:p>
        </w:tc>
        <w:tc>
          <w:tcPr>
            <w:tcW w:w="694" w:type="pct"/>
            <w:tcBorders>
              <w:top w:val="nil"/>
              <w:left w:val="nil"/>
              <w:bottom w:val="nil"/>
              <w:right w:val="nil"/>
            </w:tcBorders>
            <w:shd w:val="clear" w:color="auto" w:fill="auto"/>
            <w:noWrap/>
            <w:vAlign w:val="bottom"/>
            <w:hideMark/>
          </w:tcPr>
          <w:p w14:paraId="01985471"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127</w:t>
            </w:r>
          </w:p>
        </w:tc>
        <w:tc>
          <w:tcPr>
            <w:tcW w:w="582" w:type="pct"/>
            <w:tcBorders>
              <w:top w:val="nil"/>
              <w:left w:val="nil"/>
              <w:bottom w:val="nil"/>
              <w:right w:val="nil"/>
            </w:tcBorders>
            <w:shd w:val="clear" w:color="auto" w:fill="auto"/>
            <w:noWrap/>
            <w:vAlign w:val="bottom"/>
            <w:hideMark/>
          </w:tcPr>
          <w:p w14:paraId="4BEC28A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0.71</w:t>
            </w:r>
          </w:p>
        </w:tc>
        <w:tc>
          <w:tcPr>
            <w:tcW w:w="723" w:type="pct"/>
            <w:tcBorders>
              <w:top w:val="nil"/>
              <w:left w:val="nil"/>
              <w:bottom w:val="nil"/>
              <w:right w:val="nil"/>
            </w:tcBorders>
            <w:shd w:val="clear" w:color="auto" w:fill="auto"/>
            <w:noWrap/>
            <w:vAlign w:val="bottom"/>
            <w:hideMark/>
          </w:tcPr>
          <w:p w14:paraId="3DDF571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[0.12, 4.36]</w:t>
            </w:r>
          </w:p>
        </w:tc>
        <w:tc>
          <w:tcPr>
            <w:tcW w:w="459" w:type="pct"/>
            <w:tcBorders>
              <w:top w:val="nil"/>
              <w:left w:val="nil"/>
              <w:bottom w:val="nil"/>
              <w:right w:val="nil"/>
            </w:tcBorders>
            <w:shd w:val="clear" w:color="auto" w:fill="auto"/>
            <w:noWrap/>
            <w:vAlign w:val="bottom"/>
            <w:hideMark/>
          </w:tcPr>
          <w:p w14:paraId="3C1D184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0.36</w:t>
            </w:r>
          </w:p>
        </w:tc>
      </w:tr>
      <w:tr w:rsidR="0049448B" w:rsidRPr="0049448B" w14:paraId="39DA7DF6" w14:textId="77777777" w:rsidTr="0049448B">
        <w:trPr>
          <w:trHeight w:val="220"/>
        </w:trPr>
        <w:tc>
          <w:tcPr>
            <w:tcW w:w="496" w:type="pct"/>
            <w:tcBorders>
              <w:top w:val="nil"/>
              <w:left w:val="nil"/>
              <w:bottom w:val="nil"/>
              <w:right w:val="nil"/>
            </w:tcBorders>
            <w:shd w:val="clear" w:color="auto" w:fill="auto"/>
            <w:noWrap/>
            <w:vAlign w:val="bottom"/>
            <w:hideMark/>
          </w:tcPr>
          <w:p w14:paraId="7DACEB83"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6DD40463"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IL6-174G&gt;C (rs1800795)</w:t>
            </w:r>
          </w:p>
        </w:tc>
        <w:tc>
          <w:tcPr>
            <w:tcW w:w="637" w:type="pct"/>
            <w:tcBorders>
              <w:top w:val="nil"/>
              <w:left w:val="nil"/>
              <w:bottom w:val="nil"/>
              <w:right w:val="nil"/>
            </w:tcBorders>
            <w:shd w:val="clear" w:color="auto" w:fill="auto"/>
            <w:noWrap/>
            <w:vAlign w:val="bottom"/>
            <w:hideMark/>
          </w:tcPr>
          <w:p w14:paraId="79B93748"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2,347</w:t>
            </w:r>
          </w:p>
        </w:tc>
        <w:tc>
          <w:tcPr>
            <w:tcW w:w="694" w:type="pct"/>
            <w:tcBorders>
              <w:top w:val="nil"/>
              <w:left w:val="nil"/>
              <w:bottom w:val="nil"/>
              <w:right w:val="nil"/>
            </w:tcBorders>
            <w:shd w:val="clear" w:color="auto" w:fill="auto"/>
            <w:noWrap/>
            <w:vAlign w:val="bottom"/>
            <w:hideMark/>
          </w:tcPr>
          <w:p w14:paraId="518AC5F5"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129</w:t>
            </w:r>
          </w:p>
        </w:tc>
        <w:tc>
          <w:tcPr>
            <w:tcW w:w="582" w:type="pct"/>
            <w:tcBorders>
              <w:top w:val="nil"/>
              <w:left w:val="nil"/>
              <w:bottom w:val="nil"/>
              <w:right w:val="nil"/>
            </w:tcBorders>
            <w:shd w:val="clear" w:color="auto" w:fill="auto"/>
            <w:noWrap/>
            <w:vAlign w:val="bottom"/>
            <w:hideMark/>
          </w:tcPr>
          <w:p w14:paraId="53D92B2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0.05</w:t>
            </w:r>
          </w:p>
        </w:tc>
        <w:tc>
          <w:tcPr>
            <w:tcW w:w="723" w:type="pct"/>
            <w:tcBorders>
              <w:top w:val="nil"/>
              <w:left w:val="nil"/>
              <w:bottom w:val="nil"/>
              <w:right w:val="nil"/>
            </w:tcBorders>
            <w:shd w:val="clear" w:color="auto" w:fill="auto"/>
            <w:noWrap/>
            <w:vAlign w:val="bottom"/>
            <w:hideMark/>
          </w:tcPr>
          <w:p w14:paraId="4D589D1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[0.00, 1.01]</w:t>
            </w:r>
          </w:p>
        </w:tc>
        <w:tc>
          <w:tcPr>
            <w:tcW w:w="459" w:type="pct"/>
            <w:tcBorders>
              <w:top w:val="nil"/>
              <w:left w:val="nil"/>
              <w:bottom w:val="nil"/>
              <w:right w:val="nil"/>
            </w:tcBorders>
            <w:shd w:val="clear" w:color="auto" w:fill="auto"/>
            <w:noWrap/>
            <w:vAlign w:val="bottom"/>
            <w:hideMark/>
          </w:tcPr>
          <w:p w14:paraId="5B8FE1E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0.03</w:t>
            </w:r>
          </w:p>
        </w:tc>
      </w:tr>
      <w:tr w:rsidR="0049448B" w:rsidRPr="0049448B" w14:paraId="3CC4A2E9" w14:textId="77777777" w:rsidTr="0049448B">
        <w:trPr>
          <w:trHeight w:val="260"/>
        </w:trPr>
        <w:tc>
          <w:tcPr>
            <w:tcW w:w="496" w:type="pct"/>
            <w:tcBorders>
              <w:top w:val="nil"/>
              <w:left w:val="nil"/>
              <w:bottom w:val="nil"/>
              <w:right w:val="nil"/>
            </w:tcBorders>
            <w:shd w:val="clear" w:color="auto" w:fill="auto"/>
            <w:noWrap/>
            <w:vAlign w:val="bottom"/>
            <w:hideMark/>
          </w:tcPr>
          <w:p w14:paraId="0E1F29CD"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5C93525F"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IL6-597G&gt;A (rs1800797)</w:t>
            </w:r>
          </w:p>
        </w:tc>
        <w:tc>
          <w:tcPr>
            <w:tcW w:w="637" w:type="pct"/>
            <w:tcBorders>
              <w:top w:val="nil"/>
              <w:left w:val="nil"/>
              <w:bottom w:val="nil"/>
              <w:right w:val="nil"/>
            </w:tcBorders>
            <w:shd w:val="clear" w:color="auto" w:fill="auto"/>
            <w:noWrap/>
            <w:vAlign w:val="bottom"/>
            <w:hideMark/>
          </w:tcPr>
          <w:p w14:paraId="1ACBE97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3,852</w:t>
            </w:r>
          </w:p>
        </w:tc>
        <w:tc>
          <w:tcPr>
            <w:tcW w:w="694" w:type="pct"/>
            <w:tcBorders>
              <w:top w:val="nil"/>
              <w:left w:val="nil"/>
              <w:bottom w:val="nil"/>
              <w:right w:val="nil"/>
            </w:tcBorders>
            <w:shd w:val="clear" w:color="auto" w:fill="auto"/>
            <w:noWrap/>
            <w:vAlign w:val="bottom"/>
            <w:hideMark/>
          </w:tcPr>
          <w:p w14:paraId="1BC95E98"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219</w:t>
            </w:r>
          </w:p>
        </w:tc>
        <w:tc>
          <w:tcPr>
            <w:tcW w:w="582" w:type="pct"/>
            <w:tcBorders>
              <w:top w:val="nil"/>
              <w:left w:val="nil"/>
              <w:bottom w:val="nil"/>
              <w:right w:val="nil"/>
            </w:tcBorders>
            <w:shd w:val="clear" w:color="auto" w:fill="auto"/>
            <w:noWrap/>
            <w:vAlign w:val="bottom"/>
            <w:hideMark/>
          </w:tcPr>
          <w:p w14:paraId="173E9C34"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0.08</w:t>
            </w:r>
          </w:p>
        </w:tc>
        <w:tc>
          <w:tcPr>
            <w:tcW w:w="723" w:type="pct"/>
            <w:tcBorders>
              <w:top w:val="nil"/>
              <w:left w:val="nil"/>
              <w:bottom w:val="nil"/>
              <w:right w:val="nil"/>
            </w:tcBorders>
            <w:shd w:val="clear" w:color="auto" w:fill="auto"/>
            <w:noWrap/>
            <w:vAlign w:val="bottom"/>
            <w:hideMark/>
          </w:tcPr>
          <w:p w14:paraId="57FB2618"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[0.01, 0.80]</w:t>
            </w:r>
          </w:p>
        </w:tc>
        <w:tc>
          <w:tcPr>
            <w:tcW w:w="459" w:type="pct"/>
            <w:tcBorders>
              <w:top w:val="nil"/>
              <w:left w:val="nil"/>
              <w:bottom w:val="nil"/>
              <w:right w:val="nil"/>
            </w:tcBorders>
            <w:shd w:val="clear" w:color="auto" w:fill="auto"/>
            <w:noWrap/>
            <w:vAlign w:val="bottom"/>
            <w:hideMark/>
          </w:tcPr>
          <w:p w14:paraId="58F15131"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0.02</w:t>
            </w:r>
          </w:p>
        </w:tc>
      </w:tr>
      <w:tr w:rsidR="0049448B" w:rsidRPr="0049448B" w14:paraId="7B40140A" w14:textId="77777777" w:rsidTr="0049448B">
        <w:trPr>
          <w:trHeight w:val="260"/>
        </w:trPr>
        <w:tc>
          <w:tcPr>
            <w:tcW w:w="496" w:type="pct"/>
            <w:tcBorders>
              <w:top w:val="nil"/>
              <w:left w:val="nil"/>
              <w:bottom w:val="nil"/>
              <w:right w:val="nil"/>
            </w:tcBorders>
            <w:shd w:val="clear" w:color="auto" w:fill="auto"/>
            <w:noWrap/>
            <w:vAlign w:val="bottom"/>
            <w:hideMark/>
          </w:tcPr>
          <w:p w14:paraId="5EAAA3E0" w14:textId="77777777" w:rsidR="0049448B" w:rsidRPr="0049448B" w:rsidRDefault="0049448B" w:rsidP="0049448B">
            <w:pPr>
              <w:jc w:val="right"/>
              <w:rPr>
                <w:rFonts w:eastAsia="Times New Roman" w:cs="Arial"/>
                <w:b/>
                <w:bCs/>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535DC368"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IL10-1082A&gt;G (rs1800896)</w:t>
            </w:r>
          </w:p>
        </w:tc>
        <w:tc>
          <w:tcPr>
            <w:tcW w:w="637" w:type="pct"/>
            <w:tcBorders>
              <w:top w:val="nil"/>
              <w:left w:val="nil"/>
              <w:bottom w:val="nil"/>
              <w:right w:val="nil"/>
            </w:tcBorders>
            <w:shd w:val="clear" w:color="auto" w:fill="auto"/>
            <w:noWrap/>
            <w:vAlign w:val="bottom"/>
            <w:hideMark/>
          </w:tcPr>
          <w:p w14:paraId="4F1E505C"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4,173</w:t>
            </w:r>
          </w:p>
        </w:tc>
        <w:tc>
          <w:tcPr>
            <w:tcW w:w="694" w:type="pct"/>
            <w:tcBorders>
              <w:top w:val="nil"/>
              <w:left w:val="nil"/>
              <w:bottom w:val="nil"/>
              <w:right w:val="nil"/>
            </w:tcBorders>
            <w:shd w:val="clear" w:color="auto" w:fill="auto"/>
            <w:noWrap/>
            <w:vAlign w:val="bottom"/>
            <w:hideMark/>
          </w:tcPr>
          <w:p w14:paraId="58FDC29F"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233</w:t>
            </w:r>
          </w:p>
        </w:tc>
        <w:tc>
          <w:tcPr>
            <w:tcW w:w="582" w:type="pct"/>
            <w:tcBorders>
              <w:top w:val="nil"/>
              <w:left w:val="nil"/>
              <w:bottom w:val="nil"/>
              <w:right w:val="nil"/>
            </w:tcBorders>
            <w:shd w:val="clear" w:color="auto" w:fill="auto"/>
            <w:noWrap/>
            <w:vAlign w:val="bottom"/>
            <w:hideMark/>
          </w:tcPr>
          <w:p w14:paraId="1A20288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0.89</w:t>
            </w:r>
          </w:p>
        </w:tc>
        <w:tc>
          <w:tcPr>
            <w:tcW w:w="723" w:type="pct"/>
            <w:tcBorders>
              <w:top w:val="nil"/>
              <w:left w:val="nil"/>
              <w:bottom w:val="nil"/>
              <w:right w:val="nil"/>
            </w:tcBorders>
            <w:shd w:val="clear" w:color="auto" w:fill="auto"/>
            <w:noWrap/>
            <w:vAlign w:val="bottom"/>
            <w:hideMark/>
          </w:tcPr>
          <w:p w14:paraId="5EBE8F1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[0.16, 5.04]</w:t>
            </w:r>
          </w:p>
        </w:tc>
        <w:tc>
          <w:tcPr>
            <w:tcW w:w="459" w:type="pct"/>
            <w:tcBorders>
              <w:top w:val="nil"/>
              <w:left w:val="nil"/>
              <w:bottom w:val="nil"/>
              <w:right w:val="nil"/>
            </w:tcBorders>
            <w:shd w:val="clear" w:color="auto" w:fill="auto"/>
            <w:noWrap/>
            <w:vAlign w:val="bottom"/>
            <w:hideMark/>
          </w:tcPr>
          <w:p w14:paraId="4F834D7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0.45</w:t>
            </w:r>
          </w:p>
        </w:tc>
      </w:tr>
      <w:tr w:rsidR="0049448B" w:rsidRPr="0049448B" w14:paraId="6122EAB8" w14:textId="77777777" w:rsidTr="0049448B">
        <w:trPr>
          <w:trHeight w:val="260"/>
        </w:trPr>
        <w:tc>
          <w:tcPr>
            <w:tcW w:w="496" w:type="pct"/>
            <w:tcBorders>
              <w:top w:val="nil"/>
              <w:left w:val="nil"/>
              <w:bottom w:val="nil"/>
              <w:right w:val="nil"/>
            </w:tcBorders>
            <w:shd w:val="clear" w:color="auto" w:fill="auto"/>
            <w:noWrap/>
            <w:vAlign w:val="bottom"/>
            <w:hideMark/>
          </w:tcPr>
          <w:p w14:paraId="644DB1DA"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3ACD988"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IL10-3575T&gt;A (rs1800890)</w:t>
            </w:r>
          </w:p>
        </w:tc>
        <w:tc>
          <w:tcPr>
            <w:tcW w:w="637" w:type="pct"/>
            <w:tcBorders>
              <w:top w:val="nil"/>
              <w:left w:val="nil"/>
              <w:bottom w:val="nil"/>
              <w:right w:val="nil"/>
            </w:tcBorders>
            <w:shd w:val="clear" w:color="auto" w:fill="auto"/>
            <w:noWrap/>
            <w:vAlign w:val="bottom"/>
            <w:hideMark/>
          </w:tcPr>
          <w:p w14:paraId="6921E802"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5,914</w:t>
            </w:r>
          </w:p>
        </w:tc>
        <w:tc>
          <w:tcPr>
            <w:tcW w:w="694" w:type="pct"/>
            <w:tcBorders>
              <w:top w:val="nil"/>
              <w:left w:val="nil"/>
              <w:bottom w:val="nil"/>
              <w:right w:val="nil"/>
            </w:tcBorders>
            <w:shd w:val="clear" w:color="auto" w:fill="auto"/>
            <w:noWrap/>
            <w:vAlign w:val="bottom"/>
            <w:hideMark/>
          </w:tcPr>
          <w:p w14:paraId="54CE7801"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378</w:t>
            </w:r>
          </w:p>
        </w:tc>
        <w:tc>
          <w:tcPr>
            <w:tcW w:w="582" w:type="pct"/>
            <w:tcBorders>
              <w:top w:val="nil"/>
              <w:left w:val="nil"/>
              <w:bottom w:val="nil"/>
              <w:right w:val="nil"/>
            </w:tcBorders>
            <w:shd w:val="clear" w:color="auto" w:fill="auto"/>
            <w:noWrap/>
            <w:vAlign w:val="bottom"/>
            <w:hideMark/>
          </w:tcPr>
          <w:p w14:paraId="0FDEB20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1.07</w:t>
            </w:r>
          </w:p>
        </w:tc>
        <w:tc>
          <w:tcPr>
            <w:tcW w:w="723" w:type="pct"/>
            <w:tcBorders>
              <w:top w:val="nil"/>
              <w:left w:val="nil"/>
              <w:bottom w:val="nil"/>
              <w:right w:val="nil"/>
            </w:tcBorders>
            <w:shd w:val="clear" w:color="auto" w:fill="auto"/>
            <w:noWrap/>
            <w:vAlign w:val="bottom"/>
            <w:hideMark/>
          </w:tcPr>
          <w:p w14:paraId="6D6187F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[0.36, 3.16]</w:t>
            </w:r>
          </w:p>
        </w:tc>
        <w:tc>
          <w:tcPr>
            <w:tcW w:w="459" w:type="pct"/>
            <w:tcBorders>
              <w:top w:val="nil"/>
              <w:left w:val="nil"/>
              <w:bottom w:val="nil"/>
              <w:right w:val="nil"/>
            </w:tcBorders>
            <w:shd w:val="clear" w:color="auto" w:fill="auto"/>
            <w:noWrap/>
            <w:vAlign w:val="bottom"/>
            <w:hideMark/>
          </w:tcPr>
          <w:p w14:paraId="51A925F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0.55</w:t>
            </w:r>
          </w:p>
        </w:tc>
      </w:tr>
      <w:tr w:rsidR="0049448B" w:rsidRPr="0049448B" w14:paraId="3B7CCB03" w14:textId="77777777" w:rsidTr="0049448B">
        <w:trPr>
          <w:trHeight w:val="260"/>
        </w:trPr>
        <w:tc>
          <w:tcPr>
            <w:tcW w:w="496" w:type="pct"/>
            <w:tcBorders>
              <w:top w:val="nil"/>
              <w:left w:val="nil"/>
              <w:bottom w:val="nil"/>
              <w:right w:val="nil"/>
            </w:tcBorders>
            <w:shd w:val="clear" w:color="auto" w:fill="auto"/>
            <w:noWrap/>
            <w:vAlign w:val="bottom"/>
            <w:hideMark/>
          </w:tcPr>
          <w:p w14:paraId="13937B33"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1BEA0BA7"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TNF-308G&gt;A (rs1800629)</w:t>
            </w:r>
          </w:p>
        </w:tc>
        <w:tc>
          <w:tcPr>
            <w:tcW w:w="637" w:type="pct"/>
            <w:tcBorders>
              <w:top w:val="nil"/>
              <w:left w:val="nil"/>
              <w:bottom w:val="nil"/>
              <w:right w:val="nil"/>
            </w:tcBorders>
            <w:shd w:val="clear" w:color="auto" w:fill="auto"/>
            <w:noWrap/>
            <w:vAlign w:val="bottom"/>
            <w:hideMark/>
          </w:tcPr>
          <w:p w14:paraId="7CCDBB03"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5,562</w:t>
            </w:r>
          </w:p>
        </w:tc>
        <w:tc>
          <w:tcPr>
            <w:tcW w:w="694" w:type="pct"/>
            <w:tcBorders>
              <w:top w:val="nil"/>
              <w:left w:val="nil"/>
              <w:bottom w:val="nil"/>
              <w:right w:val="nil"/>
            </w:tcBorders>
            <w:shd w:val="clear" w:color="auto" w:fill="auto"/>
            <w:noWrap/>
            <w:vAlign w:val="bottom"/>
            <w:hideMark/>
          </w:tcPr>
          <w:p w14:paraId="7B8C6EE0"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369</w:t>
            </w:r>
          </w:p>
        </w:tc>
        <w:tc>
          <w:tcPr>
            <w:tcW w:w="582" w:type="pct"/>
            <w:tcBorders>
              <w:top w:val="nil"/>
              <w:left w:val="nil"/>
              <w:bottom w:val="nil"/>
              <w:right w:val="nil"/>
            </w:tcBorders>
            <w:shd w:val="clear" w:color="auto" w:fill="auto"/>
            <w:noWrap/>
            <w:vAlign w:val="bottom"/>
            <w:hideMark/>
          </w:tcPr>
          <w:p w14:paraId="5586934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1.20</w:t>
            </w:r>
          </w:p>
        </w:tc>
        <w:tc>
          <w:tcPr>
            <w:tcW w:w="723" w:type="pct"/>
            <w:tcBorders>
              <w:top w:val="nil"/>
              <w:left w:val="nil"/>
              <w:bottom w:val="nil"/>
              <w:right w:val="nil"/>
            </w:tcBorders>
            <w:shd w:val="clear" w:color="auto" w:fill="auto"/>
            <w:noWrap/>
            <w:vAlign w:val="bottom"/>
            <w:hideMark/>
          </w:tcPr>
          <w:p w14:paraId="26CC765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[0.39, 3.71]</w:t>
            </w:r>
          </w:p>
        </w:tc>
        <w:tc>
          <w:tcPr>
            <w:tcW w:w="459" w:type="pct"/>
            <w:tcBorders>
              <w:top w:val="nil"/>
              <w:left w:val="nil"/>
              <w:bottom w:val="nil"/>
              <w:right w:val="nil"/>
            </w:tcBorders>
            <w:shd w:val="clear" w:color="auto" w:fill="auto"/>
            <w:noWrap/>
            <w:vAlign w:val="bottom"/>
            <w:hideMark/>
          </w:tcPr>
          <w:p w14:paraId="0CE4AAE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0.62</w:t>
            </w:r>
          </w:p>
        </w:tc>
      </w:tr>
      <w:tr w:rsidR="0049448B" w:rsidRPr="0049448B" w14:paraId="6DEF5E71" w14:textId="77777777" w:rsidTr="0049448B">
        <w:trPr>
          <w:trHeight w:val="220"/>
        </w:trPr>
        <w:tc>
          <w:tcPr>
            <w:tcW w:w="496" w:type="pct"/>
            <w:tcBorders>
              <w:top w:val="nil"/>
              <w:left w:val="nil"/>
              <w:bottom w:val="nil"/>
              <w:right w:val="nil"/>
            </w:tcBorders>
            <w:shd w:val="clear" w:color="auto" w:fill="auto"/>
            <w:noWrap/>
            <w:vAlign w:val="bottom"/>
            <w:hideMark/>
          </w:tcPr>
          <w:p w14:paraId="3D85184B" w14:textId="77777777" w:rsidR="0049448B" w:rsidRPr="0049448B" w:rsidRDefault="0049448B" w:rsidP="0049448B">
            <w:pPr>
              <w:jc w:val="right"/>
              <w:rPr>
                <w:rFonts w:eastAsia="Times New Roman" w:cs="Arial"/>
                <w:color w:val="000000"/>
                <w:sz w:val="16"/>
                <w:szCs w:val="16"/>
                <w:lang w:eastAsia="en-US"/>
              </w:rPr>
            </w:pPr>
          </w:p>
        </w:tc>
        <w:tc>
          <w:tcPr>
            <w:tcW w:w="1408" w:type="pct"/>
            <w:tcBorders>
              <w:top w:val="nil"/>
              <w:left w:val="nil"/>
              <w:bottom w:val="nil"/>
              <w:right w:val="nil"/>
            </w:tcBorders>
            <w:shd w:val="clear" w:color="auto" w:fill="auto"/>
            <w:noWrap/>
            <w:vAlign w:val="bottom"/>
            <w:hideMark/>
          </w:tcPr>
          <w:p w14:paraId="3601C5CC"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C&gt;A (rs6457327)</w:t>
            </w:r>
          </w:p>
        </w:tc>
        <w:tc>
          <w:tcPr>
            <w:tcW w:w="637" w:type="pct"/>
            <w:tcBorders>
              <w:top w:val="nil"/>
              <w:left w:val="nil"/>
              <w:bottom w:val="nil"/>
              <w:right w:val="nil"/>
            </w:tcBorders>
            <w:shd w:val="clear" w:color="auto" w:fill="auto"/>
            <w:noWrap/>
            <w:vAlign w:val="bottom"/>
            <w:hideMark/>
          </w:tcPr>
          <w:p w14:paraId="7D0DE0B2"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2,963</w:t>
            </w:r>
          </w:p>
        </w:tc>
        <w:tc>
          <w:tcPr>
            <w:tcW w:w="694" w:type="pct"/>
            <w:tcBorders>
              <w:top w:val="nil"/>
              <w:left w:val="nil"/>
              <w:bottom w:val="nil"/>
              <w:right w:val="nil"/>
            </w:tcBorders>
            <w:shd w:val="clear" w:color="auto" w:fill="auto"/>
            <w:noWrap/>
            <w:vAlign w:val="bottom"/>
            <w:hideMark/>
          </w:tcPr>
          <w:p w14:paraId="187218B5"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183</w:t>
            </w:r>
          </w:p>
        </w:tc>
        <w:tc>
          <w:tcPr>
            <w:tcW w:w="582" w:type="pct"/>
            <w:tcBorders>
              <w:top w:val="nil"/>
              <w:left w:val="nil"/>
              <w:bottom w:val="nil"/>
              <w:right w:val="nil"/>
            </w:tcBorders>
            <w:shd w:val="clear" w:color="auto" w:fill="auto"/>
            <w:noWrap/>
            <w:vAlign w:val="bottom"/>
            <w:hideMark/>
          </w:tcPr>
          <w:p w14:paraId="6C2A9DF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3.36</w:t>
            </w:r>
          </w:p>
        </w:tc>
        <w:tc>
          <w:tcPr>
            <w:tcW w:w="723" w:type="pct"/>
            <w:tcBorders>
              <w:top w:val="nil"/>
              <w:left w:val="nil"/>
              <w:bottom w:val="nil"/>
              <w:right w:val="nil"/>
            </w:tcBorders>
            <w:shd w:val="clear" w:color="auto" w:fill="auto"/>
            <w:noWrap/>
            <w:vAlign w:val="bottom"/>
            <w:hideMark/>
          </w:tcPr>
          <w:p w14:paraId="39FAC7C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[0.48, 23.47]</w:t>
            </w:r>
          </w:p>
        </w:tc>
        <w:tc>
          <w:tcPr>
            <w:tcW w:w="459" w:type="pct"/>
            <w:tcBorders>
              <w:top w:val="nil"/>
              <w:left w:val="nil"/>
              <w:bottom w:val="nil"/>
              <w:right w:val="nil"/>
            </w:tcBorders>
            <w:shd w:val="clear" w:color="auto" w:fill="auto"/>
            <w:noWrap/>
            <w:vAlign w:val="bottom"/>
            <w:hideMark/>
          </w:tcPr>
          <w:p w14:paraId="64CED5D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0.89</w:t>
            </w:r>
          </w:p>
        </w:tc>
      </w:tr>
      <w:tr w:rsidR="0049448B" w:rsidRPr="0049448B" w14:paraId="1DBD4D5A" w14:textId="77777777" w:rsidTr="0049448B">
        <w:trPr>
          <w:trHeight w:val="260"/>
        </w:trPr>
        <w:tc>
          <w:tcPr>
            <w:tcW w:w="496" w:type="pct"/>
            <w:tcBorders>
              <w:top w:val="nil"/>
              <w:left w:val="nil"/>
              <w:bottom w:val="single" w:sz="8" w:space="0" w:color="auto"/>
              <w:right w:val="nil"/>
            </w:tcBorders>
            <w:shd w:val="clear" w:color="auto" w:fill="auto"/>
            <w:noWrap/>
            <w:vAlign w:val="bottom"/>
            <w:hideMark/>
          </w:tcPr>
          <w:p w14:paraId="1307091E" w14:textId="77777777" w:rsidR="0049448B" w:rsidRPr="0049448B" w:rsidRDefault="0049448B" w:rsidP="0049448B">
            <w:pPr>
              <w:rPr>
                <w:rFonts w:eastAsia="Times New Roman" w:cs="Arial"/>
                <w:sz w:val="16"/>
                <w:szCs w:val="16"/>
                <w:lang w:eastAsia="en-US"/>
              </w:rPr>
            </w:pPr>
            <w:r w:rsidRPr="0049448B">
              <w:rPr>
                <w:rFonts w:eastAsia="Times New Roman" w:cs="Arial"/>
                <w:sz w:val="16"/>
                <w:szCs w:val="16"/>
                <w:lang w:eastAsia="en-US"/>
              </w:rPr>
              <w:t> </w:t>
            </w:r>
          </w:p>
        </w:tc>
        <w:tc>
          <w:tcPr>
            <w:tcW w:w="1408" w:type="pct"/>
            <w:tcBorders>
              <w:top w:val="nil"/>
              <w:left w:val="nil"/>
              <w:bottom w:val="single" w:sz="8" w:space="0" w:color="auto"/>
              <w:right w:val="nil"/>
            </w:tcBorders>
            <w:shd w:val="clear" w:color="auto" w:fill="auto"/>
            <w:noWrap/>
            <w:vAlign w:val="bottom"/>
            <w:hideMark/>
          </w:tcPr>
          <w:p w14:paraId="0FF58550"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T&gt;G (rs10484561)</w:t>
            </w:r>
          </w:p>
        </w:tc>
        <w:tc>
          <w:tcPr>
            <w:tcW w:w="637" w:type="pct"/>
            <w:tcBorders>
              <w:top w:val="nil"/>
              <w:left w:val="nil"/>
              <w:bottom w:val="nil"/>
              <w:right w:val="nil"/>
            </w:tcBorders>
            <w:shd w:val="clear" w:color="auto" w:fill="auto"/>
            <w:noWrap/>
            <w:vAlign w:val="bottom"/>
            <w:hideMark/>
          </w:tcPr>
          <w:p w14:paraId="5908177E"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3,989</w:t>
            </w:r>
          </w:p>
        </w:tc>
        <w:tc>
          <w:tcPr>
            <w:tcW w:w="694" w:type="pct"/>
            <w:tcBorders>
              <w:top w:val="nil"/>
              <w:left w:val="nil"/>
              <w:bottom w:val="nil"/>
              <w:right w:val="nil"/>
            </w:tcBorders>
            <w:shd w:val="clear" w:color="auto" w:fill="auto"/>
            <w:noWrap/>
            <w:vAlign w:val="bottom"/>
            <w:hideMark/>
          </w:tcPr>
          <w:p w14:paraId="267A16EA"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210</w:t>
            </w:r>
          </w:p>
        </w:tc>
        <w:tc>
          <w:tcPr>
            <w:tcW w:w="582" w:type="pct"/>
            <w:tcBorders>
              <w:top w:val="nil"/>
              <w:left w:val="nil"/>
              <w:bottom w:val="single" w:sz="8" w:space="0" w:color="auto"/>
              <w:right w:val="nil"/>
            </w:tcBorders>
            <w:shd w:val="clear" w:color="auto" w:fill="auto"/>
            <w:noWrap/>
            <w:vAlign w:val="bottom"/>
            <w:hideMark/>
          </w:tcPr>
          <w:p w14:paraId="34CDD63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1.82</w:t>
            </w:r>
          </w:p>
        </w:tc>
        <w:tc>
          <w:tcPr>
            <w:tcW w:w="723" w:type="pct"/>
            <w:tcBorders>
              <w:top w:val="nil"/>
              <w:left w:val="nil"/>
              <w:bottom w:val="single" w:sz="8" w:space="0" w:color="auto"/>
              <w:right w:val="nil"/>
            </w:tcBorders>
            <w:shd w:val="clear" w:color="auto" w:fill="auto"/>
            <w:noWrap/>
            <w:vAlign w:val="bottom"/>
            <w:hideMark/>
          </w:tcPr>
          <w:p w14:paraId="579EDEB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[0.31, 10.58]</w:t>
            </w:r>
          </w:p>
        </w:tc>
        <w:tc>
          <w:tcPr>
            <w:tcW w:w="459" w:type="pct"/>
            <w:tcBorders>
              <w:top w:val="nil"/>
              <w:left w:val="nil"/>
              <w:bottom w:val="nil"/>
              <w:right w:val="nil"/>
            </w:tcBorders>
            <w:shd w:val="clear" w:color="auto" w:fill="auto"/>
            <w:noWrap/>
            <w:vAlign w:val="bottom"/>
            <w:hideMark/>
          </w:tcPr>
          <w:p w14:paraId="04D2957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0.75</w:t>
            </w:r>
          </w:p>
        </w:tc>
      </w:tr>
      <w:tr w:rsidR="0049448B" w:rsidRPr="0049448B" w14:paraId="6802CE31" w14:textId="77777777" w:rsidTr="0049448B">
        <w:trPr>
          <w:trHeight w:val="1120"/>
        </w:trPr>
        <w:tc>
          <w:tcPr>
            <w:tcW w:w="5000" w:type="pct"/>
            <w:gridSpan w:val="7"/>
            <w:tcBorders>
              <w:top w:val="single" w:sz="8" w:space="0" w:color="auto"/>
              <w:left w:val="nil"/>
              <w:bottom w:val="nil"/>
              <w:right w:val="nil"/>
            </w:tcBorders>
            <w:shd w:val="clear" w:color="auto" w:fill="auto"/>
            <w:vAlign w:val="bottom"/>
            <w:hideMark/>
          </w:tcPr>
          <w:p w14:paraId="024D3BFB"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xml:space="preserve">NHL: non-Hodgkin Lymphoma.  </w:t>
            </w:r>
            <w:r w:rsidRPr="0049448B">
              <w:rPr>
                <w:rFonts w:eastAsia="Times New Roman" w:cs="Arial"/>
                <w:color w:val="000000"/>
                <w:sz w:val="16"/>
                <w:szCs w:val="16"/>
                <w:lang w:eastAsia="en-US"/>
              </w:rPr>
              <w:br/>
              <w:t xml:space="preserve">CLL/SLL: chronic lymphocytic leukemia/small lymphocytic lymphoma. </w:t>
            </w:r>
            <w:r w:rsidRPr="0049448B">
              <w:rPr>
                <w:rFonts w:eastAsia="Times New Roman" w:cs="Arial"/>
                <w:color w:val="000000"/>
                <w:sz w:val="16"/>
                <w:szCs w:val="16"/>
                <w:lang w:eastAsia="en-US"/>
              </w:rPr>
              <w:br/>
              <w:t xml:space="preserve">DLBCL: diffuse large B-cell lymphoma. </w:t>
            </w:r>
            <w:r w:rsidRPr="0049448B">
              <w:rPr>
                <w:rFonts w:eastAsia="Times New Roman" w:cs="Arial"/>
                <w:color w:val="000000"/>
                <w:sz w:val="16"/>
                <w:szCs w:val="16"/>
                <w:lang w:eastAsia="en-US"/>
              </w:rPr>
              <w:br/>
              <w:t xml:space="preserve">FL: follicular lymphoma. </w:t>
            </w:r>
            <w:r w:rsidRPr="0049448B">
              <w:rPr>
                <w:rFonts w:eastAsia="Times New Roman" w:cs="Arial"/>
                <w:color w:val="000000"/>
                <w:sz w:val="16"/>
                <w:szCs w:val="16"/>
                <w:lang w:eastAsia="en-US"/>
              </w:rPr>
              <w:br/>
              <w:t>MCL: mantle cell lymphoma.</w:t>
            </w:r>
          </w:p>
        </w:tc>
      </w:tr>
      <w:tr w:rsidR="0049448B" w:rsidRPr="0049448B" w14:paraId="64F0235B" w14:textId="77777777" w:rsidTr="0049448B">
        <w:trPr>
          <w:trHeight w:val="220"/>
        </w:trPr>
        <w:tc>
          <w:tcPr>
            <w:tcW w:w="5000" w:type="pct"/>
            <w:gridSpan w:val="7"/>
            <w:tcBorders>
              <w:top w:val="nil"/>
              <w:left w:val="nil"/>
              <w:bottom w:val="nil"/>
              <w:right w:val="nil"/>
            </w:tcBorders>
            <w:shd w:val="clear" w:color="auto" w:fill="auto"/>
            <w:noWrap/>
            <w:vAlign w:val="bottom"/>
            <w:hideMark/>
          </w:tcPr>
          <w:p w14:paraId="4EAD2EFB"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OR: odds ratio.</w:t>
            </w:r>
          </w:p>
        </w:tc>
      </w:tr>
      <w:tr w:rsidR="0049448B" w:rsidRPr="0049448B" w14:paraId="0BA3F8B1" w14:textId="77777777" w:rsidTr="0049448B">
        <w:trPr>
          <w:trHeight w:val="220"/>
        </w:trPr>
        <w:tc>
          <w:tcPr>
            <w:tcW w:w="5000" w:type="pct"/>
            <w:gridSpan w:val="7"/>
            <w:tcBorders>
              <w:top w:val="nil"/>
              <w:left w:val="nil"/>
              <w:bottom w:val="nil"/>
              <w:right w:val="nil"/>
            </w:tcBorders>
            <w:shd w:val="clear" w:color="auto" w:fill="auto"/>
            <w:noWrap/>
            <w:vAlign w:val="bottom"/>
            <w:hideMark/>
          </w:tcPr>
          <w:p w14:paraId="6B894188"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CI: confidence interval.</w:t>
            </w:r>
          </w:p>
        </w:tc>
      </w:tr>
      <w:tr w:rsidR="0049448B" w:rsidRPr="0049448B" w14:paraId="0739F400" w14:textId="77777777" w:rsidTr="0049448B">
        <w:trPr>
          <w:trHeight w:val="220"/>
        </w:trPr>
        <w:tc>
          <w:tcPr>
            <w:tcW w:w="5000" w:type="pct"/>
            <w:gridSpan w:val="7"/>
            <w:tcBorders>
              <w:top w:val="nil"/>
              <w:left w:val="nil"/>
              <w:bottom w:val="nil"/>
              <w:right w:val="nil"/>
            </w:tcBorders>
            <w:shd w:val="clear" w:color="auto" w:fill="auto"/>
            <w:vAlign w:val="bottom"/>
            <w:hideMark/>
          </w:tcPr>
          <w:p w14:paraId="2C886290"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a</w:t>
            </w:r>
            <w:r w:rsidRPr="0049448B">
              <w:rPr>
                <w:rFonts w:eastAsia="Times New Roman" w:cs="Arial"/>
                <w:color w:val="000000"/>
                <w:sz w:val="16"/>
                <w:szCs w:val="16"/>
                <w:lang w:eastAsia="en-US"/>
              </w:rPr>
              <w:t xml:space="preserve"> Interaction ORs, CIs, and p-values calculated using empirical-Bayes method adjusted for age, sex, study center, and socioeconomic status.</w:t>
            </w:r>
          </w:p>
        </w:tc>
      </w:tr>
      <w:tr w:rsidR="0049448B" w:rsidRPr="0049448B" w14:paraId="528579E8" w14:textId="77777777" w:rsidTr="0049448B">
        <w:trPr>
          <w:trHeight w:val="220"/>
        </w:trPr>
        <w:tc>
          <w:tcPr>
            <w:tcW w:w="5000" w:type="pct"/>
            <w:gridSpan w:val="7"/>
            <w:tcBorders>
              <w:top w:val="nil"/>
              <w:left w:val="nil"/>
              <w:bottom w:val="nil"/>
              <w:right w:val="nil"/>
            </w:tcBorders>
            <w:shd w:val="clear" w:color="auto" w:fill="auto"/>
            <w:noWrap/>
            <w:vAlign w:val="bottom"/>
            <w:hideMark/>
          </w:tcPr>
          <w:p w14:paraId="555254A1"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b</w:t>
            </w:r>
            <w:r w:rsidRPr="0049448B">
              <w:rPr>
                <w:rFonts w:eastAsia="Times New Roman" w:cs="Arial"/>
                <w:color w:val="000000"/>
                <w:sz w:val="16"/>
                <w:szCs w:val="16"/>
                <w:lang w:eastAsia="en-US"/>
              </w:rPr>
              <w:t xml:space="preserve"> Significant values are shown in bold but did not retain significance after accounting for multiple comparisons using pACT statistic.  </w:t>
            </w:r>
          </w:p>
        </w:tc>
      </w:tr>
    </w:tbl>
    <w:p w14:paraId="304ACA5B" w14:textId="10A2FDED" w:rsidR="002F1D17" w:rsidRDefault="002F1D17" w:rsidP="00EF7273"/>
    <w:p w14:paraId="73A5922A" w14:textId="77777777" w:rsidR="0049448B" w:rsidRDefault="0049448B" w:rsidP="00EF7273">
      <w:r>
        <w:br w:type="column"/>
      </w:r>
    </w:p>
    <w:tbl>
      <w:tblPr>
        <w:tblW w:w="5000" w:type="pct"/>
        <w:tblLook w:val="04A0" w:firstRow="1" w:lastRow="0" w:firstColumn="1" w:lastColumn="0" w:noHBand="0" w:noVBand="1"/>
      </w:tblPr>
      <w:tblGrid>
        <w:gridCol w:w="838"/>
        <w:gridCol w:w="1724"/>
        <w:gridCol w:w="1875"/>
        <w:gridCol w:w="1825"/>
        <w:gridCol w:w="883"/>
        <w:gridCol w:w="2022"/>
        <w:gridCol w:w="1322"/>
        <w:gridCol w:w="311"/>
      </w:tblGrid>
      <w:tr w:rsidR="0049448B" w:rsidRPr="0049448B" w14:paraId="459966C9" w14:textId="77777777" w:rsidTr="0049448B">
        <w:trPr>
          <w:trHeight w:val="260"/>
        </w:trPr>
        <w:tc>
          <w:tcPr>
            <w:tcW w:w="5000" w:type="pct"/>
            <w:gridSpan w:val="8"/>
            <w:tcBorders>
              <w:top w:val="nil"/>
              <w:left w:val="nil"/>
              <w:bottom w:val="single" w:sz="8" w:space="0" w:color="auto"/>
              <w:right w:val="nil"/>
            </w:tcBorders>
            <w:shd w:val="clear" w:color="auto" w:fill="auto"/>
            <w:noWrap/>
            <w:vAlign w:val="bottom"/>
            <w:hideMark/>
          </w:tcPr>
          <w:p w14:paraId="31E55277" w14:textId="4F13E286" w:rsidR="0049448B" w:rsidRPr="0049448B" w:rsidRDefault="0049448B" w:rsidP="0049448B">
            <w:pPr>
              <w:rPr>
                <w:rFonts w:eastAsia="Times New Roman" w:cs="Arial"/>
                <w:b/>
                <w:bCs/>
                <w:color w:val="000000"/>
                <w:sz w:val="16"/>
                <w:szCs w:val="16"/>
                <w:lang w:eastAsia="en-US"/>
              </w:rPr>
            </w:pPr>
            <w:r w:rsidRPr="0049448B">
              <w:rPr>
                <w:rFonts w:eastAsia="Times New Roman" w:cs="Arial"/>
                <w:b/>
                <w:bCs/>
                <w:color w:val="000000"/>
                <w:sz w:val="16"/>
                <w:szCs w:val="16"/>
                <w:lang w:eastAsia="en-US"/>
              </w:rPr>
              <w:t xml:space="preserve">Table 4: Associations between IM history and demographic/familial factors among </w:t>
            </w:r>
            <w:r w:rsidR="00E44E76">
              <w:rPr>
                <w:rFonts w:eastAsia="Times New Roman" w:cs="Arial"/>
                <w:b/>
                <w:bCs/>
                <w:color w:val="000000"/>
                <w:sz w:val="16"/>
                <w:szCs w:val="16"/>
                <w:lang w:eastAsia="en-US"/>
              </w:rPr>
              <w:t xml:space="preserve">10 018 </w:t>
            </w:r>
            <w:r w:rsidRPr="0049448B">
              <w:rPr>
                <w:rFonts w:eastAsia="Times New Roman" w:cs="Arial"/>
                <w:b/>
                <w:bCs/>
                <w:color w:val="000000"/>
                <w:sz w:val="16"/>
                <w:szCs w:val="16"/>
                <w:lang w:eastAsia="en-US"/>
              </w:rPr>
              <w:t>controls</w:t>
            </w:r>
          </w:p>
        </w:tc>
      </w:tr>
      <w:tr w:rsidR="0049448B" w:rsidRPr="0049448B" w14:paraId="1FB83E78" w14:textId="77777777" w:rsidTr="0049448B">
        <w:trPr>
          <w:trHeight w:val="480"/>
        </w:trPr>
        <w:tc>
          <w:tcPr>
            <w:tcW w:w="388" w:type="pct"/>
            <w:tcBorders>
              <w:top w:val="nil"/>
              <w:left w:val="nil"/>
              <w:bottom w:val="nil"/>
              <w:right w:val="nil"/>
            </w:tcBorders>
            <w:shd w:val="clear" w:color="auto" w:fill="auto"/>
            <w:noWrap/>
            <w:vAlign w:val="bottom"/>
            <w:hideMark/>
          </w:tcPr>
          <w:p w14:paraId="290918C5" w14:textId="77777777" w:rsidR="0049448B" w:rsidRPr="0049448B" w:rsidRDefault="0049448B" w:rsidP="0049448B">
            <w:pPr>
              <w:rPr>
                <w:rFonts w:eastAsia="Times New Roman" w:cs="Arial"/>
                <w:b/>
                <w:bCs/>
                <w:color w:val="000000"/>
                <w:sz w:val="16"/>
                <w:szCs w:val="16"/>
                <w:lang w:eastAsia="en-US"/>
              </w:rPr>
            </w:pPr>
          </w:p>
        </w:tc>
        <w:tc>
          <w:tcPr>
            <w:tcW w:w="798" w:type="pct"/>
            <w:tcBorders>
              <w:top w:val="nil"/>
              <w:left w:val="nil"/>
              <w:bottom w:val="nil"/>
              <w:right w:val="nil"/>
            </w:tcBorders>
            <w:shd w:val="clear" w:color="auto" w:fill="auto"/>
            <w:noWrap/>
            <w:vAlign w:val="bottom"/>
            <w:hideMark/>
          </w:tcPr>
          <w:p w14:paraId="5D07F8AF" w14:textId="77777777" w:rsidR="0049448B" w:rsidRPr="0049448B" w:rsidRDefault="0049448B" w:rsidP="0049448B">
            <w:pPr>
              <w:jc w:val="center"/>
              <w:rPr>
                <w:rFonts w:ascii="Times New Roman" w:eastAsia="Times New Roman" w:hAnsi="Times New Roman" w:cs="Times New Roman"/>
                <w:sz w:val="20"/>
                <w:szCs w:val="20"/>
                <w:lang w:eastAsia="en-US"/>
              </w:rPr>
            </w:pPr>
          </w:p>
        </w:tc>
        <w:tc>
          <w:tcPr>
            <w:tcW w:w="868" w:type="pct"/>
            <w:tcBorders>
              <w:top w:val="nil"/>
              <w:left w:val="nil"/>
              <w:bottom w:val="nil"/>
              <w:right w:val="nil"/>
            </w:tcBorders>
            <w:shd w:val="clear" w:color="auto" w:fill="auto"/>
            <w:vAlign w:val="bottom"/>
            <w:hideMark/>
          </w:tcPr>
          <w:p w14:paraId="15DC377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IM negative controls</w:t>
            </w:r>
          </w:p>
        </w:tc>
        <w:tc>
          <w:tcPr>
            <w:tcW w:w="845" w:type="pct"/>
            <w:tcBorders>
              <w:top w:val="nil"/>
              <w:left w:val="nil"/>
              <w:bottom w:val="nil"/>
              <w:right w:val="nil"/>
            </w:tcBorders>
            <w:shd w:val="clear" w:color="auto" w:fill="auto"/>
            <w:vAlign w:val="bottom"/>
            <w:hideMark/>
          </w:tcPr>
          <w:p w14:paraId="3C491E5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IM positive controls</w:t>
            </w:r>
          </w:p>
        </w:tc>
        <w:tc>
          <w:tcPr>
            <w:tcW w:w="409" w:type="pct"/>
            <w:tcBorders>
              <w:top w:val="nil"/>
              <w:left w:val="nil"/>
              <w:bottom w:val="nil"/>
              <w:right w:val="nil"/>
            </w:tcBorders>
            <w:shd w:val="clear" w:color="auto" w:fill="auto"/>
            <w:noWrap/>
            <w:vAlign w:val="bottom"/>
            <w:hideMark/>
          </w:tcPr>
          <w:p w14:paraId="5C1E7D7F" w14:textId="77777777" w:rsidR="0049448B" w:rsidRPr="0049448B" w:rsidRDefault="0049448B" w:rsidP="0049448B">
            <w:pPr>
              <w:jc w:val="right"/>
              <w:rPr>
                <w:rFonts w:eastAsia="Times New Roman" w:cs="Arial"/>
                <w:color w:val="000000"/>
                <w:sz w:val="16"/>
                <w:szCs w:val="16"/>
                <w:lang w:eastAsia="en-US"/>
              </w:rPr>
            </w:pPr>
          </w:p>
        </w:tc>
        <w:tc>
          <w:tcPr>
            <w:tcW w:w="936" w:type="pct"/>
            <w:tcBorders>
              <w:top w:val="nil"/>
              <w:left w:val="nil"/>
              <w:bottom w:val="nil"/>
              <w:right w:val="nil"/>
            </w:tcBorders>
            <w:shd w:val="clear" w:color="auto" w:fill="auto"/>
            <w:noWrap/>
            <w:vAlign w:val="bottom"/>
            <w:hideMark/>
          </w:tcPr>
          <w:p w14:paraId="18C15552" w14:textId="77777777" w:rsidR="0049448B" w:rsidRPr="0049448B" w:rsidRDefault="0049448B" w:rsidP="0049448B">
            <w:pPr>
              <w:jc w:val="center"/>
              <w:rPr>
                <w:rFonts w:ascii="Times New Roman" w:eastAsia="Times New Roman" w:hAnsi="Times New Roman" w:cs="Times New Roman"/>
                <w:sz w:val="20"/>
                <w:szCs w:val="20"/>
                <w:lang w:eastAsia="en-US"/>
              </w:rPr>
            </w:pPr>
          </w:p>
        </w:tc>
        <w:tc>
          <w:tcPr>
            <w:tcW w:w="612" w:type="pct"/>
            <w:tcBorders>
              <w:top w:val="nil"/>
              <w:left w:val="nil"/>
              <w:bottom w:val="nil"/>
              <w:right w:val="nil"/>
            </w:tcBorders>
            <w:shd w:val="clear" w:color="auto" w:fill="auto"/>
            <w:noWrap/>
            <w:vAlign w:val="bottom"/>
            <w:hideMark/>
          </w:tcPr>
          <w:p w14:paraId="4BF2D8A5" w14:textId="77777777" w:rsidR="0049448B" w:rsidRPr="0049448B" w:rsidRDefault="0049448B" w:rsidP="0049448B">
            <w:pPr>
              <w:jc w:val="center"/>
              <w:rPr>
                <w:rFonts w:ascii="Times New Roman" w:eastAsia="Times New Roman" w:hAnsi="Times New Roman" w:cs="Times New Roman"/>
                <w:sz w:val="20"/>
                <w:szCs w:val="20"/>
                <w:lang w:eastAsia="en-US"/>
              </w:rPr>
            </w:pPr>
          </w:p>
        </w:tc>
        <w:tc>
          <w:tcPr>
            <w:tcW w:w="143" w:type="pct"/>
            <w:tcBorders>
              <w:top w:val="nil"/>
              <w:left w:val="nil"/>
              <w:bottom w:val="nil"/>
              <w:right w:val="nil"/>
            </w:tcBorders>
            <w:shd w:val="clear" w:color="auto" w:fill="auto"/>
            <w:noWrap/>
            <w:vAlign w:val="bottom"/>
            <w:hideMark/>
          </w:tcPr>
          <w:p w14:paraId="3E6E1213" w14:textId="77777777" w:rsidR="0049448B" w:rsidRPr="0049448B" w:rsidRDefault="0049448B" w:rsidP="0049448B">
            <w:pPr>
              <w:jc w:val="center"/>
              <w:rPr>
                <w:rFonts w:ascii="Times New Roman" w:eastAsia="Times New Roman" w:hAnsi="Times New Roman" w:cs="Times New Roman"/>
                <w:sz w:val="20"/>
                <w:szCs w:val="20"/>
                <w:lang w:eastAsia="en-US"/>
              </w:rPr>
            </w:pPr>
          </w:p>
        </w:tc>
      </w:tr>
      <w:tr w:rsidR="0049448B" w:rsidRPr="0049448B" w14:paraId="40910C41" w14:textId="77777777" w:rsidTr="0049448B">
        <w:trPr>
          <w:trHeight w:val="260"/>
        </w:trPr>
        <w:tc>
          <w:tcPr>
            <w:tcW w:w="388" w:type="pct"/>
            <w:tcBorders>
              <w:top w:val="nil"/>
              <w:left w:val="nil"/>
              <w:bottom w:val="nil"/>
              <w:right w:val="nil"/>
            </w:tcBorders>
            <w:shd w:val="clear" w:color="auto" w:fill="auto"/>
            <w:noWrap/>
            <w:vAlign w:val="bottom"/>
            <w:hideMark/>
          </w:tcPr>
          <w:p w14:paraId="7A4133B8" w14:textId="77777777" w:rsidR="0049448B" w:rsidRPr="0049448B" w:rsidRDefault="0049448B" w:rsidP="0049448B">
            <w:pPr>
              <w:jc w:val="center"/>
              <w:rPr>
                <w:rFonts w:ascii="Times New Roman" w:eastAsia="Times New Roman" w:hAnsi="Times New Roman" w:cs="Times New Roman"/>
                <w:sz w:val="20"/>
                <w:szCs w:val="20"/>
                <w:lang w:eastAsia="en-US"/>
              </w:rPr>
            </w:pPr>
          </w:p>
        </w:tc>
        <w:tc>
          <w:tcPr>
            <w:tcW w:w="798" w:type="pct"/>
            <w:tcBorders>
              <w:top w:val="nil"/>
              <w:left w:val="nil"/>
              <w:bottom w:val="nil"/>
              <w:right w:val="nil"/>
            </w:tcBorders>
            <w:shd w:val="clear" w:color="auto" w:fill="auto"/>
            <w:noWrap/>
            <w:vAlign w:val="bottom"/>
            <w:hideMark/>
          </w:tcPr>
          <w:p w14:paraId="326A078A" w14:textId="77777777" w:rsidR="0049448B" w:rsidRPr="0049448B" w:rsidRDefault="0049448B" w:rsidP="0049448B">
            <w:pPr>
              <w:rPr>
                <w:rFonts w:ascii="Times New Roman" w:eastAsia="Times New Roman" w:hAnsi="Times New Roman" w:cs="Times New Roman"/>
                <w:sz w:val="20"/>
                <w:szCs w:val="20"/>
                <w:lang w:eastAsia="en-US"/>
              </w:rPr>
            </w:pPr>
          </w:p>
        </w:tc>
        <w:tc>
          <w:tcPr>
            <w:tcW w:w="868" w:type="pct"/>
            <w:tcBorders>
              <w:top w:val="nil"/>
              <w:left w:val="nil"/>
              <w:bottom w:val="single" w:sz="4" w:space="0" w:color="auto"/>
              <w:right w:val="nil"/>
            </w:tcBorders>
            <w:shd w:val="clear" w:color="auto" w:fill="auto"/>
            <w:noWrap/>
            <w:vAlign w:val="bottom"/>
            <w:hideMark/>
          </w:tcPr>
          <w:p w14:paraId="28B00FFA" w14:textId="77777777" w:rsidR="0049448B" w:rsidRPr="0049448B" w:rsidRDefault="0049448B" w:rsidP="0049448B">
            <w:pPr>
              <w:jc w:val="right"/>
              <w:rPr>
                <w:rFonts w:eastAsia="Times New Roman" w:cs="Arial"/>
                <w:color w:val="000000"/>
                <w:sz w:val="16"/>
                <w:szCs w:val="16"/>
                <w:lang w:eastAsia="en-US"/>
              </w:rPr>
            </w:pPr>
            <w:bookmarkStart w:id="23" w:name="_GoBack"/>
            <w:bookmarkEnd w:id="23"/>
            <w:r w:rsidRPr="0049448B">
              <w:rPr>
                <w:rFonts w:eastAsia="Times New Roman" w:cs="Arial"/>
                <w:color w:val="000000"/>
                <w:sz w:val="16"/>
                <w:szCs w:val="16"/>
                <w:lang w:eastAsia="en-US"/>
              </w:rPr>
              <w:t>N</w:t>
            </w:r>
          </w:p>
        </w:tc>
        <w:tc>
          <w:tcPr>
            <w:tcW w:w="845" w:type="pct"/>
            <w:tcBorders>
              <w:top w:val="nil"/>
              <w:left w:val="nil"/>
              <w:bottom w:val="single" w:sz="4" w:space="0" w:color="auto"/>
              <w:right w:val="nil"/>
            </w:tcBorders>
            <w:shd w:val="clear" w:color="auto" w:fill="auto"/>
            <w:noWrap/>
            <w:vAlign w:val="bottom"/>
            <w:hideMark/>
          </w:tcPr>
          <w:p w14:paraId="0561B14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N</w:t>
            </w:r>
          </w:p>
        </w:tc>
        <w:tc>
          <w:tcPr>
            <w:tcW w:w="409" w:type="pct"/>
            <w:tcBorders>
              <w:top w:val="nil"/>
              <w:left w:val="nil"/>
              <w:bottom w:val="single" w:sz="4" w:space="0" w:color="auto"/>
              <w:right w:val="nil"/>
            </w:tcBorders>
            <w:shd w:val="clear" w:color="auto" w:fill="auto"/>
            <w:noWrap/>
            <w:vAlign w:val="bottom"/>
            <w:hideMark/>
          </w:tcPr>
          <w:p w14:paraId="0FDBBBC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 xml:space="preserve">OR </w:t>
            </w:r>
            <w:r w:rsidRPr="0049448B">
              <w:rPr>
                <w:rFonts w:eastAsia="Times New Roman" w:cs="Arial"/>
                <w:color w:val="000000"/>
                <w:sz w:val="16"/>
                <w:szCs w:val="16"/>
                <w:vertAlign w:val="superscript"/>
                <w:lang w:eastAsia="en-US"/>
              </w:rPr>
              <w:t>a</w:t>
            </w:r>
          </w:p>
        </w:tc>
        <w:tc>
          <w:tcPr>
            <w:tcW w:w="936" w:type="pct"/>
            <w:tcBorders>
              <w:top w:val="nil"/>
              <w:left w:val="nil"/>
              <w:bottom w:val="single" w:sz="4" w:space="0" w:color="auto"/>
              <w:right w:val="nil"/>
            </w:tcBorders>
            <w:shd w:val="clear" w:color="auto" w:fill="auto"/>
            <w:noWrap/>
            <w:vAlign w:val="bottom"/>
            <w:hideMark/>
          </w:tcPr>
          <w:p w14:paraId="7BBE9A5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95% CI</w:t>
            </w:r>
          </w:p>
        </w:tc>
        <w:tc>
          <w:tcPr>
            <w:tcW w:w="612" w:type="pct"/>
            <w:tcBorders>
              <w:top w:val="nil"/>
              <w:left w:val="nil"/>
              <w:bottom w:val="single" w:sz="4" w:space="0" w:color="auto"/>
              <w:right w:val="nil"/>
            </w:tcBorders>
            <w:shd w:val="clear" w:color="auto" w:fill="auto"/>
            <w:noWrap/>
            <w:vAlign w:val="bottom"/>
            <w:hideMark/>
          </w:tcPr>
          <w:p w14:paraId="5A34543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p-value</w:t>
            </w:r>
          </w:p>
        </w:tc>
        <w:tc>
          <w:tcPr>
            <w:tcW w:w="143" w:type="pct"/>
            <w:tcBorders>
              <w:top w:val="nil"/>
              <w:left w:val="nil"/>
              <w:bottom w:val="single" w:sz="4" w:space="0" w:color="auto"/>
              <w:right w:val="nil"/>
            </w:tcBorders>
            <w:shd w:val="clear" w:color="auto" w:fill="auto"/>
            <w:noWrap/>
            <w:vAlign w:val="bottom"/>
            <w:hideMark/>
          </w:tcPr>
          <w:p w14:paraId="248FED58"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 </w:t>
            </w:r>
          </w:p>
        </w:tc>
      </w:tr>
      <w:tr w:rsidR="0049448B" w:rsidRPr="0049448B" w14:paraId="46DF4F22" w14:textId="77777777" w:rsidTr="0049448B">
        <w:trPr>
          <w:trHeight w:val="260"/>
        </w:trPr>
        <w:tc>
          <w:tcPr>
            <w:tcW w:w="388" w:type="pct"/>
            <w:tcBorders>
              <w:top w:val="nil"/>
              <w:left w:val="nil"/>
              <w:bottom w:val="nil"/>
              <w:right w:val="nil"/>
            </w:tcBorders>
            <w:shd w:val="clear" w:color="auto" w:fill="auto"/>
            <w:noWrap/>
            <w:vAlign w:val="bottom"/>
            <w:hideMark/>
          </w:tcPr>
          <w:p w14:paraId="178FF7C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SES</w:t>
            </w:r>
          </w:p>
        </w:tc>
        <w:tc>
          <w:tcPr>
            <w:tcW w:w="798" w:type="pct"/>
            <w:tcBorders>
              <w:top w:val="nil"/>
              <w:left w:val="nil"/>
              <w:bottom w:val="nil"/>
              <w:right w:val="nil"/>
            </w:tcBorders>
            <w:shd w:val="clear" w:color="auto" w:fill="auto"/>
            <w:noWrap/>
            <w:vAlign w:val="bottom"/>
            <w:hideMark/>
          </w:tcPr>
          <w:p w14:paraId="09223351"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Low SES</w:t>
            </w:r>
          </w:p>
        </w:tc>
        <w:tc>
          <w:tcPr>
            <w:tcW w:w="868" w:type="pct"/>
            <w:tcBorders>
              <w:top w:val="nil"/>
              <w:left w:val="nil"/>
              <w:bottom w:val="nil"/>
              <w:right w:val="nil"/>
            </w:tcBorders>
            <w:shd w:val="clear" w:color="auto" w:fill="auto"/>
            <w:noWrap/>
            <w:vAlign w:val="bottom"/>
            <w:hideMark/>
          </w:tcPr>
          <w:p w14:paraId="0017549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3,282</w:t>
            </w:r>
          </w:p>
        </w:tc>
        <w:tc>
          <w:tcPr>
            <w:tcW w:w="845" w:type="pct"/>
            <w:tcBorders>
              <w:top w:val="nil"/>
              <w:left w:val="nil"/>
              <w:bottom w:val="nil"/>
              <w:right w:val="nil"/>
            </w:tcBorders>
            <w:shd w:val="clear" w:color="auto" w:fill="auto"/>
            <w:noWrap/>
            <w:vAlign w:val="bottom"/>
            <w:hideMark/>
          </w:tcPr>
          <w:p w14:paraId="1A15C8A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63</w:t>
            </w:r>
          </w:p>
        </w:tc>
        <w:tc>
          <w:tcPr>
            <w:tcW w:w="409" w:type="pct"/>
            <w:tcBorders>
              <w:top w:val="nil"/>
              <w:left w:val="nil"/>
              <w:bottom w:val="nil"/>
              <w:right w:val="nil"/>
            </w:tcBorders>
            <w:shd w:val="clear" w:color="auto" w:fill="auto"/>
            <w:noWrap/>
            <w:vAlign w:val="bottom"/>
            <w:hideMark/>
          </w:tcPr>
          <w:p w14:paraId="50BE87C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(ref)</w:t>
            </w:r>
          </w:p>
        </w:tc>
        <w:tc>
          <w:tcPr>
            <w:tcW w:w="936" w:type="pct"/>
            <w:tcBorders>
              <w:top w:val="nil"/>
              <w:left w:val="nil"/>
              <w:bottom w:val="nil"/>
              <w:right w:val="nil"/>
            </w:tcBorders>
            <w:shd w:val="clear" w:color="auto" w:fill="auto"/>
            <w:noWrap/>
            <w:vAlign w:val="bottom"/>
            <w:hideMark/>
          </w:tcPr>
          <w:p w14:paraId="386CBDA0" w14:textId="77777777" w:rsidR="0049448B" w:rsidRPr="0049448B" w:rsidRDefault="0049448B" w:rsidP="0049448B">
            <w:pPr>
              <w:jc w:val="right"/>
              <w:rPr>
                <w:rFonts w:eastAsia="Times New Roman" w:cs="Arial"/>
                <w:sz w:val="16"/>
                <w:szCs w:val="16"/>
                <w:lang w:eastAsia="en-US"/>
              </w:rPr>
            </w:pPr>
            <w:r w:rsidRPr="0049448B">
              <w:rPr>
                <w:rFonts w:eastAsia="Times New Roman" w:cs="Arial"/>
                <w:sz w:val="16"/>
                <w:szCs w:val="16"/>
                <w:lang w:eastAsia="en-US"/>
              </w:rPr>
              <w:t>--</w:t>
            </w:r>
          </w:p>
        </w:tc>
        <w:tc>
          <w:tcPr>
            <w:tcW w:w="612" w:type="pct"/>
            <w:tcBorders>
              <w:top w:val="nil"/>
              <w:left w:val="nil"/>
              <w:bottom w:val="nil"/>
              <w:right w:val="nil"/>
            </w:tcBorders>
            <w:shd w:val="clear" w:color="auto" w:fill="auto"/>
            <w:noWrap/>
            <w:vAlign w:val="bottom"/>
            <w:hideMark/>
          </w:tcPr>
          <w:p w14:paraId="3EB377F2" w14:textId="77777777" w:rsidR="0049448B" w:rsidRPr="0049448B" w:rsidRDefault="0049448B" w:rsidP="0049448B">
            <w:pPr>
              <w:jc w:val="right"/>
              <w:rPr>
                <w:rFonts w:eastAsia="Times New Roman" w:cs="Arial"/>
                <w:sz w:val="16"/>
                <w:szCs w:val="16"/>
                <w:lang w:eastAsia="en-US"/>
              </w:rPr>
            </w:pPr>
          </w:p>
        </w:tc>
        <w:tc>
          <w:tcPr>
            <w:tcW w:w="143" w:type="pct"/>
            <w:tcBorders>
              <w:top w:val="nil"/>
              <w:left w:val="nil"/>
              <w:bottom w:val="nil"/>
              <w:right w:val="nil"/>
            </w:tcBorders>
            <w:shd w:val="clear" w:color="auto" w:fill="auto"/>
            <w:noWrap/>
            <w:vAlign w:val="bottom"/>
            <w:hideMark/>
          </w:tcPr>
          <w:p w14:paraId="060D4A12" w14:textId="77777777" w:rsidR="0049448B" w:rsidRPr="0049448B" w:rsidRDefault="0049448B" w:rsidP="0049448B">
            <w:pPr>
              <w:jc w:val="right"/>
              <w:rPr>
                <w:rFonts w:ascii="Times New Roman" w:eastAsia="Times New Roman" w:hAnsi="Times New Roman" w:cs="Times New Roman"/>
                <w:sz w:val="20"/>
                <w:szCs w:val="20"/>
                <w:lang w:eastAsia="en-US"/>
              </w:rPr>
            </w:pPr>
          </w:p>
        </w:tc>
      </w:tr>
      <w:tr w:rsidR="0049448B" w:rsidRPr="0049448B" w14:paraId="36E56E88" w14:textId="77777777" w:rsidTr="0049448B">
        <w:trPr>
          <w:trHeight w:val="260"/>
        </w:trPr>
        <w:tc>
          <w:tcPr>
            <w:tcW w:w="388" w:type="pct"/>
            <w:tcBorders>
              <w:top w:val="nil"/>
              <w:left w:val="nil"/>
              <w:bottom w:val="nil"/>
              <w:right w:val="nil"/>
            </w:tcBorders>
            <w:shd w:val="clear" w:color="auto" w:fill="auto"/>
            <w:noWrap/>
            <w:vAlign w:val="bottom"/>
            <w:hideMark/>
          </w:tcPr>
          <w:p w14:paraId="7FEBA6D6" w14:textId="77777777" w:rsidR="0049448B" w:rsidRPr="0049448B" w:rsidRDefault="0049448B" w:rsidP="0049448B">
            <w:pPr>
              <w:rPr>
                <w:rFonts w:ascii="Times New Roman" w:eastAsia="Times New Roman" w:hAnsi="Times New Roman" w:cs="Times New Roman"/>
                <w:sz w:val="20"/>
                <w:szCs w:val="20"/>
                <w:lang w:eastAsia="en-US"/>
              </w:rPr>
            </w:pPr>
          </w:p>
        </w:tc>
        <w:tc>
          <w:tcPr>
            <w:tcW w:w="798" w:type="pct"/>
            <w:tcBorders>
              <w:top w:val="nil"/>
              <w:left w:val="nil"/>
              <w:bottom w:val="nil"/>
              <w:right w:val="nil"/>
            </w:tcBorders>
            <w:shd w:val="clear" w:color="auto" w:fill="auto"/>
            <w:noWrap/>
            <w:vAlign w:val="bottom"/>
            <w:hideMark/>
          </w:tcPr>
          <w:p w14:paraId="0E6C57A1"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Med SES</w:t>
            </w:r>
          </w:p>
        </w:tc>
        <w:tc>
          <w:tcPr>
            <w:tcW w:w="868" w:type="pct"/>
            <w:tcBorders>
              <w:top w:val="nil"/>
              <w:left w:val="nil"/>
              <w:bottom w:val="nil"/>
              <w:right w:val="nil"/>
            </w:tcBorders>
            <w:shd w:val="clear" w:color="auto" w:fill="auto"/>
            <w:noWrap/>
            <w:vAlign w:val="bottom"/>
            <w:hideMark/>
          </w:tcPr>
          <w:p w14:paraId="6D6A86F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3,169</w:t>
            </w:r>
          </w:p>
        </w:tc>
        <w:tc>
          <w:tcPr>
            <w:tcW w:w="845" w:type="pct"/>
            <w:tcBorders>
              <w:top w:val="nil"/>
              <w:left w:val="nil"/>
              <w:bottom w:val="nil"/>
              <w:right w:val="nil"/>
            </w:tcBorders>
            <w:shd w:val="clear" w:color="auto" w:fill="auto"/>
            <w:noWrap/>
            <w:vAlign w:val="bottom"/>
            <w:hideMark/>
          </w:tcPr>
          <w:p w14:paraId="2AC7A20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146</w:t>
            </w:r>
          </w:p>
        </w:tc>
        <w:tc>
          <w:tcPr>
            <w:tcW w:w="409" w:type="pct"/>
            <w:tcBorders>
              <w:top w:val="nil"/>
              <w:left w:val="nil"/>
              <w:bottom w:val="nil"/>
              <w:right w:val="nil"/>
            </w:tcBorders>
            <w:shd w:val="clear" w:color="auto" w:fill="auto"/>
            <w:noWrap/>
            <w:vAlign w:val="bottom"/>
            <w:hideMark/>
          </w:tcPr>
          <w:p w14:paraId="479F64F8"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1.69</w:t>
            </w:r>
          </w:p>
        </w:tc>
        <w:tc>
          <w:tcPr>
            <w:tcW w:w="936" w:type="pct"/>
            <w:tcBorders>
              <w:top w:val="nil"/>
              <w:left w:val="nil"/>
              <w:bottom w:val="nil"/>
              <w:right w:val="nil"/>
            </w:tcBorders>
            <w:shd w:val="clear" w:color="auto" w:fill="auto"/>
            <w:noWrap/>
            <w:vAlign w:val="bottom"/>
            <w:hideMark/>
          </w:tcPr>
          <w:p w14:paraId="48F15F0D"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[1.24, 2.30]</w:t>
            </w:r>
          </w:p>
        </w:tc>
        <w:tc>
          <w:tcPr>
            <w:tcW w:w="612" w:type="pct"/>
            <w:tcBorders>
              <w:top w:val="nil"/>
              <w:left w:val="nil"/>
              <w:bottom w:val="nil"/>
              <w:right w:val="nil"/>
            </w:tcBorders>
            <w:shd w:val="clear" w:color="auto" w:fill="auto"/>
            <w:noWrap/>
            <w:vAlign w:val="bottom"/>
            <w:hideMark/>
          </w:tcPr>
          <w:p w14:paraId="6ED85135"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0.001</w:t>
            </w:r>
          </w:p>
        </w:tc>
        <w:tc>
          <w:tcPr>
            <w:tcW w:w="143" w:type="pct"/>
            <w:tcBorders>
              <w:top w:val="nil"/>
              <w:left w:val="nil"/>
              <w:bottom w:val="nil"/>
              <w:right w:val="nil"/>
            </w:tcBorders>
            <w:shd w:val="clear" w:color="auto" w:fill="auto"/>
            <w:noWrap/>
            <w:vAlign w:val="bottom"/>
            <w:hideMark/>
          </w:tcPr>
          <w:p w14:paraId="7BB05623"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b</w:t>
            </w:r>
          </w:p>
        </w:tc>
      </w:tr>
      <w:tr w:rsidR="0049448B" w:rsidRPr="0049448B" w14:paraId="1B9AA8ED" w14:textId="77777777" w:rsidTr="0049448B">
        <w:trPr>
          <w:trHeight w:val="260"/>
        </w:trPr>
        <w:tc>
          <w:tcPr>
            <w:tcW w:w="388" w:type="pct"/>
            <w:tcBorders>
              <w:top w:val="nil"/>
              <w:left w:val="nil"/>
              <w:bottom w:val="nil"/>
              <w:right w:val="nil"/>
            </w:tcBorders>
            <w:shd w:val="clear" w:color="auto" w:fill="auto"/>
            <w:noWrap/>
            <w:vAlign w:val="bottom"/>
            <w:hideMark/>
          </w:tcPr>
          <w:p w14:paraId="1ACE2DF3" w14:textId="77777777" w:rsidR="0049448B" w:rsidRPr="0049448B" w:rsidRDefault="0049448B" w:rsidP="0049448B">
            <w:pPr>
              <w:rPr>
                <w:rFonts w:eastAsia="Times New Roman" w:cs="Arial"/>
                <w:color w:val="000000"/>
                <w:sz w:val="16"/>
                <w:szCs w:val="16"/>
                <w:lang w:eastAsia="en-US"/>
              </w:rPr>
            </w:pPr>
          </w:p>
        </w:tc>
        <w:tc>
          <w:tcPr>
            <w:tcW w:w="798" w:type="pct"/>
            <w:tcBorders>
              <w:top w:val="nil"/>
              <w:left w:val="nil"/>
              <w:bottom w:val="nil"/>
              <w:right w:val="nil"/>
            </w:tcBorders>
            <w:shd w:val="clear" w:color="auto" w:fill="auto"/>
            <w:noWrap/>
            <w:vAlign w:val="bottom"/>
            <w:hideMark/>
          </w:tcPr>
          <w:p w14:paraId="72C5953F"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High SES</w:t>
            </w:r>
          </w:p>
        </w:tc>
        <w:tc>
          <w:tcPr>
            <w:tcW w:w="868" w:type="pct"/>
            <w:tcBorders>
              <w:top w:val="nil"/>
              <w:left w:val="nil"/>
              <w:bottom w:val="nil"/>
              <w:right w:val="nil"/>
            </w:tcBorders>
            <w:shd w:val="clear" w:color="auto" w:fill="auto"/>
            <w:noWrap/>
            <w:vAlign w:val="bottom"/>
            <w:hideMark/>
          </w:tcPr>
          <w:p w14:paraId="20FB872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3,046</w:t>
            </w:r>
          </w:p>
        </w:tc>
        <w:tc>
          <w:tcPr>
            <w:tcW w:w="845" w:type="pct"/>
            <w:tcBorders>
              <w:top w:val="nil"/>
              <w:left w:val="nil"/>
              <w:bottom w:val="nil"/>
              <w:right w:val="nil"/>
            </w:tcBorders>
            <w:shd w:val="clear" w:color="auto" w:fill="auto"/>
            <w:noWrap/>
            <w:vAlign w:val="bottom"/>
            <w:hideMark/>
          </w:tcPr>
          <w:p w14:paraId="6C7CA0F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312</w:t>
            </w:r>
          </w:p>
        </w:tc>
        <w:tc>
          <w:tcPr>
            <w:tcW w:w="409" w:type="pct"/>
            <w:tcBorders>
              <w:top w:val="nil"/>
              <w:left w:val="nil"/>
              <w:bottom w:val="nil"/>
              <w:right w:val="nil"/>
            </w:tcBorders>
            <w:shd w:val="clear" w:color="auto" w:fill="auto"/>
            <w:noWrap/>
            <w:vAlign w:val="bottom"/>
            <w:hideMark/>
          </w:tcPr>
          <w:p w14:paraId="0438B7C5"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2.86</w:t>
            </w:r>
          </w:p>
        </w:tc>
        <w:tc>
          <w:tcPr>
            <w:tcW w:w="936" w:type="pct"/>
            <w:tcBorders>
              <w:top w:val="nil"/>
              <w:left w:val="nil"/>
              <w:bottom w:val="nil"/>
              <w:right w:val="nil"/>
            </w:tcBorders>
            <w:shd w:val="clear" w:color="auto" w:fill="auto"/>
            <w:noWrap/>
            <w:vAlign w:val="bottom"/>
            <w:hideMark/>
          </w:tcPr>
          <w:p w14:paraId="0EEEBA57"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[2.13, 3.82]</w:t>
            </w:r>
          </w:p>
        </w:tc>
        <w:tc>
          <w:tcPr>
            <w:tcW w:w="612" w:type="pct"/>
            <w:tcBorders>
              <w:top w:val="nil"/>
              <w:left w:val="nil"/>
              <w:bottom w:val="nil"/>
              <w:right w:val="nil"/>
            </w:tcBorders>
            <w:shd w:val="clear" w:color="auto" w:fill="auto"/>
            <w:noWrap/>
            <w:vAlign w:val="bottom"/>
            <w:hideMark/>
          </w:tcPr>
          <w:p w14:paraId="776F50CD"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&lt;.001</w:t>
            </w:r>
          </w:p>
        </w:tc>
        <w:tc>
          <w:tcPr>
            <w:tcW w:w="143" w:type="pct"/>
            <w:tcBorders>
              <w:top w:val="nil"/>
              <w:left w:val="nil"/>
              <w:bottom w:val="nil"/>
              <w:right w:val="nil"/>
            </w:tcBorders>
            <w:shd w:val="clear" w:color="auto" w:fill="auto"/>
            <w:noWrap/>
            <w:vAlign w:val="bottom"/>
            <w:hideMark/>
          </w:tcPr>
          <w:p w14:paraId="047BC755"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b</w:t>
            </w:r>
          </w:p>
        </w:tc>
      </w:tr>
      <w:tr w:rsidR="0049448B" w:rsidRPr="0049448B" w14:paraId="5522C533" w14:textId="77777777" w:rsidTr="0049448B">
        <w:trPr>
          <w:trHeight w:val="260"/>
        </w:trPr>
        <w:tc>
          <w:tcPr>
            <w:tcW w:w="388" w:type="pct"/>
            <w:tcBorders>
              <w:top w:val="nil"/>
              <w:left w:val="nil"/>
              <w:bottom w:val="nil"/>
              <w:right w:val="nil"/>
            </w:tcBorders>
            <w:shd w:val="clear" w:color="auto" w:fill="auto"/>
            <w:noWrap/>
            <w:vAlign w:val="bottom"/>
            <w:hideMark/>
          </w:tcPr>
          <w:p w14:paraId="174F438C" w14:textId="77777777" w:rsidR="0049448B" w:rsidRPr="0049448B" w:rsidRDefault="0049448B" w:rsidP="0049448B">
            <w:pPr>
              <w:rPr>
                <w:rFonts w:eastAsia="Times New Roman" w:cs="Arial"/>
                <w:color w:val="000000"/>
                <w:sz w:val="16"/>
                <w:szCs w:val="16"/>
                <w:lang w:eastAsia="en-US"/>
              </w:rPr>
            </w:pPr>
          </w:p>
        </w:tc>
        <w:tc>
          <w:tcPr>
            <w:tcW w:w="798" w:type="pct"/>
            <w:tcBorders>
              <w:top w:val="nil"/>
              <w:left w:val="nil"/>
              <w:bottom w:val="nil"/>
              <w:right w:val="nil"/>
            </w:tcBorders>
            <w:shd w:val="clear" w:color="auto" w:fill="auto"/>
            <w:noWrap/>
            <w:vAlign w:val="bottom"/>
            <w:hideMark/>
          </w:tcPr>
          <w:p w14:paraId="56DF1538"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Trend</w:t>
            </w:r>
          </w:p>
        </w:tc>
        <w:tc>
          <w:tcPr>
            <w:tcW w:w="868" w:type="pct"/>
            <w:tcBorders>
              <w:top w:val="nil"/>
              <w:left w:val="nil"/>
              <w:bottom w:val="nil"/>
              <w:right w:val="nil"/>
            </w:tcBorders>
            <w:shd w:val="clear" w:color="auto" w:fill="auto"/>
            <w:noWrap/>
            <w:vAlign w:val="bottom"/>
            <w:hideMark/>
          </w:tcPr>
          <w:p w14:paraId="473DEA7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9,497</w:t>
            </w:r>
          </w:p>
        </w:tc>
        <w:tc>
          <w:tcPr>
            <w:tcW w:w="845" w:type="pct"/>
            <w:tcBorders>
              <w:top w:val="nil"/>
              <w:left w:val="nil"/>
              <w:bottom w:val="nil"/>
              <w:right w:val="nil"/>
            </w:tcBorders>
            <w:shd w:val="clear" w:color="auto" w:fill="auto"/>
            <w:noWrap/>
            <w:vAlign w:val="bottom"/>
            <w:hideMark/>
          </w:tcPr>
          <w:p w14:paraId="2D59EC3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521</w:t>
            </w:r>
          </w:p>
        </w:tc>
        <w:tc>
          <w:tcPr>
            <w:tcW w:w="409" w:type="pct"/>
            <w:tcBorders>
              <w:top w:val="nil"/>
              <w:left w:val="nil"/>
              <w:bottom w:val="nil"/>
              <w:right w:val="nil"/>
            </w:tcBorders>
            <w:shd w:val="clear" w:color="auto" w:fill="auto"/>
            <w:noWrap/>
            <w:vAlign w:val="bottom"/>
            <w:hideMark/>
          </w:tcPr>
          <w:p w14:paraId="6DC7F144"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1.69</w:t>
            </w:r>
          </w:p>
        </w:tc>
        <w:tc>
          <w:tcPr>
            <w:tcW w:w="936" w:type="pct"/>
            <w:tcBorders>
              <w:top w:val="nil"/>
              <w:left w:val="nil"/>
              <w:bottom w:val="nil"/>
              <w:right w:val="nil"/>
            </w:tcBorders>
            <w:shd w:val="clear" w:color="auto" w:fill="auto"/>
            <w:noWrap/>
            <w:vAlign w:val="bottom"/>
            <w:hideMark/>
          </w:tcPr>
          <w:p w14:paraId="2A7F9E23"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[1.48, 1.93]</w:t>
            </w:r>
          </w:p>
        </w:tc>
        <w:tc>
          <w:tcPr>
            <w:tcW w:w="612" w:type="pct"/>
            <w:tcBorders>
              <w:top w:val="nil"/>
              <w:left w:val="nil"/>
              <w:bottom w:val="nil"/>
              <w:right w:val="nil"/>
            </w:tcBorders>
            <w:shd w:val="clear" w:color="auto" w:fill="auto"/>
            <w:noWrap/>
            <w:vAlign w:val="bottom"/>
            <w:hideMark/>
          </w:tcPr>
          <w:p w14:paraId="7CE275DC"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&lt;.001</w:t>
            </w:r>
          </w:p>
        </w:tc>
        <w:tc>
          <w:tcPr>
            <w:tcW w:w="143" w:type="pct"/>
            <w:tcBorders>
              <w:top w:val="nil"/>
              <w:left w:val="nil"/>
              <w:bottom w:val="nil"/>
              <w:right w:val="nil"/>
            </w:tcBorders>
            <w:shd w:val="clear" w:color="auto" w:fill="auto"/>
            <w:noWrap/>
            <w:vAlign w:val="bottom"/>
            <w:hideMark/>
          </w:tcPr>
          <w:p w14:paraId="16D06E43"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b</w:t>
            </w:r>
          </w:p>
        </w:tc>
      </w:tr>
      <w:tr w:rsidR="0049448B" w:rsidRPr="0049448B" w14:paraId="79C08818" w14:textId="77777777" w:rsidTr="0049448B">
        <w:trPr>
          <w:trHeight w:val="260"/>
        </w:trPr>
        <w:tc>
          <w:tcPr>
            <w:tcW w:w="388" w:type="pct"/>
            <w:tcBorders>
              <w:top w:val="nil"/>
              <w:left w:val="nil"/>
              <w:bottom w:val="nil"/>
              <w:right w:val="nil"/>
            </w:tcBorders>
            <w:shd w:val="clear" w:color="auto" w:fill="auto"/>
            <w:noWrap/>
            <w:vAlign w:val="bottom"/>
            <w:hideMark/>
          </w:tcPr>
          <w:p w14:paraId="31F40C98" w14:textId="77777777" w:rsidR="0049448B" w:rsidRPr="0049448B" w:rsidRDefault="0049448B" w:rsidP="0049448B">
            <w:pPr>
              <w:rPr>
                <w:rFonts w:eastAsia="Times New Roman" w:cs="Arial"/>
                <w:color w:val="000000"/>
                <w:sz w:val="16"/>
                <w:szCs w:val="16"/>
                <w:lang w:eastAsia="en-US"/>
              </w:rPr>
            </w:pPr>
          </w:p>
        </w:tc>
        <w:tc>
          <w:tcPr>
            <w:tcW w:w="798" w:type="pct"/>
            <w:tcBorders>
              <w:top w:val="nil"/>
              <w:left w:val="nil"/>
              <w:bottom w:val="nil"/>
              <w:right w:val="nil"/>
            </w:tcBorders>
            <w:shd w:val="clear" w:color="auto" w:fill="auto"/>
            <w:noWrap/>
            <w:vAlign w:val="bottom"/>
            <w:hideMark/>
          </w:tcPr>
          <w:p w14:paraId="7A93FF9A" w14:textId="77777777" w:rsidR="0049448B" w:rsidRPr="0049448B" w:rsidRDefault="0049448B" w:rsidP="0049448B">
            <w:pPr>
              <w:rPr>
                <w:rFonts w:ascii="Times New Roman" w:eastAsia="Times New Roman" w:hAnsi="Times New Roman" w:cs="Times New Roman"/>
                <w:sz w:val="20"/>
                <w:szCs w:val="20"/>
                <w:lang w:eastAsia="en-US"/>
              </w:rPr>
            </w:pPr>
          </w:p>
        </w:tc>
        <w:tc>
          <w:tcPr>
            <w:tcW w:w="868" w:type="pct"/>
            <w:tcBorders>
              <w:top w:val="nil"/>
              <w:left w:val="nil"/>
              <w:bottom w:val="nil"/>
              <w:right w:val="nil"/>
            </w:tcBorders>
            <w:shd w:val="clear" w:color="auto" w:fill="auto"/>
            <w:noWrap/>
            <w:vAlign w:val="bottom"/>
            <w:hideMark/>
          </w:tcPr>
          <w:p w14:paraId="1AC1B5BA" w14:textId="77777777" w:rsidR="0049448B" w:rsidRPr="0049448B" w:rsidRDefault="0049448B" w:rsidP="0049448B">
            <w:pPr>
              <w:rPr>
                <w:rFonts w:ascii="Times New Roman" w:eastAsia="Times New Roman" w:hAnsi="Times New Roman" w:cs="Times New Roman"/>
                <w:sz w:val="20"/>
                <w:szCs w:val="20"/>
                <w:lang w:eastAsia="en-US"/>
              </w:rPr>
            </w:pPr>
          </w:p>
        </w:tc>
        <w:tc>
          <w:tcPr>
            <w:tcW w:w="845" w:type="pct"/>
            <w:tcBorders>
              <w:top w:val="nil"/>
              <w:left w:val="nil"/>
              <w:bottom w:val="nil"/>
              <w:right w:val="nil"/>
            </w:tcBorders>
            <w:shd w:val="clear" w:color="auto" w:fill="auto"/>
            <w:noWrap/>
            <w:vAlign w:val="bottom"/>
            <w:hideMark/>
          </w:tcPr>
          <w:p w14:paraId="146560F0"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409" w:type="pct"/>
            <w:tcBorders>
              <w:top w:val="nil"/>
              <w:left w:val="nil"/>
              <w:bottom w:val="nil"/>
              <w:right w:val="nil"/>
            </w:tcBorders>
            <w:shd w:val="clear" w:color="auto" w:fill="auto"/>
            <w:noWrap/>
            <w:vAlign w:val="bottom"/>
            <w:hideMark/>
          </w:tcPr>
          <w:p w14:paraId="10448BCA"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936" w:type="pct"/>
            <w:tcBorders>
              <w:top w:val="nil"/>
              <w:left w:val="nil"/>
              <w:bottom w:val="nil"/>
              <w:right w:val="nil"/>
            </w:tcBorders>
            <w:shd w:val="clear" w:color="auto" w:fill="auto"/>
            <w:noWrap/>
            <w:vAlign w:val="bottom"/>
            <w:hideMark/>
          </w:tcPr>
          <w:p w14:paraId="30B38B7E"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612" w:type="pct"/>
            <w:tcBorders>
              <w:top w:val="nil"/>
              <w:left w:val="nil"/>
              <w:bottom w:val="nil"/>
              <w:right w:val="nil"/>
            </w:tcBorders>
            <w:shd w:val="clear" w:color="auto" w:fill="auto"/>
            <w:noWrap/>
            <w:vAlign w:val="bottom"/>
            <w:hideMark/>
          </w:tcPr>
          <w:p w14:paraId="72FB22B5"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143" w:type="pct"/>
            <w:tcBorders>
              <w:top w:val="nil"/>
              <w:left w:val="nil"/>
              <w:bottom w:val="nil"/>
              <w:right w:val="nil"/>
            </w:tcBorders>
            <w:shd w:val="clear" w:color="auto" w:fill="auto"/>
            <w:noWrap/>
            <w:vAlign w:val="bottom"/>
            <w:hideMark/>
          </w:tcPr>
          <w:p w14:paraId="276F73F7" w14:textId="77777777" w:rsidR="0049448B" w:rsidRPr="0049448B" w:rsidRDefault="0049448B" w:rsidP="0049448B">
            <w:pPr>
              <w:jc w:val="right"/>
              <w:rPr>
                <w:rFonts w:ascii="Times New Roman" w:eastAsia="Times New Roman" w:hAnsi="Times New Roman" w:cs="Times New Roman"/>
                <w:sz w:val="20"/>
                <w:szCs w:val="20"/>
                <w:lang w:eastAsia="en-US"/>
              </w:rPr>
            </w:pPr>
          </w:p>
        </w:tc>
      </w:tr>
      <w:tr w:rsidR="0049448B" w:rsidRPr="0049448B" w14:paraId="60873527" w14:textId="77777777" w:rsidTr="0049448B">
        <w:trPr>
          <w:trHeight w:val="260"/>
        </w:trPr>
        <w:tc>
          <w:tcPr>
            <w:tcW w:w="388" w:type="pct"/>
            <w:tcBorders>
              <w:top w:val="nil"/>
              <w:left w:val="nil"/>
              <w:bottom w:val="nil"/>
              <w:right w:val="nil"/>
            </w:tcBorders>
            <w:shd w:val="clear" w:color="auto" w:fill="auto"/>
            <w:noWrap/>
            <w:vAlign w:val="bottom"/>
            <w:hideMark/>
          </w:tcPr>
          <w:p w14:paraId="6A31F7DA"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Sex</w:t>
            </w:r>
          </w:p>
        </w:tc>
        <w:tc>
          <w:tcPr>
            <w:tcW w:w="798" w:type="pct"/>
            <w:tcBorders>
              <w:top w:val="nil"/>
              <w:left w:val="nil"/>
              <w:bottom w:val="nil"/>
              <w:right w:val="nil"/>
            </w:tcBorders>
            <w:shd w:val="clear" w:color="auto" w:fill="auto"/>
            <w:noWrap/>
            <w:vAlign w:val="bottom"/>
            <w:hideMark/>
          </w:tcPr>
          <w:p w14:paraId="19FE5F35"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Male</w:t>
            </w:r>
          </w:p>
        </w:tc>
        <w:tc>
          <w:tcPr>
            <w:tcW w:w="868" w:type="pct"/>
            <w:tcBorders>
              <w:top w:val="nil"/>
              <w:left w:val="nil"/>
              <w:bottom w:val="nil"/>
              <w:right w:val="nil"/>
            </w:tcBorders>
            <w:shd w:val="clear" w:color="auto" w:fill="auto"/>
            <w:noWrap/>
            <w:vAlign w:val="bottom"/>
            <w:hideMark/>
          </w:tcPr>
          <w:p w14:paraId="4E97352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5,018</w:t>
            </w:r>
          </w:p>
        </w:tc>
        <w:tc>
          <w:tcPr>
            <w:tcW w:w="845" w:type="pct"/>
            <w:tcBorders>
              <w:top w:val="nil"/>
              <w:left w:val="nil"/>
              <w:bottom w:val="nil"/>
              <w:right w:val="nil"/>
            </w:tcBorders>
            <w:shd w:val="clear" w:color="auto" w:fill="auto"/>
            <w:noWrap/>
            <w:vAlign w:val="bottom"/>
            <w:hideMark/>
          </w:tcPr>
          <w:p w14:paraId="19DE8B7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260</w:t>
            </w:r>
          </w:p>
        </w:tc>
        <w:tc>
          <w:tcPr>
            <w:tcW w:w="409" w:type="pct"/>
            <w:tcBorders>
              <w:top w:val="nil"/>
              <w:left w:val="nil"/>
              <w:bottom w:val="nil"/>
              <w:right w:val="nil"/>
            </w:tcBorders>
            <w:shd w:val="clear" w:color="auto" w:fill="auto"/>
            <w:noWrap/>
            <w:vAlign w:val="bottom"/>
            <w:hideMark/>
          </w:tcPr>
          <w:p w14:paraId="0998D82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(ref)</w:t>
            </w:r>
          </w:p>
        </w:tc>
        <w:tc>
          <w:tcPr>
            <w:tcW w:w="936" w:type="pct"/>
            <w:tcBorders>
              <w:top w:val="nil"/>
              <w:left w:val="nil"/>
              <w:bottom w:val="nil"/>
              <w:right w:val="nil"/>
            </w:tcBorders>
            <w:shd w:val="clear" w:color="auto" w:fill="auto"/>
            <w:noWrap/>
            <w:vAlign w:val="bottom"/>
            <w:hideMark/>
          </w:tcPr>
          <w:p w14:paraId="47A82E8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w:t>
            </w:r>
          </w:p>
        </w:tc>
        <w:tc>
          <w:tcPr>
            <w:tcW w:w="612" w:type="pct"/>
            <w:tcBorders>
              <w:top w:val="nil"/>
              <w:left w:val="nil"/>
              <w:bottom w:val="nil"/>
              <w:right w:val="nil"/>
            </w:tcBorders>
            <w:shd w:val="clear" w:color="auto" w:fill="auto"/>
            <w:noWrap/>
            <w:vAlign w:val="bottom"/>
            <w:hideMark/>
          </w:tcPr>
          <w:p w14:paraId="1A0E926B" w14:textId="77777777" w:rsidR="0049448B" w:rsidRPr="0049448B" w:rsidRDefault="0049448B" w:rsidP="0049448B">
            <w:pPr>
              <w:jc w:val="right"/>
              <w:rPr>
                <w:rFonts w:eastAsia="Times New Roman" w:cs="Arial"/>
                <w:color w:val="000000"/>
                <w:sz w:val="16"/>
                <w:szCs w:val="16"/>
                <w:lang w:eastAsia="en-US"/>
              </w:rPr>
            </w:pPr>
          </w:p>
        </w:tc>
        <w:tc>
          <w:tcPr>
            <w:tcW w:w="143" w:type="pct"/>
            <w:tcBorders>
              <w:top w:val="nil"/>
              <w:left w:val="nil"/>
              <w:bottom w:val="nil"/>
              <w:right w:val="nil"/>
            </w:tcBorders>
            <w:shd w:val="clear" w:color="auto" w:fill="auto"/>
            <w:noWrap/>
            <w:vAlign w:val="bottom"/>
            <w:hideMark/>
          </w:tcPr>
          <w:p w14:paraId="3C13D961" w14:textId="77777777" w:rsidR="0049448B" w:rsidRPr="0049448B" w:rsidRDefault="0049448B" w:rsidP="0049448B">
            <w:pPr>
              <w:jc w:val="right"/>
              <w:rPr>
                <w:rFonts w:ascii="Times New Roman" w:eastAsia="Times New Roman" w:hAnsi="Times New Roman" w:cs="Times New Roman"/>
                <w:sz w:val="20"/>
                <w:szCs w:val="20"/>
                <w:lang w:eastAsia="en-US"/>
              </w:rPr>
            </w:pPr>
          </w:p>
        </w:tc>
      </w:tr>
      <w:tr w:rsidR="0049448B" w:rsidRPr="0049448B" w14:paraId="0ED06FE7" w14:textId="77777777" w:rsidTr="0049448B">
        <w:trPr>
          <w:trHeight w:val="260"/>
        </w:trPr>
        <w:tc>
          <w:tcPr>
            <w:tcW w:w="388" w:type="pct"/>
            <w:tcBorders>
              <w:top w:val="nil"/>
              <w:left w:val="nil"/>
              <w:bottom w:val="single" w:sz="8" w:space="0" w:color="auto"/>
              <w:right w:val="nil"/>
            </w:tcBorders>
            <w:shd w:val="clear" w:color="auto" w:fill="auto"/>
            <w:noWrap/>
            <w:vAlign w:val="bottom"/>
            <w:hideMark/>
          </w:tcPr>
          <w:p w14:paraId="3E0F0DFB"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w:t>
            </w:r>
          </w:p>
        </w:tc>
        <w:tc>
          <w:tcPr>
            <w:tcW w:w="798" w:type="pct"/>
            <w:tcBorders>
              <w:top w:val="nil"/>
              <w:left w:val="nil"/>
              <w:bottom w:val="single" w:sz="8" w:space="0" w:color="auto"/>
              <w:right w:val="nil"/>
            </w:tcBorders>
            <w:shd w:val="clear" w:color="auto" w:fill="auto"/>
            <w:noWrap/>
            <w:vAlign w:val="bottom"/>
            <w:hideMark/>
          </w:tcPr>
          <w:p w14:paraId="629836D7"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Female</w:t>
            </w:r>
          </w:p>
        </w:tc>
        <w:tc>
          <w:tcPr>
            <w:tcW w:w="868" w:type="pct"/>
            <w:tcBorders>
              <w:top w:val="nil"/>
              <w:left w:val="nil"/>
              <w:bottom w:val="single" w:sz="8" w:space="0" w:color="auto"/>
              <w:right w:val="nil"/>
            </w:tcBorders>
            <w:shd w:val="clear" w:color="auto" w:fill="auto"/>
            <w:noWrap/>
            <w:vAlign w:val="bottom"/>
            <w:hideMark/>
          </w:tcPr>
          <w:p w14:paraId="047CBC1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4,479</w:t>
            </w:r>
          </w:p>
        </w:tc>
        <w:tc>
          <w:tcPr>
            <w:tcW w:w="845" w:type="pct"/>
            <w:tcBorders>
              <w:top w:val="nil"/>
              <w:left w:val="nil"/>
              <w:bottom w:val="single" w:sz="8" w:space="0" w:color="auto"/>
              <w:right w:val="nil"/>
            </w:tcBorders>
            <w:shd w:val="clear" w:color="auto" w:fill="auto"/>
            <w:noWrap/>
            <w:vAlign w:val="bottom"/>
            <w:hideMark/>
          </w:tcPr>
          <w:p w14:paraId="404853A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261</w:t>
            </w:r>
          </w:p>
        </w:tc>
        <w:tc>
          <w:tcPr>
            <w:tcW w:w="409" w:type="pct"/>
            <w:tcBorders>
              <w:top w:val="nil"/>
              <w:left w:val="nil"/>
              <w:bottom w:val="single" w:sz="8" w:space="0" w:color="auto"/>
              <w:right w:val="nil"/>
            </w:tcBorders>
            <w:shd w:val="clear" w:color="auto" w:fill="auto"/>
            <w:noWrap/>
            <w:vAlign w:val="bottom"/>
            <w:hideMark/>
          </w:tcPr>
          <w:p w14:paraId="31BD5E2C"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1.53</w:t>
            </w:r>
          </w:p>
        </w:tc>
        <w:tc>
          <w:tcPr>
            <w:tcW w:w="936" w:type="pct"/>
            <w:tcBorders>
              <w:top w:val="nil"/>
              <w:left w:val="nil"/>
              <w:bottom w:val="single" w:sz="8" w:space="0" w:color="auto"/>
              <w:right w:val="nil"/>
            </w:tcBorders>
            <w:shd w:val="clear" w:color="auto" w:fill="auto"/>
            <w:noWrap/>
            <w:vAlign w:val="bottom"/>
            <w:hideMark/>
          </w:tcPr>
          <w:p w14:paraId="48D27C2D"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[1.26, 1.87]</w:t>
            </w:r>
          </w:p>
        </w:tc>
        <w:tc>
          <w:tcPr>
            <w:tcW w:w="612" w:type="pct"/>
            <w:tcBorders>
              <w:top w:val="nil"/>
              <w:left w:val="nil"/>
              <w:bottom w:val="single" w:sz="8" w:space="0" w:color="auto"/>
              <w:right w:val="nil"/>
            </w:tcBorders>
            <w:shd w:val="clear" w:color="auto" w:fill="auto"/>
            <w:noWrap/>
            <w:vAlign w:val="bottom"/>
            <w:hideMark/>
          </w:tcPr>
          <w:p w14:paraId="4DF29B0B"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&lt;.001</w:t>
            </w:r>
          </w:p>
        </w:tc>
        <w:tc>
          <w:tcPr>
            <w:tcW w:w="143" w:type="pct"/>
            <w:tcBorders>
              <w:top w:val="nil"/>
              <w:left w:val="nil"/>
              <w:bottom w:val="single" w:sz="8" w:space="0" w:color="auto"/>
              <w:right w:val="nil"/>
            </w:tcBorders>
            <w:shd w:val="clear" w:color="auto" w:fill="auto"/>
            <w:noWrap/>
            <w:vAlign w:val="bottom"/>
            <w:hideMark/>
          </w:tcPr>
          <w:p w14:paraId="6F32E6E2"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b</w:t>
            </w:r>
          </w:p>
        </w:tc>
      </w:tr>
      <w:tr w:rsidR="0049448B" w:rsidRPr="0049448B" w14:paraId="58D7E6BD" w14:textId="77777777" w:rsidTr="0049448B">
        <w:trPr>
          <w:trHeight w:val="260"/>
        </w:trPr>
        <w:tc>
          <w:tcPr>
            <w:tcW w:w="5000" w:type="pct"/>
            <w:gridSpan w:val="8"/>
            <w:tcBorders>
              <w:top w:val="nil"/>
              <w:left w:val="nil"/>
              <w:bottom w:val="nil"/>
              <w:right w:val="nil"/>
            </w:tcBorders>
            <w:shd w:val="clear" w:color="auto" w:fill="auto"/>
            <w:vAlign w:val="bottom"/>
            <w:hideMark/>
          </w:tcPr>
          <w:p w14:paraId="6D61B7DF"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IM: infectious mononucleosis</w:t>
            </w:r>
          </w:p>
        </w:tc>
      </w:tr>
      <w:tr w:rsidR="0049448B" w:rsidRPr="0049448B" w14:paraId="564A8E08" w14:textId="77777777" w:rsidTr="0049448B">
        <w:trPr>
          <w:trHeight w:val="260"/>
        </w:trPr>
        <w:tc>
          <w:tcPr>
            <w:tcW w:w="5000" w:type="pct"/>
            <w:gridSpan w:val="8"/>
            <w:tcBorders>
              <w:top w:val="nil"/>
              <w:left w:val="nil"/>
              <w:bottom w:val="nil"/>
              <w:right w:val="nil"/>
            </w:tcBorders>
            <w:shd w:val="clear" w:color="auto" w:fill="auto"/>
            <w:vAlign w:val="bottom"/>
            <w:hideMark/>
          </w:tcPr>
          <w:p w14:paraId="6DBBBCE5"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SES: socioeconomic status</w:t>
            </w:r>
          </w:p>
        </w:tc>
      </w:tr>
      <w:tr w:rsidR="0049448B" w:rsidRPr="0049448B" w14:paraId="459BA654" w14:textId="77777777" w:rsidTr="0049448B">
        <w:trPr>
          <w:trHeight w:val="260"/>
        </w:trPr>
        <w:tc>
          <w:tcPr>
            <w:tcW w:w="5000" w:type="pct"/>
            <w:gridSpan w:val="8"/>
            <w:tcBorders>
              <w:top w:val="nil"/>
              <w:left w:val="nil"/>
              <w:bottom w:val="nil"/>
              <w:right w:val="nil"/>
            </w:tcBorders>
            <w:shd w:val="clear" w:color="auto" w:fill="auto"/>
            <w:noWrap/>
            <w:vAlign w:val="bottom"/>
            <w:hideMark/>
          </w:tcPr>
          <w:p w14:paraId="0537B807"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OR: odds ratio.</w:t>
            </w:r>
          </w:p>
        </w:tc>
      </w:tr>
      <w:tr w:rsidR="0049448B" w:rsidRPr="0049448B" w14:paraId="277E9AEB" w14:textId="77777777" w:rsidTr="0049448B">
        <w:trPr>
          <w:trHeight w:val="260"/>
        </w:trPr>
        <w:tc>
          <w:tcPr>
            <w:tcW w:w="5000" w:type="pct"/>
            <w:gridSpan w:val="8"/>
            <w:tcBorders>
              <w:top w:val="nil"/>
              <w:left w:val="nil"/>
              <w:bottom w:val="nil"/>
              <w:right w:val="nil"/>
            </w:tcBorders>
            <w:shd w:val="clear" w:color="auto" w:fill="auto"/>
            <w:noWrap/>
            <w:vAlign w:val="bottom"/>
            <w:hideMark/>
          </w:tcPr>
          <w:p w14:paraId="7F48D0C9"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CI: confidence interval.</w:t>
            </w:r>
          </w:p>
        </w:tc>
      </w:tr>
      <w:tr w:rsidR="0049448B" w:rsidRPr="0049448B" w14:paraId="7BA61D41" w14:textId="77777777" w:rsidTr="0049448B">
        <w:trPr>
          <w:trHeight w:val="260"/>
        </w:trPr>
        <w:tc>
          <w:tcPr>
            <w:tcW w:w="5000" w:type="pct"/>
            <w:gridSpan w:val="8"/>
            <w:tcBorders>
              <w:top w:val="nil"/>
              <w:left w:val="nil"/>
              <w:bottom w:val="nil"/>
              <w:right w:val="nil"/>
            </w:tcBorders>
            <w:shd w:val="clear" w:color="auto" w:fill="auto"/>
            <w:noWrap/>
            <w:vAlign w:val="bottom"/>
            <w:hideMark/>
          </w:tcPr>
          <w:p w14:paraId="3F09F26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FDR: false discovery rate.</w:t>
            </w:r>
          </w:p>
        </w:tc>
      </w:tr>
      <w:tr w:rsidR="0049448B" w:rsidRPr="0049448B" w14:paraId="2E9D4E50" w14:textId="77777777" w:rsidTr="0049448B">
        <w:trPr>
          <w:trHeight w:val="680"/>
        </w:trPr>
        <w:tc>
          <w:tcPr>
            <w:tcW w:w="5000" w:type="pct"/>
            <w:gridSpan w:val="8"/>
            <w:tcBorders>
              <w:top w:val="nil"/>
              <w:left w:val="nil"/>
              <w:bottom w:val="nil"/>
              <w:right w:val="nil"/>
            </w:tcBorders>
            <w:shd w:val="clear" w:color="auto" w:fill="auto"/>
            <w:vAlign w:val="bottom"/>
            <w:hideMark/>
          </w:tcPr>
          <w:p w14:paraId="2EBD48C4"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a</w:t>
            </w:r>
            <w:r w:rsidRPr="0049448B">
              <w:rPr>
                <w:rFonts w:eastAsia="Times New Roman" w:cs="Arial"/>
                <w:color w:val="000000"/>
                <w:sz w:val="16"/>
                <w:szCs w:val="16"/>
                <w:lang w:eastAsia="en-US"/>
              </w:rPr>
              <w:t xml:space="preserve"> ORs, CIs, and p-values calculated using logistic regression models adjusted for age and study center.  Models for SES, number of siblings, and birth order were further adjusted for sex.  Model for sex was further adjusted for SES. Results with p&lt;0.05 are shown in bold. </w:t>
            </w:r>
          </w:p>
        </w:tc>
      </w:tr>
      <w:tr w:rsidR="0049448B" w:rsidRPr="0049448B" w14:paraId="0D7C74D9" w14:textId="77777777" w:rsidTr="0049448B">
        <w:trPr>
          <w:trHeight w:val="260"/>
        </w:trPr>
        <w:tc>
          <w:tcPr>
            <w:tcW w:w="5000" w:type="pct"/>
            <w:gridSpan w:val="8"/>
            <w:tcBorders>
              <w:top w:val="nil"/>
              <w:left w:val="nil"/>
              <w:bottom w:val="nil"/>
              <w:right w:val="nil"/>
            </w:tcBorders>
            <w:shd w:val="clear" w:color="auto" w:fill="auto"/>
            <w:noWrap/>
            <w:vAlign w:val="bottom"/>
            <w:hideMark/>
          </w:tcPr>
          <w:p w14:paraId="63D214FF"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b</w:t>
            </w:r>
            <w:r w:rsidRPr="0049448B">
              <w:rPr>
                <w:rFonts w:eastAsia="Times New Roman" w:cs="Arial"/>
                <w:color w:val="000000"/>
                <w:sz w:val="16"/>
                <w:szCs w:val="16"/>
                <w:lang w:eastAsia="en-US"/>
              </w:rPr>
              <w:t xml:space="preserve"> Strong evidence against the null hypotheses (no association) after accounting for multiple comparisons using Bonferroni correction.</w:t>
            </w:r>
          </w:p>
        </w:tc>
      </w:tr>
    </w:tbl>
    <w:p w14:paraId="33418E42" w14:textId="596ADCCD" w:rsidR="0049448B" w:rsidRDefault="0049448B" w:rsidP="00EF7273"/>
    <w:p w14:paraId="369900A1" w14:textId="77777777" w:rsidR="0049448B" w:rsidRDefault="0049448B" w:rsidP="00EF7273">
      <w:r>
        <w:br w:type="column"/>
      </w:r>
    </w:p>
    <w:tbl>
      <w:tblPr>
        <w:tblW w:w="5000" w:type="pct"/>
        <w:tblLook w:val="04A0" w:firstRow="1" w:lastRow="0" w:firstColumn="1" w:lastColumn="0" w:noHBand="0" w:noVBand="1"/>
      </w:tblPr>
      <w:tblGrid>
        <w:gridCol w:w="1188"/>
        <w:gridCol w:w="2004"/>
        <w:gridCol w:w="1123"/>
        <w:gridCol w:w="1070"/>
        <w:gridCol w:w="1040"/>
        <w:gridCol w:w="557"/>
        <w:gridCol w:w="1035"/>
        <w:gridCol w:w="741"/>
        <w:gridCol w:w="1170"/>
        <w:gridCol w:w="611"/>
        <w:gridCol w:w="261"/>
      </w:tblGrid>
      <w:tr w:rsidR="0049448B" w:rsidRPr="0049448B" w14:paraId="7E401257" w14:textId="77777777" w:rsidTr="0049448B">
        <w:trPr>
          <w:trHeight w:val="260"/>
        </w:trPr>
        <w:tc>
          <w:tcPr>
            <w:tcW w:w="3972" w:type="pct"/>
            <w:gridSpan w:val="8"/>
            <w:tcBorders>
              <w:top w:val="nil"/>
              <w:left w:val="nil"/>
              <w:bottom w:val="single" w:sz="8" w:space="0" w:color="auto"/>
              <w:right w:val="nil"/>
            </w:tcBorders>
            <w:shd w:val="clear" w:color="auto" w:fill="auto"/>
            <w:noWrap/>
            <w:vAlign w:val="bottom"/>
            <w:hideMark/>
          </w:tcPr>
          <w:p w14:paraId="26B9E08E" w14:textId="7904517B" w:rsidR="0049448B" w:rsidRPr="0049448B" w:rsidRDefault="0049448B" w:rsidP="0049448B">
            <w:pPr>
              <w:rPr>
                <w:rFonts w:eastAsia="Times New Roman" w:cs="Arial"/>
                <w:b/>
                <w:bCs/>
                <w:color w:val="000000"/>
                <w:sz w:val="16"/>
                <w:szCs w:val="16"/>
                <w:lang w:eastAsia="en-US"/>
              </w:rPr>
            </w:pPr>
            <w:r w:rsidRPr="0049448B">
              <w:rPr>
                <w:rFonts w:eastAsia="Times New Roman" w:cs="Arial"/>
                <w:b/>
                <w:bCs/>
                <w:color w:val="000000"/>
                <w:sz w:val="16"/>
                <w:szCs w:val="16"/>
                <w:lang w:eastAsia="en-US"/>
              </w:rPr>
              <w:t xml:space="preserve">Table 5: Association between IM history and family structure among controls </w:t>
            </w:r>
            <w:r w:rsidR="00E44E76">
              <w:rPr>
                <w:rFonts w:eastAsia="Times New Roman" w:cs="Arial"/>
                <w:b/>
                <w:bCs/>
                <w:color w:val="000000"/>
                <w:sz w:val="16"/>
                <w:szCs w:val="16"/>
                <w:lang w:eastAsia="en-US"/>
              </w:rPr>
              <w:t>with available</w:t>
            </w:r>
            <w:r w:rsidRPr="0049448B">
              <w:rPr>
                <w:rFonts w:eastAsia="Times New Roman" w:cs="Arial"/>
                <w:b/>
                <w:bCs/>
                <w:color w:val="000000"/>
                <w:sz w:val="16"/>
                <w:szCs w:val="16"/>
                <w:lang w:eastAsia="en-US"/>
              </w:rPr>
              <w:t xml:space="preserve"> year of birth</w:t>
            </w:r>
            <w:r w:rsidR="00E44E76">
              <w:rPr>
                <w:rFonts w:eastAsia="Times New Roman" w:cs="Arial"/>
                <w:b/>
                <w:bCs/>
                <w:color w:val="000000"/>
                <w:sz w:val="16"/>
                <w:szCs w:val="16"/>
                <w:lang w:eastAsia="en-US"/>
              </w:rPr>
              <w:t xml:space="preserve"> data</w:t>
            </w:r>
          </w:p>
        </w:tc>
        <w:tc>
          <w:tcPr>
            <w:tcW w:w="552" w:type="pct"/>
            <w:tcBorders>
              <w:top w:val="nil"/>
              <w:left w:val="nil"/>
              <w:bottom w:val="single" w:sz="8" w:space="0" w:color="auto"/>
              <w:right w:val="nil"/>
            </w:tcBorders>
            <w:shd w:val="clear" w:color="auto" w:fill="auto"/>
            <w:noWrap/>
            <w:vAlign w:val="bottom"/>
            <w:hideMark/>
          </w:tcPr>
          <w:p w14:paraId="43E866AD" w14:textId="77777777" w:rsidR="0049448B" w:rsidRPr="0049448B" w:rsidRDefault="0049448B" w:rsidP="0049448B">
            <w:pPr>
              <w:rPr>
                <w:rFonts w:eastAsia="Times New Roman" w:cs="Arial"/>
                <w:b/>
                <w:bCs/>
                <w:color w:val="000000"/>
                <w:sz w:val="16"/>
                <w:szCs w:val="16"/>
                <w:lang w:eastAsia="en-US"/>
              </w:rPr>
            </w:pPr>
            <w:r w:rsidRPr="0049448B">
              <w:rPr>
                <w:rFonts w:eastAsia="Times New Roman" w:cs="Arial"/>
                <w:b/>
                <w:bCs/>
                <w:color w:val="000000"/>
                <w:sz w:val="16"/>
                <w:szCs w:val="16"/>
                <w:lang w:eastAsia="en-US"/>
              </w:rPr>
              <w:t> </w:t>
            </w:r>
          </w:p>
        </w:tc>
        <w:tc>
          <w:tcPr>
            <w:tcW w:w="352" w:type="pct"/>
            <w:tcBorders>
              <w:top w:val="nil"/>
              <w:left w:val="nil"/>
              <w:bottom w:val="single" w:sz="8" w:space="0" w:color="auto"/>
              <w:right w:val="nil"/>
            </w:tcBorders>
            <w:shd w:val="clear" w:color="auto" w:fill="auto"/>
            <w:noWrap/>
            <w:vAlign w:val="bottom"/>
            <w:hideMark/>
          </w:tcPr>
          <w:p w14:paraId="45B7D270" w14:textId="77777777" w:rsidR="0049448B" w:rsidRPr="0049448B" w:rsidRDefault="0049448B" w:rsidP="0049448B">
            <w:pPr>
              <w:rPr>
                <w:rFonts w:eastAsia="Times New Roman" w:cs="Arial"/>
                <w:b/>
                <w:bCs/>
                <w:color w:val="000000"/>
                <w:sz w:val="16"/>
                <w:szCs w:val="16"/>
                <w:lang w:eastAsia="en-US"/>
              </w:rPr>
            </w:pPr>
            <w:r w:rsidRPr="0049448B">
              <w:rPr>
                <w:rFonts w:eastAsia="Times New Roman" w:cs="Arial"/>
                <w:b/>
                <w:bCs/>
                <w:color w:val="000000"/>
                <w:sz w:val="16"/>
                <w:szCs w:val="16"/>
                <w:lang w:eastAsia="en-US"/>
              </w:rPr>
              <w:t> </w:t>
            </w:r>
          </w:p>
        </w:tc>
        <w:tc>
          <w:tcPr>
            <w:tcW w:w="124" w:type="pct"/>
            <w:tcBorders>
              <w:top w:val="nil"/>
              <w:left w:val="nil"/>
              <w:bottom w:val="single" w:sz="8" w:space="0" w:color="auto"/>
              <w:right w:val="nil"/>
            </w:tcBorders>
            <w:shd w:val="clear" w:color="auto" w:fill="auto"/>
            <w:noWrap/>
            <w:vAlign w:val="bottom"/>
            <w:hideMark/>
          </w:tcPr>
          <w:p w14:paraId="3810F97D" w14:textId="77777777" w:rsidR="0049448B" w:rsidRPr="0049448B" w:rsidRDefault="0049448B" w:rsidP="0049448B">
            <w:pPr>
              <w:rPr>
                <w:rFonts w:eastAsia="Times New Roman" w:cs="Arial"/>
                <w:b/>
                <w:bCs/>
                <w:color w:val="000000"/>
                <w:sz w:val="16"/>
                <w:szCs w:val="16"/>
                <w:lang w:eastAsia="en-US"/>
              </w:rPr>
            </w:pPr>
            <w:r w:rsidRPr="0049448B">
              <w:rPr>
                <w:rFonts w:eastAsia="Times New Roman" w:cs="Arial"/>
                <w:b/>
                <w:bCs/>
                <w:color w:val="000000"/>
                <w:sz w:val="16"/>
                <w:szCs w:val="16"/>
                <w:lang w:eastAsia="en-US"/>
              </w:rPr>
              <w:t> </w:t>
            </w:r>
          </w:p>
        </w:tc>
      </w:tr>
      <w:tr w:rsidR="0049448B" w:rsidRPr="0049448B" w14:paraId="7C3DF9FC" w14:textId="77777777" w:rsidTr="0049448B">
        <w:trPr>
          <w:trHeight w:val="480"/>
        </w:trPr>
        <w:tc>
          <w:tcPr>
            <w:tcW w:w="532" w:type="pct"/>
            <w:tcBorders>
              <w:top w:val="nil"/>
              <w:left w:val="nil"/>
              <w:bottom w:val="nil"/>
              <w:right w:val="nil"/>
            </w:tcBorders>
            <w:shd w:val="clear" w:color="auto" w:fill="auto"/>
            <w:noWrap/>
            <w:vAlign w:val="bottom"/>
            <w:hideMark/>
          </w:tcPr>
          <w:p w14:paraId="7B0C7CF4" w14:textId="77777777" w:rsidR="0049448B" w:rsidRPr="0049448B" w:rsidRDefault="0049448B" w:rsidP="0049448B">
            <w:pPr>
              <w:rPr>
                <w:rFonts w:eastAsia="Times New Roman" w:cs="Arial"/>
                <w:b/>
                <w:bCs/>
                <w:color w:val="000000"/>
                <w:sz w:val="16"/>
                <w:szCs w:val="16"/>
                <w:lang w:eastAsia="en-US"/>
              </w:rPr>
            </w:pPr>
          </w:p>
        </w:tc>
        <w:tc>
          <w:tcPr>
            <w:tcW w:w="935" w:type="pct"/>
            <w:tcBorders>
              <w:top w:val="nil"/>
              <w:left w:val="nil"/>
              <w:bottom w:val="nil"/>
              <w:right w:val="nil"/>
            </w:tcBorders>
            <w:shd w:val="clear" w:color="auto" w:fill="auto"/>
            <w:noWrap/>
            <w:vAlign w:val="bottom"/>
            <w:hideMark/>
          </w:tcPr>
          <w:p w14:paraId="29228578" w14:textId="77777777" w:rsidR="0049448B" w:rsidRPr="0049448B" w:rsidRDefault="0049448B" w:rsidP="0049448B">
            <w:pPr>
              <w:jc w:val="center"/>
              <w:rPr>
                <w:rFonts w:ascii="Times New Roman" w:eastAsia="Times New Roman" w:hAnsi="Times New Roman" w:cs="Times New Roman"/>
                <w:sz w:val="20"/>
                <w:szCs w:val="20"/>
                <w:lang w:eastAsia="en-US"/>
              </w:rPr>
            </w:pPr>
          </w:p>
        </w:tc>
        <w:tc>
          <w:tcPr>
            <w:tcW w:w="525" w:type="pct"/>
            <w:vMerge w:val="restart"/>
            <w:tcBorders>
              <w:top w:val="nil"/>
              <w:left w:val="nil"/>
              <w:bottom w:val="single" w:sz="4" w:space="0" w:color="000000"/>
              <w:right w:val="nil"/>
            </w:tcBorders>
            <w:shd w:val="clear" w:color="auto" w:fill="auto"/>
            <w:vAlign w:val="bottom"/>
            <w:hideMark/>
          </w:tcPr>
          <w:p w14:paraId="2C670491" w14:textId="77777777" w:rsidR="0049448B" w:rsidRPr="0049448B" w:rsidRDefault="0049448B" w:rsidP="0049448B">
            <w:pPr>
              <w:jc w:val="center"/>
              <w:rPr>
                <w:rFonts w:ascii="Times New Roman" w:eastAsia="Times New Roman" w:hAnsi="Times New Roman" w:cs="Times New Roman"/>
                <w:sz w:val="20"/>
                <w:szCs w:val="20"/>
                <w:lang w:eastAsia="en-US"/>
              </w:rPr>
            </w:pPr>
          </w:p>
        </w:tc>
        <w:tc>
          <w:tcPr>
            <w:tcW w:w="499" w:type="pct"/>
            <w:tcBorders>
              <w:top w:val="nil"/>
              <w:left w:val="nil"/>
              <w:bottom w:val="nil"/>
              <w:right w:val="nil"/>
            </w:tcBorders>
            <w:shd w:val="clear" w:color="auto" w:fill="auto"/>
            <w:vAlign w:val="bottom"/>
            <w:hideMark/>
          </w:tcPr>
          <w:p w14:paraId="0726FC7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IM negative controls</w:t>
            </w:r>
          </w:p>
        </w:tc>
        <w:tc>
          <w:tcPr>
            <w:tcW w:w="485" w:type="pct"/>
            <w:tcBorders>
              <w:top w:val="nil"/>
              <w:left w:val="nil"/>
              <w:bottom w:val="nil"/>
              <w:right w:val="nil"/>
            </w:tcBorders>
            <w:shd w:val="clear" w:color="auto" w:fill="auto"/>
            <w:vAlign w:val="bottom"/>
            <w:hideMark/>
          </w:tcPr>
          <w:p w14:paraId="7DAFB67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IM positive controls</w:t>
            </w:r>
          </w:p>
        </w:tc>
        <w:tc>
          <w:tcPr>
            <w:tcW w:w="251" w:type="pct"/>
            <w:tcBorders>
              <w:top w:val="nil"/>
              <w:left w:val="nil"/>
              <w:bottom w:val="nil"/>
              <w:right w:val="nil"/>
            </w:tcBorders>
            <w:shd w:val="clear" w:color="auto" w:fill="auto"/>
            <w:noWrap/>
            <w:vAlign w:val="bottom"/>
            <w:hideMark/>
          </w:tcPr>
          <w:p w14:paraId="58F7181E" w14:textId="77777777" w:rsidR="0049448B" w:rsidRPr="0049448B" w:rsidRDefault="0049448B" w:rsidP="0049448B">
            <w:pPr>
              <w:jc w:val="right"/>
              <w:rPr>
                <w:rFonts w:eastAsia="Times New Roman" w:cs="Arial"/>
                <w:color w:val="000000"/>
                <w:sz w:val="16"/>
                <w:szCs w:val="16"/>
                <w:lang w:eastAsia="en-US"/>
              </w:rPr>
            </w:pPr>
          </w:p>
        </w:tc>
        <w:tc>
          <w:tcPr>
            <w:tcW w:w="451" w:type="pct"/>
            <w:tcBorders>
              <w:top w:val="nil"/>
              <w:left w:val="nil"/>
              <w:bottom w:val="nil"/>
              <w:right w:val="nil"/>
            </w:tcBorders>
            <w:shd w:val="clear" w:color="auto" w:fill="auto"/>
            <w:noWrap/>
            <w:vAlign w:val="bottom"/>
            <w:hideMark/>
          </w:tcPr>
          <w:p w14:paraId="1A651589" w14:textId="77777777" w:rsidR="0049448B" w:rsidRPr="0049448B" w:rsidRDefault="0049448B" w:rsidP="0049448B">
            <w:pPr>
              <w:jc w:val="center"/>
              <w:rPr>
                <w:rFonts w:ascii="Times New Roman" w:eastAsia="Times New Roman" w:hAnsi="Times New Roman" w:cs="Times New Roman"/>
                <w:sz w:val="20"/>
                <w:szCs w:val="20"/>
                <w:lang w:eastAsia="en-US"/>
              </w:rPr>
            </w:pPr>
          </w:p>
        </w:tc>
        <w:tc>
          <w:tcPr>
            <w:tcW w:w="295" w:type="pct"/>
            <w:tcBorders>
              <w:top w:val="nil"/>
              <w:left w:val="nil"/>
              <w:bottom w:val="nil"/>
              <w:right w:val="nil"/>
            </w:tcBorders>
            <w:shd w:val="clear" w:color="auto" w:fill="auto"/>
            <w:noWrap/>
            <w:vAlign w:val="bottom"/>
            <w:hideMark/>
          </w:tcPr>
          <w:p w14:paraId="32F7EC0E" w14:textId="77777777" w:rsidR="0049448B" w:rsidRPr="0049448B" w:rsidRDefault="0049448B" w:rsidP="0049448B">
            <w:pPr>
              <w:jc w:val="center"/>
              <w:rPr>
                <w:rFonts w:ascii="Times New Roman" w:eastAsia="Times New Roman" w:hAnsi="Times New Roman" w:cs="Times New Roman"/>
                <w:sz w:val="20"/>
                <w:szCs w:val="20"/>
                <w:lang w:eastAsia="en-US"/>
              </w:rPr>
            </w:pPr>
          </w:p>
        </w:tc>
        <w:tc>
          <w:tcPr>
            <w:tcW w:w="552" w:type="pct"/>
            <w:tcBorders>
              <w:top w:val="nil"/>
              <w:left w:val="nil"/>
              <w:bottom w:val="nil"/>
              <w:right w:val="nil"/>
            </w:tcBorders>
            <w:shd w:val="clear" w:color="auto" w:fill="auto"/>
            <w:noWrap/>
            <w:vAlign w:val="bottom"/>
            <w:hideMark/>
          </w:tcPr>
          <w:p w14:paraId="6C27B345" w14:textId="77777777" w:rsidR="0049448B" w:rsidRPr="0049448B" w:rsidRDefault="0049448B" w:rsidP="0049448B">
            <w:pPr>
              <w:jc w:val="center"/>
              <w:rPr>
                <w:rFonts w:ascii="Times New Roman" w:eastAsia="Times New Roman" w:hAnsi="Times New Roman" w:cs="Times New Roman"/>
                <w:sz w:val="20"/>
                <w:szCs w:val="20"/>
                <w:lang w:eastAsia="en-US"/>
              </w:rPr>
            </w:pPr>
          </w:p>
        </w:tc>
        <w:tc>
          <w:tcPr>
            <w:tcW w:w="352" w:type="pct"/>
            <w:vAlign w:val="center"/>
            <w:hideMark/>
          </w:tcPr>
          <w:p w14:paraId="4A154445"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2CE8DB9E"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4C9E869A" w14:textId="77777777" w:rsidTr="0049448B">
        <w:trPr>
          <w:trHeight w:val="260"/>
        </w:trPr>
        <w:tc>
          <w:tcPr>
            <w:tcW w:w="532" w:type="pct"/>
            <w:tcBorders>
              <w:top w:val="nil"/>
              <w:left w:val="nil"/>
              <w:bottom w:val="single" w:sz="4" w:space="0" w:color="auto"/>
              <w:right w:val="nil"/>
            </w:tcBorders>
            <w:shd w:val="clear" w:color="auto" w:fill="auto"/>
            <w:noWrap/>
            <w:vAlign w:val="bottom"/>
            <w:hideMark/>
          </w:tcPr>
          <w:p w14:paraId="70AC4496"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xml:space="preserve">Year of birth </w:t>
            </w:r>
            <w:r w:rsidRPr="0049448B">
              <w:rPr>
                <w:rFonts w:eastAsia="Times New Roman" w:cs="Arial"/>
                <w:color w:val="000000"/>
                <w:sz w:val="16"/>
                <w:szCs w:val="16"/>
                <w:vertAlign w:val="superscript"/>
                <w:lang w:eastAsia="en-US"/>
              </w:rPr>
              <w:t>a</w:t>
            </w:r>
          </w:p>
        </w:tc>
        <w:tc>
          <w:tcPr>
            <w:tcW w:w="935" w:type="pct"/>
            <w:tcBorders>
              <w:top w:val="nil"/>
              <w:left w:val="nil"/>
              <w:bottom w:val="single" w:sz="4" w:space="0" w:color="auto"/>
              <w:right w:val="nil"/>
            </w:tcBorders>
            <w:shd w:val="clear" w:color="auto" w:fill="auto"/>
            <w:noWrap/>
            <w:vAlign w:val="bottom"/>
            <w:hideMark/>
          </w:tcPr>
          <w:p w14:paraId="1BD01B11"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w:t>
            </w:r>
          </w:p>
        </w:tc>
        <w:tc>
          <w:tcPr>
            <w:tcW w:w="525" w:type="pct"/>
            <w:vMerge/>
            <w:tcBorders>
              <w:top w:val="nil"/>
              <w:left w:val="nil"/>
              <w:bottom w:val="single" w:sz="4" w:space="0" w:color="000000"/>
              <w:right w:val="nil"/>
            </w:tcBorders>
            <w:vAlign w:val="center"/>
            <w:hideMark/>
          </w:tcPr>
          <w:p w14:paraId="19AB164C" w14:textId="77777777" w:rsidR="0049448B" w:rsidRPr="0049448B" w:rsidRDefault="0049448B" w:rsidP="0049448B">
            <w:pPr>
              <w:rPr>
                <w:rFonts w:ascii="Times New Roman" w:eastAsia="Times New Roman" w:hAnsi="Times New Roman" w:cs="Times New Roman"/>
                <w:sz w:val="20"/>
                <w:szCs w:val="20"/>
                <w:lang w:eastAsia="en-US"/>
              </w:rPr>
            </w:pPr>
          </w:p>
        </w:tc>
        <w:tc>
          <w:tcPr>
            <w:tcW w:w="499" w:type="pct"/>
            <w:tcBorders>
              <w:top w:val="nil"/>
              <w:left w:val="nil"/>
              <w:bottom w:val="single" w:sz="4" w:space="0" w:color="auto"/>
              <w:right w:val="nil"/>
            </w:tcBorders>
            <w:shd w:val="clear" w:color="auto" w:fill="auto"/>
            <w:noWrap/>
            <w:vAlign w:val="bottom"/>
            <w:hideMark/>
          </w:tcPr>
          <w:p w14:paraId="5383212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N</w:t>
            </w:r>
          </w:p>
        </w:tc>
        <w:tc>
          <w:tcPr>
            <w:tcW w:w="485" w:type="pct"/>
            <w:tcBorders>
              <w:top w:val="nil"/>
              <w:left w:val="nil"/>
              <w:bottom w:val="single" w:sz="4" w:space="0" w:color="auto"/>
              <w:right w:val="nil"/>
            </w:tcBorders>
            <w:shd w:val="clear" w:color="auto" w:fill="auto"/>
            <w:noWrap/>
            <w:vAlign w:val="bottom"/>
            <w:hideMark/>
          </w:tcPr>
          <w:p w14:paraId="689B89D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N</w:t>
            </w:r>
          </w:p>
        </w:tc>
        <w:tc>
          <w:tcPr>
            <w:tcW w:w="251" w:type="pct"/>
            <w:tcBorders>
              <w:top w:val="nil"/>
              <w:left w:val="nil"/>
              <w:bottom w:val="single" w:sz="4" w:space="0" w:color="auto"/>
              <w:right w:val="nil"/>
            </w:tcBorders>
            <w:shd w:val="clear" w:color="auto" w:fill="auto"/>
            <w:noWrap/>
            <w:vAlign w:val="bottom"/>
            <w:hideMark/>
          </w:tcPr>
          <w:p w14:paraId="3203F18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 xml:space="preserve">OR </w:t>
            </w:r>
            <w:r w:rsidRPr="0049448B">
              <w:rPr>
                <w:rFonts w:eastAsia="Times New Roman" w:cs="Arial"/>
                <w:color w:val="000000"/>
                <w:sz w:val="16"/>
                <w:szCs w:val="16"/>
                <w:vertAlign w:val="superscript"/>
                <w:lang w:eastAsia="en-US"/>
              </w:rPr>
              <w:t>d</w:t>
            </w:r>
          </w:p>
        </w:tc>
        <w:tc>
          <w:tcPr>
            <w:tcW w:w="451" w:type="pct"/>
            <w:tcBorders>
              <w:top w:val="nil"/>
              <w:left w:val="nil"/>
              <w:bottom w:val="single" w:sz="4" w:space="0" w:color="auto"/>
              <w:right w:val="nil"/>
            </w:tcBorders>
            <w:shd w:val="clear" w:color="auto" w:fill="auto"/>
            <w:noWrap/>
            <w:vAlign w:val="bottom"/>
            <w:hideMark/>
          </w:tcPr>
          <w:p w14:paraId="5C5645A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95% CI</w:t>
            </w:r>
          </w:p>
        </w:tc>
        <w:tc>
          <w:tcPr>
            <w:tcW w:w="295" w:type="pct"/>
            <w:tcBorders>
              <w:top w:val="nil"/>
              <w:left w:val="nil"/>
              <w:bottom w:val="single" w:sz="4" w:space="0" w:color="auto"/>
              <w:right w:val="nil"/>
            </w:tcBorders>
            <w:shd w:val="clear" w:color="auto" w:fill="auto"/>
            <w:noWrap/>
            <w:vAlign w:val="bottom"/>
            <w:hideMark/>
          </w:tcPr>
          <w:p w14:paraId="74BBD21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p-value</w:t>
            </w:r>
          </w:p>
        </w:tc>
        <w:tc>
          <w:tcPr>
            <w:tcW w:w="552" w:type="pct"/>
            <w:tcBorders>
              <w:top w:val="nil"/>
              <w:left w:val="nil"/>
              <w:bottom w:val="single" w:sz="4" w:space="0" w:color="auto"/>
              <w:right w:val="nil"/>
            </w:tcBorders>
            <w:shd w:val="clear" w:color="auto" w:fill="auto"/>
            <w:noWrap/>
            <w:vAlign w:val="bottom"/>
            <w:hideMark/>
          </w:tcPr>
          <w:p w14:paraId="6476B64F"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 </w:t>
            </w:r>
          </w:p>
        </w:tc>
        <w:tc>
          <w:tcPr>
            <w:tcW w:w="352" w:type="pct"/>
            <w:vAlign w:val="center"/>
            <w:hideMark/>
          </w:tcPr>
          <w:p w14:paraId="393CD056"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6D1152B3"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6B15CBB8" w14:textId="77777777" w:rsidTr="0049448B">
        <w:trPr>
          <w:trHeight w:val="260"/>
        </w:trPr>
        <w:tc>
          <w:tcPr>
            <w:tcW w:w="532" w:type="pct"/>
            <w:tcBorders>
              <w:top w:val="nil"/>
              <w:left w:val="nil"/>
              <w:bottom w:val="nil"/>
              <w:right w:val="nil"/>
            </w:tcBorders>
            <w:shd w:val="clear" w:color="auto" w:fill="auto"/>
            <w:noWrap/>
            <w:vAlign w:val="bottom"/>
            <w:hideMark/>
          </w:tcPr>
          <w:p w14:paraId="789E993C"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All</w:t>
            </w:r>
          </w:p>
        </w:tc>
        <w:tc>
          <w:tcPr>
            <w:tcW w:w="935" w:type="pct"/>
            <w:tcBorders>
              <w:top w:val="nil"/>
              <w:left w:val="nil"/>
              <w:bottom w:val="nil"/>
              <w:right w:val="nil"/>
            </w:tcBorders>
            <w:shd w:val="clear" w:color="auto" w:fill="auto"/>
            <w:noWrap/>
            <w:vAlign w:val="bottom"/>
            <w:hideMark/>
          </w:tcPr>
          <w:p w14:paraId="77698416"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xml:space="preserve">Number of Siblings </w:t>
            </w:r>
            <w:r w:rsidRPr="0049448B">
              <w:rPr>
                <w:rFonts w:eastAsia="Times New Roman" w:cs="Arial"/>
                <w:color w:val="000000"/>
                <w:sz w:val="16"/>
                <w:szCs w:val="16"/>
                <w:vertAlign w:val="superscript"/>
                <w:lang w:eastAsia="en-US"/>
              </w:rPr>
              <w:t>b</w:t>
            </w:r>
          </w:p>
        </w:tc>
        <w:tc>
          <w:tcPr>
            <w:tcW w:w="525" w:type="pct"/>
            <w:tcBorders>
              <w:top w:val="nil"/>
              <w:left w:val="nil"/>
              <w:bottom w:val="nil"/>
              <w:right w:val="nil"/>
            </w:tcBorders>
            <w:shd w:val="clear" w:color="auto" w:fill="auto"/>
            <w:noWrap/>
            <w:vAlign w:val="bottom"/>
            <w:hideMark/>
          </w:tcPr>
          <w:p w14:paraId="25FD3269"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0 or 1</w:t>
            </w:r>
          </w:p>
        </w:tc>
        <w:tc>
          <w:tcPr>
            <w:tcW w:w="499" w:type="pct"/>
            <w:tcBorders>
              <w:top w:val="nil"/>
              <w:left w:val="nil"/>
              <w:bottom w:val="nil"/>
              <w:right w:val="nil"/>
            </w:tcBorders>
            <w:shd w:val="clear" w:color="auto" w:fill="auto"/>
            <w:noWrap/>
            <w:vAlign w:val="bottom"/>
            <w:hideMark/>
          </w:tcPr>
          <w:p w14:paraId="7D83A7B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933</w:t>
            </w:r>
          </w:p>
        </w:tc>
        <w:tc>
          <w:tcPr>
            <w:tcW w:w="485" w:type="pct"/>
            <w:tcBorders>
              <w:top w:val="nil"/>
              <w:left w:val="nil"/>
              <w:bottom w:val="nil"/>
              <w:right w:val="nil"/>
            </w:tcBorders>
            <w:shd w:val="clear" w:color="auto" w:fill="auto"/>
            <w:noWrap/>
            <w:vAlign w:val="bottom"/>
            <w:hideMark/>
          </w:tcPr>
          <w:p w14:paraId="3EC5A21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54</w:t>
            </w:r>
          </w:p>
        </w:tc>
        <w:tc>
          <w:tcPr>
            <w:tcW w:w="251" w:type="pct"/>
            <w:tcBorders>
              <w:top w:val="nil"/>
              <w:left w:val="nil"/>
              <w:bottom w:val="nil"/>
              <w:right w:val="nil"/>
            </w:tcBorders>
            <w:shd w:val="clear" w:color="auto" w:fill="auto"/>
            <w:noWrap/>
            <w:vAlign w:val="bottom"/>
            <w:hideMark/>
          </w:tcPr>
          <w:p w14:paraId="3EE9514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(ref)</w:t>
            </w:r>
          </w:p>
        </w:tc>
        <w:tc>
          <w:tcPr>
            <w:tcW w:w="451" w:type="pct"/>
            <w:tcBorders>
              <w:top w:val="nil"/>
              <w:left w:val="nil"/>
              <w:bottom w:val="nil"/>
              <w:right w:val="nil"/>
            </w:tcBorders>
            <w:shd w:val="clear" w:color="auto" w:fill="auto"/>
            <w:noWrap/>
            <w:vAlign w:val="bottom"/>
            <w:hideMark/>
          </w:tcPr>
          <w:p w14:paraId="17E1199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w:t>
            </w:r>
          </w:p>
        </w:tc>
        <w:tc>
          <w:tcPr>
            <w:tcW w:w="295" w:type="pct"/>
            <w:tcBorders>
              <w:top w:val="nil"/>
              <w:left w:val="nil"/>
              <w:bottom w:val="nil"/>
              <w:right w:val="nil"/>
            </w:tcBorders>
            <w:shd w:val="clear" w:color="auto" w:fill="auto"/>
            <w:noWrap/>
            <w:vAlign w:val="bottom"/>
            <w:hideMark/>
          </w:tcPr>
          <w:p w14:paraId="319EAFA9" w14:textId="77777777" w:rsidR="0049448B" w:rsidRPr="0049448B" w:rsidRDefault="0049448B" w:rsidP="0049448B">
            <w:pPr>
              <w:jc w:val="right"/>
              <w:rPr>
                <w:rFonts w:eastAsia="Times New Roman" w:cs="Arial"/>
                <w:color w:val="000000"/>
                <w:sz w:val="16"/>
                <w:szCs w:val="16"/>
                <w:lang w:eastAsia="en-US"/>
              </w:rPr>
            </w:pPr>
          </w:p>
        </w:tc>
        <w:tc>
          <w:tcPr>
            <w:tcW w:w="552" w:type="pct"/>
            <w:tcBorders>
              <w:top w:val="nil"/>
              <w:left w:val="nil"/>
              <w:bottom w:val="nil"/>
              <w:right w:val="nil"/>
            </w:tcBorders>
            <w:shd w:val="clear" w:color="auto" w:fill="auto"/>
            <w:noWrap/>
            <w:vAlign w:val="bottom"/>
            <w:hideMark/>
          </w:tcPr>
          <w:p w14:paraId="2FC5B406"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352" w:type="pct"/>
            <w:vAlign w:val="center"/>
            <w:hideMark/>
          </w:tcPr>
          <w:p w14:paraId="4E98048C"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38F35BCE"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5A55528F" w14:textId="77777777" w:rsidTr="0049448B">
        <w:trPr>
          <w:trHeight w:val="260"/>
        </w:trPr>
        <w:tc>
          <w:tcPr>
            <w:tcW w:w="532" w:type="pct"/>
            <w:tcBorders>
              <w:top w:val="nil"/>
              <w:left w:val="nil"/>
              <w:bottom w:val="nil"/>
              <w:right w:val="nil"/>
            </w:tcBorders>
            <w:shd w:val="clear" w:color="auto" w:fill="auto"/>
            <w:noWrap/>
            <w:vAlign w:val="bottom"/>
            <w:hideMark/>
          </w:tcPr>
          <w:p w14:paraId="3E354289"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1C4662CE" w14:textId="77777777" w:rsidR="0049448B" w:rsidRPr="0049448B" w:rsidRDefault="0049448B" w:rsidP="0049448B">
            <w:pPr>
              <w:rPr>
                <w:rFonts w:ascii="Times New Roman" w:eastAsia="Times New Roman" w:hAnsi="Times New Roman" w:cs="Times New Roman"/>
                <w:sz w:val="20"/>
                <w:szCs w:val="20"/>
                <w:lang w:eastAsia="en-US"/>
              </w:rPr>
            </w:pPr>
          </w:p>
        </w:tc>
        <w:tc>
          <w:tcPr>
            <w:tcW w:w="525" w:type="pct"/>
            <w:tcBorders>
              <w:top w:val="nil"/>
              <w:left w:val="nil"/>
              <w:bottom w:val="nil"/>
              <w:right w:val="nil"/>
            </w:tcBorders>
            <w:shd w:val="clear" w:color="auto" w:fill="auto"/>
            <w:noWrap/>
            <w:vAlign w:val="bottom"/>
            <w:hideMark/>
          </w:tcPr>
          <w:p w14:paraId="534934E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2</w:t>
            </w:r>
          </w:p>
        </w:tc>
        <w:tc>
          <w:tcPr>
            <w:tcW w:w="499" w:type="pct"/>
            <w:tcBorders>
              <w:top w:val="nil"/>
              <w:left w:val="nil"/>
              <w:bottom w:val="nil"/>
              <w:right w:val="nil"/>
            </w:tcBorders>
            <w:shd w:val="clear" w:color="auto" w:fill="auto"/>
            <w:noWrap/>
            <w:vAlign w:val="bottom"/>
            <w:hideMark/>
          </w:tcPr>
          <w:p w14:paraId="3A805BD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899</w:t>
            </w:r>
          </w:p>
        </w:tc>
        <w:tc>
          <w:tcPr>
            <w:tcW w:w="485" w:type="pct"/>
            <w:tcBorders>
              <w:top w:val="nil"/>
              <w:left w:val="nil"/>
              <w:bottom w:val="nil"/>
              <w:right w:val="nil"/>
            </w:tcBorders>
            <w:shd w:val="clear" w:color="auto" w:fill="auto"/>
            <w:noWrap/>
            <w:vAlign w:val="bottom"/>
            <w:hideMark/>
          </w:tcPr>
          <w:p w14:paraId="6950F91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56</w:t>
            </w:r>
          </w:p>
        </w:tc>
        <w:tc>
          <w:tcPr>
            <w:tcW w:w="251" w:type="pct"/>
            <w:tcBorders>
              <w:top w:val="nil"/>
              <w:left w:val="nil"/>
              <w:bottom w:val="nil"/>
              <w:right w:val="nil"/>
            </w:tcBorders>
            <w:shd w:val="clear" w:color="auto" w:fill="auto"/>
            <w:noWrap/>
            <w:vAlign w:val="bottom"/>
            <w:hideMark/>
          </w:tcPr>
          <w:p w14:paraId="6271A07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1.03</w:t>
            </w:r>
          </w:p>
        </w:tc>
        <w:tc>
          <w:tcPr>
            <w:tcW w:w="451" w:type="pct"/>
            <w:tcBorders>
              <w:top w:val="nil"/>
              <w:left w:val="nil"/>
              <w:bottom w:val="nil"/>
              <w:right w:val="nil"/>
            </w:tcBorders>
            <w:shd w:val="clear" w:color="auto" w:fill="auto"/>
            <w:noWrap/>
            <w:vAlign w:val="bottom"/>
            <w:hideMark/>
          </w:tcPr>
          <w:p w14:paraId="3C266B7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[0.69, 1.55]</w:t>
            </w:r>
          </w:p>
        </w:tc>
        <w:tc>
          <w:tcPr>
            <w:tcW w:w="295" w:type="pct"/>
            <w:tcBorders>
              <w:top w:val="nil"/>
              <w:left w:val="nil"/>
              <w:bottom w:val="nil"/>
              <w:right w:val="nil"/>
            </w:tcBorders>
            <w:shd w:val="clear" w:color="auto" w:fill="auto"/>
            <w:noWrap/>
            <w:vAlign w:val="bottom"/>
            <w:hideMark/>
          </w:tcPr>
          <w:p w14:paraId="28F4C94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0.88</w:t>
            </w:r>
          </w:p>
        </w:tc>
        <w:tc>
          <w:tcPr>
            <w:tcW w:w="552" w:type="pct"/>
            <w:tcBorders>
              <w:top w:val="nil"/>
              <w:left w:val="nil"/>
              <w:bottom w:val="nil"/>
              <w:right w:val="nil"/>
            </w:tcBorders>
            <w:shd w:val="clear" w:color="auto" w:fill="auto"/>
            <w:noWrap/>
            <w:vAlign w:val="bottom"/>
            <w:hideMark/>
          </w:tcPr>
          <w:p w14:paraId="51DBADD2" w14:textId="77777777" w:rsidR="0049448B" w:rsidRPr="0049448B" w:rsidRDefault="0049448B" w:rsidP="0049448B">
            <w:pPr>
              <w:jc w:val="right"/>
              <w:rPr>
                <w:rFonts w:eastAsia="Times New Roman" w:cs="Arial"/>
                <w:color w:val="000000"/>
                <w:sz w:val="16"/>
                <w:szCs w:val="16"/>
                <w:lang w:eastAsia="en-US"/>
              </w:rPr>
            </w:pPr>
          </w:p>
        </w:tc>
        <w:tc>
          <w:tcPr>
            <w:tcW w:w="352" w:type="pct"/>
            <w:vAlign w:val="center"/>
            <w:hideMark/>
          </w:tcPr>
          <w:p w14:paraId="73A82E1F"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15FE5D7D"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7F8BFAA5" w14:textId="77777777" w:rsidTr="0049448B">
        <w:trPr>
          <w:trHeight w:val="260"/>
        </w:trPr>
        <w:tc>
          <w:tcPr>
            <w:tcW w:w="532" w:type="pct"/>
            <w:tcBorders>
              <w:top w:val="nil"/>
              <w:left w:val="nil"/>
              <w:bottom w:val="nil"/>
              <w:right w:val="nil"/>
            </w:tcBorders>
            <w:shd w:val="clear" w:color="auto" w:fill="auto"/>
            <w:noWrap/>
            <w:vAlign w:val="bottom"/>
            <w:hideMark/>
          </w:tcPr>
          <w:p w14:paraId="164D2319"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2848462F" w14:textId="77777777" w:rsidR="0049448B" w:rsidRPr="0049448B" w:rsidRDefault="0049448B" w:rsidP="0049448B">
            <w:pPr>
              <w:rPr>
                <w:rFonts w:ascii="Times New Roman" w:eastAsia="Times New Roman" w:hAnsi="Times New Roman" w:cs="Times New Roman"/>
                <w:sz w:val="20"/>
                <w:szCs w:val="20"/>
                <w:lang w:eastAsia="en-US"/>
              </w:rPr>
            </w:pPr>
          </w:p>
        </w:tc>
        <w:tc>
          <w:tcPr>
            <w:tcW w:w="525" w:type="pct"/>
            <w:tcBorders>
              <w:top w:val="nil"/>
              <w:left w:val="nil"/>
              <w:bottom w:val="nil"/>
              <w:right w:val="nil"/>
            </w:tcBorders>
            <w:shd w:val="clear" w:color="auto" w:fill="auto"/>
            <w:noWrap/>
            <w:vAlign w:val="bottom"/>
            <w:hideMark/>
          </w:tcPr>
          <w:p w14:paraId="77B93337"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3+</w:t>
            </w:r>
          </w:p>
        </w:tc>
        <w:tc>
          <w:tcPr>
            <w:tcW w:w="499" w:type="pct"/>
            <w:tcBorders>
              <w:top w:val="nil"/>
              <w:left w:val="nil"/>
              <w:bottom w:val="nil"/>
              <w:right w:val="nil"/>
            </w:tcBorders>
            <w:shd w:val="clear" w:color="auto" w:fill="auto"/>
            <w:noWrap/>
            <w:vAlign w:val="bottom"/>
            <w:hideMark/>
          </w:tcPr>
          <w:p w14:paraId="16EEC36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2,067</w:t>
            </w:r>
          </w:p>
        </w:tc>
        <w:tc>
          <w:tcPr>
            <w:tcW w:w="485" w:type="pct"/>
            <w:tcBorders>
              <w:top w:val="nil"/>
              <w:left w:val="nil"/>
              <w:bottom w:val="nil"/>
              <w:right w:val="nil"/>
            </w:tcBorders>
            <w:shd w:val="clear" w:color="auto" w:fill="auto"/>
            <w:noWrap/>
            <w:vAlign w:val="bottom"/>
            <w:hideMark/>
          </w:tcPr>
          <w:p w14:paraId="60CA70E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56</w:t>
            </w:r>
          </w:p>
        </w:tc>
        <w:tc>
          <w:tcPr>
            <w:tcW w:w="251" w:type="pct"/>
            <w:tcBorders>
              <w:top w:val="nil"/>
              <w:left w:val="nil"/>
              <w:bottom w:val="nil"/>
              <w:right w:val="nil"/>
            </w:tcBorders>
            <w:shd w:val="clear" w:color="auto" w:fill="auto"/>
            <w:noWrap/>
            <w:vAlign w:val="bottom"/>
            <w:hideMark/>
          </w:tcPr>
          <w:p w14:paraId="515B0445"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0.57</w:t>
            </w:r>
          </w:p>
        </w:tc>
        <w:tc>
          <w:tcPr>
            <w:tcW w:w="451" w:type="pct"/>
            <w:tcBorders>
              <w:top w:val="nil"/>
              <w:left w:val="nil"/>
              <w:bottom w:val="nil"/>
              <w:right w:val="nil"/>
            </w:tcBorders>
            <w:shd w:val="clear" w:color="auto" w:fill="auto"/>
            <w:noWrap/>
            <w:vAlign w:val="bottom"/>
            <w:hideMark/>
          </w:tcPr>
          <w:p w14:paraId="2BBFB28B"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[0.38, 0.85]</w:t>
            </w:r>
          </w:p>
        </w:tc>
        <w:tc>
          <w:tcPr>
            <w:tcW w:w="295" w:type="pct"/>
            <w:tcBorders>
              <w:top w:val="nil"/>
              <w:left w:val="nil"/>
              <w:bottom w:val="nil"/>
              <w:right w:val="nil"/>
            </w:tcBorders>
            <w:shd w:val="clear" w:color="auto" w:fill="auto"/>
            <w:noWrap/>
            <w:vAlign w:val="bottom"/>
            <w:hideMark/>
          </w:tcPr>
          <w:p w14:paraId="7431526A"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0.01</w:t>
            </w:r>
          </w:p>
        </w:tc>
        <w:tc>
          <w:tcPr>
            <w:tcW w:w="552" w:type="pct"/>
            <w:tcBorders>
              <w:top w:val="nil"/>
              <w:left w:val="nil"/>
              <w:bottom w:val="nil"/>
              <w:right w:val="nil"/>
            </w:tcBorders>
            <w:shd w:val="clear" w:color="auto" w:fill="auto"/>
            <w:noWrap/>
            <w:vAlign w:val="bottom"/>
            <w:hideMark/>
          </w:tcPr>
          <w:p w14:paraId="23339722" w14:textId="77777777" w:rsidR="0049448B" w:rsidRPr="0049448B" w:rsidRDefault="0049448B" w:rsidP="0049448B">
            <w:pPr>
              <w:jc w:val="right"/>
              <w:rPr>
                <w:rFonts w:eastAsia="Times New Roman" w:cs="Arial"/>
                <w:b/>
                <w:bCs/>
                <w:color w:val="000000"/>
                <w:sz w:val="16"/>
                <w:szCs w:val="16"/>
                <w:lang w:eastAsia="en-US"/>
              </w:rPr>
            </w:pPr>
          </w:p>
        </w:tc>
        <w:tc>
          <w:tcPr>
            <w:tcW w:w="352" w:type="pct"/>
            <w:vAlign w:val="center"/>
            <w:hideMark/>
          </w:tcPr>
          <w:p w14:paraId="0D39B91D"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7A7F4521"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016493E8" w14:textId="77777777" w:rsidTr="0049448B">
        <w:trPr>
          <w:trHeight w:val="260"/>
        </w:trPr>
        <w:tc>
          <w:tcPr>
            <w:tcW w:w="532" w:type="pct"/>
            <w:tcBorders>
              <w:top w:val="nil"/>
              <w:left w:val="nil"/>
              <w:bottom w:val="nil"/>
              <w:right w:val="nil"/>
            </w:tcBorders>
            <w:shd w:val="clear" w:color="auto" w:fill="auto"/>
            <w:noWrap/>
            <w:vAlign w:val="bottom"/>
            <w:hideMark/>
          </w:tcPr>
          <w:p w14:paraId="381B8F4B"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1454F3C2" w14:textId="77777777" w:rsidR="0049448B" w:rsidRPr="0049448B" w:rsidRDefault="0049448B" w:rsidP="0049448B">
            <w:pPr>
              <w:rPr>
                <w:rFonts w:ascii="Times New Roman" w:eastAsia="Times New Roman" w:hAnsi="Times New Roman" w:cs="Times New Roman"/>
                <w:sz w:val="20"/>
                <w:szCs w:val="20"/>
                <w:lang w:eastAsia="en-US"/>
              </w:rPr>
            </w:pPr>
          </w:p>
        </w:tc>
        <w:tc>
          <w:tcPr>
            <w:tcW w:w="525" w:type="pct"/>
            <w:tcBorders>
              <w:top w:val="nil"/>
              <w:left w:val="nil"/>
              <w:bottom w:val="nil"/>
              <w:right w:val="nil"/>
            </w:tcBorders>
            <w:shd w:val="clear" w:color="auto" w:fill="auto"/>
            <w:noWrap/>
            <w:vAlign w:val="bottom"/>
            <w:hideMark/>
          </w:tcPr>
          <w:p w14:paraId="1A182635" w14:textId="77777777" w:rsidR="0049448B" w:rsidRPr="0049448B" w:rsidRDefault="0049448B" w:rsidP="0049448B">
            <w:pPr>
              <w:rPr>
                <w:rFonts w:ascii="Times New Roman" w:eastAsia="Times New Roman" w:hAnsi="Times New Roman" w:cs="Times New Roman"/>
                <w:sz w:val="20"/>
                <w:szCs w:val="20"/>
                <w:lang w:eastAsia="en-US"/>
              </w:rPr>
            </w:pPr>
          </w:p>
        </w:tc>
        <w:tc>
          <w:tcPr>
            <w:tcW w:w="499" w:type="pct"/>
            <w:tcBorders>
              <w:top w:val="nil"/>
              <w:left w:val="nil"/>
              <w:bottom w:val="nil"/>
              <w:right w:val="nil"/>
            </w:tcBorders>
            <w:shd w:val="clear" w:color="auto" w:fill="auto"/>
            <w:noWrap/>
            <w:vAlign w:val="bottom"/>
            <w:hideMark/>
          </w:tcPr>
          <w:p w14:paraId="2B7E72BB" w14:textId="77777777" w:rsidR="0049448B" w:rsidRPr="0049448B" w:rsidRDefault="0049448B" w:rsidP="0049448B">
            <w:pPr>
              <w:rPr>
                <w:rFonts w:ascii="Times New Roman" w:eastAsia="Times New Roman" w:hAnsi="Times New Roman" w:cs="Times New Roman"/>
                <w:sz w:val="20"/>
                <w:szCs w:val="20"/>
                <w:lang w:eastAsia="en-US"/>
              </w:rPr>
            </w:pPr>
          </w:p>
        </w:tc>
        <w:tc>
          <w:tcPr>
            <w:tcW w:w="485" w:type="pct"/>
            <w:tcBorders>
              <w:top w:val="nil"/>
              <w:left w:val="nil"/>
              <w:bottom w:val="nil"/>
              <w:right w:val="nil"/>
            </w:tcBorders>
            <w:shd w:val="clear" w:color="auto" w:fill="auto"/>
            <w:noWrap/>
            <w:vAlign w:val="bottom"/>
            <w:hideMark/>
          </w:tcPr>
          <w:p w14:paraId="2D04419B"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251" w:type="pct"/>
            <w:tcBorders>
              <w:top w:val="nil"/>
              <w:left w:val="nil"/>
              <w:bottom w:val="nil"/>
              <w:right w:val="nil"/>
            </w:tcBorders>
            <w:shd w:val="clear" w:color="auto" w:fill="auto"/>
            <w:noWrap/>
            <w:vAlign w:val="bottom"/>
            <w:hideMark/>
          </w:tcPr>
          <w:p w14:paraId="1755B0B3"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451" w:type="pct"/>
            <w:tcBorders>
              <w:top w:val="nil"/>
              <w:left w:val="nil"/>
              <w:bottom w:val="nil"/>
              <w:right w:val="nil"/>
            </w:tcBorders>
            <w:shd w:val="clear" w:color="auto" w:fill="auto"/>
            <w:noWrap/>
            <w:vAlign w:val="bottom"/>
            <w:hideMark/>
          </w:tcPr>
          <w:p w14:paraId="4D689141"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295" w:type="pct"/>
            <w:tcBorders>
              <w:top w:val="nil"/>
              <w:left w:val="nil"/>
              <w:bottom w:val="nil"/>
              <w:right w:val="nil"/>
            </w:tcBorders>
            <w:shd w:val="clear" w:color="auto" w:fill="auto"/>
            <w:noWrap/>
            <w:vAlign w:val="bottom"/>
            <w:hideMark/>
          </w:tcPr>
          <w:p w14:paraId="3F99365E"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552" w:type="pct"/>
            <w:tcBorders>
              <w:top w:val="nil"/>
              <w:left w:val="nil"/>
              <w:bottom w:val="nil"/>
              <w:right w:val="nil"/>
            </w:tcBorders>
            <w:shd w:val="clear" w:color="auto" w:fill="auto"/>
            <w:noWrap/>
            <w:vAlign w:val="bottom"/>
            <w:hideMark/>
          </w:tcPr>
          <w:p w14:paraId="73C7801F"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352" w:type="pct"/>
            <w:vAlign w:val="center"/>
            <w:hideMark/>
          </w:tcPr>
          <w:p w14:paraId="478B2C82"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41374BD2"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63DC7AA5" w14:textId="77777777" w:rsidTr="0049448B">
        <w:trPr>
          <w:trHeight w:val="260"/>
        </w:trPr>
        <w:tc>
          <w:tcPr>
            <w:tcW w:w="532" w:type="pct"/>
            <w:tcBorders>
              <w:top w:val="nil"/>
              <w:left w:val="nil"/>
              <w:bottom w:val="nil"/>
              <w:right w:val="nil"/>
            </w:tcBorders>
            <w:shd w:val="clear" w:color="auto" w:fill="auto"/>
            <w:noWrap/>
            <w:vAlign w:val="bottom"/>
            <w:hideMark/>
          </w:tcPr>
          <w:p w14:paraId="0A8ACBE1"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09BC2ABE"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xml:space="preserve">Birth Order </w:t>
            </w:r>
            <w:r w:rsidRPr="0049448B">
              <w:rPr>
                <w:rFonts w:eastAsia="Times New Roman" w:cs="Arial"/>
                <w:color w:val="000000"/>
                <w:sz w:val="16"/>
                <w:szCs w:val="16"/>
                <w:vertAlign w:val="superscript"/>
                <w:lang w:eastAsia="en-US"/>
              </w:rPr>
              <w:t>c</w:t>
            </w:r>
          </w:p>
        </w:tc>
        <w:tc>
          <w:tcPr>
            <w:tcW w:w="525" w:type="pct"/>
            <w:tcBorders>
              <w:top w:val="nil"/>
              <w:left w:val="nil"/>
              <w:bottom w:val="nil"/>
              <w:right w:val="nil"/>
            </w:tcBorders>
            <w:shd w:val="clear" w:color="auto" w:fill="auto"/>
            <w:noWrap/>
            <w:vAlign w:val="bottom"/>
            <w:hideMark/>
          </w:tcPr>
          <w:p w14:paraId="12C07C40"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1st</w:t>
            </w:r>
          </w:p>
        </w:tc>
        <w:tc>
          <w:tcPr>
            <w:tcW w:w="499" w:type="pct"/>
            <w:tcBorders>
              <w:top w:val="nil"/>
              <w:left w:val="nil"/>
              <w:bottom w:val="nil"/>
              <w:right w:val="nil"/>
            </w:tcBorders>
            <w:shd w:val="clear" w:color="auto" w:fill="auto"/>
            <w:noWrap/>
            <w:vAlign w:val="bottom"/>
            <w:hideMark/>
          </w:tcPr>
          <w:p w14:paraId="7D6B6E7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750</w:t>
            </w:r>
          </w:p>
        </w:tc>
        <w:tc>
          <w:tcPr>
            <w:tcW w:w="485" w:type="pct"/>
            <w:tcBorders>
              <w:top w:val="nil"/>
              <w:left w:val="nil"/>
              <w:bottom w:val="nil"/>
              <w:right w:val="nil"/>
            </w:tcBorders>
            <w:shd w:val="clear" w:color="auto" w:fill="auto"/>
            <w:noWrap/>
            <w:vAlign w:val="bottom"/>
            <w:hideMark/>
          </w:tcPr>
          <w:p w14:paraId="1D78B65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30</w:t>
            </w:r>
          </w:p>
        </w:tc>
        <w:tc>
          <w:tcPr>
            <w:tcW w:w="251" w:type="pct"/>
            <w:tcBorders>
              <w:top w:val="nil"/>
              <w:left w:val="nil"/>
              <w:bottom w:val="nil"/>
              <w:right w:val="nil"/>
            </w:tcBorders>
            <w:shd w:val="clear" w:color="auto" w:fill="auto"/>
            <w:noWrap/>
            <w:vAlign w:val="bottom"/>
            <w:hideMark/>
          </w:tcPr>
          <w:p w14:paraId="3AF6E16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(ref)</w:t>
            </w:r>
          </w:p>
        </w:tc>
        <w:tc>
          <w:tcPr>
            <w:tcW w:w="451" w:type="pct"/>
            <w:tcBorders>
              <w:top w:val="nil"/>
              <w:left w:val="nil"/>
              <w:bottom w:val="nil"/>
              <w:right w:val="nil"/>
            </w:tcBorders>
            <w:shd w:val="clear" w:color="auto" w:fill="auto"/>
            <w:noWrap/>
            <w:vAlign w:val="bottom"/>
            <w:hideMark/>
          </w:tcPr>
          <w:p w14:paraId="2C32B53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w:t>
            </w:r>
          </w:p>
        </w:tc>
        <w:tc>
          <w:tcPr>
            <w:tcW w:w="295" w:type="pct"/>
            <w:tcBorders>
              <w:top w:val="nil"/>
              <w:left w:val="nil"/>
              <w:bottom w:val="nil"/>
              <w:right w:val="nil"/>
            </w:tcBorders>
            <w:shd w:val="clear" w:color="auto" w:fill="auto"/>
            <w:noWrap/>
            <w:vAlign w:val="bottom"/>
            <w:hideMark/>
          </w:tcPr>
          <w:p w14:paraId="305ED5AC" w14:textId="77777777" w:rsidR="0049448B" w:rsidRPr="0049448B" w:rsidRDefault="0049448B" w:rsidP="0049448B">
            <w:pPr>
              <w:jc w:val="right"/>
              <w:rPr>
                <w:rFonts w:eastAsia="Times New Roman" w:cs="Arial"/>
                <w:color w:val="000000"/>
                <w:sz w:val="16"/>
                <w:szCs w:val="16"/>
                <w:lang w:eastAsia="en-US"/>
              </w:rPr>
            </w:pPr>
          </w:p>
        </w:tc>
        <w:tc>
          <w:tcPr>
            <w:tcW w:w="552" w:type="pct"/>
            <w:tcBorders>
              <w:top w:val="nil"/>
              <w:left w:val="nil"/>
              <w:bottom w:val="nil"/>
              <w:right w:val="nil"/>
            </w:tcBorders>
            <w:shd w:val="clear" w:color="auto" w:fill="auto"/>
            <w:noWrap/>
            <w:vAlign w:val="bottom"/>
            <w:hideMark/>
          </w:tcPr>
          <w:p w14:paraId="41380765"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352" w:type="pct"/>
            <w:vAlign w:val="center"/>
            <w:hideMark/>
          </w:tcPr>
          <w:p w14:paraId="1D80745A"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63FC5F2F"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75516318" w14:textId="77777777" w:rsidTr="0049448B">
        <w:trPr>
          <w:trHeight w:val="260"/>
        </w:trPr>
        <w:tc>
          <w:tcPr>
            <w:tcW w:w="532" w:type="pct"/>
            <w:tcBorders>
              <w:top w:val="nil"/>
              <w:left w:val="nil"/>
              <w:bottom w:val="nil"/>
              <w:right w:val="nil"/>
            </w:tcBorders>
            <w:shd w:val="clear" w:color="auto" w:fill="auto"/>
            <w:noWrap/>
            <w:vAlign w:val="bottom"/>
            <w:hideMark/>
          </w:tcPr>
          <w:p w14:paraId="1C59ED5A"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vMerge w:val="restart"/>
            <w:tcBorders>
              <w:top w:val="nil"/>
              <w:left w:val="nil"/>
              <w:bottom w:val="nil"/>
              <w:right w:val="nil"/>
            </w:tcBorders>
            <w:shd w:val="clear" w:color="auto" w:fill="auto"/>
            <w:hideMark/>
          </w:tcPr>
          <w:p w14:paraId="40F34E44"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(among controls with 2+ siblings)</w:t>
            </w:r>
          </w:p>
        </w:tc>
        <w:tc>
          <w:tcPr>
            <w:tcW w:w="525" w:type="pct"/>
            <w:tcBorders>
              <w:top w:val="nil"/>
              <w:left w:val="nil"/>
              <w:bottom w:val="nil"/>
              <w:right w:val="nil"/>
            </w:tcBorders>
            <w:shd w:val="clear" w:color="auto" w:fill="auto"/>
            <w:noWrap/>
            <w:vAlign w:val="bottom"/>
            <w:hideMark/>
          </w:tcPr>
          <w:p w14:paraId="510E65D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2nd</w:t>
            </w:r>
          </w:p>
        </w:tc>
        <w:tc>
          <w:tcPr>
            <w:tcW w:w="499" w:type="pct"/>
            <w:tcBorders>
              <w:top w:val="nil"/>
              <w:left w:val="nil"/>
              <w:bottom w:val="nil"/>
              <w:right w:val="nil"/>
            </w:tcBorders>
            <w:shd w:val="clear" w:color="auto" w:fill="auto"/>
            <w:noWrap/>
            <w:vAlign w:val="bottom"/>
            <w:hideMark/>
          </w:tcPr>
          <w:p w14:paraId="30669CF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745</w:t>
            </w:r>
          </w:p>
        </w:tc>
        <w:tc>
          <w:tcPr>
            <w:tcW w:w="485" w:type="pct"/>
            <w:tcBorders>
              <w:top w:val="nil"/>
              <w:left w:val="nil"/>
              <w:bottom w:val="nil"/>
              <w:right w:val="nil"/>
            </w:tcBorders>
            <w:shd w:val="clear" w:color="auto" w:fill="auto"/>
            <w:noWrap/>
            <w:vAlign w:val="bottom"/>
            <w:hideMark/>
          </w:tcPr>
          <w:p w14:paraId="6BA1573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36</w:t>
            </w:r>
          </w:p>
        </w:tc>
        <w:tc>
          <w:tcPr>
            <w:tcW w:w="251" w:type="pct"/>
            <w:tcBorders>
              <w:top w:val="nil"/>
              <w:left w:val="nil"/>
              <w:bottom w:val="nil"/>
              <w:right w:val="nil"/>
            </w:tcBorders>
            <w:shd w:val="clear" w:color="auto" w:fill="auto"/>
            <w:noWrap/>
            <w:vAlign w:val="bottom"/>
            <w:hideMark/>
          </w:tcPr>
          <w:p w14:paraId="279CF4B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1.41</w:t>
            </w:r>
          </w:p>
        </w:tc>
        <w:tc>
          <w:tcPr>
            <w:tcW w:w="451" w:type="pct"/>
            <w:tcBorders>
              <w:top w:val="nil"/>
              <w:left w:val="nil"/>
              <w:bottom w:val="nil"/>
              <w:right w:val="nil"/>
            </w:tcBorders>
            <w:shd w:val="clear" w:color="auto" w:fill="auto"/>
            <w:noWrap/>
            <w:vAlign w:val="bottom"/>
            <w:hideMark/>
          </w:tcPr>
          <w:p w14:paraId="4B64C87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[0.85, 2.36]</w:t>
            </w:r>
          </w:p>
        </w:tc>
        <w:tc>
          <w:tcPr>
            <w:tcW w:w="295" w:type="pct"/>
            <w:tcBorders>
              <w:top w:val="nil"/>
              <w:left w:val="nil"/>
              <w:bottom w:val="nil"/>
              <w:right w:val="nil"/>
            </w:tcBorders>
            <w:shd w:val="clear" w:color="auto" w:fill="auto"/>
            <w:noWrap/>
            <w:vAlign w:val="bottom"/>
            <w:hideMark/>
          </w:tcPr>
          <w:p w14:paraId="746AD7E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0.19</w:t>
            </w:r>
          </w:p>
        </w:tc>
        <w:tc>
          <w:tcPr>
            <w:tcW w:w="552" w:type="pct"/>
            <w:tcBorders>
              <w:top w:val="nil"/>
              <w:left w:val="nil"/>
              <w:bottom w:val="nil"/>
              <w:right w:val="nil"/>
            </w:tcBorders>
            <w:shd w:val="clear" w:color="auto" w:fill="auto"/>
            <w:noWrap/>
            <w:vAlign w:val="bottom"/>
            <w:hideMark/>
          </w:tcPr>
          <w:p w14:paraId="41EA1AAD" w14:textId="77777777" w:rsidR="0049448B" w:rsidRPr="0049448B" w:rsidRDefault="0049448B" w:rsidP="0049448B">
            <w:pPr>
              <w:jc w:val="right"/>
              <w:rPr>
                <w:rFonts w:eastAsia="Times New Roman" w:cs="Arial"/>
                <w:color w:val="000000"/>
                <w:sz w:val="16"/>
                <w:szCs w:val="16"/>
                <w:lang w:eastAsia="en-US"/>
              </w:rPr>
            </w:pPr>
          </w:p>
        </w:tc>
        <w:tc>
          <w:tcPr>
            <w:tcW w:w="352" w:type="pct"/>
            <w:vAlign w:val="center"/>
            <w:hideMark/>
          </w:tcPr>
          <w:p w14:paraId="4D0E43A0"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374536BB"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193881BE" w14:textId="77777777" w:rsidTr="0049448B">
        <w:trPr>
          <w:trHeight w:val="260"/>
        </w:trPr>
        <w:tc>
          <w:tcPr>
            <w:tcW w:w="532" w:type="pct"/>
            <w:tcBorders>
              <w:top w:val="nil"/>
              <w:left w:val="nil"/>
              <w:bottom w:val="nil"/>
              <w:right w:val="nil"/>
            </w:tcBorders>
            <w:shd w:val="clear" w:color="auto" w:fill="auto"/>
            <w:noWrap/>
            <w:vAlign w:val="bottom"/>
            <w:hideMark/>
          </w:tcPr>
          <w:p w14:paraId="4E5394A4"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vMerge/>
            <w:tcBorders>
              <w:top w:val="nil"/>
              <w:left w:val="nil"/>
              <w:bottom w:val="nil"/>
              <w:right w:val="nil"/>
            </w:tcBorders>
            <w:vAlign w:val="center"/>
            <w:hideMark/>
          </w:tcPr>
          <w:p w14:paraId="777A3A68" w14:textId="77777777" w:rsidR="0049448B" w:rsidRPr="0049448B" w:rsidRDefault="0049448B" w:rsidP="0049448B">
            <w:pPr>
              <w:rPr>
                <w:rFonts w:eastAsia="Times New Roman" w:cs="Arial"/>
                <w:color w:val="000000"/>
                <w:sz w:val="16"/>
                <w:szCs w:val="16"/>
                <w:lang w:eastAsia="en-US"/>
              </w:rPr>
            </w:pPr>
          </w:p>
        </w:tc>
        <w:tc>
          <w:tcPr>
            <w:tcW w:w="525" w:type="pct"/>
            <w:tcBorders>
              <w:top w:val="nil"/>
              <w:left w:val="nil"/>
              <w:bottom w:val="nil"/>
              <w:right w:val="nil"/>
            </w:tcBorders>
            <w:shd w:val="clear" w:color="auto" w:fill="auto"/>
            <w:noWrap/>
            <w:vAlign w:val="bottom"/>
            <w:hideMark/>
          </w:tcPr>
          <w:p w14:paraId="271F9807"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3rd+</w:t>
            </w:r>
          </w:p>
        </w:tc>
        <w:tc>
          <w:tcPr>
            <w:tcW w:w="499" w:type="pct"/>
            <w:tcBorders>
              <w:top w:val="nil"/>
              <w:left w:val="nil"/>
              <w:bottom w:val="nil"/>
              <w:right w:val="nil"/>
            </w:tcBorders>
            <w:shd w:val="clear" w:color="auto" w:fill="auto"/>
            <w:noWrap/>
            <w:vAlign w:val="bottom"/>
            <w:hideMark/>
          </w:tcPr>
          <w:p w14:paraId="0217FBE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1,447</w:t>
            </w:r>
          </w:p>
        </w:tc>
        <w:tc>
          <w:tcPr>
            <w:tcW w:w="485" w:type="pct"/>
            <w:tcBorders>
              <w:top w:val="nil"/>
              <w:left w:val="nil"/>
              <w:bottom w:val="nil"/>
              <w:right w:val="nil"/>
            </w:tcBorders>
            <w:shd w:val="clear" w:color="auto" w:fill="auto"/>
            <w:noWrap/>
            <w:vAlign w:val="bottom"/>
            <w:hideMark/>
          </w:tcPr>
          <w:p w14:paraId="6D2822C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46</w:t>
            </w:r>
          </w:p>
        </w:tc>
        <w:tc>
          <w:tcPr>
            <w:tcW w:w="251" w:type="pct"/>
            <w:tcBorders>
              <w:top w:val="nil"/>
              <w:left w:val="nil"/>
              <w:bottom w:val="nil"/>
              <w:right w:val="nil"/>
            </w:tcBorders>
            <w:shd w:val="clear" w:color="auto" w:fill="auto"/>
            <w:noWrap/>
            <w:vAlign w:val="bottom"/>
            <w:hideMark/>
          </w:tcPr>
          <w:p w14:paraId="37CA7C1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0.98</w:t>
            </w:r>
          </w:p>
        </w:tc>
        <w:tc>
          <w:tcPr>
            <w:tcW w:w="451" w:type="pct"/>
            <w:tcBorders>
              <w:top w:val="nil"/>
              <w:left w:val="nil"/>
              <w:bottom w:val="nil"/>
              <w:right w:val="nil"/>
            </w:tcBorders>
            <w:shd w:val="clear" w:color="auto" w:fill="auto"/>
            <w:noWrap/>
            <w:vAlign w:val="bottom"/>
            <w:hideMark/>
          </w:tcPr>
          <w:p w14:paraId="6E085D3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[0.60, 1.59]</w:t>
            </w:r>
          </w:p>
        </w:tc>
        <w:tc>
          <w:tcPr>
            <w:tcW w:w="295" w:type="pct"/>
            <w:tcBorders>
              <w:top w:val="nil"/>
              <w:left w:val="nil"/>
              <w:bottom w:val="nil"/>
              <w:right w:val="nil"/>
            </w:tcBorders>
            <w:shd w:val="clear" w:color="auto" w:fill="auto"/>
            <w:noWrap/>
            <w:vAlign w:val="bottom"/>
            <w:hideMark/>
          </w:tcPr>
          <w:p w14:paraId="51EE054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0.92</w:t>
            </w:r>
          </w:p>
        </w:tc>
        <w:tc>
          <w:tcPr>
            <w:tcW w:w="552" w:type="pct"/>
            <w:tcBorders>
              <w:top w:val="nil"/>
              <w:left w:val="nil"/>
              <w:bottom w:val="nil"/>
              <w:right w:val="nil"/>
            </w:tcBorders>
            <w:shd w:val="clear" w:color="auto" w:fill="auto"/>
            <w:noWrap/>
            <w:vAlign w:val="bottom"/>
            <w:hideMark/>
          </w:tcPr>
          <w:p w14:paraId="334CD15A" w14:textId="77777777" w:rsidR="0049448B" w:rsidRPr="0049448B" w:rsidRDefault="0049448B" w:rsidP="0049448B">
            <w:pPr>
              <w:jc w:val="right"/>
              <w:rPr>
                <w:rFonts w:eastAsia="Times New Roman" w:cs="Arial"/>
                <w:color w:val="000000"/>
                <w:sz w:val="16"/>
                <w:szCs w:val="16"/>
                <w:lang w:eastAsia="en-US"/>
              </w:rPr>
            </w:pPr>
          </w:p>
        </w:tc>
        <w:tc>
          <w:tcPr>
            <w:tcW w:w="352" w:type="pct"/>
            <w:vAlign w:val="center"/>
            <w:hideMark/>
          </w:tcPr>
          <w:p w14:paraId="250846C2"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498F4AE1"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1D89820B" w14:textId="77777777" w:rsidTr="0049448B">
        <w:trPr>
          <w:trHeight w:val="260"/>
        </w:trPr>
        <w:tc>
          <w:tcPr>
            <w:tcW w:w="532" w:type="pct"/>
            <w:tcBorders>
              <w:top w:val="nil"/>
              <w:left w:val="nil"/>
              <w:bottom w:val="nil"/>
              <w:right w:val="nil"/>
            </w:tcBorders>
            <w:shd w:val="clear" w:color="auto" w:fill="auto"/>
            <w:noWrap/>
            <w:vAlign w:val="bottom"/>
            <w:hideMark/>
          </w:tcPr>
          <w:p w14:paraId="27D60DFF"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59E3BD69" w14:textId="77777777" w:rsidR="0049448B" w:rsidRPr="0049448B" w:rsidRDefault="0049448B" w:rsidP="0049448B">
            <w:pPr>
              <w:rPr>
                <w:rFonts w:ascii="Times New Roman" w:eastAsia="Times New Roman" w:hAnsi="Times New Roman" w:cs="Times New Roman"/>
                <w:sz w:val="20"/>
                <w:szCs w:val="20"/>
                <w:lang w:eastAsia="en-US"/>
              </w:rPr>
            </w:pPr>
          </w:p>
        </w:tc>
        <w:tc>
          <w:tcPr>
            <w:tcW w:w="525" w:type="pct"/>
            <w:tcBorders>
              <w:top w:val="nil"/>
              <w:left w:val="nil"/>
              <w:bottom w:val="nil"/>
              <w:right w:val="nil"/>
            </w:tcBorders>
            <w:shd w:val="clear" w:color="auto" w:fill="auto"/>
            <w:noWrap/>
            <w:vAlign w:val="bottom"/>
            <w:hideMark/>
          </w:tcPr>
          <w:p w14:paraId="10E653D1" w14:textId="77777777" w:rsidR="0049448B" w:rsidRPr="0049448B" w:rsidRDefault="0049448B" w:rsidP="0049448B">
            <w:pPr>
              <w:rPr>
                <w:rFonts w:ascii="Times New Roman" w:eastAsia="Times New Roman" w:hAnsi="Times New Roman" w:cs="Times New Roman"/>
                <w:sz w:val="20"/>
                <w:szCs w:val="20"/>
                <w:lang w:eastAsia="en-US"/>
              </w:rPr>
            </w:pPr>
          </w:p>
        </w:tc>
        <w:tc>
          <w:tcPr>
            <w:tcW w:w="499" w:type="pct"/>
            <w:tcBorders>
              <w:top w:val="nil"/>
              <w:left w:val="nil"/>
              <w:bottom w:val="nil"/>
              <w:right w:val="nil"/>
            </w:tcBorders>
            <w:shd w:val="clear" w:color="auto" w:fill="auto"/>
            <w:noWrap/>
            <w:vAlign w:val="bottom"/>
            <w:hideMark/>
          </w:tcPr>
          <w:p w14:paraId="6F2A3743" w14:textId="77777777" w:rsidR="0049448B" w:rsidRPr="0049448B" w:rsidRDefault="0049448B" w:rsidP="0049448B">
            <w:pPr>
              <w:rPr>
                <w:rFonts w:ascii="Times New Roman" w:eastAsia="Times New Roman" w:hAnsi="Times New Roman" w:cs="Times New Roman"/>
                <w:sz w:val="20"/>
                <w:szCs w:val="20"/>
                <w:lang w:eastAsia="en-US"/>
              </w:rPr>
            </w:pPr>
          </w:p>
        </w:tc>
        <w:tc>
          <w:tcPr>
            <w:tcW w:w="485" w:type="pct"/>
            <w:tcBorders>
              <w:top w:val="nil"/>
              <w:left w:val="nil"/>
              <w:bottom w:val="nil"/>
              <w:right w:val="nil"/>
            </w:tcBorders>
            <w:shd w:val="clear" w:color="auto" w:fill="auto"/>
            <w:noWrap/>
            <w:vAlign w:val="bottom"/>
            <w:hideMark/>
          </w:tcPr>
          <w:p w14:paraId="41970A56"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251" w:type="pct"/>
            <w:tcBorders>
              <w:top w:val="nil"/>
              <w:left w:val="nil"/>
              <w:bottom w:val="nil"/>
              <w:right w:val="nil"/>
            </w:tcBorders>
            <w:shd w:val="clear" w:color="auto" w:fill="auto"/>
            <w:noWrap/>
            <w:vAlign w:val="bottom"/>
            <w:hideMark/>
          </w:tcPr>
          <w:p w14:paraId="5A746EF7"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451" w:type="pct"/>
            <w:tcBorders>
              <w:top w:val="nil"/>
              <w:left w:val="nil"/>
              <w:bottom w:val="nil"/>
              <w:right w:val="nil"/>
            </w:tcBorders>
            <w:shd w:val="clear" w:color="auto" w:fill="auto"/>
            <w:noWrap/>
            <w:vAlign w:val="bottom"/>
            <w:hideMark/>
          </w:tcPr>
          <w:p w14:paraId="3FD1DEE2"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295" w:type="pct"/>
            <w:tcBorders>
              <w:top w:val="nil"/>
              <w:left w:val="nil"/>
              <w:bottom w:val="nil"/>
              <w:right w:val="nil"/>
            </w:tcBorders>
            <w:shd w:val="clear" w:color="auto" w:fill="auto"/>
            <w:noWrap/>
            <w:vAlign w:val="bottom"/>
            <w:hideMark/>
          </w:tcPr>
          <w:p w14:paraId="7160662E"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552" w:type="pct"/>
            <w:tcBorders>
              <w:top w:val="nil"/>
              <w:left w:val="nil"/>
              <w:bottom w:val="nil"/>
              <w:right w:val="nil"/>
            </w:tcBorders>
            <w:shd w:val="clear" w:color="auto" w:fill="auto"/>
            <w:noWrap/>
            <w:vAlign w:val="bottom"/>
            <w:hideMark/>
          </w:tcPr>
          <w:p w14:paraId="1A3CEA00"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352" w:type="pct"/>
            <w:vAlign w:val="center"/>
            <w:hideMark/>
          </w:tcPr>
          <w:p w14:paraId="2DE9BC12"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7AE0CF9C"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113AE795" w14:textId="77777777" w:rsidTr="0049448B">
        <w:trPr>
          <w:trHeight w:val="260"/>
        </w:trPr>
        <w:tc>
          <w:tcPr>
            <w:tcW w:w="532" w:type="pct"/>
            <w:tcBorders>
              <w:top w:val="nil"/>
              <w:left w:val="nil"/>
              <w:bottom w:val="nil"/>
              <w:right w:val="nil"/>
            </w:tcBorders>
            <w:shd w:val="clear" w:color="auto" w:fill="auto"/>
            <w:noWrap/>
            <w:vAlign w:val="bottom"/>
            <w:hideMark/>
          </w:tcPr>
          <w:p w14:paraId="3F4EA8E7"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1901 - 1960</w:t>
            </w:r>
          </w:p>
        </w:tc>
        <w:tc>
          <w:tcPr>
            <w:tcW w:w="935" w:type="pct"/>
            <w:tcBorders>
              <w:top w:val="nil"/>
              <w:left w:val="nil"/>
              <w:bottom w:val="nil"/>
              <w:right w:val="nil"/>
            </w:tcBorders>
            <w:shd w:val="clear" w:color="auto" w:fill="auto"/>
            <w:noWrap/>
            <w:vAlign w:val="bottom"/>
            <w:hideMark/>
          </w:tcPr>
          <w:p w14:paraId="47B275A4"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xml:space="preserve">Number of Siblings </w:t>
            </w:r>
            <w:r w:rsidRPr="0049448B">
              <w:rPr>
                <w:rFonts w:eastAsia="Times New Roman" w:cs="Arial"/>
                <w:color w:val="000000"/>
                <w:sz w:val="16"/>
                <w:szCs w:val="16"/>
                <w:vertAlign w:val="superscript"/>
                <w:lang w:eastAsia="en-US"/>
              </w:rPr>
              <w:t>b</w:t>
            </w:r>
          </w:p>
        </w:tc>
        <w:tc>
          <w:tcPr>
            <w:tcW w:w="525" w:type="pct"/>
            <w:tcBorders>
              <w:top w:val="nil"/>
              <w:left w:val="nil"/>
              <w:bottom w:val="nil"/>
              <w:right w:val="nil"/>
            </w:tcBorders>
            <w:shd w:val="clear" w:color="auto" w:fill="auto"/>
            <w:noWrap/>
            <w:vAlign w:val="bottom"/>
            <w:hideMark/>
          </w:tcPr>
          <w:p w14:paraId="2457F89C"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0 or 1</w:t>
            </w:r>
          </w:p>
        </w:tc>
        <w:tc>
          <w:tcPr>
            <w:tcW w:w="499" w:type="pct"/>
            <w:tcBorders>
              <w:top w:val="nil"/>
              <w:left w:val="nil"/>
              <w:bottom w:val="nil"/>
              <w:right w:val="nil"/>
            </w:tcBorders>
            <w:shd w:val="clear" w:color="auto" w:fill="auto"/>
            <w:noWrap/>
            <w:vAlign w:val="bottom"/>
            <w:hideMark/>
          </w:tcPr>
          <w:p w14:paraId="5DE93EF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733</w:t>
            </w:r>
          </w:p>
        </w:tc>
        <w:tc>
          <w:tcPr>
            <w:tcW w:w="485" w:type="pct"/>
            <w:tcBorders>
              <w:top w:val="nil"/>
              <w:left w:val="nil"/>
              <w:bottom w:val="nil"/>
              <w:right w:val="nil"/>
            </w:tcBorders>
            <w:shd w:val="clear" w:color="auto" w:fill="auto"/>
            <w:noWrap/>
            <w:vAlign w:val="bottom"/>
            <w:hideMark/>
          </w:tcPr>
          <w:p w14:paraId="5820FF0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34</w:t>
            </w:r>
          </w:p>
        </w:tc>
        <w:tc>
          <w:tcPr>
            <w:tcW w:w="251" w:type="pct"/>
            <w:tcBorders>
              <w:top w:val="nil"/>
              <w:left w:val="nil"/>
              <w:bottom w:val="nil"/>
              <w:right w:val="nil"/>
            </w:tcBorders>
            <w:shd w:val="clear" w:color="auto" w:fill="auto"/>
            <w:noWrap/>
            <w:vAlign w:val="bottom"/>
            <w:hideMark/>
          </w:tcPr>
          <w:p w14:paraId="04E4174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(ref)</w:t>
            </w:r>
          </w:p>
        </w:tc>
        <w:tc>
          <w:tcPr>
            <w:tcW w:w="451" w:type="pct"/>
            <w:tcBorders>
              <w:top w:val="nil"/>
              <w:left w:val="nil"/>
              <w:bottom w:val="nil"/>
              <w:right w:val="nil"/>
            </w:tcBorders>
            <w:shd w:val="clear" w:color="auto" w:fill="auto"/>
            <w:noWrap/>
            <w:vAlign w:val="bottom"/>
            <w:hideMark/>
          </w:tcPr>
          <w:p w14:paraId="3D5D6B3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w:t>
            </w:r>
          </w:p>
        </w:tc>
        <w:tc>
          <w:tcPr>
            <w:tcW w:w="295" w:type="pct"/>
            <w:tcBorders>
              <w:top w:val="nil"/>
              <w:left w:val="nil"/>
              <w:bottom w:val="nil"/>
              <w:right w:val="nil"/>
            </w:tcBorders>
            <w:shd w:val="clear" w:color="auto" w:fill="auto"/>
            <w:noWrap/>
            <w:vAlign w:val="bottom"/>
            <w:hideMark/>
          </w:tcPr>
          <w:p w14:paraId="43E7CD57" w14:textId="77777777" w:rsidR="0049448B" w:rsidRPr="0049448B" w:rsidRDefault="0049448B" w:rsidP="0049448B">
            <w:pPr>
              <w:jc w:val="right"/>
              <w:rPr>
                <w:rFonts w:eastAsia="Times New Roman" w:cs="Arial"/>
                <w:color w:val="000000"/>
                <w:sz w:val="16"/>
                <w:szCs w:val="16"/>
                <w:lang w:eastAsia="en-US"/>
              </w:rPr>
            </w:pPr>
          </w:p>
        </w:tc>
        <w:tc>
          <w:tcPr>
            <w:tcW w:w="552" w:type="pct"/>
            <w:tcBorders>
              <w:top w:val="nil"/>
              <w:left w:val="nil"/>
              <w:bottom w:val="nil"/>
              <w:right w:val="nil"/>
            </w:tcBorders>
            <w:shd w:val="clear" w:color="auto" w:fill="auto"/>
            <w:noWrap/>
            <w:vAlign w:val="bottom"/>
            <w:hideMark/>
          </w:tcPr>
          <w:p w14:paraId="2EBD55B4"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352" w:type="pct"/>
            <w:vAlign w:val="center"/>
            <w:hideMark/>
          </w:tcPr>
          <w:p w14:paraId="308D9EBA"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440F1239"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58D90D9F" w14:textId="77777777" w:rsidTr="0049448B">
        <w:trPr>
          <w:trHeight w:val="260"/>
        </w:trPr>
        <w:tc>
          <w:tcPr>
            <w:tcW w:w="532" w:type="pct"/>
            <w:tcBorders>
              <w:top w:val="nil"/>
              <w:left w:val="nil"/>
              <w:bottom w:val="nil"/>
              <w:right w:val="nil"/>
            </w:tcBorders>
            <w:shd w:val="clear" w:color="auto" w:fill="auto"/>
            <w:noWrap/>
            <w:vAlign w:val="bottom"/>
            <w:hideMark/>
          </w:tcPr>
          <w:p w14:paraId="1BD2EE90"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0616BCF8" w14:textId="77777777" w:rsidR="0049448B" w:rsidRPr="0049448B" w:rsidRDefault="0049448B" w:rsidP="0049448B">
            <w:pPr>
              <w:rPr>
                <w:rFonts w:ascii="Times New Roman" w:eastAsia="Times New Roman" w:hAnsi="Times New Roman" w:cs="Times New Roman"/>
                <w:sz w:val="20"/>
                <w:szCs w:val="20"/>
                <w:lang w:eastAsia="en-US"/>
              </w:rPr>
            </w:pPr>
          </w:p>
        </w:tc>
        <w:tc>
          <w:tcPr>
            <w:tcW w:w="525" w:type="pct"/>
            <w:tcBorders>
              <w:top w:val="nil"/>
              <w:left w:val="nil"/>
              <w:bottom w:val="nil"/>
              <w:right w:val="nil"/>
            </w:tcBorders>
            <w:shd w:val="clear" w:color="auto" w:fill="auto"/>
            <w:noWrap/>
            <w:vAlign w:val="bottom"/>
            <w:hideMark/>
          </w:tcPr>
          <w:p w14:paraId="315C217A"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2</w:t>
            </w:r>
          </w:p>
        </w:tc>
        <w:tc>
          <w:tcPr>
            <w:tcW w:w="499" w:type="pct"/>
            <w:tcBorders>
              <w:top w:val="nil"/>
              <w:left w:val="nil"/>
              <w:bottom w:val="nil"/>
              <w:right w:val="nil"/>
            </w:tcBorders>
            <w:shd w:val="clear" w:color="auto" w:fill="auto"/>
            <w:noWrap/>
            <w:vAlign w:val="bottom"/>
            <w:hideMark/>
          </w:tcPr>
          <w:p w14:paraId="367D25A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685</w:t>
            </w:r>
          </w:p>
        </w:tc>
        <w:tc>
          <w:tcPr>
            <w:tcW w:w="485" w:type="pct"/>
            <w:tcBorders>
              <w:top w:val="nil"/>
              <w:left w:val="nil"/>
              <w:bottom w:val="nil"/>
              <w:right w:val="nil"/>
            </w:tcBorders>
            <w:shd w:val="clear" w:color="auto" w:fill="auto"/>
            <w:noWrap/>
            <w:vAlign w:val="bottom"/>
            <w:hideMark/>
          </w:tcPr>
          <w:p w14:paraId="7A1B4E5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34</w:t>
            </w:r>
          </w:p>
        </w:tc>
        <w:tc>
          <w:tcPr>
            <w:tcW w:w="251" w:type="pct"/>
            <w:tcBorders>
              <w:top w:val="nil"/>
              <w:left w:val="nil"/>
              <w:bottom w:val="nil"/>
              <w:right w:val="nil"/>
            </w:tcBorders>
            <w:shd w:val="clear" w:color="auto" w:fill="auto"/>
            <w:noWrap/>
            <w:vAlign w:val="bottom"/>
            <w:hideMark/>
          </w:tcPr>
          <w:p w14:paraId="0498458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1.10</w:t>
            </w:r>
          </w:p>
        </w:tc>
        <w:tc>
          <w:tcPr>
            <w:tcW w:w="451" w:type="pct"/>
            <w:tcBorders>
              <w:top w:val="nil"/>
              <w:left w:val="nil"/>
              <w:bottom w:val="nil"/>
              <w:right w:val="nil"/>
            </w:tcBorders>
            <w:shd w:val="clear" w:color="auto" w:fill="auto"/>
            <w:noWrap/>
            <w:vAlign w:val="bottom"/>
            <w:hideMark/>
          </w:tcPr>
          <w:p w14:paraId="60B1210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[0.66, 1.82]</w:t>
            </w:r>
          </w:p>
        </w:tc>
        <w:tc>
          <w:tcPr>
            <w:tcW w:w="295" w:type="pct"/>
            <w:tcBorders>
              <w:top w:val="nil"/>
              <w:left w:val="nil"/>
              <w:bottom w:val="nil"/>
              <w:right w:val="nil"/>
            </w:tcBorders>
            <w:shd w:val="clear" w:color="auto" w:fill="auto"/>
            <w:noWrap/>
            <w:vAlign w:val="bottom"/>
            <w:hideMark/>
          </w:tcPr>
          <w:p w14:paraId="064D6F4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0.71</w:t>
            </w:r>
          </w:p>
        </w:tc>
        <w:tc>
          <w:tcPr>
            <w:tcW w:w="552" w:type="pct"/>
            <w:tcBorders>
              <w:top w:val="nil"/>
              <w:left w:val="nil"/>
              <w:bottom w:val="nil"/>
              <w:right w:val="nil"/>
            </w:tcBorders>
            <w:shd w:val="clear" w:color="auto" w:fill="auto"/>
            <w:noWrap/>
            <w:vAlign w:val="bottom"/>
            <w:hideMark/>
          </w:tcPr>
          <w:p w14:paraId="63B2A6D2" w14:textId="77777777" w:rsidR="0049448B" w:rsidRPr="0049448B" w:rsidRDefault="0049448B" w:rsidP="0049448B">
            <w:pPr>
              <w:jc w:val="right"/>
              <w:rPr>
                <w:rFonts w:eastAsia="Times New Roman" w:cs="Arial"/>
                <w:color w:val="000000"/>
                <w:sz w:val="16"/>
                <w:szCs w:val="16"/>
                <w:lang w:eastAsia="en-US"/>
              </w:rPr>
            </w:pPr>
          </w:p>
        </w:tc>
        <w:tc>
          <w:tcPr>
            <w:tcW w:w="352" w:type="pct"/>
            <w:vAlign w:val="center"/>
            <w:hideMark/>
          </w:tcPr>
          <w:p w14:paraId="57B6B0B0"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16A52715"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5EE17434" w14:textId="77777777" w:rsidTr="0049448B">
        <w:trPr>
          <w:trHeight w:val="260"/>
        </w:trPr>
        <w:tc>
          <w:tcPr>
            <w:tcW w:w="532" w:type="pct"/>
            <w:tcBorders>
              <w:top w:val="nil"/>
              <w:left w:val="nil"/>
              <w:bottom w:val="nil"/>
              <w:right w:val="nil"/>
            </w:tcBorders>
            <w:shd w:val="clear" w:color="auto" w:fill="auto"/>
            <w:noWrap/>
            <w:vAlign w:val="bottom"/>
            <w:hideMark/>
          </w:tcPr>
          <w:p w14:paraId="19EC610F"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1C543D31" w14:textId="77777777" w:rsidR="0049448B" w:rsidRPr="0049448B" w:rsidRDefault="0049448B" w:rsidP="0049448B">
            <w:pPr>
              <w:rPr>
                <w:rFonts w:ascii="Times New Roman" w:eastAsia="Times New Roman" w:hAnsi="Times New Roman" w:cs="Times New Roman"/>
                <w:sz w:val="20"/>
                <w:szCs w:val="20"/>
                <w:lang w:eastAsia="en-US"/>
              </w:rPr>
            </w:pPr>
          </w:p>
        </w:tc>
        <w:tc>
          <w:tcPr>
            <w:tcW w:w="525" w:type="pct"/>
            <w:tcBorders>
              <w:top w:val="nil"/>
              <w:left w:val="nil"/>
              <w:bottom w:val="nil"/>
              <w:right w:val="nil"/>
            </w:tcBorders>
            <w:shd w:val="clear" w:color="auto" w:fill="auto"/>
            <w:noWrap/>
            <w:vAlign w:val="bottom"/>
            <w:hideMark/>
          </w:tcPr>
          <w:p w14:paraId="66BC31E0"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3+</w:t>
            </w:r>
          </w:p>
        </w:tc>
        <w:tc>
          <w:tcPr>
            <w:tcW w:w="499" w:type="pct"/>
            <w:tcBorders>
              <w:top w:val="nil"/>
              <w:left w:val="nil"/>
              <w:bottom w:val="nil"/>
              <w:right w:val="nil"/>
            </w:tcBorders>
            <w:shd w:val="clear" w:color="auto" w:fill="auto"/>
            <w:noWrap/>
            <w:vAlign w:val="bottom"/>
            <w:hideMark/>
          </w:tcPr>
          <w:p w14:paraId="5CD25D9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1,822</w:t>
            </w:r>
          </w:p>
        </w:tc>
        <w:tc>
          <w:tcPr>
            <w:tcW w:w="485" w:type="pct"/>
            <w:tcBorders>
              <w:top w:val="nil"/>
              <w:left w:val="nil"/>
              <w:bottom w:val="nil"/>
              <w:right w:val="nil"/>
            </w:tcBorders>
            <w:shd w:val="clear" w:color="auto" w:fill="auto"/>
            <w:noWrap/>
            <w:vAlign w:val="bottom"/>
            <w:hideMark/>
          </w:tcPr>
          <w:p w14:paraId="0D5DC71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35</w:t>
            </w:r>
          </w:p>
        </w:tc>
        <w:tc>
          <w:tcPr>
            <w:tcW w:w="251" w:type="pct"/>
            <w:tcBorders>
              <w:top w:val="nil"/>
              <w:left w:val="nil"/>
              <w:bottom w:val="nil"/>
              <w:right w:val="nil"/>
            </w:tcBorders>
            <w:shd w:val="clear" w:color="auto" w:fill="auto"/>
            <w:noWrap/>
            <w:vAlign w:val="bottom"/>
            <w:hideMark/>
          </w:tcPr>
          <w:p w14:paraId="61ACB27F"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0.40</w:t>
            </w:r>
          </w:p>
        </w:tc>
        <w:tc>
          <w:tcPr>
            <w:tcW w:w="451" w:type="pct"/>
            <w:tcBorders>
              <w:top w:val="nil"/>
              <w:left w:val="nil"/>
              <w:bottom w:val="nil"/>
              <w:right w:val="nil"/>
            </w:tcBorders>
            <w:shd w:val="clear" w:color="auto" w:fill="auto"/>
            <w:noWrap/>
            <w:vAlign w:val="bottom"/>
            <w:hideMark/>
          </w:tcPr>
          <w:p w14:paraId="3948A1DB"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[0.24, 0.67]</w:t>
            </w:r>
          </w:p>
        </w:tc>
        <w:tc>
          <w:tcPr>
            <w:tcW w:w="295" w:type="pct"/>
            <w:tcBorders>
              <w:top w:val="nil"/>
              <w:left w:val="nil"/>
              <w:bottom w:val="nil"/>
              <w:right w:val="nil"/>
            </w:tcBorders>
            <w:shd w:val="clear" w:color="auto" w:fill="auto"/>
            <w:noWrap/>
            <w:vAlign w:val="bottom"/>
            <w:hideMark/>
          </w:tcPr>
          <w:p w14:paraId="327621BB" w14:textId="77777777" w:rsidR="0049448B" w:rsidRPr="0049448B" w:rsidRDefault="0049448B" w:rsidP="0049448B">
            <w:pPr>
              <w:jc w:val="right"/>
              <w:rPr>
                <w:rFonts w:eastAsia="Times New Roman" w:cs="Arial"/>
                <w:b/>
                <w:bCs/>
                <w:color w:val="000000"/>
                <w:sz w:val="16"/>
                <w:szCs w:val="16"/>
                <w:lang w:eastAsia="en-US"/>
              </w:rPr>
            </w:pPr>
            <w:r w:rsidRPr="0049448B">
              <w:rPr>
                <w:rFonts w:eastAsia="Times New Roman" w:cs="Arial"/>
                <w:b/>
                <w:bCs/>
                <w:color w:val="000000"/>
                <w:sz w:val="16"/>
                <w:szCs w:val="16"/>
                <w:lang w:eastAsia="en-US"/>
              </w:rPr>
              <w:t>&lt;.001</w:t>
            </w:r>
          </w:p>
        </w:tc>
        <w:tc>
          <w:tcPr>
            <w:tcW w:w="552" w:type="pct"/>
            <w:tcBorders>
              <w:top w:val="nil"/>
              <w:left w:val="nil"/>
              <w:bottom w:val="nil"/>
              <w:right w:val="nil"/>
            </w:tcBorders>
            <w:shd w:val="clear" w:color="auto" w:fill="auto"/>
            <w:noWrap/>
            <w:vAlign w:val="bottom"/>
            <w:hideMark/>
          </w:tcPr>
          <w:p w14:paraId="78F8CE3C"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e</w:t>
            </w:r>
          </w:p>
        </w:tc>
        <w:tc>
          <w:tcPr>
            <w:tcW w:w="352" w:type="pct"/>
            <w:vAlign w:val="center"/>
            <w:hideMark/>
          </w:tcPr>
          <w:p w14:paraId="7C0CC2B0"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1095D38D"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47692621" w14:textId="77777777" w:rsidTr="0049448B">
        <w:trPr>
          <w:trHeight w:val="260"/>
        </w:trPr>
        <w:tc>
          <w:tcPr>
            <w:tcW w:w="532" w:type="pct"/>
            <w:tcBorders>
              <w:top w:val="nil"/>
              <w:left w:val="nil"/>
              <w:bottom w:val="nil"/>
              <w:right w:val="nil"/>
            </w:tcBorders>
            <w:shd w:val="clear" w:color="auto" w:fill="auto"/>
            <w:noWrap/>
            <w:vAlign w:val="bottom"/>
            <w:hideMark/>
          </w:tcPr>
          <w:p w14:paraId="0A33E0A3" w14:textId="77777777" w:rsidR="0049448B" w:rsidRPr="0049448B" w:rsidRDefault="0049448B" w:rsidP="0049448B">
            <w:pPr>
              <w:rPr>
                <w:rFonts w:eastAsia="Times New Roman" w:cs="Arial"/>
                <w:color w:val="000000"/>
                <w:sz w:val="16"/>
                <w:szCs w:val="16"/>
                <w:lang w:eastAsia="en-US"/>
              </w:rPr>
            </w:pPr>
          </w:p>
        </w:tc>
        <w:tc>
          <w:tcPr>
            <w:tcW w:w="935" w:type="pct"/>
            <w:tcBorders>
              <w:top w:val="nil"/>
              <w:left w:val="nil"/>
              <w:bottom w:val="nil"/>
              <w:right w:val="nil"/>
            </w:tcBorders>
            <w:shd w:val="clear" w:color="auto" w:fill="auto"/>
            <w:noWrap/>
            <w:vAlign w:val="bottom"/>
            <w:hideMark/>
          </w:tcPr>
          <w:p w14:paraId="033D765B" w14:textId="77777777" w:rsidR="0049448B" w:rsidRPr="0049448B" w:rsidRDefault="0049448B" w:rsidP="0049448B">
            <w:pPr>
              <w:rPr>
                <w:rFonts w:ascii="Times New Roman" w:eastAsia="Times New Roman" w:hAnsi="Times New Roman" w:cs="Times New Roman"/>
                <w:sz w:val="20"/>
                <w:szCs w:val="20"/>
                <w:lang w:eastAsia="en-US"/>
              </w:rPr>
            </w:pPr>
          </w:p>
        </w:tc>
        <w:tc>
          <w:tcPr>
            <w:tcW w:w="525" w:type="pct"/>
            <w:tcBorders>
              <w:top w:val="nil"/>
              <w:left w:val="nil"/>
              <w:bottom w:val="nil"/>
              <w:right w:val="nil"/>
            </w:tcBorders>
            <w:shd w:val="clear" w:color="auto" w:fill="auto"/>
            <w:noWrap/>
            <w:vAlign w:val="bottom"/>
            <w:hideMark/>
          </w:tcPr>
          <w:p w14:paraId="67F229D1" w14:textId="77777777" w:rsidR="0049448B" w:rsidRPr="0049448B" w:rsidRDefault="0049448B" w:rsidP="0049448B">
            <w:pPr>
              <w:rPr>
                <w:rFonts w:ascii="Times New Roman" w:eastAsia="Times New Roman" w:hAnsi="Times New Roman" w:cs="Times New Roman"/>
                <w:sz w:val="20"/>
                <w:szCs w:val="20"/>
                <w:lang w:eastAsia="en-US"/>
              </w:rPr>
            </w:pPr>
          </w:p>
        </w:tc>
        <w:tc>
          <w:tcPr>
            <w:tcW w:w="499" w:type="pct"/>
            <w:tcBorders>
              <w:top w:val="nil"/>
              <w:left w:val="nil"/>
              <w:bottom w:val="nil"/>
              <w:right w:val="nil"/>
            </w:tcBorders>
            <w:shd w:val="clear" w:color="auto" w:fill="auto"/>
            <w:noWrap/>
            <w:vAlign w:val="bottom"/>
            <w:hideMark/>
          </w:tcPr>
          <w:p w14:paraId="503B2FF0" w14:textId="77777777" w:rsidR="0049448B" w:rsidRPr="0049448B" w:rsidRDefault="0049448B" w:rsidP="0049448B">
            <w:pPr>
              <w:rPr>
                <w:rFonts w:ascii="Times New Roman" w:eastAsia="Times New Roman" w:hAnsi="Times New Roman" w:cs="Times New Roman"/>
                <w:sz w:val="20"/>
                <w:szCs w:val="20"/>
                <w:lang w:eastAsia="en-US"/>
              </w:rPr>
            </w:pPr>
          </w:p>
        </w:tc>
        <w:tc>
          <w:tcPr>
            <w:tcW w:w="485" w:type="pct"/>
            <w:tcBorders>
              <w:top w:val="nil"/>
              <w:left w:val="nil"/>
              <w:bottom w:val="nil"/>
              <w:right w:val="nil"/>
            </w:tcBorders>
            <w:shd w:val="clear" w:color="auto" w:fill="auto"/>
            <w:noWrap/>
            <w:vAlign w:val="bottom"/>
            <w:hideMark/>
          </w:tcPr>
          <w:p w14:paraId="09AAE215"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251" w:type="pct"/>
            <w:tcBorders>
              <w:top w:val="nil"/>
              <w:left w:val="nil"/>
              <w:bottom w:val="nil"/>
              <w:right w:val="nil"/>
            </w:tcBorders>
            <w:shd w:val="clear" w:color="auto" w:fill="auto"/>
            <w:noWrap/>
            <w:vAlign w:val="bottom"/>
            <w:hideMark/>
          </w:tcPr>
          <w:p w14:paraId="7BAFF593"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451" w:type="pct"/>
            <w:tcBorders>
              <w:top w:val="nil"/>
              <w:left w:val="nil"/>
              <w:bottom w:val="nil"/>
              <w:right w:val="nil"/>
            </w:tcBorders>
            <w:shd w:val="clear" w:color="auto" w:fill="auto"/>
            <w:noWrap/>
            <w:vAlign w:val="bottom"/>
            <w:hideMark/>
          </w:tcPr>
          <w:p w14:paraId="286D0037"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295" w:type="pct"/>
            <w:tcBorders>
              <w:top w:val="nil"/>
              <w:left w:val="nil"/>
              <w:bottom w:val="nil"/>
              <w:right w:val="nil"/>
            </w:tcBorders>
            <w:shd w:val="clear" w:color="auto" w:fill="auto"/>
            <w:noWrap/>
            <w:vAlign w:val="bottom"/>
            <w:hideMark/>
          </w:tcPr>
          <w:p w14:paraId="78AE0289"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552" w:type="pct"/>
            <w:tcBorders>
              <w:top w:val="nil"/>
              <w:left w:val="nil"/>
              <w:bottom w:val="nil"/>
              <w:right w:val="nil"/>
            </w:tcBorders>
            <w:shd w:val="clear" w:color="auto" w:fill="auto"/>
            <w:noWrap/>
            <w:vAlign w:val="bottom"/>
            <w:hideMark/>
          </w:tcPr>
          <w:p w14:paraId="46A449B0"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352" w:type="pct"/>
            <w:vAlign w:val="center"/>
            <w:hideMark/>
          </w:tcPr>
          <w:p w14:paraId="27ABD1F6"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05A288DC"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5DBD8316" w14:textId="77777777" w:rsidTr="0049448B">
        <w:trPr>
          <w:trHeight w:val="260"/>
        </w:trPr>
        <w:tc>
          <w:tcPr>
            <w:tcW w:w="532" w:type="pct"/>
            <w:tcBorders>
              <w:top w:val="nil"/>
              <w:left w:val="nil"/>
              <w:bottom w:val="nil"/>
              <w:right w:val="nil"/>
            </w:tcBorders>
            <w:shd w:val="clear" w:color="auto" w:fill="auto"/>
            <w:noWrap/>
            <w:vAlign w:val="bottom"/>
            <w:hideMark/>
          </w:tcPr>
          <w:p w14:paraId="27E8A166"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22847EA1"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xml:space="preserve">Birth Order </w:t>
            </w:r>
            <w:r w:rsidRPr="0049448B">
              <w:rPr>
                <w:rFonts w:eastAsia="Times New Roman" w:cs="Arial"/>
                <w:color w:val="000000"/>
                <w:sz w:val="16"/>
                <w:szCs w:val="16"/>
                <w:vertAlign w:val="superscript"/>
                <w:lang w:eastAsia="en-US"/>
              </w:rPr>
              <w:t>c</w:t>
            </w:r>
          </w:p>
        </w:tc>
        <w:tc>
          <w:tcPr>
            <w:tcW w:w="525" w:type="pct"/>
            <w:tcBorders>
              <w:top w:val="nil"/>
              <w:left w:val="nil"/>
              <w:bottom w:val="nil"/>
              <w:right w:val="nil"/>
            </w:tcBorders>
            <w:shd w:val="clear" w:color="auto" w:fill="auto"/>
            <w:noWrap/>
            <w:vAlign w:val="bottom"/>
            <w:hideMark/>
          </w:tcPr>
          <w:p w14:paraId="4FFA9F49"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1st</w:t>
            </w:r>
          </w:p>
        </w:tc>
        <w:tc>
          <w:tcPr>
            <w:tcW w:w="499" w:type="pct"/>
            <w:tcBorders>
              <w:top w:val="nil"/>
              <w:left w:val="nil"/>
              <w:bottom w:val="nil"/>
              <w:right w:val="nil"/>
            </w:tcBorders>
            <w:shd w:val="clear" w:color="auto" w:fill="auto"/>
            <w:noWrap/>
            <w:vAlign w:val="bottom"/>
            <w:hideMark/>
          </w:tcPr>
          <w:p w14:paraId="5CBD813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602</w:t>
            </w:r>
          </w:p>
        </w:tc>
        <w:tc>
          <w:tcPr>
            <w:tcW w:w="485" w:type="pct"/>
            <w:tcBorders>
              <w:top w:val="nil"/>
              <w:left w:val="nil"/>
              <w:bottom w:val="nil"/>
              <w:right w:val="nil"/>
            </w:tcBorders>
            <w:shd w:val="clear" w:color="auto" w:fill="auto"/>
            <w:noWrap/>
            <w:vAlign w:val="bottom"/>
            <w:hideMark/>
          </w:tcPr>
          <w:p w14:paraId="6D13290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21</w:t>
            </w:r>
          </w:p>
        </w:tc>
        <w:tc>
          <w:tcPr>
            <w:tcW w:w="251" w:type="pct"/>
            <w:tcBorders>
              <w:top w:val="nil"/>
              <w:left w:val="nil"/>
              <w:bottom w:val="nil"/>
              <w:right w:val="nil"/>
            </w:tcBorders>
            <w:shd w:val="clear" w:color="auto" w:fill="auto"/>
            <w:noWrap/>
            <w:vAlign w:val="bottom"/>
            <w:hideMark/>
          </w:tcPr>
          <w:p w14:paraId="131A73D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(ref)</w:t>
            </w:r>
          </w:p>
        </w:tc>
        <w:tc>
          <w:tcPr>
            <w:tcW w:w="451" w:type="pct"/>
            <w:tcBorders>
              <w:top w:val="nil"/>
              <w:left w:val="nil"/>
              <w:bottom w:val="nil"/>
              <w:right w:val="nil"/>
            </w:tcBorders>
            <w:shd w:val="clear" w:color="auto" w:fill="auto"/>
            <w:noWrap/>
            <w:vAlign w:val="bottom"/>
            <w:hideMark/>
          </w:tcPr>
          <w:p w14:paraId="78DA1D9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w:t>
            </w:r>
          </w:p>
        </w:tc>
        <w:tc>
          <w:tcPr>
            <w:tcW w:w="295" w:type="pct"/>
            <w:tcBorders>
              <w:top w:val="nil"/>
              <w:left w:val="nil"/>
              <w:bottom w:val="nil"/>
              <w:right w:val="nil"/>
            </w:tcBorders>
            <w:shd w:val="clear" w:color="auto" w:fill="auto"/>
            <w:noWrap/>
            <w:vAlign w:val="bottom"/>
            <w:hideMark/>
          </w:tcPr>
          <w:p w14:paraId="62AF50E6" w14:textId="77777777" w:rsidR="0049448B" w:rsidRPr="0049448B" w:rsidRDefault="0049448B" w:rsidP="0049448B">
            <w:pPr>
              <w:jc w:val="right"/>
              <w:rPr>
                <w:rFonts w:eastAsia="Times New Roman" w:cs="Arial"/>
                <w:color w:val="000000"/>
                <w:sz w:val="16"/>
                <w:szCs w:val="16"/>
                <w:lang w:eastAsia="en-US"/>
              </w:rPr>
            </w:pPr>
          </w:p>
        </w:tc>
        <w:tc>
          <w:tcPr>
            <w:tcW w:w="552" w:type="pct"/>
            <w:tcBorders>
              <w:top w:val="nil"/>
              <w:left w:val="nil"/>
              <w:bottom w:val="nil"/>
              <w:right w:val="nil"/>
            </w:tcBorders>
            <w:shd w:val="clear" w:color="auto" w:fill="auto"/>
            <w:noWrap/>
            <w:vAlign w:val="bottom"/>
            <w:hideMark/>
          </w:tcPr>
          <w:p w14:paraId="7ABF765F"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352" w:type="pct"/>
            <w:vAlign w:val="center"/>
            <w:hideMark/>
          </w:tcPr>
          <w:p w14:paraId="1E2D0D28"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415E67B6"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4446FFA9" w14:textId="77777777" w:rsidTr="0049448B">
        <w:trPr>
          <w:trHeight w:val="260"/>
        </w:trPr>
        <w:tc>
          <w:tcPr>
            <w:tcW w:w="532" w:type="pct"/>
            <w:tcBorders>
              <w:top w:val="nil"/>
              <w:left w:val="nil"/>
              <w:bottom w:val="nil"/>
              <w:right w:val="nil"/>
            </w:tcBorders>
            <w:shd w:val="clear" w:color="auto" w:fill="auto"/>
            <w:noWrap/>
            <w:vAlign w:val="bottom"/>
            <w:hideMark/>
          </w:tcPr>
          <w:p w14:paraId="4A5AD841"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vMerge w:val="restart"/>
            <w:tcBorders>
              <w:top w:val="nil"/>
              <w:left w:val="nil"/>
              <w:bottom w:val="nil"/>
              <w:right w:val="nil"/>
            </w:tcBorders>
            <w:shd w:val="clear" w:color="auto" w:fill="auto"/>
            <w:hideMark/>
          </w:tcPr>
          <w:p w14:paraId="1A2719B8"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(among controls with 2+ siblings)</w:t>
            </w:r>
          </w:p>
        </w:tc>
        <w:tc>
          <w:tcPr>
            <w:tcW w:w="525" w:type="pct"/>
            <w:tcBorders>
              <w:top w:val="nil"/>
              <w:left w:val="nil"/>
              <w:bottom w:val="nil"/>
              <w:right w:val="nil"/>
            </w:tcBorders>
            <w:shd w:val="clear" w:color="auto" w:fill="auto"/>
            <w:noWrap/>
            <w:vAlign w:val="bottom"/>
            <w:hideMark/>
          </w:tcPr>
          <w:p w14:paraId="69127518"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2nd</w:t>
            </w:r>
          </w:p>
        </w:tc>
        <w:tc>
          <w:tcPr>
            <w:tcW w:w="499" w:type="pct"/>
            <w:tcBorders>
              <w:top w:val="nil"/>
              <w:left w:val="nil"/>
              <w:bottom w:val="nil"/>
              <w:right w:val="nil"/>
            </w:tcBorders>
            <w:shd w:val="clear" w:color="auto" w:fill="auto"/>
            <w:noWrap/>
            <w:vAlign w:val="bottom"/>
            <w:hideMark/>
          </w:tcPr>
          <w:p w14:paraId="0422FDF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640</w:t>
            </w:r>
          </w:p>
        </w:tc>
        <w:tc>
          <w:tcPr>
            <w:tcW w:w="485" w:type="pct"/>
            <w:tcBorders>
              <w:top w:val="nil"/>
              <w:left w:val="nil"/>
              <w:bottom w:val="nil"/>
              <w:right w:val="nil"/>
            </w:tcBorders>
            <w:shd w:val="clear" w:color="auto" w:fill="auto"/>
            <w:noWrap/>
            <w:vAlign w:val="bottom"/>
            <w:hideMark/>
          </w:tcPr>
          <w:p w14:paraId="4D7614A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22</w:t>
            </w:r>
          </w:p>
        </w:tc>
        <w:tc>
          <w:tcPr>
            <w:tcW w:w="251" w:type="pct"/>
            <w:tcBorders>
              <w:top w:val="nil"/>
              <w:left w:val="nil"/>
              <w:bottom w:val="nil"/>
              <w:right w:val="nil"/>
            </w:tcBorders>
            <w:shd w:val="clear" w:color="auto" w:fill="auto"/>
            <w:noWrap/>
            <w:vAlign w:val="bottom"/>
            <w:hideMark/>
          </w:tcPr>
          <w:p w14:paraId="4602D9F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1.04</w:t>
            </w:r>
          </w:p>
        </w:tc>
        <w:tc>
          <w:tcPr>
            <w:tcW w:w="451" w:type="pct"/>
            <w:tcBorders>
              <w:top w:val="nil"/>
              <w:left w:val="nil"/>
              <w:bottom w:val="nil"/>
              <w:right w:val="nil"/>
            </w:tcBorders>
            <w:shd w:val="clear" w:color="auto" w:fill="auto"/>
            <w:noWrap/>
            <w:vAlign w:val="bottom"/>
            <w:hideMark/>
          </w:tcPr>
          <w:p w14:paraId="7670419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[0.56, 1.94]</w:t>
            </w:r>
          </w:p>
        </w:tc>
        <w:tc>
          <w:tcPr>
            <w:tcW w:w="295" w:type="pct"/>
            <w:tcBorders>
              <w:top w:val="nil"/>
              <w:left w:val="nil"/>
              <w:bottom w:val="nil"/>
              <w:right w:val="nil"/>
            </w:tcBorders>
            <w:shd w:val="clear" w:color="auto" w:fill="auto"/>
            <w:noWrap/>
            <w:vAlign w:val="bottom"/>
            <w:hideMark/>
          </w:tcPr>
          <w:p w14:paraId="4B909FB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0.89</w:t>
            </w:r>
          </w:p>
        </w:tc>
        <w:tc>
          <w:tcPr>
            <w:tcW w:w="552" w:type="pct"/>
            <w:tcBorders>
              <w:top w:val="nil"/>
              <w:left w:val="nil"/>
              <w:bottom w:val="nil"/>
              <w:right w:val="nil"/>
            </w:tcBorders>
            <w:shd w:val="clear" w:color="auto" w:fill="auto"/>
            <w:noWrap/>
            <w:vAlign w:val="bottom"/>
            <w:hideMark/>
          </w:tcPr>
          <w:p w14:paraId="064CC88A" w14:textId="77777777" w:rsidR="0049448B" w:rsidRPr="0049448B" w:rsidRDefault="0049448B" w:rsidP="0049448B">
            <w:pPr>
              <w:jc w:val="right"/>
              <w:rPr>
                <w:rFonts w:eastAsia="Times New Roman" w:cs="Arial"/>
                <w:color w:val="000000"/>
                <w:sz w:val="16"/>
                <w:szCs w:val="16"/>
                <w:lang w:eastAsia="en-US"/>
              </w:rPr>
            </w:pPr>
          </w:p>
        </w:tc>
        <w:tc>
          <w:tcPr>
            <w:tcW w:w="352" w:type="pct"/>
            <w:vAlign w:val="center"/>
            <w:hideMark/>
          </w:tcPr>
          <w:p w14:paraId="4AB6166C"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4687013B"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0AC8D0A4" w14:textId="77777777" w:rsidTr="0049448B">
        <w:trPr>
          <w:trHeight w:val="260"/>
        </w:trPr>
        <w:tc>
          <w:tcPr>
            <w:tcW w:w="532" w:type="pct"/>
            <w:tcBorders>
              <w:top w:val="nil"/>
              <w:left w:val="nil"/>
              <w:bottom w:val="nil"/>
              <w:right w:val="nil"/>
            </w:tcBorders>
            <w:shd w:val="clear" w:color="auto" w:fill="auto"/>
            <w:noWrap/>
            <w:vAlign w:val="bottom"/>
            <w:hideMark/>
          </w:tcPr>
          <w:p w14:paraId="72CADE51"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vMerge/>
            <w:tcBorders>
              <w:top w:val="nil"/>
              <w:left w:val="nil"/>
              <w:bottom w:val="nil"/>
              <w:right w:val="nil"/>
            </w:tcBorders>
            <w:vAlign w:val="center"/>
            <w:hideMark/>
          </w:tcPr>
          <w:p w14:paraId="6BBFC727" w14:textId="77777777" w:rsidR="0049448B" w:rsidRPr="0049448B" w:rsidRDefault="0049448B" w:rsidP="0049448B">
            <w:pPr>
              <w:rPr>
                <w:rFonts w:eastAsia="Times New Roman" w:cs="Arial"/>
                <w:color w:val="000000"/>
                <w:sz w:val="16"/>
                <w:szCs w:val="16"/>
                <w:lang w:eastAsia="en-US"/>
              </w:rPr>
            </w:pPr>
          </w:p>
        </w:tc>
        <w:tc>
          <w:tcPr>
            <w:tcW w:w="525" w:type="pct"/>
            <w:tcBorders>
              <w:top w:val="nil"/>
              <w:left w:val="nil"/>
              <w:bottom w:val="nil"/>
              <w:right w:val="nil"/>
            </w:tcBorders>
            <w:shd w:val="clear" w:color="auto" w:fill="auto"/>
            <w:noWrap/>
            <w:vAlign w:val="bottom"/>
            <w:hideMark/>
          </w:tcPr>
          <w:p w14:paraId="37481B94"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3rd+</w:t>
            </w:r>
          </w:p>
        </w:tc>
        <w:tc>
          <w:tcPr>
            <w:tcW w:w="499" w:type="pct"/>
            <w:tcBorders>
              <w:top w:val="nil"/>
              <w:left w:val="nil"/>
              <w:bottom w:val="nil"/>
              <w:right w:val="nil"/>
            </w:tcBorders>
            <w:shd w:val="clear" w:color="auto" w:fill="auto"/>
            <w:noWrap/>
            <w:vAlign w:val="bottom"/>
            <w:hideMark/>
          </w:tcPr>
          <w:p w14:paraId="6456D2B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1,244</w:t>
            </w:r>
          </w:p>
        </w:tc>
        <w:tc>
          <w:tcPr>
            <w:tcW w:w="485" w:type="pct"/>
            <w:tcBorders>
              <w:top w:val="nil"/>
              <w:left w:val="nil"/>
              <w:bottom w:val="nil"/>
              <w:right w:val="nil"/>
            </w:tcBorders>
            <w:shd w:val="clear" w:color="auto" w:fill="auto"/>
            <w:noWrap/>
            <w:vAlign w:val="bottom"/>
            <w:hideMark/>
          </w:tcPr>
          <w:p w14:paraId="71DE50B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26</w:t>
            </w:r>
          </w:p>
        </w:tc>
        <w:tc>
          <w:tcPr>
            <w:tcW w:w="251" w:type="pct"/>
            <w:tcBorders>
              <w:top w:val="nil"/>
              <w:left w:val="nil"/>
              <w:bottom w:val="nil"/>
              <w:right w:val="nil"/>
            </w:tcBorders>
            <w:shd w:val="clear" w:color="auto" w:fill="auto"/>
            <w:noWrap/>
            <w:vAlign w:val="bottom"/>
            <w:hideMark/>
          </w:tcPr>
          <w:p w14:paraId="78CAF94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0.61</w:t>
            </w:r>
          </w:p>
        </w:tc>
        <w:tc>
          <w:tcPr>
            <w:tcW w:w="451" w:type="pct"/>
            <w:tcBorders>
              <w:top w:val="nil"/>
              <w:left w:val="nil"/>
              <w:bottom w:val="nil"/>
              <w:right w:val="nil"/>
            </w:tcBorders>
            <w:shd w:val="clear" w:color="auto" w:fill="auto"/>
            <w:noWrap/>
            <w:vAlign w:val="bottom"/>
            <w:hideMark/>
          </w:tcPr>
          <w:p w14:paraId="1DC93A2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[0.34, 1.12]</w:t>
            </w:r>
          </w:p>
        </w:tc>
        <w:tc>
          <w:tcPr>
            <w:tcW w:w="295" w:type="pct"/>
            <w:tcBorders>
              <w:top w:val="nil"/>
              <w:left w:val="nil"/>
              <w:bottom w:val="nil"/>
              <w:right w:val="nil"/>
            </w:tcBorders>
            <w:shd w:val="clear" w:color="auto" w:fill="auto"/>
            <w:noWrap/>
            <w:vAlign w:val="bottom"/>
            <w:hideMark/>
          </w:tcPr>
          <w:p w14:paraId="4BC9010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0.11</w:t>
            </w:r>
          </w:p>
        </w:tc>
        <w:tc>
          <w:tcPr>
            <w:tcW w:w="552" w:type="pct"/>
            <w:tcBorders>
              <w:top w:val="nil"/>
              <w:left w:val="nil"/>
              <w:bottom w:val="nil"/>
              <w:right w:val="nil"/>
            </w:tcBorders>
            <w:shd w:val="clear" w:color="auto" w:fill="auto"/>
            <w:noWrap/>
            <w:vAlign w:val="bottom"/>
            <w:hideMark/>
          </w:tcPr>
          <w:p w14:paraId="79382920" w14:textId="77777777" w:rsidR="0049448B" w:rsidRPr="0049448B" w:rsidRDefault="0049448B" w:rsidP="0049448B">
            <w:pPr>
              <w:jc w:val="right"/>
              <w:rPr>
                <w:rFonts w:eastAsia="Times New Roman" w:cs="Arial"/>
                <w:color w:val="000000"/>
                <w:sz w:val="16"/>
                <w:szCs w:val="16"/>
                <w:lang w:eastAsia="en-US"/>
              </w:rPr>
            </w:pPr>
          </w:p>
        </w:tc>
        <w:tc>
          <w:tcPr>
            <w:tcW w:w="352" w:type="pct"/>
            <w:vAlign w:val="center"/>
            <w:hideMark/>
          </w:tcPr>
          <w:p w14:paraId="7A8E9F71"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4C87A4C4"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41DFF76B" w14:textId="77777777" w:rsidTr="0049448B">
        <w:trPr>
          <w:trHeight w:val="260"/>
        </w:trPr>
        <w:tc>
          <w:tcPr>
            <w:tcW w:w="532" w:type="pct"/>
            <w:tcBorders>
              <w:top w:val="nil"/>
              <w:left w:val="nil"/>
              <w:bottom w:val="nil"/>
              <w:right w:val="nil"/>
            </w:tcBorders>
            <w:shd w:val="clear" w:color="auto" w:fill="auto"/>
            <w:noWrap/>
            <w:vAlign w:val="bottom"/>
            <w:hideMark/>
          </w:tcPr>
          <w:p w14:paraId="54F8EA76"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6C478443" w14:textId="77777777" w:rsidR="0049448B" w:rsidRPr="0049448B" w:rsidRDefault="0049448B" w:rsidP="0049448B">
            <w:pPr>
              <w:rPr>
                <w:rFonts w:ascii="Times New Roman" w:eastAsia="Times New Roman" w:hAnsi="Times New Roman" w:cs="Times New Roman"/>
                <w:sz w:val="20"/>
                <w:szCs w:val="20"/>
                <w:lang w:eastAsia="en-US"/>
              </w:rPr>
            </w:pPr>
          </w:p>
        </w:tc>
        <w:tc>
          <w:tcPr>
            <w:tcW w:w="525" w:type="pct"/>
            <w:tcBorders>
              <w:top w:val="nil"/>
              <w:left w:val="nil"/>
              <w:bottom w:val="nil"/>
              <w:right w:val="nil"/>
            </w:tcBorders>
            <w:shd w:val="clear" w:color="auto" w:fill="auto"/>
            <w:noWrap/>
            <w:vAlign w:val="bottom"/>
            <w:hideMark/>
          </w:tcPr>
          <w:p w14:paraId="0EA9DE8D" w14:textId="77777777" w:rsidR="0049448B" w:rsidRPr="0049448B" w:rsidRDefault="0049448B" w:rsidP="0049448B">
            <w:pPr>
              <w:rPr>
                <w:rFonts w:ascii="Times New Roman" w:eastAsia="Times New Roman" w:hAnsi="Times New Roman" w:cs="Times New Roman"/>
                <w:sz w:val="20"/>
                <w:szCs w:val="20"/>
                <w:lang w:eastAsia="en-US"/>
              </w:rPr>
            </w:pPr>
          </w:p>
        </w:tc>
        <w:tc>
          <w:tcPr>
            <w:tcW w:w="499" w:type="pct"/>
            <w:tcBorders>
              <w:top w:val="nil"/>
              <w:left w:val="nil"/>
              <w:bottom w:val="nil"/>
              <w:right w:val="nil"/>
            </w:tcBorders>
            <w:shd w:val="clear" w:color="auto" w:fill="auto"/>
            <w:noWrap/>
            <w:vAlign w:val="bottom"/>
            <w:hideMark/>
          </w:tcPr>
          <w:p w14:paraId="25CB8364" w14:textId="77777777" w:rsidR="0049448B" w:rsidRPr="0049448B" w:rsidRDefault="0049448B" w:rsidP="0049448B">
            <w:pPr>
              <w:rPr>
                <w:rFonts w:ascii="Times New Roman" w:eastAsia="Times New Roman" w:hAnsi="Times New Roman" w:cs="Times New Roman"/>
                <w:sz w:val="20"/>
                <w:szCs w:val="20"/>
                <w:lang w:eastAsia="en-US"/>
              </w:rPr>
            </w:pPr>
          </w:p>
        </w:tc>
        <w:tc>
          <w:tcPr>
            <w:tcW w:w="485" w:type="pct"/>
            <w:tcBorders>
              <w:top w:val="nil"/>
              <w:left w:val="nil"/>
              <w:bottom w:val="nil"/>
              <w:right w:val="nil"/>
            </w:tcBorders>
            <w:shd w:val="clear" w:color="auto" w:fill="auto"/>
            <w:noWrap/>
            <w:vAlign w:val="bottom"/>
            <w:hideMark/>
          </w:tcPr>
          <w:p w14:paraId="0B7C67B3"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251" w:type="pct"/>
            <w:tcBorders>
              <w:top w:val="nil"/>
              <w:left w:val="nil"/>
              <w:bottom w:val="nil"/>
              <w:right w:val="nil"/>
            </w:tcBorders>
            <w:shd w:val="clear" w:color="auto" w:fill="auto"/>
            <w:noWrap/>
            <w:vAlign w:val="bottom"/>
            <w:hideMark/>
          </w:tcPr>
          <w:p w14:paraId="3EA305BC"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451" w:type="pct"/>
            <w:tcBorders>
              <w:top w:val="nil"/>
              <w:left w:val="nil"/>
              <w:bottom w:val="nil"/>
              <w:right w:val="nil"/>
            </w:tcBorders>
            <w:shd w:val="clear" w:color="auto" w:fill="auto"/>
            <w:noWrap/>
            <w:vAlign w:val="bottom"/>
            <w:hideMark/>
          </w:tcPr>
          <w:p w14:paraId="0F1FD09F"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295" w:type="pct"/>
            <w:tcBorders>
              <w:top w:val="nil"/>
              <w:left w:val="nil"/>
              <w:bottom w:val="nil"/>
              <w:right w:val="nil"/>
            </w:tcBorders>
            <w:shd w:val="clear" w:color="auto" w:fill="auto"/>
            <w:noWrap/>
            <w:vAlign w:val="bottom"/>
            <w:hideMark/>
          </w:tcPr>
          <w:p w14:paraId="529316A3"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552" w:type="pct"/>
            <w:tcBorders>
              <w:top w:val="nil"/>
              <w:left w:val="nil"/>
              <w:bottom w:val="nil"/>
              <w:right w:val="nil"/>
            </w:tcBorders>
            <w:shd w:val="clear" w:color="auto" w:fill="auto"/>
            <w:noWrap/>
            <w:vAlign w:val="bottom"/>
            <w:hideMark/>
          </w:tcPr>
          <w:p w14:paraId="6FD851DD"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352" w:type="pct"/>
            <w:vAlign w:val="center"/>
            <w:hideMark/>
          </w:tcPr>
          <w:p w14:paraId="58C985A4"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4618D63F"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12F08CE5" w14:textId="77777777" w:rsidTr="0049448B">
        <w:trPr>
          <w:trHeight w:val="260"/>
        </w:trPr>
        <w:tc>
          <w:tcPr>
            <w:tcW w:w="532" w:type="pct"/>
            <w:tcBorders>
              <w:top w:val="nil"/>
              <w:left w:val="nil"/>
              <w:bottom w:val="nil"/>
              <w:right w:val="nil"/>
            </w:tcBorders>
            <w:shd w:val="clear" w:color="auto" w:fill="auto"/>
            <w:noWrap/>
            <w:vAlign w:val="bottom"/>
            <w:hideMark/>
          </w:tcPr>
          <w:p w14:paraId="4823971E"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1961-1990</w:t>
            </w:r>
          </w:p>
        </w:tc>
        <w:tc>
          <w:tcPr>
            <w:tcW w:w="935" w:type="pct"/>
            <w:tcBorders>
              <w:top w:val="nil"/>
              <w:left w:val="nil"/>
              <w:bottom w:val="nil"/>
              <w:right w:val="nil"/>
            </w:tcBorders>
            <w:shd w:val="clear" w:color="auto" w:fill="auto"/>
            <w:noWrap/>
            <w:vAlign w:val="bottom"/>
            <w:hideMark/>
          </w:tcPr>
          <w:p w14:paraId="18692C2C"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xml:space="preserve">Number of Siblings </w:t>
            </w:r>
            <w:r w:rsidRPr="0049448B">
              <w:rPr>
                <w:rFonts w:eastAsia="Times New Roman" w:cs="Arial"/>
                <w:color w:val="000000"/>
                <w:sz w:val="16"/>
                <w:szCs w:val="16"/>
                <w:vertAlign w:val="superscript"/>
                <w:lang w:eastAsia="en-US"/>
              </w:rPr>
              <w:t>b</w:t>
            </w:r>
          </w:p>
        </w:tc>
        <w:tc>
          <w:tcPr>
            <w:tcW w:w="525" w:type="pct"/>
            <w:tcBorders>
              <w:top w:val="nil"/>
              <w:left w:val="nil"/>
              <w:bottom w:val="nil"/>
              <w:right w:val="nil"/>
            </w:tcBorders>
            <w:shd w:val="clear" w:color="auto" w:fill="auto"/>
            <w:noWrap/>
            <w:vAlign w:val="bottom"/>
            <w:hideMark/>
          </w:tcPr>
          <w:p w14:paraId="15D05866"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0 or 1</w:t>
            </w:r>
          </w:p>
        </w:tc>
        <w:tc>
          <w:tcPr>
            <w:tcW w:w="499" w:type="pct"/>
            <w:tcBorders>
              <w:top w:val="nil"/>
              <w:left w:val="nil"/>
              <w:bottom w:val="nil"/>
              <w:right w:val="nil"/>
            </w:tcBorders>
            <w:shd w:val="clear" w:color="auto" w:fill="auto"/>
            <w:noWrap/>
            <w:vAlign w:val="bottom"/>
            <w:hideMark/>
          </w:tcPr>
          <w:p w14:paraId="74DBEE4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200</w:t>
            </w:r>
          </w:p>
        </w:tc>
        <w:tc>
          <w:tcPr>
            <w:tcW w:w="485" w:type="pct"/>
            <w:tcBorders>
              <w:top w:val="nil"/>
              <w:left w:val="nil"/>
              <w:bottom w:val="nil"/>
              <w:right w:val="nil"/>
            </w:tcBorders>
            <w:shd w:val="clear" w:color="auto" w:fill="auto"/>
            <w:noWrap/>
            <w:vAlign w:val="bottom"/>
            <w:hideMark/>
          </w:tcPr>
          <w:p w14:paraId="345241D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20</w:t>
            </w:r>
          </w:p>
        </w:tc>
        <w:tc>
          <w:tcPr>
            <w:tcW w:w="251" w:type="pct"/>
            <w:tcBorders>
              <w:top w:val="nil"/>
              <w:left w:val="nil"/>
              <w:bottom w:val="nil"/>
              <w:right w:val="nil"/>
            </w:tcBorders>
            <w:shd w:val="clear" w:color="auto" w:fill="auto"/>
            <w:noWrap/>
            <w:vAlign w:val="bottom"/>
            <w:hideMark/>
          </w:tcPr>
          <w:p w14:paraId="52B39EC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(ref)</w:t>
            </w:r>
          </w:p>
        </w:tc>
        <w:tc>
          <w:tcPr>
            <w:tcW w:w="451" w:type="pct"/>
            <w:tcBorders>
              <w:top w:val="nil"/>
              <w:left w:val="nil"/>
              <w:bottom w:val="nil"/>
              <w:right w:val="nil"/>
            </w:tcBorders>
            <w:shd w:val="clear" w:color="auto" w:fill="auto"/>
            <w:noWrap/>
            <w:vAlign w:val="bottom"/>
            <w:hideMark/>
          </w:tcPr>
          <w:p w14:paraId="4FE0214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w:t>
            </w:r>
          </w:p>
        </w:tc>
        <w:tc>
          <w:tcPr>
            <w:tcW w:w="295" w:type="pct"/>
            <w:tcBorders>
              <w:top w:val="nil"/>
              <w:left w:val="nil"/>
              <w:bottom w:val="nil"/>
              <w:right w:val="nil"/>
            </w:tcBorders>
            <w:shd w:val="clear" w:color="auto" w:fill="auto"/>
            <w:noWrap/>
            <w:vAlign w:val="bottom"/>
            <w:hideMark/>
          </w:tcPr>
          <w:p w14:paraId="646A3FFE" w14:textId="77777777" w:rsidR="0049448B" w:rsidRPr="0049448B" w:rsidRDefault="0049448B" w:rsidP="0049448B">
            <w:pPr>
              <w:jc w:val="right"/>
              <w:rPr>
                <w:rFonts w:eastAsia="Times New Roman" w:cs="Arial"/>
                <w:color w:val="000000"/>
                <w:sz w:val="16"/>
                <w:szCs w:val="16"/>
                <w:lang w:eastAsia="en-US"/>
              </w:rPr>
            </w:pPr>
          </w:p>
        </w:tc>
        <w:tc>
          <w:tcPr>
            <w:tcW w:w="552" w:type="pct"/>
            <w:tcBorders>
              <w:top w:val="nil"/>
              <w:left w:val="nil"/>
              <w:bottom w:val="nil"/>
              <w:right w:val="nil"/>
            </w:tcBorders>
            <w:shd w:val="clear" w:color="auto" w:fill="auto"/>
            <w:noWrap/>
            <w:vAlign w:val="bottom"/>
            <w:hideMark/>
          </w:tcPr>
          <w:p w14:paraId="5B25D5E1"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352" w:type="pct"/>
            <w:vAlign w:val="center"/>
            <w:hideMark/>
          </w:tcPr>
          <w:p w14:paraId="558AF413"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4EC266DA"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1466149E" w14:textId="77777777" w:rsidTr="0049448B">
        <w:trPr>
          <w:trHeight w:val="260"/>
        </w:trPr>
        <w:tc>
          <w:tcPr>
            <w:tcW w:w="532" w:type="pct"/>
            <w:tcBorders>
              <w:top w:val="nil"/>
              <w:left w:val="nil"/>
              <w:bottom w:val="nil"/>
              <w:right w:val="nil"/>
            </w:tcBorders>
            <w:shd w:val="clear" w:color="auto" w:fill="auto"/>
            <w:noWrap/>
            <w:vAlign w:val="bottom"/>
            <w:hideMark/>
          </w:tcPr>
          <w:p w14:paraId="3159DC8C"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5F6EB8E7" w14:textId="77777777" w:rsidR="0049448B" w:rsidRPr="0049448B" w:rsidRDefault="0049448B" w:rsidP="0049448B">
            <w:pPr>
              <w:rPr>
                <w:rFonts w:ascii="Times New Roman" w:eastAsia="Times New Roman" w:hAnsi="Times New Roman" w:cs="Times New Roman"/>
                <w:sz w:val="20"/>
                <w:szCs w:val="20"/>
                <w:lang w:eastAsia="en-US"/>
              </w:rPr>
            </w:pPr>
          </w:p>
        </w:tc>
        <w:tc>
          <w:tcPr>
            <w:tcW w:w="525" w:type="pct"/>
            <w:tcBorders>
              <w:top w:val="nil"/>
              <w:left w:val="nil"/>
              <w:bottom w:val="nil"/>
              <w:right w:val="nil"/>
            </w:tcBorders>
            <w:shd w:val="clear" w:color="auto" w:fill="auto"/>
            <w:noWrap/>
            <w:vAlign w:val="bottom"/>
            <w:hideMark/>
          </w:tcPr>
          <w:p w14:paraId="35B87226"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2</w:t>
            </w:r>
          </w:p>
        </w:tc>
        <w:tc>
          <w:tcPr>
            <w:tcW w:w="499" w:type="pct"/>
            <w:tcBorders>
              <w:top w:val="nil"/>
              <w:left w:val="nil"/>
              <w:bottom w:val="nil"/>
              <w:right w:val="nil"/>
            </w:tcBorders>
            <w:shd w:val="clear" w:color="auto" w:fill="auto"/>
            <w:noWrap/>
            <w:vAlign w:val="bottom"/>
            <w:hideMark/>
          </w:tcPr>
          <w:p w14:paraId="7FFFFBC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213</w:t>
            </w:r>
          </w:p>
        </w:tc>
        <w:tc>
          <w:tcPr>
            <w:tcW w:w="485" w:type="pct"/>
            <w:tcBorders>
              <w:top w:val="nil"/>
              <w:left w:val="nil"/>
              <w:bottom w:val="nil"/>
              <w:right w:val="nil"/>
            </w:tcBorders>
            <w:shd w:val="clear" w:color="auto" w:fill="auto"/>
            <w:noWrap/>
            <w:vAlign w:val="bottom"/>
            <w:hideMark/>
          </w:tcPr>
          <w:p w14:paraId="1A6B420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22</w:t>
            </w:r>
          </w:p>
        </w:tc>
        <w:tc>
          <w:tcPr>
            <w:tcW w:w="251" w:type="pct"/>
            <w:tcBorders>
              <w:top w:val="nil"/>
              <w:left w:val="nil"/>
              <w:bottom w:val="nil"/>
              <w:right w:val="nil"/>
            </w:tcBorders>
            <w:shd w:val="clear" w:color="auto" w:fill="auto"/>
            <w:noWrap/>
            <w:vAlign w:val="bottom"/>
            <w:hideMark/>
          </w:tcPr>
          <w:p w14:paraId="1FD0277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1.01</w:t>
            </w:r>
          </w:p>
        </w:tc>
        <w:tc>
          <w:tcPr>
            <w:tcW w:w="451" w:type="pct"/>
            <w:tcBorders>
              <w:top w:val="nil"/>
              <w:left w:val="nil"/>
              <w:bottom w:val="nil"/>
              <w:right w:val="nil"/>
            </w:tcBorders>
            <w:shd w:val="clear" w:color="auto" w:fill="auto"/>
            <w:noWrap/>
            <w:vAlign w:val="bottom"/>
            <w:hideMark/>
          </w:tcPr>
          <w:p w14:paraId="0F86A07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[0.52, 1.97]</w:t>
            </w:r>
          </w:p>
        </w:tc>
        <w:tc>
          <w:tcPr>
            <w:tcW w:w="295" w:type="pct"/>
            <w:tcBorders>
              <w:top w:val="nil"/>
              <w:left w:val="nil"/>
              <w:bottom w:val="nil"/>
              <w:right w:val="nil"/>
            </w:tcBorders>
            <w:shd w:val="clear" w:color="auto" w:fill="auto"/>
            <w:noWrap/>
            <w:vAlign w:val="bottom"/>
            <w:hideMark/>
          </w:tcPr>
          <w:p w14:paraId="3AC639A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0.99</w:t>
            </w:r>
          </w:p>
        </w:tc>
        <w:tc>
          <w:tcPr>
            <w:tcW w:w="552" w:type="pct"/>
            <w:tcBorders>
              <w:top w:val="nil"/>
              <w:left w:val="nil"/>
              <w:bottom w:val="nil"/>
              <w:right w:val="nil"/>
            </w:tcBorders>
            <w:shd w:val="clear" w:color="auto" w:fill="auto"/>
            <w:noWrap/>
            <w:vAlign w:val="bottom"/>
            <w:hideMark/>
          </w:tcPr>
          <w:p w14:paraId="619EF916" w14:textId="77777777" w:rsidR="0049448B" w:rsidRPr="0049448B" w:rsidRDefault="0049448B" w:rsidP="0049448B">
            <w:pPr>
              <w:jc w:val="right"/>
              <w:rPr>
                <w:rFonts w:eastAsia="Times New Roman" w:cs="Arial"/>
                <w:color w:val="000000"/>
                <w:sz w:val="16"/>
                <w:szCs w:val="16"/>
                <w:lang w:eastAsia="en-US"/>
              </w:rPr>
            </w:pPr>
          </w:p>
        </w:tc>
        <w:tc>
          <w:tcPr>
            <w:tcW w:w="352" w:type="pct"/>
            <w:vAlign w:val="center"/>
            <w:hideMark/>
          </w:tcPr>
          <w:p w14:paraId="2AC6A207"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2142A2A3"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1B9FC3D7" w14:textId="77777777" w:rsidTr="0049448B">
        <w:trPr>
          <w:trHeight w:val="260"/>
        </w:trPr>
        <w:tc>
          <w:tcPr>
            <w:tcW w:w="532" w:type="pct"/>
            <w:tcBorders>
              <w:top w:val="nil"/>
              <w:left w:val="nil"/>
              <w:bottom w:val="nil"/>
              <w:right w:val="nil"/>
            </w:tcBorders>
            <w:shd w:val="clear" w:color="auto" w:fill="auto"/>
            <w:noWrap/>
            <w:vAlign w:val="bottom"/>
            <w:hideMark/>
          </w:tcPr>
          <w:p w14:paraId="2B31BD3A"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2E352D04" w14:textId="77777777" w:rsidR="0049448B" w:rsidRPr="0049448B" w:rsidRDefault="0049448B" w:rsidP="0049448B">
            <w:pPr>
              <w:rPr>
                <w:rFonts w:ascii="Times New Roman" w:eastAsia="Times New Roman" w:hAnsi="Times New Roman" w:cs="Times New Roman"/>
                <w:sz w:val="20"/>
                <w:szCs w:val="20"/>
                <w:lang w:eastAsia="en-US"/>
              </w:rPr>
            </w:pPr>
          </w:p>
        </w:tc>
        <w:tc>
          <w:tcPr>
            <w:tcW w:w="525" w:type="pct"/>
            <w:tcBorders>
              <w:top w:val="nil"/>
              <w:left w:val="nil"/>
              <w:bottom w:val="nil"/>
              <w:right w:val="nil"/>
            </w:tcBorders>
            <w:shd w:val="clear" w:color="auto" w:fill="auto"/>
            <w:noWrap/>
            <w:vAlign w:val="bottom"/>
            <w:hideMark/>
          </w:tcPr>
          <w:p w14:paraId="490CCF37"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3+</w:t>
            </w:r>
          </w:p>
        </w:tc>
        <w:tc>
          <w:tcPr>
            <w:tcW w:w="499" w:type="pct"/>
            <w:tcBorders>
              <w:top w:val="nil"/>
              <w:left w:val="nil"/>
              <w:bottom w:val="nil"/>
              <w:right w:val="nil"/>
            </w:tcBorders>
            <w:shd w:val="clear" w:color="auto" w:fill="auto"/>
            <w:noWrap/>
            <w:vAlign w:val="bottom"/>
            <w:hideMark/>
          </w:tcPr>
          <w:p w14:paraId="0B7645E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245</w:t>
            </w:r>
          </w:p>
        </w:tc>
        <w:tc>
          <w:tcPr>
            <w:tcW w:w="485" w:type="pct"/>
            <w:tcBorders>
              <w:top w:val="nil"/>
              <w:left w:val="nil"/>
              <w:bottom w:val="nil"/>
              <w:right w:val="nil"/>
            </w:tcBorders>
            <w:shd w:val="clear" w:color="auto" w:fill="auto"/>
            <w:noWrap/>
            <w:vAlign w:val="bottom"/>
            <w:hideMark/>
          </w:tcPr>
          <w:p w14:paraId="5363747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21</w:t>
            </w:r>
          </w:p>
        </w:tc>
        <w:tc>
          <w:tcPr>
            <w:tcW w:w="251" w:type="pct"/>
            <w:tcBorders>
              <w:top w:val="nil"/>
              <w:left w:val="nil"/>
              <w:bottom w:val="nil"/>
              <w:right w:val="nil"/>
            </w:tcBorders>
            <w:shd w:val="clear" w:color="auto" w:fill="auto"/>
            <w:noWrap/>
            <w:vAlign w:val="bottom"/>
            <w:hideMark/>
          </w:tcPr>
          <w:p w14:paraId="297908F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1.07</w:t>
            </w:r>
          </w:p>
        </w:tc>
        <w:tc>
          <w:tcPr>
            <w:tcW w:w="451" w:type="pct"/>
            <w:tcBorders>
              <w:top w:val="nil"/>
              <w:left w:val="nil"/>
              <w:bottom w:val="nil"/>
              <w:right w:val="nil"/>
            </w:tcBorders>
            <w:shd w:val="clear" w:color="auto" w:fill="auto"/>
            <w:noWrap/>
            <w:vAlign w:val="bottom"/>
            <w:hideMark/>
          </w:tcPr>
          <w:p w14:paraId="235A145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[0.53, 2.17]</w:t>
            </w:r>
          </w:p>
        </w:tc>
        <w:tc>
          <w:tcPr>
            <w:tcW w:w="295" w:type="pct"/>
            <w:tcBorders>
              <w:top w:val="nil"/>
              <w:left w:val="nil"/>
              <w:bottom w:val="nil"/>
              <w:right w:val="nil"/>
            </w:tcBorders>
            <w:shd w:val="clear" w:color="auto" w:fill="auto"/>
            <w:noWrap/>
            <w:vAlign w:val="bottom"/>
            <w:hideMark/>
          </w:tcPr>
          <w:p w14:paraId="51CA5BC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0.85</w:t>
            </w:r>
          </w:p>
        </w:tc>
        <w:tc>
          <w:tcPr>
            <w:tcW w:w="552" w:type="pct"/>
            <w:tcBorders>
              <w:top w:val="nil"/>
              <w:left w:val="nil"/>
              <w:bottom w:val="nil"/>
              <w:right w:val="nil"/>
            </w:tcBorders>
            <w:shd w:val="clear" w:color="auto" w:fill="auto"/>
            <w:noWrap/>
            <w:vAlign w:val="bottom"/>
            <w:hideMark/>
          </w:tcPr>
          <w:p w14:paraId="5B303198" w14:textId="77777777" w:rsidR="0049448B" w:rsidRPr="0049448B" w:rsidRDefault="0049448B" w:rsidP="0049448B">
            <w:pPr>
              <w:jc w:val="right"/>
              <w:rPr>
                <w:rFonts w:eastAsia="Times New Roman" w:cs="Arial"/>
                <w:color w:val="000000"/>
                <w:sz w:val="16"/>
                <w:szCs w:val="16"/>
                <w:lang w:eastAsia="en-US"/>
              </w:rPr>
            </w:pPr>
          </w:p>
        </w:tc>
        <w:tc>
          <w:tcPr>
            <w:tcW w:w="352" w:type="pct"/>
            <w:vAlign w:val="center"/>
            <w:hideMark/>
          </w:tcPr>
          <w:p w14:paraId="62EB6C8F"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7CB089B4"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678D25BD" w14:textId="77777777" w:rsidTr="0049448B">
        <w:trPr>
          <w:trHeight w:val="260"/>
        </w:trPr>
        <w:tc>
          <w:tcPr>
            <w:tcW w:w="532" w:type="pct"/>
            <w:tcBorders>
              <w:top w:val="nil"/>
              <w:left w:val="nil"/>
              <w:bottom w:val="nil"/>
              <w:right w:val="nil"/>
            </w:tcBorders>
            <w:shd w:val="clear" w:color="auto" w:fill="auto"/>
            <w:noWrap/>
            <w:vAlign w:val="bottom"/>
            <w:hideMark/>
          </w:tcPr>
          <w:p w14:paraId="5B28D5E9"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48A33E6F" w14:textId="77777777" w:rsidR="0049448B" w:rsidRPr="0049448B" w:rsidRDefault="0049448B" w:rsidP="0049448B">
            <w:pPr>
              <w:rPr>
                <w:rFonts w:ascii="Times New Roman" w:eastAsia="Times New Roman" w:hAnsi="Times New Roman" w:cs="Times New Roman"/>
                <w:sz w:val="20"/>
                <w:szCs w:val="20"/>
                <w:lang w:eastAsia="en-US"/>
              </w:rPr>
            </w:pPr>
          </w:p>
        </w:tc>
        <w:tc>
          <w:tcPr>
            <w:tcW w:w="525" w:type="pct"/>
            <w:tcBorders>
              <w:top w:val="nil"/>
              <w:left w:val="nil"/>
              <w:bottom w:val="nil"/>
              <w:right w:val="nil"/>
            </w:tcBorders>
            <w:shd w:val="clear" w:color="auto" w:fill="auto"/>
            <w:noWrap/>
            <w:vAlign w:val="bottom"/>
            <w:hideMark/>
          </w:tcPr>
          <w:p w14:paraId="399F0CA7" w14:textId="77777777" w:rsidR="0049448B" w:rsidRPr="0049448B" w:rsidRDefault="0049448B" w:rsidP="0049448B">
            <w:pPr>
              <w:rPr>
                <w:rFonts w:ascii="Times New Roman" w:eastAsia="Times New Roman" w:hAnsi="Times New Roman" w:cs="Times New Roman"/>
                <w:sz w:val="20"/>
                <w:szCs w:val="20"/>
                <w:lang w:eastAsia="en-US"/>
              </w:rPr>
            </w:pPr>
          </w:p>
        </w:tc>
        <w:tc>
          <w:tcPr>
            <w:tcW w:w="499" w:type="pct"/>
            <w:tcBorders>
              <w:top w:val="nil"/>
              <w:left w:val="nil"/>
              <w:bottom w:val="nil"/>
              <w:right w:val="nil"/>
            </w:tcBorders>
            <w:shd w:val="clear" w:color="auto" w:fill="auto"/>
            <w:noWrap/>
            <w:vAlign w:val="bottom"/>
            <w:hideMark/>
          </w:tcPr>
          <w:p w14:paraId="25B544D3" w14:textId="77777777" w:rsidR="0049448B" w:rsidRPr="0049448B" w:rsidRDefault="0049448B" w:rsidP="0049448B">
            <w:pPr>
              <w:rPr>
                <w:rFonts w:ascii="Times New Roman" w:eastAsia="Times New Roman" w:hAnsi="Times New Roman" w:cs="Times New Roman"/>
                <w:sz w:val="20"/>
                <w:szCs w:val="20"/>
                <w:lang w:eastAsia="en-US"/>
              </w:rPr>
            </w:pPr>
          </w:p>
        </w:tc>
        <w:tc>
          <w:tcPr>
            <w:tcW w:w="485" w:type="pct"/>
            <w:tcBorders>
              <w:top w:val="nil"/>
              <w:left w:val="nil"/>
              <w:bottom w:val="nil"/>
              <w:right w:val="nil"/>
            </w:tcBorders>
            <w:shd w:val="clear" w:color="auto" w:fill="auto"/>
            <w:noWrap/>
            <w:vAlign w:val="bottom"/>
            <w:hideMark/>
          </w:tcPr>
          <w:p w14:paraId="361E2A8B"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251" w:type="pct"/>
            <w:tcBorders>
              <w:top w:val="nil"/>
              <w:left w:val="nil"/>
              <w:bottom w:val="nil"/>
              <w:right w:val="nil"/>
            </w:tcBorders>
            <w:shd w:val="clear" w:color="auto" w:fill="auto"/>
            <w:noWrap/>
            <w:vAlign w:val="bottom"/>
            <w:hideMark/>
          </w:tcPr>
          <w:p w14:paraId="3E52F2CF"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451" w:type="pct"/>
            <w:tcBorders>
              <w:top w:val="nil"/>
              <w:left w:val="nil"/>
              <w:bottom w:val="nil"/>
              <w:right w:val="nil"/>
            </w:tcBorders>
            <w:shd w:val="clear" w:color="auto" w:fill="auto"/>
            <w:noWrap/>
            <w:vAlign w:val="bottom"/>
            <w:hideMark/>
          </w:tcPr>
          <w:p w14:paraId="0F39C0A6"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295" w:type="pct"/>
            <w:tcBorders>
              <w:top w:val="nil"/>
              <w:left w:val="nil"/>
              <w:bottom w:val="nil"/>
              <w:right w:val="nil"/>
            </w:tcBorders>
            <w:shd w:val="clear" w:color="auto" w:fill="auto"/>
            <w:noWrap/>
            <w:vAlign w:val="bottom"/>
            <w:hideMark/>
          </w:tcPr>
          <w:p w14:paraId="35A064CA"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552" w:type="pct"/>
            <w:tcBorders>
              <w:top w:val="nil"/>
              <w:left w:val="nil"/>
              <w:bottom w:val="nil"/>
              <w:right w:val="nil"/>
            </w:tcBorders>
            <w:shd w:val="clear" w:color="auto" w:fill="auto"/>
            <w:noWrap/>
            <w:vAlign w:val="bottom"/>
            <w:hideMark/>
          </w:tcPr>
          <w:p w14:paraId="654773F8"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352" w:type="pct"/>
            <w:vAlign w:val="center"/>
            <w:hideMark/>
          </w:tcPr>
          <w:p w14:paraId="0138E217"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7E463C88"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6BBA43E7" w14:textId="77777777" w:rsidTr="0049448B">
        <w:trPr>
          <w:trHeight w:val="260"/>
        </w:trPr>
        <w:tc>
          <w:tcPr>
            <w:tcW w:w="532" w:type="pct"/>
            <w:tcBorders>
              <w:top w:val="nil"/>
              <w:left w:val="nil"/>
              <w:bottom w:val="nil"/>
              <w:right w:val="nil"/>
            </w:tcBorders>
            <w:shd w:val="clear" w:color="auto" w:fill="auto"/>
            <w:noWrap/>
            <w:vAlign w:val="bottom"/>
            <w:hideMark/>
          </w:tcPr>
          <w:p w14:paraId="2CEDC477"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tcBorders>
              <w:top w:val="nil"/>
              <w:left w:val="nil"/>
              <w:bottom w:val="nil"/>
              <w:right w:val="nil"/>
            </w:tcBorders>
            <w:shd w:val="clear" w:color="auto" w:fill="auto"/>
            <w:noWrap/>
            <w:vAlign w:val="bottom"/>
            <w:hideMark/>
          </w:tcPr>
          <w:p w14:paraId="3896C5EC"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xml:space="preserve">Birth Order </w:t>
            </w:r>
            <w:r w:rsidRPr="0049448B">
              <w:rPr>
                <w:rFonts w:eastAsia="Times New Roman" w:cs="Arial"/>
                <w:color w:val="000000"/>
                <w:sz w:val="16"/>
                <w:szCs w:val="16"/>
                <w:vertAlign w:val="superscript"/>
                <w:lang w:eastAsia="en-US"/>
              </w:rPr>
              <w:t>c</w:t>
            </w:r>
          </w:p>
        </w:tc>
        <w:tc>
          <w:tcPr>
            <w:tcW w:w="525" w:type="pct"/>
            <w:tcBorders>
              <w:top w:val="nil"/>
              <w:left w:val="nil"/>
              <w:bottom w:val="nil"/>
              <w:right w:val="nil"/>
            </w:tcBorders>
            <w:shd w:val="clear" w:color="auto" w:fill="auto"/>
            <w:noWrap/>
            <w:vAlign w:val="bottom"/>
            <w:hideMark/>
          </w:tcPr>
          <w:p w14:paraId="0B33CD86"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1st</w:t>
            </w:r>
          </w:p>
        </w:tc>
        <w:tc>
          <w:tcPr>
            <w:tcW w:w="499" w:type="pct"/>
            <w:tcBorders>
              <w:top w:val="nil"/>
              <w:left w:val="nil"/>
              <w:bottom w:val="nil"/>
              <w:right w:val="nil"/>
            </w:tcBorders>
            <w:shd w:val="clear" w:color="auto" w:fill="auto"/>
            <w:noWrap/>
            <w:vAlign w:val="bottom"/>
            <w:hideMark/>
          </w:tcPr>
          <w:p w14:paraId="5D60388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147</w:t>
            </w:r>
          </w:p>
        </w:tc>
        <w:tc>
          <w:tcPr>
            <w:tcW w:w="485" w:type="pct"/>
            <w:tcBorders>
              <w:top w:val="nil"/>
              <w:left w:val="nil"/>
              <w:bottom w:val="nil"/>
              <w:right w:val="nil"/>
            </w:tcBorders>
            <w:shd w:val="clear" w:color="auto" w:fill="auto"/>
            <w:noWrap/>
            <w:vAlign w:val="bottom"/>
            <w:hideMark/>
          </w:tcPr>
          <w:p w14:paraId="4F65DC1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9</w:t>
            </w:r>
          </w:p>
        </w:tc>
        <w:tc>
          <w:tcPr>
            <w:tcW w:w="251" w:type="pct"/>
            <w:tcBorders>
              <w:top w:val="nil"/>
              <w:left w:val="nil"/>
              <w:bottom w:val="nil"/>
              <w:right w:val="nil"/>
            </w:tcBorders>
            <w:shd w:val="clear" w:color="auto" w:fill="auto"/>
            <w:noWrap/>
            <w:vAlign w:val="bottom"/>
            <w:hideMark/>
          </w:tcPr>
          <w:p w14:paraId="11B8ABD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(ref)</w:t>
            </w:r>
          </w:p>
        </w:tc>
        <w:tc>
          <w:tcPr>
            <w:tcW w:w="451" w:type="pct"/>
            <w:tcBorders>
              <w:top w:val="nil"/>
              <w:left w:val="nil"/>
              <w:bottom w:val="nil"/>
              <w:right w:val="nil"/>
            </w:tcBorders>
            <w:shd w:val="clear" w:color="auto" w:fill="auto"/>
            <w:noWrap/>
            <w:vAlign w:val="bottom"/>
            <w:hideMark/>
          </w:tcPr>
          <w:p w14:paraId="74A5BA0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w:t>
            </w:r>
          </w:p>
        </w:tc>
        <w:tc>
          <w:tcPr>
            <w:tcW w:w="295" w:type="pct"/>
            <w:tcBorders>
              <w:top w:val="nil"/>
              <w:left w:val="nil"/>
              <w:bottom w:val="nil"/>
              <w:right w:val="nil"/>
            </w:tcBorders>
            <w:shd w:val="clear" w:color="auto" w:fill="auto"/>
            <w:noWrap/>
            <w:vAlign w:val="bottom"/>
            <w:hideMark/>
          </w:tcPr>
          <w:p w14:paraId="14DFD8EC" w14:textId="77777777" w:rsidR="0049448B" w:rsidRPr="0049448B" w:rsidRDefault="0049448B" w:rsidP="0049448B">
            <w:pPr>
              <w:jc w:val="right"/>
              <w:rPr>
                <w:rFonts w:eastAsia="Times New Roman" w:cs="Arial"/>
                <w:color w:val="000000"/>
                <w:sz w:val="16"/>
                <w:szCs w:val="16"/>
                <w:lang w:eastAsia="en-US"/>
              </w:rPr>
            </w:pPr>
          </w:p>
        </w:tc>
        <w:tc>
          <w:tcPr>
            <w:tcW w:w="552" w:type="pct"/>
            <w:tcBorders>
              <w:top w:val="nil"/>
              <w:left w:val="nil"/>
              <w:bottom w:val="nil"/>
              <w:right w:val="nil"/>
            </w:tcBorders>
            <w:shd w:val="clear" w:color="auto" w:fill="auto"/>
            <w:noWrap/>
            <w:vAlign w:val="bottom"/>
            <w:hideMark/>
          </w:tcPr>
          <w:p w14:paraId="6A9198CB"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352" w:type="pct"/>
            <w:vAlign w:val="center"/>
            <w:hideMark/>
          </w:tcPr>
          <w:p w14:paraId="6E9F9363"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7AE62F87"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3DAF5BC9" w14:textId="77777777" w:rsidTr="0049448B">
        <w:trPr>
          <w:trHeight w:val="260"/>
        </w:trPr>
        <w:tc>
          <w:tcPr>
            <w:tcW w:w="532" w:type="pct"/>
            <w:tcBorders>
              <w:top w:val="nil"/>
              <w:left w:val="nil"/>
              <w:bottom w:val="nil"/>
              <w:right w:val="nil"/>
            </w:tcBorders>
            <w:shd w:val="clear" w:color="auto" w:fill="auto"/>
            <w:noWrap/>
            <w:vAlign w:val="bottom"/>
            <w:hideMark/>
          </w:tcPr>
          <w:p w14:paraId="63CBEA7B" w14:textId="77777777" w:rsidR="0049448B" w:rsidRPr="0049448B" w:rsidRDefault="0049448B" w:rsidP="0049448B">
            <w:pPr>
              <w:rPr>
                <w:rFonts w:ascii="Times New Roman" w:eastAsia="Times New Roman" w:hAnsi="Times New Roman" w:cs="Times New Roman"/>
                <w:sz w:val="20"/>
                <w:szCs w:val="20"/>
                <w:lang w:eastAsia="en-US"/>
              </w:rPr>
            </w:pPr>
          </w:p>
        </w:tc>
        <w:tc>
          <w:tcPr>
            <w:tcW w:w="935" w:type="pct"/>
            <w:vMerge w:val="restart"/>
            <w:tcBorders>
              <w:top w:val="nil"/>
              <w:left w:val="nil"/>
              <w:bottom w:val="single" w:sz="8" w:space="0" w:color="000000"/>
              <w:right w:val="nil"/>
            </w:tcBorders>
            <w:shd w:val="clear" w:color="auto" w:fill="auto"/>
            <w:hideMark/>
          </w:tcPr>
          <w:p w14:paraId="20EF4A60"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(among controls with 2+ siblings)</w:t>
            </w:r>
          </w:p>
        </w:tc>
        <w:tc>
          <w:tcPr>
            <w:tcW w:w="525" w:type="pct"/>
            <w:tcBorders>
              <w:top w:val="nil"/>
              <w:left w:val="nil"/>
              <w:bottom w:val="nil"/>
              <w:right w:val="nil"/>
            </w:tcBorders>
            <w:shd w:val="clear" w:color="auto" w:fill="auto"/>
            <w:noWrap/>
            <w:vAlign w:val="bottom"/>
            <w:hideMark/>
          </w:tcPr>
          <w:p w14:paraId="1705089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2nd</w:t>
            </w:r>
          </w:p>
        </w:tc>
        <w:tc>
          <w:tcPr>
            <w:tcW w:w="499" w:type="pct"/>
            <w:tcBorders>
              <w:top w:val="nil"/>
              <w:left w:val="nil"/>
              <w:bottom w:val="nil"/>
              <w:right w:val="nil"/>
            </w:tcBorders>
            <w:shd w:val="clear" w:color="auto" w:fill="auto"/>
            <w:noWrap/>
            <w:vAlign w:val="bottom"/>
            <w:hideMark/>
          </w:tcPr>
          <w:p w14:paraId="37282A4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105</w:t>
            </w:r>
          </w:p>
        </w:tc>
        <w:tc>
          <w:tcPr>
            <w:tcW w:w="485" w:type="pct"/>
            <w:tcBorders>
              <w:top w:val="nil"/>
              <w:left w:val="nil"/>
              <w:bottom w:val="nil"/>
              <w:right w:val="nil"/>
            </w:tcBorders>
            <w:shd w:val="clear" w:color="auto" w:fill="auto"/>
            <w:noWrap/>
            <w:vAlign w:val="bottom"/>
            <w:hideMark/>
          </w:tcPr>
          <w:p w14:paraId="1AEBBFD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14</w:t>
            </w:r>
          </w:p>
        </w:tc>
        <w:tc>
          <w:tcPr>
            <w:tcW w:w="251" w:type="pct"/>
            <w:tcBorders>
              <w:top w:val="nil"/>
              <w:left w:val="nil"/>
              <w:bottom w:val="nil"/>
              <w:right w:val="nil"/>
            </w:tcBorders>
            <w:shd w:val="clear" w:color="auto" w:fill="auto"/>
            <w:noWrap/>
            <w:vAlign w:val="bottom"/>
            <w:hideMark/>
          </w:tcPr>
          <w:p w14:paraId="612A615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w:t>
            </w:r>
          </w:p>
        </w:tc>
        <w:tc>
          <w:tcPr>
            <w:tcW w:w="451" w:type="pct"/>
            <w:tcBorders>
              <w:top w:val="nil"/>
              <w:left w:val="nil"/>
              <w:bottom w:val="nil"/>
              <w:right w:val="nil"/>
            </w:tcBorders>
            <w:shd w:val="clear" w:color="auto" w:fill="auto"/>
            <w:noWrap/>
            <w:vAlign w:val="bottom"/>
            <w:hideMark/>
          </w:tcPr>
          <w:p w14:paraId="31E5D53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w:t>
            </w:r>
          </w:p>
        </w:tc>
        <w:tc>
          <w:tcPr>
            <w:tcW w:w="295" w:type="pct"/>
            <w:tcBorders>
              <w:top w:val="nil"/>
              <w:left w:val="nil"/>
              <w:bottom w:val="nil"/>
              <w:right w:val="nil"/>
            </w:tcBorders>
            <w:shd w:val="clear" w:color="auto" w:fill="auto"/>
            <w:noWrap/>
            <w:vAlign w:val="bottom"/>
            <w:hideMark/>
          </w:tcPr>
          <w:p w14:paraId="5932AF05" w14:textId="77777777" w:rsidR="0049448B" w:rsidRPr="0049448B" w:rsidRDefault="0049448B" w:rsidP="0049448B">
            <w:pPr>
              <w:jc w:val="right"/>
              <w:rPr>
                <w:rFonts w:eastAsia="Times New Roman" w:cs="Arial"/>
                <w:color w:val="000000"/>
                <w:sz w:val="16"/>
                <w:szCs w:val="16"/>
                <w:lang w:eastAsia="en-US"/>
              </w:rPr>
            </w:pPr>
          </w:p>
        </w:tc>
        <w:tc>
          <w:tcPr>
            <w:tcW w:w="552" w:type="pct"/>
            <w:tcBorders>
              <w:top w:val="nil"/>
              <w:left w:val="nil"/>
              <w:bottom w:val="nil"/>
              <w:right w:val="nil"/>
            </w:tcBorders>
            <w:shd w:val="clear" w:color="auto" w:fill="auto"/>
            <w:noWrap/>
            <w:vAlign w:val="bottom"/>
            <w:hideMark/>
          </w:tcPr>
          <w:p w14:paraId="08714A8E" w14:textId="77777777" w:rsidR="0049448B" w:rsidRPr="0049448B" w:rsidRDefault="0049448B" w:rsidP="0049448B">
            <w:pPr>
              <w:jc w:val="right"/>
              <w:rPr>
                <w:rFonts w:ascii="Times New Roman" w:eastAsia="Times New Roman" w:hAnsi="Times New Roman" w:cs="Times New Roman"/>
                <w:sz w:val="20"/>
                <w:szCs w:val="20"/>
                <w:lang w:eastAsia="en-US"/>
              </w:rPr>
            </w:pPr>
          </w:p>
        </w:tc>
        <w:tc>
          <w:tcPr>
            <w:tcW w:w="352" w:type="pct"/>
            <w:vAlign w:val="center"/>
            <w:hideMark/>
          </w:tcPr>
          <w:p w14:paraId="7D45E719"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7DBFAF27"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63F3F6FD" w14:textId="77777777" w:rsidTr="0049448B">
        <w:trPr>
          <w:trHeight w:val="260"/>
        </w:trPr>
        <w:tc>
          <w:tcPr>
            <w:tcW w:w="532" w:type="pct"/>
            <w:tcBorders>
              <w:top w:val="nil"/>
              <w:left w:val="nil"/>
              <w:bottom w:val="single" w:sz="8" w:space="0" w:color="auto"/>
              <w:right w:val="nil"/>
            </w:tcBorders>
            <w:shd w:val="clear" w:color="auto" w:fill="auto"/>
            <w:noWrap/>
            <w:vAlign w:val="bottom"/>
            <w:hideMark/>
          </w:tcPr>
          <w:p w14:paraId="0B610829"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w:t>
            </w:r>
          </w:p>
        </w:tc>
        <w:tc>
          <w:tcPr>
            <w:tcW w:w="935" w:type="pct"/>
            <w:vMerge/>
            <w:tcBorders>
              <w:top w:val="nil"/>
              <w:left w:val="nil"/>
              <w:bottom w:val="single" w:sz="8" w:space="0" w:color="000000"/>
              <w:right w:val="nil"/>
            </w:tcBorders>
            <w:vAlign w:val="center"/>
            <w:hideMark/>
          </w:tcPr>
          <w:p w14:paraId="2482D414" w14:textId="77777777" w:rsidR="0049448B" w:rsidRPr="0049448B" w:rsidRDefault="0049448B" w:rsidP="0049448B">
            <w:pPr>
              <w:rPr>
                <w:rFonts w:eastAsia="Times New Roman" w:cs="Arial"/>
                <w:color w:val="000000"/>
                <w:sz w:val="16"/>
                <w:szCs w:val="16"/>
                <w:lang w:eastAsia="en-US"/>
              </w:rPr>
            </w:pPr>
          </w:p>
        </w:tc>
        <w:tc>
          <w:tcPr>
            <w:tcW w:w="525" w:type="pct"/>
            <w:tcBorders>
              <w:top w:val="nil"/>
              <w:left w:val="nil"/>
              <w:bottom w:val="single" w:sz="8" w:space="0" w:color="auto"/>
              <w:right w:val="nil"/>
            </w:tcBorders>
            <w:shd w:val="clear" w:color="auto" w:fill="auto"/>
            <w:noWrap/>
            <w:vAlign w:val="bottom"/>
            <w:hideMark/>
          </w:tcPr>
          <w:p w14:paraId="4A0ECC2C"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3rd+</w:t>
            </w:r>
          </w:p>
        </w:tc>
        <w:tc>
          <w:tcPr>
            <w:tcW w:w="499" w:type="pct"/>
            <w:tcBorders>
              <w:top w:val="nil"/>
              <w:left w:val="nil"/>
              <w:bottom w:val="single" w:sz="8" w:space="0" w:color="auto"/>
              <w:right w:val="nil"/>
            </w:tcBorders>
            <w:shd w:val="clear" w:color="auto" w:fill="auto"/>
            <w:noWrap/>
            <w:vAlign w:val="bottom"/>
            <w:hideMark/>
          </w:tcPr>
          <w:p w14:paraId="34BB83B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203</w:t>
            </w:r>
          </w:p>
        </w:tc>
        <w:tc>
          <w:tcPr>
            <w:tcW w:w="485" w:type="pct"/>
            <w:tcBorders>
              <w:top w:val="nil"/>
              <w:left w:val="nil"/>
              <w:bottom w:val="single" w:sz="8" w:space="0" w:color="auto"/>
              <w:right w:val="nil"/>
            </w:tcBorders>
            <w:shd w:val="clear" w:color="auto" w:fill="auto"/>
            <w:noWrap/>
            <w:vAlign w:val="bottom"/>
            <w:hideMark/>
          </w:tcPr>
          <w:p w14:paraId="18B89AC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20</w:t>
            </w:r>
          </w:p>
        </w:tc>
        <w:tc>
          <w:tcPr>
            <w:tcW w:w="251" w:type="pct"/>
            <w:tcBorders>
              <w:top w:val="nil"/>
              <w:left w:val="nil"/>
              <w:bottom w:val="single" w:sz="8" w:space="0" w:color="auto"/>
              <w:right w:val="nil"/>
            </w:tcBorders>
            <w:shd w:val="clear" w:color="auto" w:fill="auto"/>
            <w:noWrap/>
            <w:vAlign w:val="bottom"/>
            <w:hideMark/>
          </w:tcPr>
          <w:p w14:paraId="7D16D74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w:t>
            </w:r>
          </w:p>
        </w:tc>
        <w:tc>
          <w:tcPr>
            <w:tcW w:w="451" w:type="pct"/>
            <w:tcBorders>
              <w:top w:val="nil"/>
              <w:left w:val="nil"/>
              <w:bottom w:val="single" w:sz="8" w:space="0" w:color="auto"/>
              <w:right w:val="nil"/>
            </w:tcBorders>
            <w:shd w:val="clear" w:color="auto" w:fill="auto"/>
            <w:noWrap/>
            <w:vAlign w:val="bottom"/>
            <w:hideMark/>
          </w:tcPr>
          <w:p w14:paraId="704E8D5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w:t>
            </w:r>
          </w:p>
        </w:tc>
        <w:tc>
          <w:tcPr>
            <w:tcW w:w="295" w:type="pct"/>
            <w:tcBorders>
              <w:top w:val="nil"/>
              <w:left w:val="nil"/>
              <w:bottom w:val="single" w:sz="8" w:space="0" w:color="auto"/>
              <w:right w:val="nil"/>
            </w:tcBorders>
            <w:shd w:val="clear" w:color="auto" w:fill="auto"/>
            <w:noWrap/>
            <w:vAlign w:val="bottom"/>
            <w:hideMark/>
          </w:tcPr>
          <w:p w14:paraId="10916A3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 </w:t>
            </w:r>
          </w:p>
        </w:tc>
        <w:tc>
          <w:tcPr>
            <w:tcW w:w="552" w:type="pct"/>
            <w:tcBorders>
              <w:top w:val="nil"/>
              <w:left w:val="nil"/>
              <w:bottom w:val="single" w:sz="8" w:space="0" w:color="auto"/>
              <w:right w:val="nil"/>
            </w:tcBorders>
            <w:shd w:val="clear" w:color="auto" w:fill="auto"/>
            <w:noWrap/>
            <w:vAlign w:val="bottom"/>
            <w:hideMark/>
          </w:tcPr>
          <w:p w14:paraId="35A4CCEC"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 </w:t>
            </w:r>
          </w:p>
        </w:tc>
        <w:tc>
          <w:tcPr>
            <w:tcW w:w="352" w:type="pct"/>
            <w:vAlign w:val="center"/>
            <w:hideMark/>
          </w:tcPr>
          <w:p w14:paraId="0E5646C4"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1EE57631"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0EAB4731" w14:textId="77777777" w:rsidTr="0049448B">
        <w:trPr>
          <w:trHeight w:val="260"/>
        </w:trPr>
        <w:tc>
          <w:tcPr>
            <w:tcW w:w="4524" w:type="pct"/>
            <w:gridSpan w:val="9"/>
            <w:tcBorders>
              <w:top w:val="single" w:sz="8" w:space="0" w:color="auto"/>
              <w:left w:val="nil"/>
              <w:bottom w:val="nil"/>
              <w:right w:val="nil"/>
            </w:tcBorders>
            <w:shd w:val="clear" w:color="auto" w:fill="auto"/>
            <w:vAlign w:val="bottom"/>
            <w:hideMark/>
          </w:tcPr>
          <w:p w14:paraId="215722C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IM: infectious mononucleosis</w:t>
            </w:r>
          </w:p>
        </w:tc>
        <w:tc>
          <w:tcPr>
            <w:tcW w:w="352" w:type="pct"/>
            <w:vAlign w:val="center"/>
            <w:hideMark/>
          </w:tcPr>
          <w:p w14:paraId="26DED29D"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4D429718"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345BA715" w14:textId="77777777" w:rsidTr="0049448B">
        <w:trPr>
          <w:trHeight w:val="260"/>
        </w:trPr>
        <w:tc>
          <w:tcPr>
            <w:tcW w:w="4524" w:type="pct"/>
            <w:gridSpan w:val="9"/>
            <w:tcBorders>
              <w:top w:val="nil"/>
              <w:left w:val="nil"/>
              <w:bottom w:val="nil"/>
              <w:right w:val="nil"/>
            </w:tcBorders>
            <w:shd w:val="clear" w:color="auto" w:fill="auto"/>
            <w:vAlign w:val="bottom"/>
            <w:hideMark/>
          </w:tcPr>
          <w:p w14:paraId="5BD6E39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SES: socioeconomic status</w:t>
            </w:r>
          </w:p>
        </w:tc>
        <w:tc>
          <w:tcPr>
            <w:tcW w:w="352" w:type="pct"/>
            <w:vAlign w:val="center"/>
            <w:hideMark/>
          </w:tcPr>
          <w:p w14:paraId="5DE6DC71"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7CA3D628"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68AE86F2" w14:textId="77777777" w:rsidTr="0049448B">
        <w:trPr>
          <w:trHeight w:val="260"/>
        </w:trPr>
        <w:tc>
          <w:tcPr>
            <w:tcW w:w="4524" w:type="pct"/>
            <w:gridSpan w:val="9"/>
            <w:tcBorders>
              <w:top w:val="nil"/>
              <w:left w:val="nil"/>
              <w:bottom w:val="nil"/>
              <w:right w:val="nil"/>
            </w:tcBorders>
            <w:shd w:val="clear" w:color="auto" w:fill="auto"/>
            <w:noWrap/>
            <w:vAlign w:val="bottom"/>
            <w:hideMark/>
          </w:tcPr>
          <w:p w14:paraId="3B258F7F"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OR: odds ratio.</w:t>
            </w:r>
          </w:p>
        </w:tc>
        <w:tc>
          <w:tcPr>
            <w:tcW w:w="352" w:type="pct"/>
            <w:vAlign w:val="center"/>
            <w:hideMark/>
          </w:tcPr>
          <w:p w14:paraId="2AFEBDD3"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09C51475"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399704EF" w14:textId="77777777" w:rsidTr="0049448B">
        <w:trPr>
          <w:trHeight w:val="260"/>
        </w:trPr>
        <w:tc>
          <w:tcPr>
            <w:tcW w:w="4524" w:type="pct"/>
            <w:gridSpan w:val="9"/>
            <w:tcBorders>
              <w:top w:val="nil"/>
              <w:left w:val="nil"/>
              <w:bottom w:val="nil"/>
              <w:right w:val="nil"/>
            </w:tcBorders>
            <w:shd w:val="clear" w:color="auto" w:fill="auto"/>
            <w:noWrap/>
            <w:vAlign w:val="bottom"/>
            <w:hideMark/>
          </w:tcPr>
          <w:p w14:paraId="0A7BE5D5"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CI: confidence interval.</w:t>
            </w:r>
          </w:p>
        </w:tc>
        <w:tc>
          <w:tcPr>
            <w:tcW w:w="352" w:type="pct"/>
            <w:vAlign w:val="center"/>
            <w:hideMark/>
          </w:tcPr>
          <w:p w14:paraId="4E2CCFC7"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282BF65D"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3CCD4438" w14:textId="77777777" w:rsidTr="0049448B">
        <w:trPr>
          <w:trHeight w:val="260"/>
        </w:trPr>
        <w:tc>
          <w:tcPr>
            <w:tcW w:w="4524" w:type="pct"/>
            <w:gridSpan w:val="9"/>
            <w:tcBorders>
              <w:top w:val="nil"/>
              <w:left w:val="nil"/>
              <w:bottom w:val="nil"/>
              <w:right w:val="nil"/>
            </w:tcBorders>
            <w:shd w:val="clear" w:color="auto" w:fill="auto"/>
            <w:noWrap/>
            <w:vAlign w:val="bottom"/>
            <w:hideMark/>
          </w:tcPr>
          <w:p w14:paraId="71A512AC" w14:textId="00E0DAF8"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a</w:t>
            </w:r>
            <w:r w:rsidRPr="0049448B">
              <w:rPr>
                <w:rFonts w:eastAsia="Times New Roman" w:cs="Arial"/>
                <w:color w:val="000000"/>
                <w:sz w:val="16"/>
                <w:szCs w:val="16"/>
                <w:lang w:eastAsia="en-US"/>
              </w:rPr>
              <w:t xml:space="preserve"> Year of birth was</w:t>
            </w:r>
            <w:r>
              <w:rPr>
                <w:rFonts w:eastAsia="Times New Roman" w:cs="Arial"/>
                <w:color w:val="000000"/>
                <w:sz w:val="16"/>
                <w:szCs w:val="16"/>
                <w:lang w:eastAsia="en-US"/>
              </w:rPr>
              <w:t xml:space="preserve"> reported</w:t>
            </w:r>
            <w:r w:rsidRPr="0049448B">
              <w:rPr>
                <w:rFonts w:eastAsia="Times New Roman" w:cs="Arial"/>
                <w:color w:val="000000"/>
                <w:sz w:val="16"/>
                <w:szCs w:val="16"/>
                <w:lang w:eastAsia="en-US"/>
              </w:rPr>
              <w:t xml:space="preserve"> for controls was reported at eight study sites (38% of controls)</w:t>
            </w:r>
          </w:p>
        </w:tc>
        <w:tc>
          <w:tcPr>
            <w:tcW w:w="352" w:type="pct"/>
            <w:vAlign w:val="center"/>
            <w:hideMark/>
          </w:tcPr>
          <w:p w14:paraId="64CA461F"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3EF0F3FF"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56F29977" w14:textId="77777777" w:rsidTr="0049448B">
        <w:trPr>
          <w:trHeight w:val="260"/>
        </w:trPr>
        <w:tc>
          <w:tcPr>
            <w:tcW w:w="4524" w:type="pct"/>
            <w:gridSpan w:val="9"/>
            <w:tcBorders>
              <w:top w:val="nil"/>
              <w:left w:val="nil"/>
              <w:bottom w:val="nil"/>
              <w:right w:val="nil"/>
            </w:tcBorders>
            <w:shd w:val="clear" w:color="auto" w:fill="auto"/>
            <w:noWrap/>
            <w:vAlign w:val="bottom"/>
            <w:hideMark/>
          </w:tcPr>
          <w:p w14:paraId="29BEF63B" w14:textId="0787724A"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b</w:t>
            </w:r>
            <w:r w:rsidRPr="0049448B">
              <w:rPr>
                <w:rFonts w:eastAsia="Times New Roman" w:cs="Arial"/>
                <w:color w:val="000000"/>
                <w:sz w:val="16"/>
                <w:szCs w:val="16"/>
                <w:lang w:eastAsia="en-US"/>
              </w:rPr>
              <w:t xml:space="preserve"> Sibship size was reported for </w:t>
            </w:r>
            <w:r>
              <w:rPr>
                <w:rFonts w:eastAsia="Times New Roman" w:cs="Arial"/>
                <w:color w:val="000000"/>
                <w:sz w:val="16"/>
                <w:szCs w:val="16"/>
                <w:lang w:eastAsia="en-US"/>
              </w:rPr>
              <w:t>99</w:t>
            </w:r>
            <w:r w:rsidRPr="0049448B">
              <w:rPr>
                <w:rFonts w:eastAsia="Times New Roman" w:cs="Arial"/>
                <w:color w:val="000000"/>
                <w:sz w:val="16"/>
                <w:szCs w:val="16"/>
                <w:lang w:eastAsia="en-US"/>
              </w:rPr>
              <w:t>.</w:t>
            </w:r>
            <w:r>
              <w:rPr>
                <w:rFonts w:eastAsia="Times New Roman" w:cs="Arial"/>
                <w:color w:val="000000"/>
                <w:sz w:val="16"/>
                <w:szCs w:val="16"/>
                <w:lang w:eastAsia="en-US"/>
              </w:rPr>
              <w:t>6</w:t>
            </w:r>
            <w:r w:rsidRPr="0049448B">
              <w:rPr>
                <w:rFonts w:eastAsia="Times New Roman" w:cs="Arial"/>
                <w:color w:val="000000"/>
                <w:sz w:val="16"/>
                <w:szCs w:val="16"/>
                <w:lang w:eastAsia="en-US"/>
              </w:rPr>
              <w:t>% of controls at sites with year of birth data</w:t>
            </w:r>
          </w:p>
        </w:tc>
        <w:tc>
          <w:tcPr>
            <w:tcW w:w="352" w:type="pct"/>
            <w:vAlign w:val="center"/>
            <w:hideMark/>
          </w:tcPr>
          <w:p w14:paraId="1DF8FFC4"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7478BCDE"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2DBDA684" w14:textId="77777777" w:rsidTr="0049448B">
        <w:trPr>
          <w:trHeight w:val="260"/>
        </w:trPr>
        <w:tc>
          <w:tcPr>
            <w:tcW w:w="4524" w:type="pct"/>
            <w:gridSpan w:val="9"/>
            <w:tcBorders>
              <w:top w:val="nil"/>
              <w:left w:val="nil"/>
              <w:bottom w:val="nil"/>
              <w:right w:val="nil"/>
            </w:tcBorders>
            <w:shd w:val="clear" w:color="auto" w:fill="auto"/>
            <w:noWrap/>
            <w:vAlign w:val="bottom"/>
            <w:hideMark/>
          </w:tcPr>
          <w:p w14:paraId="33F65E25"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c</w:t>
            </w:r>
            <w:r w:rsidRPr="0049448B">
              <w:rPr>
                <w:rFonts w:eastAsia="Times New Roman" w:cs="Arial"/>
                <w:color w:val="000000"/>
                <w:sz w:val="16"/>
                <w:szCs w:val="16"/>
                <w:lang w:eastAsia="en-US"/>
              </w:rPr>
              <w:t xml:space="preserve"> Birth order was not reported for 1% of controls at sites with year of birth data</w:t>
            </w:r>
          </w:p>
        </w:tc>
        <w:tc>
          <w:tcPr>
            <w:tcW w:w="352" w:type="pct"/>
            <w:vAlign w:val="center"/>
            <w:hideMark/>
          </w:tcPr>
          <w:p w14:paraId="0D868B35"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7D973AF4"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10746220" w14:textId="77777777" w:rsidTr="0049448B">
        <w:trPr>
          <w:trHeight w:val="260"/>
        </w:trPr>
        <w:tc>
          <w:tcPr>
            <w:tcW w:w="4524" w:type="pct"/>
            <w:gridSpan w:val="9"/>
            <w:tcBorders>
              <w:top w:val="nil"/>
              <w:left w:val="nil"/>
              <w:bottom w:val="nil"/>
              <w:right w:val="nil"/>
            </w:tcBorders>
            <w:shd w:val="clear" w:color="auto" w:fill="auto"/>
            <w:vAlign w:val="bottom"/>
            <w:hideMark/>
          </w:tcPr>
          <w:p w14:paraId="5FA9E3CD"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d</w:t>
            </w:r>
            <w:r w:rsidRPr="0049448B">
              <w:rPr>
                <w:rFonts w:eastAsia="Times New Roman" w:cs="Arial"/>
                <w:color w:val="000000"/>
                <w:sz w:val="16"/>
                <w:szCs w:val="16"/>
                <w:lang w:eastAsia="en-US"/>
              </w:rPr>
              <w:t xml:space="preserve"> ORs, CIs, and p-values calculated using logistic regression models adjusted for age, study center, and sex. Results with p&lt;0.05 are shown in bold. </w:t>
            </w:r>
          </w:p>
        </w:tc>
        <w:tc>
          <w:tcPr>
            <w:tcW w:w="352" w:type="pct"/>
            <w:vAlign w:val="center"/>
            <w:hideMark/>
          </w:tcPr>
          <w:p w14:paraId="1395251D"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5BBD83C1" w14:textId="77777777" w:rsidR="0049448B" w:rsidRPr="0049448B" w:rsidRDefault="0049448B" w:rsidP="0049448B">
            <w:pPr>
              <w:rPr>
                <w:rFonts w:ascii="Times New Roman" w:eastAsia="Times New Roman" w:hAnsi="Times New Roman" w:cs="Times New Roman"/>
                <w:sz w:val="20"/>
                <w:szCs w:val="20"/>
                <w:lang w:eastAsia="en-US"/>
              </w:rPr>
            </w:pPr>
          </w:p>
        </w:tc>
      </w:tr>
      <w:tr w:rsidR="0049448B" w:rsidRPr="0049448B" w14:paraId="22946A5D" w14:textId="77777777" w:rsidTr="0049448B">
        <w:trPr>
          <w:trHeight w:val="260"/>
        </w:trPr>
        <w:tc>
          <w:tcPr>
            <w:tcW w:w="4524" w:type="pct"/>
            <w:gridSpan w:val="9"/>
            <w:tcBorders>
              <w:top w:val="nil"/>
              <w:left w:val="nil"/>
              <w:bottom w:val="nil"/>
              <w:right w:val="nil"/>
            </w:tcBorders>
            <w:shd w:val="clear" w:color="auto" w:fill="auto"/>
            <w:noWrap/>
            <w:vAlign w:val="bottom"/>
            <w:hideMark/>
          </w:tcPr>
          <w:p w14:paraId="5BE52563"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e</w:t>
            </w:r>
            <w:r w:rsidRPr="0049448B">
              <w:rPr>
                <w:rFonts w:eastAsia="Times New Roman" w:cs="Arial"/>
                <w:color w:val="000000"/>
                <w:sz w:val="16"/>
                <w:szCs w:val="16"/>
                <w:lang w:eastAsia="en-US"/>
              </w:rPr>
              <w:t xml:space="preserve"> Strong evidence against the null hypotheses (no association) after accounting for multiple comparisons using Bonferroni correction.</w:t>
            </w:r>
          </w:p>
        </w:tc>
        <w:tc>
          <w:tcPr>
            <w:tcW w:w="352" w:type="pct"/>
            <w:vAlign w:val="center"/>
            <w:hideMark/>
          </w:tcPr>
          <w:p w14:paraId="00D836E9" w14:textId="77777777" w:rsidR="0049448B" w:rsidRPr="0049448B" w:rsidRDefault="0049448B" w:rsidP="0049448B">
            <w:pPr>
              <w:rPr>
                <w:rFonts w:ascii="Times New Roman" w:eastAsia="Times New Roman" w:hAnsi="Times New Roman" w:cs="Times New Roman"/>
                <w:sz w:val="20"/>
                <w:szCs w:val="20"/>
                <w:lang w:eastAsia="en-US"/>
              </w:rPr>
            </w:pPr>
          </w:p>
        </w:tc>
        <w:tc>
          <w:tcPr>
            <w:tcW w:w="124" w:type="pct"/>
            <w:vAlign w:val="center"/>
            <w:hideMark/>
          </w:tcPr>
          <w:p w14:paraId="01BF4A5C" w14:textId="77777777" w:rsidR="0049448B" w:rsidRPr="0049448B" w:rsidRDefault="0049448B" w:rsidP="0049448B">
            <w:pPr>
              <w:rPr>
                <w:rFonts w:ascii="Times New Roman" w:eastAsia="Times New Roman" w:hAnsi="Times New Roman" w:cs="Times New Roman"/>
                <w:sz w:val="20"/>
                <w:szCs w:val="20"/>
                <w:lang w:eastAsia="en-US"/>
              </w:rPr>
            </w:pPr>
          </w:p>
        </w:tc>
      </w:tr>
    </w:tbl>
    <w:p w14:paraId="15D7ACBA" w14:textId="28A755F2" w:rsidR="0049448B" w:rsidRDefault="0049448B" w:rsidP="00EF7273"/>
    <w:p w14:paraId="1B3D9349" w14:textId="77777777" w:rsidR="0049448B" w:rsidRDefault="0049448B" w:rsidP="00EF7273">
      <w:r>
        <w:br w:type="column"/>
      </w:r>
    </w:p>
    <w:tbl>
      <w:tblPr>
        <w:tblW w:w="5000" w:type="pct"/>
        <w:tblLook w:val="04A0" w:firstRow="1" w:lastRow="0" w:firstColumn="1" w:lastColumn="0" w:noHBand="0" w:noVBand="1"/>
      </w:tblPr>
      <w:tblGrid>
        <w:gridCol w:w="3875"/>
        <w:gridCol w:w="1607"/>
        <w:gridCol w:w="1607"/>
        <w:gridCol w:w="849"/>
        <w:gridCol w:w="1601"/>
        <w:gridCol w:w="1261"/>
      </w:tblGrid>
      <w:tr w:rsidR="0049448B" w:rsidRPr="0049448B" w14:paraId="7E4A42BB" w14:textId="77777777" w:rsidTr="0049448B">
        <w:trPr>
          <w:trHeight w:val="480"/>
        </w:trPr>
        <w:tc>
          <w:tcPr>
            <w:tcW w:w="5000" w:type="pct"/>
            <w:gridSpan w:val="6"/>
            <w:tcBorders>
              <w:top w:val="nil"/>
              <w:left w:val="nil"/>
              <w:bottom w:val="single" w:sz="8" w:space="0" w:color="auto"/>
              <w:right w:val="nil"/>
            </w:tcBorders>
            <w:shd w:val="clear" w:color="auto" w:fill="auto"/>
            <w:vAlign w:val="bottom"/>
            <w:hideMark/>
          </w:tcPr>
          <w:p w14:paraId="244821ED" w14:textId="16F7EBE5" w:rsidR="0049448B" w:rsidRPr="0049448B" w:rsidRDefault="0049448B" w:rsidP="0049448B">
            <w:pPr>
              <w:rPr>
                <w:rFonts w:eastAsia="Times New Roman" w:cs="Arial"/>
                <w:b/>
                <w:bCs/>
                <w:color w:val="000000"/>
                <w:sz w:val="16"/>
                <w:szCs w:val="16"/>
                <w:lang w:eastAsia="en-US"/>
              </w:rPr>
            </w:pPr>
            <w:r w:rsidRPr="0049448B">
              <w:rPr>
                <w:rFonts w:eastAsia="Times New Roman" w:cs="Arial"/>
                <w:b/>
                <w:bCs/>
                <w:color w:val="000000"/>
                <w:sz w:val="16"/>
                <w:szCs w:val="16"/>
                <w:lang w:eastAsia="en-US"/>
              </w:rPr>
              <w:t>Table 6: Associations between IM and candidate risk variants [IL1A (rs1800587), IL1B (rs1143627), IL1RN (rs454078), IL2 (rs2069762), IL6 (rs1800797), IL10 (rs1800890), TNFA (rs1800629), HLA I (rs6457327), and HLA II (rs10484561)] among controls</w:t>
            </w:r>
            <w:r w:rsidR="00E44E76">
              <w:rPr>
                <w:rFonts w:eastAsia="Times New Roman" w:cs="Arial"/>
                <w:b/>
                <w:bCs/>
                <w:color w:val="000000"/>
                <w:sz w:val="16"/>
                <w:szCs w:val="16"/>
                <w:lang w:eastAsia="en-US"/>
              </w:rPr>
              <w:t xml:space="preserve"> with available genetic data</w:t>
            </w:r>
          </w:p>
        </w:tc>
      </w:tr>
      <w:tr w:rsidR="0049448B" w:rsidRPr="0049448B" w14:paraId="6F3630AA" w14:textId="77777777" w:rsidTr="0049448B">
        <w:trPr>
          <w:trHeight w:val="260"/>
        </w:trPr>
        <w:tc>
          <w:tcPr>
            <w:tcW w:w="1794" w:type="pct"/>
            <w:tcBorders>
              <w:top w:val="nil"/>
              <w:left w:val="nil"/>
              <w:bottom w:val="nil"/>
              <w:right w:val="nil"/>
            </w:tcBorders>
            <w:shd w:val="clear" w:color="auto" w:fill="auto"/>
            <w:noWrap/>
            <w:vAlign w:val="bottom"/>
            <w:hideMark/>
          </w:tcPr>
          <w:p w14:paraId="01EF04A3" w14:textId="77777777" w:rsidR="0049448B" w:rsidRPr="0049448B" w:rsidRDefault="0049448B" w:rsidP="0049448B">
            <w:pPr>
              <w:rPr>
                <w:rFonts w:eastAsia="Times New Roman" w:cs="Arial"/>
                <w:b/>
                <w:bCs/>
                <w:color w:val="000000"/>
                <w:sz w:val="16"/>
                <w:szCs w:val="16"/>
                <w:lang w:eastAsia="en-US"/>
              </w:rPr>
            </w:pPr>
          </w:p>
        </w:tc>
        <w:tc>
          <w:tcPr>
            <w:tcW w:w="3206" w:type="pct"/>
            <w:gridSpan w:val="5"/>
            <w:tcBorders>
              <w:top w:val="single" w:sz="8" w:space="0" w:color="auto"/>
              <w:left w:val="nil"/>
              <w:bottom w:val="single" w:sz="4" w:space="0" w:color="auto"/>
              <w:right w:val="nil"/>
            </w:tcBorders>
            <w:shd w:val="clear" w:color="auto" w:fill="auto"/>
            <w:noWrap/>
            <w:vAlign w:val="bottom"/>
            <w:hideMark/>
          </w:tcPr>
          <w:p w14:paraId="499188B4" w14:textId="77777777" w:rsidR="0049448B" w:rsidRPr="0049448B" w:rsidRDefault="0049448B" w:rsidP="0049448B">
            <w:pPr>
              <w:jc w:val="center"/>
              <w:rPr>
                <w:rFonts w:eastAsia="Times New Roman" w:cs="Arial"/>
                <w:color w:val="000000"/>
                <w:sz w:val="16"/>
                <w:szCs w:val="16"/>
                <w:lang w:eastAsia="en-US"/>
              </w:rPr>
            </w:pPr>
            <w:r w:rsidRPr="0049448B">
              <w:rPr>
                <w:rFonts w:eastAsia="Times New Roman" w:cs="Arial"/>
                <w:color w:val="000000"/>
                <w:sz w:val="16"/>
                <w:szCs w:val="16"/>
                <w:lang w:eastAsia="en-US"/>
              </w:rPr>
              <w:t>All studies</w:t>
            </w:r>
          </w:p>
        </w:tc>
      </w:tr>
      <w:tr w:rsidR="0049448B" w:rsidRPr="0049448B" w14:paraId="086A6F96" w14:textId="77777777" w:rsidTr="0049448B">
        <w:trPr>
          <w:trHeight w:val="480"/>
        </w:trPr>
        <w:tc>
          <w:tcPr>
            <w:tcW w:w="1794" w:type="pct"/>
            <w:tcBorders>
              <w:top w:val="nil"/>
              <w:left w:val="nil"/>
              <w:bottom w:val="nil"/>
              <w:right w:val="nil"/>
            </w:tcBorders>
            <w:shd w:val="clear" w:color="auto" w:fill="auto"/>
            <w:noWrap/>
            <w:vAlign w:val="bottom"/>
            <w:hideMark/>
          </w:tcPr>
          <w:p w14:paraId="0CF5E159" w14:textId="77777777" w:rsidR="0049448B" w:rsidRPr="0049448B" w:rsidRDefault="0049448B" w:rsidP="0049448B">
            <w:pPr>
              <w:jc w:val="center"/>
              <w:rPr>
                <w:rFonts w:eastAsia="Times New Roman" w:cs="Arial"/>
                <w:color w:val="000000"/>
                <w:sz w:val="16"/>
                <w:szCs w:val="16"/>
                <w:lang w:eastAsia="en-US"/>
              </w:rPr>
            </w:pPr>
          </w:p>
        </w:tc>
        <w:tc>
          <w:tcPr>
            <w:tcW w:w="744" w:type="pct"/>
            <w:tcBorders>
              <w:top w:val="nil"/>
              <w:left w:val="nil"/>
              <w:bottom w:val="nil"/>
              <w:right w:val="nil"/>
            </w:tcBorders>
            <w:shd w:val="clear" w:color="auto" w:fill="auto"/>
            <w:vAlign w:val="bottom"/>
            <w:hideMark/>
          </w:tcPr>
          <w:p w14:paraId="4FD2C2E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IM Negative Controls</w:t>
            </w:r>
          </w:p>
        </w:tc>
        <w:tc>
          <w:tcPr>
            <w:tcW w:w="744" w:type="pct"/>
            <w:tcBorders>
              <w:top w:val="nil"/>
              <w:left w:val="nil"/>
              <w:bottom w:val="nil"/>
              <w:right w:val="nil"/>
            </w:tcBorders>
            <w:shd w:val="clear" w:color="auto" w:fill="auto"/>
            <w:vAlign w:val="bottom"/>
            <w:hideMark/>
          </w:tcPr>
          <w:p w14:paraId="638C4B9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IM Positive Controls</w:t>
            </w:r>
          </w:p>
        </w:tc>
        <w:tc>
          <w:tcPr>
            <w:tcW w:w="393" w:type="pct"/>
            <w:tcBorders>
              <w:top w:val="nil"/>
              <w:left w:val="nil"/>
              <w:bottom w:val="nil"/>
              <w:right w:val="nil"/>
            </w:tcBorders>
            <w:shd w:val="clear" w:color="auto" w:fill="auto"/>
            <w:noWrap/>
            <w:vAlign w:val="bottom"/>
            <w:hideMark/>
          </w:tcPr>
          <w:p w14:paraId="183CF617" w14:textId="77777777" w:rsidR="0049448B" w:rsidRPr="0049448B" w:rsidRDefault="0049448B" w:rsidP="0049448B">
            <w:pPr>
              <w:jc w:val="right"/>
              <w:rPr>
                <w:rFonts w:eastAsia="Times New Roman" w:cs="Arial"/>
                <w:color w:val="000000"/>
                <w:sz w:val="16"/>
                <w:szCs w:val="16"/>
                <w:lang w:eastAsia="en-US"/>
              </w:rPr>
            </w:pPr>
          </w:p>
        </w:tc>
        <w:tc>
          <w:tcPr>
            <w:tcW w:w="741" w:type="pct"/>
            <w:tcBorders>
              <w:top w:val="nil"/>
              <w:left w:val="nil"/>
              <w:bottom w:val="nil"/>
              <w:right w:val="nil"/>
            </w:tcBorders>
            <w:shd w:val="clear" w:color="auto" w:fill="auto"/>
            <w:noWrap/>
            <w:vAlign w:val="bottom"/>
            <w:hideMark/>
          </w:tcPr>
          <w:p w14:paraId="75B98B19" w14:textId="77777777" w:rsidR="0049448B" w:rsidRPr="0049448B" w:rsidRDefault="0049448B" w:rsidP="0049448B">
            <w:pPr>
              <w:jc w:val="center"/>
              <w:rPr>
                <w:rFonts w:ascii="Times New Roman" w:eastAsia="Times New Roman" w:hAnsi="Times New Roman" w:cs="Times New Roman"/>
                <w:sz w:val="20"/>
                <w:szCs w:val="20"/>
                <w:lang w:eastAsia="en-US"/>
              </w:rPr>
            </w:pPr>
          </w:p>
        </w:tc>
        <w:tc>
          <w:tcPr>
            <w:tcW w:w="585" w:type="pct"/>
            <w:tcBorders>
              <w:top w:val="nil"/>
              <w:left w:val="nil"/>
              <w:bottom w:val="nil"/>
              <w:right w:val="nil"/>
            </w:tcBorders>
            <w:shd w:val="clear" w:color="auto" w:fill="auto"/>
            <w:noWrap/>
            <w:vAlign w:val="bottom"/>
            <w:hideMark/>
          </w:tcPr>
          <w:p w14:paraId="6A1A2781" w14:textId="77777777" w:rsidR="0049448B" w:rsidRPr="0049448B" w:rsidRDefault="0049448B" w:rsidP="0049448B">
            <w:pPr>
              <w:jc w:val="center"/>
              <w:rPr>
                <w:rFonts w:ascii="Times New Roman" w:eastAsia="Times New Roman" w:hAnsi="Times New Roman" w:cs="Times New Roman"/>
                <w:sz w:val="20"/>
                <w:szCs w:val="20"/>
                <w:lang w:eastAsia="en-US"/>
              </w:rPr>
            </w:pPr>
          </w:p>
        </w:tc>
      </w:tr>
      <w:tr w:rsidR="0049448B" w:rsidRPr="0049448B" w14:paraId="2EDA2A3D" w14:textId="77777777" w:rsidTr="0049448B">
        <w:trPr>
          <w:trHeight w:val="220"/>
        </w:trPr>
        <w:tc>
          <w:tcPr>
            <w:tcW w:w="1794" w:type="pct"/>
            <w:tcBorders>
              <w:top w:val="nil"/>
              <w:left w:val="nil"/>
              <w:bottom w:val="nil"/>
              <w:right w:val="nil"/>
            </w:tcBorders>
            <w:shd w:val="clear" w:color="auto" w:fill="auto"/>
            <w:noWrap/>
            <w:vAlign w:val="bottom"/>
            <w:hideMark/>
          </w:tcPr>
          <w:p w14:paraId="76477A4C" w14:textId="77777777" w:rsidR="0049448B" w:rsidRPr="0049448B" w:rsidRDefault="0049448B" w:rsidP="0049448B">
            <w:pPr>
              <w:jc w:val="center"/>
              <w:rPr>
                <w:rFonts w:ascii="Times New Roman" w:eastAsia="Times New Roman" w:hAnsi="Times New Roman" w:cs="Times New Roman"/>
                <w:sz w:val="20"/>
                <w:szCs w:val="20"/>
                <w:lang w:eastAsia="en-US"/>
              </w:rPr>
            </w:pPr>
          </w:p>
        </w:tc>
        <w:tc>
          <w:tcPr>
            <w:tcW w:w="744" w:type="pct"/>
            <w:tcBorders>
              <w:top w:val="nil"/>
              <w:left w:val="nil"/>
              <w:bottom w:val="single" w:sz="4" w:space="0" w:color="auto"/>
              <w:right w:val="nil"/>
            </w:tcBorders>
            <w:shd w:val="clear" w:color="auto" w:fill="auto"/>
            <w:noWrap/>
            <w:vAlign w:val="bottom"/>
            <w:hideMark/>
          </w:tcPr>
          <w:p w14:paraId="2F2BA74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N</w:t>
            </w:r>
          </w:p>
        </w:tc>
        <w:tc>
          <w:tcPr>
            <w:tcW w:w="744" w:type="pct"/>
            <w:tcBorders>
              <w:top w:val="nil"/>
              <w:left w:val="nil"/>
              <w:bottom w:val="single" w:sz="4" w:space="0" w:color="auto"/>
              <w:right w:val="nil"/>
            </w:tcBorders>
            <w:shd w:val="clear" w:color="auto" w:fill="auto"/>
            <w:noWrap/>
            <w:vAlign w:val="bottom"/>
            <w:hideMark/>
          </w:tcPr>
          <w:p w14:paraId="38BD176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N</w:t>
            </w:r>
          </w:p>
        </w:tc>
        <w:tc>
          <w:tcPr>
            <w:tcW w:w="393" w:type="pct"/>
            <w:tcBorders>
              <w:top w:val="nil"/>
              <w:left w:val="nil"/>
              <w:bottom w:val="single" w:sz="4" w:space="0" w:color="auto"/>
              <w:right w:val="nil"/>
            </w:tcBorders>
            <w:shd w:val="clear" w:color="auto" w:fill="auto"/>
            <w:noWrap/>
            <w:vAlign w:val="bottom"/>
            <w:hideMark/>
          </w:tcPr>
          <w:p w14:paraId="49377E4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 xml:space="preserve">OR </w:t>
            </w:r>
            <w:r w:rsidRPr="0049448B">
              <w:rPr>
                <w:rFonts w:eastAsia="Times New Roman" w:cs="Arial"/>
                <w:color w:val="000000"/>
                <w:sz w:val="16"/>
                <w:szCs w:val="16"/>
                <w:vertAlign w:val="superscript"/>
                <w:lang w:eastAsia="en-US"/>
              </w:rPr>
              <w:t>a</w:t>
            </w:r>
          </w:p>
        </w:tc>
        <w:tc>
          <w:tcPr>
            <w:tcW w:w="741" w:type="pct"/>
            <w:tcBorders>
              <w:top w:val="nil"/>
              <w:left w:val="nil"/>
              <w:bottom w:val="single" w:sz="4" w:space="0" w:color="auto"/>
              <w:right w:val="nil"/>
            </w:tcBorders>
            <w:shd w:val="clear" w:color="auto" w:fill="auto"/>
            <w:noWrap/>
            <w:vAlign w:val="bottom"/>
            <w:hideMark/>
          </w:tcPr>
          <w:p w14:paraId="70F3EB3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95% CI</w:t>
            </w:r>
          </w:p>
        </w:tc>
        <w:tc>
          <w:tcPr>
            <w:tcW w:w="585" w:type="pct"/>
            <w:tcBorders>
              <w:top w:val="nil"/>
              <w:left w:val="nil"/>
              <w:bottom w:val="single" w:sz="4" w:space="0" w:color="auto"/>
              <w:right w:val="nil"/>
            </w:tcBorders>
            <w:shd w:val="clear" w:color="auto" w:fill="auto"/>
            <w:noWrap/>
            <w:vAlign w:val="bottom"/>
            <w:hideMark/>
          </w:tcPr>
          <w:p w14:paraId="5893882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 xml:space="preserve">p-value </w:t>
            </w:r>
            <w:r w:rsidRPr="0049448B">
              <w:rPr>
                <w:rFonts w:eastAsia="Times New Roman" w:cs="Arial"/>
                <w:color w:val="000000"/>
                <w:sz w:val="16"/>
                <w:szCs w:val="16"/>
                <w:vertAlign w:val="superscript"/>
                <w:lang w:eastAsia="en-US"/>
              </w:rPr>
              <w:t>b</w:t>
            </w:r>
          </w:p>
        </w:tc>
      </w:tr>
      <w:tr w:rsidR="0049448B" w:rsidRPr="0049448B" w14:paraId="528291E3" w14:textId="77777777" w:rsidTr="0049448B">
        <w:trPr>
          <w:trHeight w:val="220"/>
        </w:trPr>
        <w:tc>
          <w:tcPr>
            <w:tcW w:w="1794" w:type="pct"/>
            <w:tcBorders>
              <w:top w:val="nil"/>
              <w:left w:val="nil"/>
              <w:bottom w:val="nil"/>
              <w:right w:val="nil"/>
            </w:tcBorders>
            <w:shd w:val="clear" w:color="auto" w:fill="auto"/>
            <w:noWrap/>
            <w:vAlign w:val="bottom"/>
            <w:hideMark/>
          </w:tcPr>
          <w:p w14:paraId="02932E3F"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IL1A-889C&gt;T (rs1800587)</w:t>
            </w:r>
          </w:p>
        </w:tc>
        <w:tc>
          <w:tcPr>
            <w:tcW w:w="744" w:type="pct"/>
            <w:tcBorders>
              <w:top w:val="nil"/>
              <w:left w:val="nil"/>
              <w:bottom w:val="nil"/>
              <w:right w:val="nil"/>
            </w:tcBorders>
            <w:shd w:val="clear" w:color="auto" w:fill="auto"/>
            <w:noWrap/>
            <w:vAlign w:val="bottom"/>
            <w:hideMark/>
          </w:tcPr>
          <w:p w14:paraId="6361D05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2,168</w:t>
            </w:r>
          </w:p>
        </w:tc>
        <w:tc>
          <w:tcPr>
            <w:tcW w:w="744" w:type="pct"/>
            <w:tcBorders>
              <w:top w:val="nil"/>
              <w:left w:val="nil"/>
              <w:bottom w:val="nil"/>
              <w:right w:val="nil"/>
            </w:tcBorders>
            <w:shd w:val="clear" w:color="auto" w:fill="auto"/>
            <w:noWrap/>
            <w:vAlign w:val="bottom"/>
            <w:hideMark/>
          </w:tcPr>
          <w:p w14:paraId="3A81C4C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149</w:t>
            </w:r>
          </w:p>
        </w:tc>
        <w:tc>
          <w:tcPr>
            <w:tcW w:w="393" w:type="pct"/>
            <w:tcBorders>
              <w:top w:val="nil"/>
              <w:left w:val="nil"/>
              <w:bottom w:val="nil"/>
              <w:right w:val="nil"/>
            </w:tcBorders>
            <w:shd w:val="clear" w:color="auto" w:fill="auto"/>
            <w:noWrap/>
            <w:vAlign w:val="bottom"/>
            <w:hideMark/>
          </w:tcPr>
          <w:p w14:paraId="1F67528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0.72</w:t>
            </w:r>
          </w:p>
        </w:tc>
        <w:tc>
          <w:tcPr>
            <w:tcW w:w="741" w:type="pct"/>
            <w:tcBorders>
              <w:top w:val="nil"/>
              <w:left w:val="nil"/>
              <w:bottom w:val="nil"/>
              <w:right w:val="nil"/>
            </w:tcBorders>
            <w:shd w:val="clear" w:color="auto" w:fill="auto"/>
            <w:noWrap/>
            <w:vAlign w:val="bottom"/>
            <w:hideMark/>
          </w:tcPr>
          <w:p w14:paraId="59D6A48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[0.51, 1.02]</w:t>
            </w:r>
          </w:p>
        </w:tc>
        <w:tc>
          <w:tcPr>
            <w:tcW w:w="585" w:type="pct"/>
            <w:tcBorders>
              <w:top w:val="nil"/>
              <w:left w:val="nil"/>
              <w:bottom w:val="nil"/>
              <w:right w:val="nil"/>
            </w:tcBorders>
            <w:shd w:val="clear" w:color="auto" w:fill="auto"/>
            <w:noWrap/>
            <w:vAlign w:val="bottom"/>
            <w:hideMark/>
          </w:tcPr>
          <w:p w14:paraId="1A73409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0.07</w:t>
            </w:r>
          </w:p>
        </w:tc>
      </w:tr>
      <w:tr w:rsidR="0049448B" w:rsidRPr="0049448B" w14:paraId="20AE3E88" w14:textId="77777777" w:rsidTr="0049448B">
        <w:trPr>
          <w:trHeight w:val="220"/>
        </w:trPr>
        <w:tc>
          <w:tcPr>
            <w:tcW w:w="1794" w:type="pct"/>
            <w:tcBorders>
              <w:top w:val="nil"/>
              <w:left w:val="nil"/>
              <w:bottom w:val="nil"/>
              <w:right w:val="nil"/>
            </w:tcBorders>
            <w:shd w:val="clear" w:color="auto" w:fill="auto"/>
            <w:noWrap/>
            <w:vAlign w:val="bottom"/>
            <w:hideMark/>
          </w:tcPr>
          <w:p w14:paraId="76239CE9"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IL1B-511C&gt;T (rs16944)</w:t>
            </w:r>
          </w:p>
        </w:tc>
        <w:tc>
          <w:tcPr>
            <w:tcW w:w="744" w:type="pct"/>
            <w:tcBorders>
              <w:top w:val="nil"/>
              <w:left w:val="nil"/>
              <w:bottom w:val="nil"/>
              <w:right w:val="nil"/>
            </w:tcBorders>
            <w:shd w:val="clear" w:color="auto" w:fill="auto"/>
            <w:noWrap/>
            <w:vAlign w:val="bottom"/>
            <w:hideMark/>
          </w:tcPr>
          <w:p w14:paraId="4F47829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1,213</w:t>
            </w:r>
          </w:p>
        </w:tc>
        <w:tc>
          <w:tcPr>
            <w:tcW w:w="744" w:type="pct"/>
            <w:tcBorders>
              <w:top w:val="nil"/>
              <w:left w:val="nil"/>
              <w:bottom w:val="nil"/>
              <w:right w:val="nil"/>
            </w:tcBorders>
            <w:shd w:val="clear" w:color="auto" w:fill="auto"/>
            <w:noWrap/>
            <w:vAlign w:val="bottom"/>
            <w:hideMark/>
          </w:tcPr>
          <w:p w14:paraId="056AB78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67</w:t>
            </w:r>
          </w:p>
        </w:tc>
        <w:tc>
          <w:tcPr>
            <w:tcW w:w="393" w:type="pct"/>
            <w:tcBorders>
              <w:top w:val="nil"/>
              <w:left w:val="nil"/>
              <w:bottom w:val="nil"/>
              <w:right w:val="nil"/>
            </w:tcBorders>
            <w:shd w:val="clear" w:color="auto" w:fill="auto"/>
            <w:noWrap/>
            <w:vAlign w:val="bottom"/>
            <w:hideMark/>
          </w:tcPr>
          <w:p w14:paraId="6A0E63A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0.76</w:t>
            </w:r>
          </w:p>
        </w:tc>
        <w:tc>
          <w:tcPr>
            <w:tcW w:w="741" w:type="pct"/>
            <w:tcBorders>
              <w:top w:val="nil"/>
              <w:left w:val="nil"/>
              <w:bottom w:val="nil"/>
              <w:right w:val="nil"/>
            </w:tcBorders>
            <w:shd w:val="clear" w:color="auto" w:fill="auto"/>
            <w:noWrap/>
            <w:vAlign w:val="bottom"/>
            <w:hideMark/>
          </w:tcPr>
          <w:p w14:paraId="451188F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[0.46, 1.27]</w:t>
            </w:r>
          </w:p>
        </w:tc>
        <w:tc>
          <w:tcPr>
            <w:tcW w:w="585" w:type="pct"/>
            <w:tcBorders>
              <w:top w:val="nil"/>
              <w:left w:val="nil"/>
              <w:bottom w:val="nil"/>
              <w:right w:val="nil"/>
            </w:tcBorders>
            <w:shd w:val="clear" w:color="auto" w:fill="auto"/>
            <w:noWrap/>
            <w:vAlign w:val="bottom"/>
            <w:hideMark/>
          </w:tcPr>
          <w:p w14:paraId="4CC0EF6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0.30</w:t>
            </w:r>
          </w:p>
        </w:tc>
      </w:tr>
      <w:tr w:rsidR="0049448B" w:rsidRPr="0049448B" w14:paraId="141DC5A1" w14:textId="77777777" w:rsidTr="0049448B">
        <w:trPr>
          <w:trHeight w:val="220"/>
        </w:trPr>
        <w:tc>
          <w:tcPr>
            <w:tcW w:w="1794" w:type="pct"/>
            <w:tcBorders>
              <w:top w:val="nil"/>
              <w:left w:val="nil"/>
              <w:bottom w:val="nil"/>
              <w:right w:val="nil"/>
            </w:tcBorders>
            <w:shd w:val="clear" w:color="auto" w:fill="auto"/>
            <w:noWrap/>
            <w:vAlign w:val="bottom"/>
            <w:hideMark/>
          </w:tcPr>
          <w:p w14:paraId="57A1ACA4" w14:textId="6C25123E"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IL1B-</w:t>
            </w:r>
            <w:r w:rsidR="00651E47">
              <w:rPr>
                <w:rFonts w:eastAsia="Times New Roman" w:cs="Arial"/>
                <w:color w:val="000000"/>
                <w:sz w:val="16"/>
                <w:szCs w:val="16"/>
                <w:lang w:eastAsia="en-US"/>
              </w:rPr>
              <w:t>31T&gt;C</w:t>
            </w:r>
            <w:r w:rsidRPr="0049448B">
              <w:rPr>
                <w:rFonts w:eastAsia="Times New Roman" w:cs="Arial"/>
                <w:color w:val="000000"/>
                <w:sz w:val="16"/>
                <w:szCs w:val="16"/>
                <w:lang w:eastAsia="en-US"/>
              </w:rPr>
              <w:t xml:space="preserve"> (rs1143627)</w:t>
            </w:r>
          </w:p>
        </w:tc>
        <w:tc>
          <w:tcPr>
            <w:tcW w:w="744" w:type="pct"/>
            <w:tcBorders>
              <w:top w:val="nil"/>
              <w:left w:val="nil"/>
              <w:bottom w:val="nil"/>
              <w:right w:val="nil"/>
            </w:tcBorders>
            <w:shd w:val="clear" w:color="auto" w:fill="auto"/>
            <w:noWrap/>
            <w:vAlign w:val="bottom"/>
            <w:hideMark/>
          </w:tcPr>
          <w:p w14:paraId="7068E31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3,533</w:t>
            </w:r>
          </w:p>
        </w:tc>
        <w:tc>
          <w:tcPr>
            <w:tcW w:w="744" w:type="pct"/>
            <w:tcBorders>
              <w:top w:val="nil"/>
              <w:left w:val="nil"/>
              <w:bottom w:val="nil"/>
              <w:right w:val="nil"/>
            </w:tcBorders>
            <w:shd w:val="clear" w:color="auto" w:fill="auto"/>
            <w:noWrap/>
            <w:vAlign w:val="bottom"/>
            <w:hideMark/>
          </w:tcPr>
          <w:p w14:paraId="02DE0A6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182</w:t>
            </w:r>
          </w:p>
        </w:tc>
        <w:tc>
          <w:tcPr>
            <w:tcW w:w="393" w:type="pct"/>
            <w:tcBorders>
              <w:top w:val="nil"/>
              <w:left w:val="nil"/>
              <w:bottom w:val="nil"/>
              <w:right w:val="nil"/>
            </w:tcBorders>
            <w:shd w:val="clear" w:color="auto" w:fill="auto"/>
            <w:noWrap/>
            <w:vAlign w:val="bottom"/>
            <w:hideMark/>
          </w:tcPr>
          <w:p w14:paraId="1B42123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1.03</w:t>
            </w:r>
          </w:p>
        </w:tc>
        <w:tc>
          <w:tcPr>
            <w:tcW w:w="741" w:type="pct"/>
            <w:tcBorders>
              <w:top w:val="nil"/>
              <w:left w:val="nil"/>
              <w:bottom w:val="nil"/>
              <w:right w:val="nil"/>
            </w:tcBorders>
            <w:shd w:val="clear" w:color="auto" w:fill="auto"/>
            <w:noWrap/>
            <w:vAlign w:val="bottom"/>
            <w:hideMark/>
          </w:tcPr>
          <w:p w14:paraId="50C1D16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[0.75, 1.40]</w:t>
            </w:r>
          </w:p>
        </w:tc>
        <w:tc>
          <w:tcPr>
            <w:tcW w:w="585" w:type="pct"/>
            <w:tcBorders>
              <w:top w:val="nil"/>
              <w:left w:val="nil"/>
              <w:bottom w:val="nil"/>
              <w:right w:val="nil"/>
            </w:tcBorders>
            <w:shd w:val="clear" w:color="auto" w:fill="auto"/>
            <w:noWrap/>
            <w:vAlign w:val="bottom"/>
            <w:hideMark/>
          </w:tcPr>
          <w:p w14:paraId="368B2BD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0.86</w:t>
            </w:r>
          </w:p>
        </w:tc>
      </w:tr>
      <w:tr w:rsidR="0049448B" w:rsidRPr="0049448B" w14:paraId="51E68DC6" w14:textId="77777777" w:rsidTr="0049448B">
        <w:trPr>
          <w:trHeight w:val="220"/>
        </w:trPr>
        <w:tc>
          <w:tcPr>
            <w:tcW w:w="1794" w:type="pct"/>
            <w:tcBorders>
              <w:top w:val="nil"/>
              <w:left w:val="nil"/>
              <w:bottom w:val="nil"/>
              <w:right w:val="nil"/>
            </w:tcBorders>
            <w:shd w:val="clear" w:color="auto" w:fill="auto"/>
            <w:noWrap/>
            <w:vAlign w:val="bottom"/>
            <w:hideMark/>
          </w:tcPr>
          <w:p w14:paraId="553361E4"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IL1RN-9589A&gt;T (rs454078)</w:t>
            </w:r>
          </w:p>
        </w:tc>
        <w:tc>
          <w:tcPr>
            <w:tcW w:w="744" w:type="pct"/>
            <w:tcBorders>
              <w:top w:val="nil"/>
              <w:left w:val="nil"/>
              <w:bottom w:val="nil"/>
              <w:right w:val="nil"/>
            </w:tcBorders>
            <w:shd w:val="clear" w:color="auto" w:fill="auto"/>
            <w:noWrap/>
            <w:vAlign w:val="bottom"/>
            <w:hideMark/>
          </w:tcPr>
          <w:p w14:paraId="2F3F4EB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2,169</w:t>
            </w:r>
          </w:p>
        </w:tc>
        <w:tc>
          <w:tcPr>
            <w:tcW w:w="744" w:type="pct"/>
            <w:tcBorders>
              <w:top w:val="nil"/>
              <w:left w:val="nil"/>
              <w:bottom w:val="nil"/>
              <w:right w:val="nil"/>
            </w:tcBorders>
            <w:shd w:val="clear" w:color="auto" w:fill="auto"/>
            <w:noWrap/>
            <w:vAlign w:val="bottom"/>
            <w:hideMark/>
          </w:tcPr>
          <w:p w14:paraId="2ABB384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150</w:t>
            </w:r>
          </w:p>
        </w:tc>
        <w:tc>
          <w:tcPr>
            <w:tcW w:w="393" w:type="pct"/>
            <w:tcBorders>
              <w:top w:val="nil"/>
              <w:left w:val="nil"/>
              <w:bottom w:val="nil"/>
              <w:right w:val="nil"/>
            </w:tcBorders>
            <w:shd w:val="clear" w:color="auto" w:fill="auto"/>
            <w:noWrap/>
            <w:vAlign w:val="bottom"/>
            <w:hideMark/>
          </w:tcPr>
          <w:p w14:paraId="6B6B541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0.76</w:t>
            </w:r>
          </w:p>
        </w:tc>
        <w:tc>
          <w:tcPr>
            <w:tcW w:w="741" w:type="pct"/>
            <w:tcBorders>
              <w:top w:val="nil"/>
              <w:left w:val="nil"/>
              <w:bottom w:val="nil"/>
              <w:right w:val="nil"/>
            </w:tcBorders>
            <w:shd w:val="clear" w:color="auto" w:fill="auto"/>
            <w:noWrap/>
            <w:vAlign w:val="bottom"/>
            <w:hideMark/>
          </w:tcPr>
          <w:p w14:paraId="0F869F3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[0.53, 1.08]</w:t>
            </w:r>
          </w:p>
        </w:tc>
        <w:tc>
          <w:tcPr>
            <w:tcW w:w="585" w:type="pct"/>
            <w:tcBorders>
              <w:top w:val="nil"/>
              <w:left w:val="nil"/>
              <w:bottom w:val="nil"/>
              <w:right w:val="nil"/>
            </w:tcBorders>
            <w:shd w:val="clear" w:color="auto" w:fill="auto"/>
            <w:noWrap/>
            <w:vAlign w:val="bottom"/>
            <w:hideMark/>
          </w:tcPr>
          <w:p w14:paraId="3A971AA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0.13</w:t>
            </w:r>
          </w:p>
        </w:tc>
      </w:tr>
      <w:tr w:rsidR="0049448B" w:rsidRPr="0049448B" w14:paraId="642B5AAD" w14:textId="77777777" w:rsidTr="0049448B">
        <w:trPr>
          <w:trHeight w:val="220"/>
        </w:trPr>
        <w:tc>
          <w:tcPr>
            <w:tcW w:w="1794" w:type="pct"/>
            <w:tcBorders>
              <w:top w:val="nil"/>
              <w:left w:val="nil"/>
              <w:bottom w:val="nil"/>
              <w:right w:val="nil"/>
            </w:tcBorders>
            <w:shd w:val="clear" w:color="auto" w:fill="auto"/>
            <w:noWrap/>
            <w:vAlign w:val="bottom"/>
            <w:hideMark/>
          </w:tcPr>
          <w:p w14:paraId="14D9D09B"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IL2–384T&gt;G (rs2069762)</w:t>
            </w:r>
          </w:p>
        </w:tc>
        <w:tc>
          <w:tcPr>
            <w:tcW w:w="744" w:type="pct"/>
            <w:tcBorders>
              <w:top w:val="nil"/>
              <w:left w:val="nil"/>
              <w:bottom w:val="nil"/>
              <w:right w:val="nil"/>
            </w:tcBorders>
            <w:shd w:val="clear" w:color="auto" w:fill="auto"/>
            <w:noWrap/>
            <w:vAlign w:val="bottom"/>
            <w:hideMark/>
          </w:tcPr>
          <w:p w14:paraId="03247E7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2,173</w:t>
            </w:r>
          </w:p>
        </w:tc>
        <w:tc>
          <w:tcPr>
            <w:tcW w:w="744" w:type="pct"/>
            <w:tcBorders>
              <w:top w:val="nil"/>
              <w:left w:val="nil"/>
              <w:bottom w:val="nil"/>
              <w:right w:val="nil"/>
            </w:tcBorders>
            <w:shd w:val="clear" w:color="auto" w:fill="auto"/>
            <w:noWrap/>
            <w:vAlign w:val="bottom"/>
            <w:hideMark/>
          </w:tcPr>
          <w:p w14:paraId="2A14388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147</w:t>
            </w:r>
          </w:p>
        </w:tc>
        <w:tc>
          <w:tcPr>
            <w:tcW w:w="393" w:type="pct"/>
            <w:tcBorders>
              <w:top w:val="nil"/>
              <w:left w:val="nil"/>
              <w:bottom w:val="nil"/>
              <w:right w:val="nil"/>
            </w:tcBorders>
            <w:shd w:val="clear" w:color="auto" w:fill="auto"/>
            <w:noWrap/>
            <w:vAlign w:val="bottom"/>
            <w:hideMark/>
          </w:tcPr>
          <w:p w14:paraId="64C96DB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1.25</w:t>
            </w:r>
          </w:p>
        </w:tc>
        <w:tc>
          <w:tcPr>
            <w:tcW w:w="741" w:type="pct"/>
            <w:tcBorders>
              <w:top w:val="nil"/>
              <w:left w:val="nil"/>
              <w:bottom w:val="nil"/>
              <w:right w:val="nil"/>
            </w:tcBorders>
            <w:shd w:val="clear" w:color="auto" w:fill="auto"/>
            <w:noWrap/>
            <w:vAlign w:val="bottom"/>
            <w:hideMark/>
          </w:tcPr>
          <w:p w14:paraId="1E82A15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[0.88, 1.76]</w:t>
            </w:r>
          </w:p>
        </w:tc>
        <w:tc>
          <w:tcPr>
            <w:tcW w:w="585" w:type="pct"/>
            <w:tcBorders>
              <w:top w:val="nil"/>
              <w:left w:val="nil"/>
              <w:bottom w:val="nil"/>
              <w:right w:val="nil"/>
            </w:tcBorders>
            <w:shd w:val="clear" w:color="auto" w:fill="auto"/>
            <w:noWrap/>
            <w:vAlign w:val="bottom"/>
            <w:hideMark/>
          </w:tcPr>
          <w:p w14:paraId="1474E96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0.22</w:t>
            </w:r>
          </w:p>
        </w:tc>
      </w:tr>
      <w:tr w:rsidR="0049448B" w:rsidRPr="0049448B" w14:paraId="26235655" w14:textId="77777777" w:rsidTr="0049448B">
        <w:trPr>
          <w:trHeight w:val="220"/>
        </w:trPr>
        <w:tc>
          <w:tcPr>
            <w:tcW w:w="1794" w:type="pct"/>
            <w:tcBorders>
              <w:top w:val="nil"/>
              <w:left w:val="nil"/>
              <w:bottom w:val="nil"/>
              <w:right w:val="nil"/>
            </w:tcBorders>
            <w:shd w:val="clear" w:color="auto" w:fill="auto"/>
            <w:noWrap/>
            <w:vAlign w:val="bottom"/>
            <w:hideMark/>
          </w:tcPr>
          <w:p w14:paraId="6E429083"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IL6-174G&gt;C (rs1800795)</w:t>
            </w:r>
          </w:p>
        </w:tc>
        <w:tc>
          <w:tcPr>
            <w:tcW w:w="744" w:type="pct"/>
            <w:tcBorders>
              <w:top w:val="nil"/>
              <w:left w:val="nil"/>
              <w:bottom w:val="nil"/>
              <w:right w:val="nil"/>
            </w:tcBorders>
            <w:shd w:val="clear" w:color="auto" w:fill="auto"/>
            <w:noWrap/>
            <w:vAlign w:val="bottom"/>
            <w:hideMark/>
          </w:tcPr>
          <w:p w14:paraId="0AAEE07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2,195</w:t>
            </w:r>
          </w:p>
        </w:tc>
        <w:tc>
          <w:tcPr>
            <w:tcW w:w="744" w:type="pct"/>
            <w:tcBorders>
              <w:top w:val="nil"/>
              <w:left w:val="nil"/>
              <w:bottom w:val="nil"/>
              <w:right w:val="nil"/>
            </w:tcBorders>
            <w:shd w:val="clear" w:color="auto" w:fill="auto"/>
            <w:noWrap/>
            <w:vAlign w:val="bottom"/>
            <w:hideMark/>
          </w:tcPr>
          <w:p w14:paraId="71E6C84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152</w:t>
            </w:r>
          </w:p>
        </w:tc>
        <w:tc>
          <w:tcPr>
            <w:tcW w:w="393" w:type="pct"/>
            <w:tcBorders>
              <w:top w:val="nil"/>
              <w:left w:val="nil"/>
              <w:bottom w:val="nil"/>
              <w:right w:val="nil"/>
            </w:tcBorders>
            <w:shd w:val="clear" w:color="auto" w:fill="auto"/>
            <w:noWrap/>
            <w:vAlign w:val="bottom"/>
            <w:hideMark/>
          </w:tcPr>
          <w:p w14:paraId="3D9EB78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0.94</w:t>
            </w:r>
          </w:p>
        </w:tc>
        <w:tc>
          <w:tcPr>
            <w:tcW w:w="741" w:type="pct"/>
            <w:tcBorders>
              <w:top w:val="nil"/>
              <w:left w:val="nil"/>
              <w:bottom w:val="nil"/>
              <w:right w:val="nil"/>
            </w:tcBorders>
            <w:shd w:val="clear" w:color="auto" w:fill="auto"/>
            <w:noWrap/>
            <w:vAlign w:val="bottom"/>
            <w:hideMark/>
          </w:tcPr>
          <w:p w14:paraId="0CF32DE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[0.66, 1.34]</w:t>
            </w:r>
          </w:p>
        </w:tc>
        <w:tc>
          <w:tcPr>
            <w:tcW w:w="585" w:type="pct"/>
            <w:tcBorders>
              <w:top w:val="nil"/>
              <w:left w:val="nil"/>
              <w:bottom w:val="nil"/>
              <w:right w:val="nil"/>
            </w:tcBorders>
            <w:shd w:val="clear" w:color="auto" w:fill="auto"/>
            <w:noWrap/>
            <w:vAlign w:val="bottom"/>
            <w:hideMark/>
          </w:tcPr>
          <w:p w14:paraId="6833CBE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0.73</w:t>
            </w:r>
          </w:p>
        </w:tc>
      </w:tr>
      <w:tr w:rsidR="0049448B" w:rsidRPr="0049448B" w14:paraId="4686127D" w14:textId="77777777" w:rsidTr="0049448B">
        <w:trPr>
          <w:trHeight w:val="220"/>
        </w:trPr>
        <w:tc>
          <w:tcPr>
            <w:tcW w:w="1794" w:type="pct"/>
            <w:tcBorders>
              <w:top w:val="nil"/>
              <w:left w:val="nil"/>
              <w:bottom w:val="nil"/>
              <w:right w:val="nil"/>
            </w:tcBorders>
            <w:shd w:val="clear" w:color="auto" w:fill="auto"/>
            <w:noWrap/>
            <w:vAlign w:val="bottom"/>
            <w:hideMark/>
          </w:tcPr>
          <w:p w14:paraId="34B3D1CC"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IL6-597G&gt;A (rs1800797)</w:t>
            </w:r>
          </w:p>
        </w:tc>
        <w:tc>
          <w:tcPr>
            <w:tcW w:w="744" w:type="pct"/>
            <w:tcBorders>
              <w:top w:val="nil"/>
              <w:left w:val="nil"/>
              <w:bottom w:val="nil"/>
              <w:right w:val="nil"/>
            </w:tcBorders>
            <w:shd w:val="clear" w:color="auto" w:fill="auto"/>
            <w:noWrap/>
            <w:vAlign w:val="bottom"/>
            <w:hideMark/>
          </w:tcPr>
          <w:p w14:paraId="71844D8E"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3,662</w:t>
            </w:r>
          </w:p>
        </w:tc>
        <w:tc>
          <w:tcPr>
            <w:tcW w:w="744" w:type="pct"/>
            <w:tcBorders>
              <w:top w:val="nil"/>
              <w:left w:val="nil"/>
              <w:bottom w:val="nil"/>
              <w:right w:val="nil"/>
            </w:tcBorders>
            <w:shd w:val="clear" w:color="auto" w:fill="auto"/>
            <w:noWrap/>
            <w:vAlign w:val="bottom"/>
            <w:hideMark/>
          </w:tcPr>
          <w:p w14:paraId="7BA0479A"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190</w:t>
            </w:r>
          </w:p>
        </w:tc>
        <w:tc>
          <w:tcPr>
            <w:tcW w:w="393" w:type="pct"/>
            <w:tcBorders>
              <w:top w:val="nil"/>
              <w:left w:val="nil"/>
              <w:bottom w:val="nil"/>
              <w:right w:val="nil"/>
            </w:tcBorders>
            <w:shd w:val="clear" w:color="auto" w:fill="auto"/>
            <w:noWrap/>
            <w:vAlign w:val="bottom"/>
            <w:hideMark/>
          </w:tcPr>
          <w:p w14:paraId="4EE7EB6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0.95</w:t>
            </w:r>
          </w:p>
        </w:tc>
        <w:tc>
          <w:tcPr>
            <w:tcW w:w="741" w:type="pct"/>
            <w:tcBorders>
              <w:top w:val="nil"/>
              <w:left w:val="nil"/>
              <w:bottom w:val="nil"/>
              <w:right w:val="nil"/>
            </w:tcBorders>
            <w:shd w:val="clear" w:color="auto" w:fill="auto"/>
            <w:noWrap/>
            <w:vAlign w:val="bottom"/>
            <w:hideMark/>
          </w:tcPr>
          <w:p w14:paraId="323FF15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[0.69, 1.30]</w:t>
            </w:r>
          </w:p>
        </w:tc>
        <w:tc>
          <w:tcPr>
            <w:tcW w:w="585" w:type="pct"/>
            <w:tcBorders>
              <w:top w:val="nil"/>
              <w:left w:val="nil"/>
              <w:bottom w:val="nil"/>
              <w:right w:val="nil"/>
            </w:tcBorders>
            <w:shd w:val="clear" w:color="auto" w:fill="auto"/>
            <w:noWrap/>
            <w:vAlign w:val="bottom"/>
            <w:hideMark/>
          </w:tcPr>
          <w:p w14:paraId="5A1A85A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0.73</w:t>
            </w:r>
          </w:p>
        </w:tc>
      </w:tr>
      <w:tr w:rsidR="0049448B" w:rsidRPr="0049448B" w14:paraId="42785550" w14:textId="77777777" w:rsidTr="0049448B">
        <w:trPr>
          <w:trHeight w:val="220"/>
        </w:trPr>
        <w:tc>
          <w:tcPr>
            <w:tcW w:w="1794" w:type="pct"/>
            <w:tcBorders>
              <w:top w:val="nil"/>
              <w:left w:val="nil"/>
              <w:bottom w:val="nil"/>
              <w:right w:val="nil"/>
            </w:tcBorders>
            <w:shd w:val="clear" w:color="auto" w:fill="auto"/>
            <w:noWrap/>
            <w:vAlign w:val="bottom"/>
            <w:hideMark/>
          </w:tcPr>
          <w:p w14:paraId="20800F71"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IL10-1082A&gt;G (rs1800896)</w:t>
            </w:r>
          </w:p>
        </w:tc>
        <w:tc>
          <w:tcPr>
            <w:tcW w:w="744" w:type="pct"/>
            <w:tcBorders>
              <w:top w:val="nil"/>
              <w:left w:val="nil"/>
              <w:bottom w:val="nil"/>
              <w:right w:val="nil"/>
            </w:tcBorders>
            <w:shd w:val="clear" w:color="auto" w:fill="auto"/>
            <w:noWrap/>
            <w:vAlign w:val="bottom"/>
            <w:hideMark/>
          </w:tcPr>
          <w:p w14:paraId="6BDD273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3,975</w:t>
            </w:r>
          </w:p>
        </w:tc>
        <w:tc>
          <w:tcPr>
            <w:tcW w:w="744" w:type="pct"/>
            <w:tcBorders>
              <w:top w:val="nil"/>
              <w:left w:val="nil"/>
              <w:bottom w:val="nil"/>
              <w:right w:val="nil"/>
            </w:tcBorders>
            <w:shd w:val="clear" w:color="auto" w:fill="auto"/>
            <w:noWrap/>
            <w:vAlign w:val="bottom"/>
            <w:hideMark/>
          </w:tcPr>
          <w:p w14:paraId="1E360F32"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198</w:t>
            </w:r>
          </w:p>
        </w:tc>
        <w:tc>
          <w:tcPr>
            <w:tcW w:w="393" w:type="pct"/>
            <w:tcBorders>
              <w:top w:val="nil"/>
              <w:left w:val="nil"/>
              <w:bottom w:val="nil"/>
              <w:right w:val="nil"/>
            </w:tcBorders>
            <w:shd w:val="clear" w:color="auto" w:fill="auto"/>
            <w:noWrap/>
            <w:vAlign w:val="bottom"/>
            <w:hideMark/>
          </w:tcPr>
          <w:p w14:paraId="1AF1BD3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1.04</w:t>
            </w:r>
          </w:p>
        </w:tc>
        <w:tc>
          <w:tcPr>
            <w:tcW w:w="741" w:type="pct"/>
            <w:tcBorders>
              <w:top w:val="nil"/>
              <w:left w:val="nil"/>
              <w:bottom w:val="nil"/>
              <w:right w:val="nil"/>
            </w:tcBorders>
            <w:shd w:val="clear" w:color="auto" w:fill="auto"/>
            <w:noWrap/>
            <w:vAlign w:val="bottom"/>
            <w:hideMark/>
          </w:tcPr>
          <w:p w14:paraId="46F4CED5"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[0.75, 1.46]</w:t>
            </w:r>
          </w:p>
        </w:tc>
        <w:tc>
          <w:tcPr>
            <w:tcW w:w="585" w:type="pct"/>
            <w:tcBorders>
              <w:top w:val="nil"/>
              <w:left w:val="nil"/>
              <w:bottom w:val="nil"/>
              <w:right w:val="nil"/>
            </w:tcBorders>
            <w:shd w:val="clear" w:color="auto" w:fill="auto"/>
            <w:noWrap/>
            <w:vAlign w:val="bottom"/>
            <w:hideMark/>
          </w:tcPr>
          <w:p w14:paraId="38AF91C7"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0.81</w:t>
            </w:r>
          </w:p>
        </w:tc>
      </w:tr>
      <w:tr w:rsidR="0049448B" w:rsidRPr="0049448B" w14:paraId="0031881F" w14:textId="77777777" w:rsidTr="0049448B">
        <w:trPr>
          <w:trHeight w:val="220"/>
        </w:trPr>
        <w:tc>
          <w:tcPr>
            <w:tcW w:w="1794" w:type="pct"/>
            <w:tcBorders>
              <w:top w:val="nil"/>
              <w:left w:val="nil"/>
              <w:bottom w:val="nil"/>
              <w:right w:val="nil"/>
            </w:tcBorders>
            <w:shd w:val="clear" w:color="auto" w:fill="auto"/>
            <w:noWrap/>
            <w:vAlign w:val="bottom"/>
            <w:hideMark/>
          </w:tcPr>
          <w:p w14:paraId="1D6DA59F"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IL10-3575T&gt;A (rs1800890)</w:t>
            </w:r>
          </w:p>
        </w:tc>
        <w:tc>
          <w:tcPr>
            <w:tcW w:w="744" w:type="pct"/>
            <w:tcBorders>
              <w:top w:val="nil"/>
              <w:left w:val="nil"/>
              <w:bottom w:val="nil"/>
              <w:right w:val="nil"/>
            </w:tcBorders>
            <w:shd w:val="clear" w:color="auto" w:fill="auto"/>
            <w:noWrap/>
            <w:vAlign w:val="bottom"/>
            <w:hideMark/>
          </w:tcPr>
          <w:p w14:paraId="12778A26"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5,663</w:t>
            </w:r>
          </w:p>
        </w:tc>
        <w:tc>
          <w:tcPr>
            <w:tcW w:w="744" w:type="pct"/>
            <w:tcBorders>
              <w:top w:val="nil"/>
              <w:left w:val="nil"/>
              <w:bottom w:val="nil"/>
              <w:right w:val="nil"/>
            </w:tcBorders>
            <w:shd w:val="clear" w:color="auto" w:fill="auto"/>
            <w:noWrap/>
            <w:vAlign w:val="bottom"/>
            <w:hideMark/>
          </w:tcPr>
          <w:p w14:paraId="0EFB8EE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251</w:t>
            </w:r>
          </w:p>
        </w:tc>
        <w:tc>
          <w:tcPr>
            <w:tcW w:w="393" w:type="pct"/>
            <w:tcBorders>
              <w:top w:val="nil"/>
              <w:left w:val="nil"/>
              <w:bottom w:val="nil"/>
              <w:right w:val="nil"/>
            </w:tcBorders>
            <w:shd w:val="clear" w:color="auto" w:fill="auto"/>
            <w:noWrap/>
            <w:vAlign w:val="bottom"/>
            <w:hideMark/>
          </w:tcPr>
          <w:p w14:paraId="63A6D9A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1.16</w:t>
            </w:r>
          </w:p>
        </w:tc>
        <w:tc>
          <w:tcPr>
            <w:tcW w:w="741" w:type="pct"/>
            <w:tcBorders>
              <w:top w:val="nil"/>
              <w:left w:val="nil"/>
              <w:bottom w:val="nil"/>
              <w:right w:val="nil"/>
            </w:tcBorders>
            <w:shd w:val="clear" w:color="auto" w:fill="auto"/>
            <w:noWrap/>
            <w:vAlign w:val="bottom"/>
            <w:hideMark/>
          </w:tcPr>
          <w:p w14:paraId="12F81D41"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[0.88, 1.53]</w:t>
            </w:r>
          </w:p>
        </w:tc>
        <w:tc>
          <w:tcPr>
            <w:tcW w:w="585" w:type="pct"/>
            <w:tcBorders>
              <w:top w:val="nil"/>
              <w:left w:val="nil"/>
              <w:bottom w:val="nil"/>
              <w:right w:val="nil"/>
            </w:tcBorders>
            <w:shd w:val="clear" w:color="auto" w:fill="auto"/>
            <w:noWrap/>
            <w:vAlign w:val="bottom"/>
            <w:hideMark/>
          </w:tcPr>
          <w:p w14:paraId="538714B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0.29</w:t>
            </w:r>
          </w:p>
        </w:tc>
      </w:tr>
      <w:tr w:rsidR="0049448B" w:rsidRPr="0049448B" w14:paraId="0DD6E021" w14:textId="77777777" w:rsidTr="0049448B">
        <w:trPr>
          <w:trHeight w:val="220"/>
        </w:trPr>
        <w:tc>
          <w:tcPr>
            <w:tcW w:w="1794" w:type="pct"/>
            <w:tcBorders>
              <w:top w:val="nil"/>
              <w:left w:val="nil"/>
              <w:bottom w:val="nil"/>
              <w:right w:val="nil"/>
            </w:tcBorders>
            <w:shd w:val="clear" w:color="auto" w:fill="auto"/>
            <w:noWrap/>
            <w:vAlign w:val="bottom"/>
            <w:hideMark/>
          </w:tcPr>
          <w:p w14:paraId="073FBB1F"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TNF-308G&gt;A (rs1800629)</w:t>
            </w:r>
          </w:p>
        </w:tc>
        <w:tc>
          <w:tcPr>
            <w:tcW w:w="744" w:type="pct"/>
            <w:tcBorders>
              <w:top w:val="nil"/>
              <w:left w:val="nil"/>
              <w:bottom w:val="nil"/>
              <w:right w:val="nil"/>
            </w:tcBorders>
            <w:shd w:val="clear" w:color="auto" w:fill="auto"/>
            <w:noWrap/>
            <w:vAlign w:val="bottom"/>
            <w:hideMark/>
          </w:tcPr>
          <w:p w14:paraId="32FA4E0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5,318</w:t>
            </w:r>
          </w:p>
        </w:tc>
        <w:tc>
          <w:tcPr>
            <w:tcW w:w="744" w:type="pct"/>
            <w:tcBorders>
              <w:top w:val="nil"/>
              <w:left w:val="nil"/>
              <w:bottom w:val="nil"/>
              <w:right w:val="nil"/>
            </w:tcBorders>
            <w:shd w:val="clear" w:color="auto" w:fill="auto"/>
            <w:noWrap/>
            <w:vAlign w:val="bottom"/>
            <w:hideMark/>
          </w:tcPr>
          <w:p w14:paraId="479072D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244</w:t>
            </w:r>
          </w:p>
        </w:tc>
        <w:tc>
          <w:tcPr>
            <w:tcW w:w="393" w:type="pct"/>
            <w:tcBorders>
              <w:top w:val="nil"/>
              <w:left w:val="nil"/>
              <w:bottom w:val="nil"/>
              <w:right w:val="nil"/>
            </w:tcBorders>
            <w:shd w:val="clear" w:color="auto" w:fill="auto"/>
            <w:noWrap/>
            <w:vAlign w:val="bottom"/>
            <w:hideMark/>
          </w:tcPr>
          <w:p w14:paraId="0B92B34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1.22</w:t>
            </w:r>
          </w:p>
        </w:tc>
        <w:tc>
          <w:tcPr>
            <w:tcW w:w="741" w:type="pct"/>
            <w:tcBorders>
              <w:top w:val="nil"/>
              <w:left w:val="nil"/>
              <w:bottom w:val="nil"/>
              <w:right w:val="nil"/>
            </w:tcBorders>
            <w:shd w:val="clear" w:color="auto" w:fill="auto"/>
            <w:noWrap/>
            <w:vAlign w:val="bottom"/>
            <w:hideMark/>
          </w:tcPr>
          <w:p w14:paraId="15F4950B"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[0.92, 1.62]</w:t>
            </w:r>
          </w:p>
        </w:tc>
        <w:tc>
          <w:tcPr>
            <w:tcW w:w="585" w:type="pct"/>
            <w:tcBorders>
              <w:top w:val="nil"/>
              <w:left w:val="nil"/>
              <w:bottom w:val="nil"/>
              <w:right w:val="nil"/>
            </w:tcBorders>
            <w:shd w:val="clear" w:color="auto" w:fill="auto"/>
            <w:noWrap/>
            <w:vAlign w:val="bottom"/>
            <w:hideMark/>
          </w:tcPr>
          <w:p w14:paraId="6306903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0.16</w:t>
            </w:r>
          </w:p>
        </w:tc>
      </w:tr>
      <w:tr w:rsidR="0049448B" w:rsidRPr="0049448B" w14:paraId="00C133E5" w14:textId="77777777" w:rsidTr="0049448B">
        <w:trPr>
          <w:trHeight w:val="220"/>
        </w:trPr>
        <w:tc>
          <w:tcPr>
            <w:tcW w:w="1794" w:type="pct"/>
            <w:tcBorders>
              <w:top w:val="nil"/>
              <w:left w:val="nil"/>
              <w:bottom w:val="nil"/>
              <w:right w:val="nil"/>
            </w:tcBorders>
            <w:shd w:val="clear" w:color="auto" w:fill="auto"/>
            <w:noWrap/>
            <w:vAlign w:val="bottom"/>
            <w:hideMark/>
          </w:tcPr>
          <w:p w14:paraId="0760FF2C"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C&gt;A (rs6457327)</w:t>
            </w:r>
          </w:p>
        </w:tc>
        <w:tc>
          <w:tcPr>
            <w:tcW w:w="744" w:type="pct"/>
            <w:tcBorders>
              <w:top w:val="nil"/>
              <w:left w:val="nil"/>
              <w:bottom w:val="nil"/>
              <w:right w:val="nil"/>
            </w:tcBorders>
            <w:shd w:val="clear" w:color="auto" w:fill="auto"/>
            <w:noWrap/>
            <w:vAlign w:val="bottom"/>
            <w:hideMark/>
          </w:tcPr>
          <w:p w14:paraId="2F2A02C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2,858</w:t>
            </w:r>
          </w:p>
        </w:tc>
        <w:tc>
          <w:tcPr>
            <w:tcW w:w="744" w:type="pct"/>
            <w:tcBorders>
              <w:top w:val="nil"/>
              <w:left w:val="nil"/>
              <w:bottom w:val="nil"/>
              <w:right w:val="nil"/>
            </w:tcBorders>
            <w:shd w:val="clear" w:color="auto" w:fill="auto"/>
            <w:noWrap/>
            <w:vAlign w:val="bottom"/>
            <w:hideMark/>
          </w:tcPr>
          <w:p w14:paraId="79B8F37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105</w:t>
            </w:r>
          </w:p>
        </w:tc>
        <w:tc>
          <w:tcPr>
            <w:tcW w:w="393" w:type="pct"/>
            <w:tcBorders>
              <w:top w:val="nil"/>
              <w:left w:val="nil"/>
              <w:bottom w:val="nil"/>
              <w:right w:val="nil"/>
            </w:tcBorders>
            <w:shd w:val="clear" w:color="auto" w:fill="auto"/>
            <w:noWrap/>
            <w:vAlign w:val="bottom"/>
            <w:hideMark/>
          </w:tcPr>
          <w:p w14:paraId="4761FDE4"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1.22</w:t>
            </w:r>
          </w:p>
        </w:tc>
        <w:tc>
          <w:tcPr>
            <w:tcW w:w="741" w:type="pct"/>
            <w:tcBorders>
              <w:top w:val="nil"/>
              <w:left w:val="nil"/>
              <w:bottom w:val="nil"/>
              <w:right w:val="nil"/>
            </w:tcBorders>
            <w:shd w:val="clear" w:color="auto" w:fill="auto"/>
            <w:noWrap/>
            <w:vAlign w:val="bottom"/>
            <w:hideMark/>
          </w:tcPr>
          <w:p w14:paraId="1555FADC"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[0.80, 1.86]</w:t>
            </w:r>
          </w:p>
        </w:tc>
        <w:tc>
          <w:tcPr>
            <w:tcW w:w="585" w:type="pct"/>
            <w:tcBorders>
              <w:top w:val="nil"/>
              <w:left w:val="nil"/>
              <w:bottom w:val="nil"/>
              <w:right w:val="nil"/>
            </w:tcBorders>
            <w:shd w:val="clear" w:color="auto" w:fill="auto"/>
            <w:noWrap/>
            <w:vAlign w:val="bottom"/>
            <w:hideMark/>
          </w:tcPr>
          <w:p w14:paraId="1E857409"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0.36</w:t>
            </w:r>
          </w:p>
        </w:tc>
      </w:tr>
      <w:tr w:rsidR="0049448B" w:rsidRPr="0049448B" w14:paraId="06B457C2" w14:textId="77777777" w:rsidTr="0049448B">
        <w:trPr>
          <w:trHeight w:val="240"/>
        </w:trPr>
        <w:tc>
          <w:tcPr>
            <w:tcW w:w="1794" w:type="pct"/>
            <w:tcBorders>
              <w:top w:val="nil"/>
              <w:left w:val="nil"/>
              <w:bottom w:val="single" w:sz="8" w:space="0" w:color="auto"/>
              <w:right w:val="nil"/>
            </w:tcBorders>
            <w:shd w:val="clear" w:color="auto" w:fill="auto"/>
            <w:noWrap/>
            <w:vAlign w:val="bottom"/>
            <w:hideMark/>
          </w:tcPr>
          <w:p w14:paraId="0EF09BA1"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lang w:eastAsia="en-US"/>
              </w:rPr>
              <w:t>HLA: T&gt;G (rs10484561)</w:t>
            </w:r>
          </w:p>
        </w:tc>
        <w:tc>
          <w:tcPr>
            <w:tcW w:w="744" w:type="pct"/>
            <w:tcBorders>
              <w:top w:val="nil"/>
              <w:left w:val="nil"/>
              <w:bottom w:val="single" w:sz="8" w:space="0" w:color="auto"/>
              <w:right w:val="nil"/>
            </w:tcBorders>
            <w:shd w:val="clear" w:color="auto" w:fill="auto"/>
            <w:noWrap/>
            <w:vAlign w:val="bottom"/>
            <w:hideMark/>
          </w:tcPr>
          <w:p w14:paraId="3F8F3540"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3,801</w:t>
            </w:r>
          </w:p>
        </w:tc>
        <w:tc>
          <w:tcPr>
            <w:tcW w:w="744" w:type="pct"/>
            <w:tcBorders>
              <w:top w:val="nil"/>
              <w:left w:val="nil"/>
              <w:bottom w:val="single" w:sz="8" w:space="0" w:color="auto"/>
              <w:right w:val="nil"/>
            </w:tcBorders>
            <w:shd w:val="clear" w:color="auto" w:fill="auto"/>
            <w:noWrap/>
            <w:vAlign w:val="bottom"/>
            <w:hideMark/>
          </w:tcPr>
          <w:p w14:paraId="73FA9B58"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188</w:t>
            </w:r>
          </w:p>
        </w:tc>
        <w:tc>
          <w:tcPr>
            <w:tcW w:w="393" w:type="pct"/>
            <w:tcBorders>
              <w:top w:val="nil"/>
              <w:left w:val="nil"/>
              <w:bottom w:val="single" w:sz="8" w:space="0" w:color="auto"/>
              <w:right w:val="nil"/>
            </w:tcBorders>
            <w:shd w:val="clear" w:color="auto" w:fill="auto"/>
            <w:noWrap/>
            <w:vAlign w:val="bottom"/>
            <w:hideMark/>
          </w:tcPr>
          <w:p w14:paraId="7026853D"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0.88</w:t>
            </w:r>
          </w:p>
        </w:tc>
        <w:tc>
          <w:tcPr>
            <w:tcW w:w="741" w:type="pct"/>
            <w:tcBorders>
              <w:top w:val="nil"/>
              <w:left w:val="nil"/>
              <w:bottom w:val="single" w:sz="8" w:space="0" w:color="auto"/>
              <w:right w:val="nil"/>
            </w:tcBorders>
            <w:shd w:val="clear" w:color="auto" w:fill="auto"/>
            <w:noWrap/>
            <w:vAlign w:val="bottom"/>
            <w:hideMark/>
          </w:tcPr>
          <w:p w14:paraId="10D2622F"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[0.59, 1.31]</w:t>
            </w:r>
          </w:p>
        </w:tc>
        <w:tc>
          <w:tcPr>
            <w:tcW w:w="585" w:type="pct"/>
            <w:tcBorders>
              <w:top w:val="nil"/>
              <w:left w:val="nil"/>
              <w:bottom w:val="single" w:sz="8" w:space="0" w:color="auto"/>
              <w:right w:val="nil"/>
            </w:tcBorders>
            <w:shd w:val="clear" w:color="auto" w:fill="auto"/>
            <w:noWrap/>
            <w:vAlign w:val="bottom"/>
            <w:hideMark/>
          </w:tcPr>
          <w:p w14:paraId="720D63A3" w14:textId="77777777" w:rsidR="0049448B" w:rsidRPr="0049448B" w:rsidRDefault="0049448B" w:rsidP="0049448B">
            <w:pPr>
              <w:jc w:val="right"/>
              <w:rPr>
                <w:rFonts w:eastAsia="Times New Roman" w:cs="Arial"/>
                <w:color w:val="000000"/>
                <w:sz w:val="16"/>
                <w:szCs w:val="16"/>
                <w:lang w:eastAsia="en-US"/>
              </w:rPr>
            </w:pPr>
            <w:r w:rsidRPr="0049448B">
              <w:rPr>
                <w:rFonts w:eastAsia="Times New Roman" w:cs="Arial"/>
                <w:color w:val="000000"/>
                <w:sz w:val="16"/>
                <w:szCs w:val="16"/>
                <w:lang w:eastAsia="en-US"/>
              </w:rPr>
              <w:t>0.52</w:t>
            </w:r>
          </w:p>
        </w:tc>
      </w:tr>
      <w:tr w:rsidR="0049448B" w:rsidRPr="0049448B" w14:paraId="7DF93C1A" w14:textId="77777777" w:rsidTr="0049448B">
        <w:trPr>
          <w:trHeight w:val="260"/>
        </w:trPr>
        <w:tc>
          <w:tcPr>
            <w:tcW w:w="5000" w:type="pct"/>
            <w:gridSpan w:val="6"/>
            <w:tcBorders>
              <w:top w:val="nil"/>
              <w:left w:val="nil"/>
              <w:bottom w:val="nil"/>
              <w:right w:val="nil"/>
            </w:tcBorders>
            <w:shd w:val="clear" w:color="auto" w:fill="auto"/>
            <w:noWrap/>
            <w:vAlign w:val="bottom"/>
            <w:hideMark/>
          </w:tcPr>
          <w:p w14:paraId="4F97648C"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a</w:t>
            </w:r>
            <w:r w:rsidRPr="0049448B">
              <w:rPr>
                <w:rFonts w:eastAsia="Times New Roman" w:cs="Arial"/>
                <w:color w:val="000000"/>
                <w:sz w:val="16"/>
                <w:szCs w:val="16"/>
                <w:lang w:eastAsia="en-US"/>
              </w:rPr>
              <w:t xml:space="preserve"> Adjusted for age, sex, study center, socioeconomic status</w:t>
            </w:r>
          </w:p>
        </w:tc>
      </w:tr>
      <w:tr w:rsidR="0049448B" w:rsidRPr="0049448B" w14:paraId="1F4BCA2D" w14:textId="77777777" w:rsidTr="0049448B">
        <w:trPr>
          <w:trHeight w:val="260"/>
        </w:trPr>
        <w:tc>
          <w:tcPr>
            <w:tcW w:w="5000" w:type="pct"/>
            <w:gridSpan w:val="6"/>
            <w:tcBorders>
              <w:top w:val="nil"/>
              <w:left w:val="nil"/>
              <w:bottom w:val="nil"/>
              <w:right w:val="nil"/>
            </w:tcBorders>
            <w:shd w:val="clear" w:color="auto" w:fill="auto"/>
            <w:noWrap/>
            <w:vAlign w:val="bottom"/>
            <w:hideMark/>
          </w:tcPr>
          <w:p w14:paraId="5D83AB34" w14:textId="77777777" w:rsidR="0049448B" w:rsidRPr="0049448B" w:rsidRDefault="0049448B" w:rsidP="0049448B">
            <w:pPr>
              <w:rPr>
                <w:rFonts w:eastAsia="Times New Roman" w:cs="Arial"/>
                <w:color w:val="000000"/>
                <w:sz w:val="16"/>
                <w:szCs w:val="16"/>
                <w:lang w:eastAsia="en-US"/>
              </w:rPr>
            </w:pPr>
            <w:r w:rsidRPr="0049448B">
              <w:rPr>
                <w:rFonts w:eastAsia="Times New Roman" w:cs="Arial"/>
                <w:color w:val="000000"/>
                <w:sz w:val="16"/>
                <w:szCs w:val="16"/>
                <w:vertAlign w:val="superscript"/>
                <w:lang w:eastAsia="en-US"/>
              </w:rPr>
              <w:t>b</w:t>
            </w:r>
            <w:r w:rsidRPr="0049448B">
              <w:rPr>
                <w:rFonts w:eastAsia="Times New Roman" w:cs="Arial"/>
                <w:color w:val="000000"/>
                <w:sz w:val="16"/>
                <w:szCs w:val="16"/>
                <w:lang w:eastAsia="en-US"/>
              </w:rPr>
              <w:t xml:space="preserve"> No evidence against the null hypotheses (no association).</w:t>
            </w:r>
          </w:p>
        </w:tc>
      </w:tr>
    </w:tbl>
    <w:p w14:paraId="338A8EF9" w14:textId="77777777" w:rsidR="0049448B" w:rsidRDefault="0049448B" w:rsidP="00EF7273"/>
    <w:p w14:paraId="4C797B9C" w14:textId="77777777" w:rsidR="00A07A85" w:rsidRDefault="00A07A85" w:rsidP="00EF7273">
      <w:pPr>
        <w:sectPr w:rsidR="00A07A85" w:rsidSect="00A07A85">
          <w:pgSz w:w="12240" w:h="15840"/>
          <w:pgMar w:top="720" w:right="720" w:bottom="720" w:left="720" w:header="720" w:footer="619" w:gutter="0"/>
          <w:lnNumType w:countBy="1" w:restart="continuous"/>
          <w:cols w:space="720"/>
          <w:docGrid w:linePitch="326"/>
        </w:sectPr>
      </w:pPr>
    </w:p>
    <w:p w14:paraId="6B87E84F" w14:textId="77777777" w:rsidR="00431A4A" w:rsidRPr="00E83343" w:rsidRDefault="00486CE4" w:rsidP="00F2392F">
      <w:pPr>
        <w:pStyle w:val="Heading2"/>
      </w:pPr>
      <w:r w:rsidRPr="00E83343">
        <w:lastRenderedPageBreak/>
        <w:t>WORKS CITED</w:t>
      </w:r>
    </w:p>
    <w:p w14:paraId="76F09CF6" w14:textId="604916AF" w:rsidR="00BB3BE7" w:rsidRPr="00BB3BE7" w:rsidRDefault="00641CCC" w:rsidP="00BB3BE7">
      <w:pPr>
        <w:widowControl w:val="0"/>
        <w:autoSpaceDE w:val="0"/>
        <w:autoSpaceDN w:val="0"/>
        <w:adjustRightInd w:val="0"/>
        <w:spacing w:before="480"/>
        <w:ind w:left="640" w:hanging="640"/>
        <w:rPr>
          <w:rFonts w:cs="Arial"/>
          <w:noProof/>
        </w:rPr>
      </w:pPr>
      <w:r w:rsidRPr="00E83343">
        <w:rPr>
          <w:rFonts w:cs="Arial"/>
        </w:rPr>
        <w:fldChar w:fldCharType="begin" w:fldLock="1"/>
      </w:r>
      <w:r w:rsidRPr="00E83343">
        <w:rPr>
          <w:rFonts w:cs="Arial"/>
        </w:rPr>
        <w:instrText xml:space="preserve">ADDIN Mendeley Bibliography CSL_BIBLIOGRAPHY </w:instrText>
      </w:r>
      <w:r w:rsidRPr="00E83343">
        <w:rPr>
          <w:rFonts w:cs="Arial"/>
        </w:rPr>
        <w:fldChar w:fldCharType="separate"/>
      </w:r>
      <w:r w:rsidR="00BB3BE7" w:rsidRPr="00BB3BE7">
        <w:rPr>
          <w:rFonts w:cs="Arial"/>
          <w:noProof/>
        </w:rPr>
        <w:t>1.</w:t>
      </w:r>
      <w:r w:rsidR="00BB3BE7" w:rsidRPr="00BB3BE7">
        <w:rPr>
          <w:rFonts w:cs="Arial"/>
          <w:noProof/>
        </w:rPr>
        <w:tab/>
        <w:t xml:space="preserve">Morton LM, Sampson JN, Cerhan JR, et al. Rationale and Design of the International Lymphoma Epidemiology Consortium (InterLymph) Non-Hodgkin Lymphoma Subtypes Project. </w:t>
      </w:r>
      <w:r w:rsidR="00BB3BE7" w:rsidRPr="00BB3BE7">
        <w:rPr>
          <w:rFonts w:cs="Arial"/>
          <w:i/>
          <w:iCs/>
          <w:noProof/>
        </w:rPr>
        <w:t>J Natl Cancer Inst - Monogr</w:t>
      </w:r>
      <w:r w:rsidR="00BB3BE7" w:rsidRPr="00BB3BE7">
        <w:rPr>
          <w:rFonts w:cs="Arial"/>
          <w:noProof/>
        </w:rPr>
        <w:t xml:space="preserve"> 2014;</w:t>
      </w:r>
      <w:r w:rsidR="00BB3BE7" w:rsidRPr="00BB3BE7">
        <w:rPr>
          <w:rFonts w:cs="Arial"/>
          <w:b/>
          <w:bCs/>
          <w:noProof/>
        </w:rPr>
        <w:t>2014</w:t>
      </w:r>
      <w:r w:rsidR="00BB3BE7" w:rsidRPr="00BB3BE7">
        <w:rPr>
          <w:rFonts w:cs="Arial"/>
          <w:noProof/>
        </w:rPr>
        <w:t>:1–14.</w:t>
      </w:r>
    </w:p>
    <w:p w14:paraId="07C27ED2"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2.</w:t>
      </w:r>
      <w:r w:rsidRPr="00BB3BE7">
        <w:rPr>
          <w:rFonts w:cs="Arial"/>
          <w:noProof/>
        </w:rPr>
        <w:tab/>
        <w:t xml:space="preserve">Grulich AE, Vajdic CM, Cozen W. Altered Immunity as a Risk Factor for Non-Hodgkin Lymphoma. </w:t>
      </w:r>
      <w:r w:rsidRPr="00BB3BE7">
        <w:rPr>
          <w:rFonts w:cs="Arial"/>
          <w:i/>
          <w:iCs/>
          <w:noProof/>
        </w:rPr>
        <w:t>Cancer Epidemiol Prev Biomarkers</w:t>
      </w:r>
      <w:r w:rsidRPr="00BB3BE7">
        <w:rPr>
          <w:rFonts w:cs="Arial"/>
          <w:noProof/>
        </w:rPr>
        <w:t xml:space="preserve"> 2007;</w:t>
      </w:r>
      <w:r w:rsidRPr="00BB3BE7">
        <w:rPr>
          <w:rFonts w:cs="Arial"/>
          <w:b/>
          <w:bCs/>
          <w:noProof/>
        </w:rPr>
        <w:t>16</w:t>
      </w:r>
      <w:r w:rsidRPr="00BB3BE7">
        <w:rPr>
          <w:rFonts w:cs="Arial"/>
          <w:noProof/>
        </w:rPr>
        <w:t>:405–9.</w:t>
      </w:r>
    </w:p>
    <w:p w14:paraId="4B87FA4E"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3.</w:t>
      </w:r>
      <w:r w:rsidRPr="00BB3BE7">
        <w:rPr>
          <w:rFonts w:cs="Arial"/>
          <w:noProof/>
        </w:rPr>
        <w:tab/>
        <w:t xml:space="preserve">Morton LM, Wang SS, Cozen W, et al. Etiologic heterogeneity among non-Hodgkin lymphoma subtypes. </w:t>
      </w:r>
      <w:r w:rsidRPr="00BB3BE7">
        <w:rPr>
          <w:rFonts w:cs="Arial"/>
          <w:i/>
          <w:iCs/>
          <w:noProof/>
        </w:rPr>
        <w:t>Blood</w:t>
      </w:r>
      <w:r w:rsidRPr="00BB3BE7">
        <w:rPr>
          <w:rFonts w:cs="Arial"/>
          <w:noProof/>
        </w:rPr>
        <w:t xml:space="preserve"> 2008;</w:t>
      </w:r>
      <w:r w:rsidRPr="00BB3BE7">
        <w:rPr>
          <w:rFonts w:cs="Arial"/>
          <w:b/>
          <w:bCs/>
          <w:noProof/>
        </w:rPr>
        <w:t>112</w:t>
      </w:r>
      <w:r w:rsidRPr="00BB3BE7">
        <w:rPr>
          <w:rFonts w:cs="Arial"/>
          <w:noProof/>
        </w:rPr>
        <w:t>:5150–60.</w:t>
      </w:r>
    </w:p>
    <w:p w14:paraId="3A9A6F22"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4.</w:t>
      </w:r>
      <w:r w:rsidRPr="00BB3BE7">
        <w:rPr>
          <w:rFonts w:cs="Arial"/>
          <w:noProof/>
        </w:rPr>
        <w:tab/>
        <w:t xml:space="preserve">Smedby KE, Vajdic CM, Falster M, et al. Autoimmune disorders and risk of non-Hodgkin lymphoma subtypes: A pooled analysis within the InterLymph Consortium. </w:t>
      </w:r>
      <w:r w:rsidRPr="00BB3BE7">
        <w:rPr>
          <w:rFonts w:cs="Arial"/>
          <w:i/>
          <w:iCs/>
          <w:noProof/>
        </w:rPr>
        <w:t>Blood</w:t>
      </w:r>
      <w:r w:rsidRPr="00BB3BE7">
        <w:rPr>
          <w:rFonts w:cs="Arial"/>
          <w:noProof/>
        </w:rPr>
        <w:t xml:space="preserve"> 2008;</w:t>
      </w:r>
      <w:r w:rsidRPr="00BB3BE7">
        <w:rPr>
          <w:rFonts w:cs="Arial"/>
          <w:b/>
          <w:bCs/>
          <w:noProof/>
        </w:rPr>
        <w:t>111</w:t>
      </w:r>
      <w:r w:rsidRPr="00BB3BE7">
        <w:rPr>
          <w:rFonts w:cs="Arial"/>
          <w:noProof/>
        </w:rPr>
        <w:t>:4029–38.</w:t>
      </w:r>
    </w:p>
    <w:p w14:paraId="51A63B4D"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5.</w:t>
      </w:r>
      <w:r w:rsidRPr="00BB3BE7">
        <w:rPr>
          <w:rFonts w:cs="Arial"/>
          <w:noProof/>
        </w:rPr>
        <w:tab/>
        <w:t xml:space="preserve">Cozen W, Cerhan JR, Martinez-Maza O, et al. The effect of atopy, childhood crowding, and other immune-related factors on non-Hodgkin lymphoma risk. </w:t>
      </w:r>
      <w:r w:rsidRPr="00BB3BE7">
        <w:rPr>
          <w:rFonts w:cs="Arial"/>
          <w:i/>
          <w:iCs/>
          <w:noProof/>
        </w:rPr>
        <w:t>Cancer Causes Control</w:t>
      </w:r>
      <w:r w:rsidRPr="00BB3BE7">
        <w:rPr>
          <w:rFonts w:cs="Arial"/>
          <w:noProof/>
        </w:rPr>
        <w:t xml:space="preserve"> 2007;</w:t>
      </w:r>
      <w:r w:rsidRPr="00BB3BE7">
        <w:rPr>
          <w:rFonts w:cs="Arial"/>
          <w:b/>
          <w:bCs/>
          <w:noProof/>
        </w:rPr>
        <w:t>18</w:t>
      </w:r>
      <w:r w:rsidRPr="00BB3BE7">
        <w:rPr>
          <w:rFonts w:cs="Arial"/>
          <w:noProof/>
        </w:rPr>
        <w:t>:821–31.</w:t>
      </w:r>
    </w:p>
    <w:p w14:paraId="713DCB8A"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6.</w:t>
      </w:r>
      <w:r w:rsidRPr="00BB3BE7">
        <w:rPr>
          <w:rFonts w:cs="Arial"/>
          <w:noProof/>
        </w:rPr>
        <w:tab/>
        <w:t xml:space="preserve">Goldin LR, Björkholm M, Kristinsson SY, et al. Highly increased familial risks for specific lymphoma subtypes. </w:t>
      </w:r>
      <w:r w:rsidRPr="00BB3BE7">
        <w:rPr>
          <w:rFonts w:cs="Arial"/>
          <w:i/>
          <w:iCs/>
          <w:noProof/>
        </w:rPr>
        <w:t>Br J Haematol</w:t>
      </w:r>
      <w:r w:rsidRPr="00BB3BE7">
        <w:rPr>
          <w:rFonts w:cs="Arial"/>
          <w:noProof/>
        </w:rPr>
        <w:t xml:space="preserve"> 2009;</w:t>
      </w:r>
      <w:r w:rsidRPr="00BB3BE7">
        <w:rPr>
          <w:rFonts w:cs="Arial"/>
          <w:b/>
          <w:bCs/>
          <w:noProof/>
        </w:rPr>
        <w:t>146</w:t>
      </w:r>
      <w:r w:rsidRPr="00BB3BE7">
        <w:rPr>
          <w:rFonts w:cs="Arial"/>
          <w:noProof/>
        </w:rPr>
        <w:t>:91–4.</w:t>
      </w:r>
    </w:p>
    <w:p w14:paraId="6AB673C7"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7.</w:t>
      </w:r>
      <w:r w:rsidRPr="00BB3BE7">
        <w:rPr>
          <w:rFonts w:cs="Arial"/>
          <w:noProof/>
        </w:rPr>
        <w:tab/>
        <w:t xml:space="preserve">Wang SS, Flowers CR, Kadin ME, et al. Medical history, lifestyle, family history, and occupational risk factors for peripheral T-cell lymphomas: The interlymph non-hodgkin lymphoma subtypes project. </w:t>
      </w:r>
      <w:r w:rsidRPr="00BB3BE7">
        <w:rPr>
          <w:rFonts w:cs="Arial"/>
          <w:i/>
          <w:iCs/>
          <w:noProof/>
        </w:rPr>
        <w:t>J Natl Cancer Inst - Monogr</w:t>
      </w:r>
      <w:r w:rsidRPr="00BB3BE7">
        <w:rPr>
          <w:rFonts w:cs="Arial"/>
          <w:noProof/>
        </w:rPr>
        <w:t xml:space="preserve"> 2014;</w:t>
      </w:r>
      <w:r w:rsidRPr="00BB3BE7">
        <w:rPr>
          <w:rFonts w:cs="Arial"/>
          <w:b/>
          <w:bCs/>
          <w:noProof/>
        </w:rPr>
        <w:t>2014</w:t>
      </w:r>
      <w:r w:rsidRPr="00BB3BE7">
        <w:rPr>
          <w:rFonts w:cs="Arial"/>
          <w:noProof/>
        </w:rPr>
        <w:t>:66–75.</w:t>
      </w:r>
    </w:p>
    <w:p w14:paraId="748482DD"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8.</w:t>
      </w:r>
      <w:r w:rsidRPr="00BB3BE7">
        <w:rPr>
          <w:rFonts w:cs="Arial"/>
          <w:noProof/>
        </w:rPr>
        <w:tab/>
        <w:t xml:space="preserve">Hosgood HD, Purdue MP, Wang SS, et al. A pooled analysis of three studies evaluating genetic variation in innate immunity genes and non-Hodgkin lymphoma risk. </w:t>
      </w:r>
      <w:r w:rsidRPr="00BB3BE7">
        <w:rPr>
          <w:rFonts w:cs="Arial"/>
          <w:i/>
          <w:iCs/>
          <w:noProof/>
        </w:rPr>
        <w:t>Br J Haematol</w:t>
      </w:r>
      <w:r w:rsidRPr="00BB3BE7">
        <w:rPr>
          <w:rFonts w:cs="Arial"/>
          <w:noProof/>
        </w:rPr>
        <w:t xml:space="preserve"> 2011;</w:t>
      </w:r>
      <w:r w:rsidRPr="00BB3BE7">
        <w:rPr>
          <w:rFonts w:cs="Arial"/>
          <w:b/>
          <w:bCs/>
          <w:noProof/>
        </w:rPr>
        <w:t>152</w:t>
      </w:r>
      <w:r w:rsidRPr="00BB3BE7">
        <w:rPr>
          <w:rFonts w:cs="Arial"/>
          <w:noProof/>
        </w:rPr>
        <w:t>:721–6.</w:t>
      </w:r>
    </w:p>
    <w:p w14:paraId="1A9D55DE"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9.</w:t>
      </w:r>
      <w:r w:rsidRPr="00BB3BE7">
        <w:rPr>
          <w:rFonts w:cs="Arial"/>
          <w:noProof/>
        </w:rPr>
        <w:tab/>
        <w:t xml:space="preserve">Skibola CF, Akers NK, Conde L, et al. Multi-locus HLA class I and II allele and haplotype associations with follicular lymphoma. </w:t>
      </w:r>
      <w:r w:rsidRPr="00BB3BE7">
        <w:rPr>
          <w:rFonts w:cs="Arial"/>
          <w:i/>
          <w:iCs/>
          <w:noProof/>
        </w:rPr>
        <w:t>Tissue Antigens</w:t>
      </w:r>
      <w:r w:rsidRPr="00BB3BE7">
        <w:rPr>
          <w:rFonts w:cs="Arial"/>
          <w:noProof/>
        </w:rPr>
        <w:t xml:space="preserve"> 2012;</w:t>
      </w:r>
      <w:r w:rsidRPr="00BB3BE7">
        <w:rPr>
          <w:rFonts w:cs="Arial"/>
          <w:b/>
          <w:bCs/>
          <w:noProof/>
        </w:rPr>
        <w:t>79</w:t>
      </w:r>
      <w:r w:rsidRPr="00BB3BE7">
        <w:rPr>
          <w:rFonts w:cs="Arial"/>
          <w:noProof/>
        </w:rPr>
        <w:t>:279–86.</w:t>
      </w:r>
    </w:p>
    <w:p w14:paraId="20F3E99C"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10.</w:t>
      </w:r>
      <w:r w:rsidRPr="00BB3BE7">
        <w:rPr>
          <w:rFonts w:cs="Arial"/>
          <w:noProof/>
        </w:rPr>
        <w:tab/>
        <w:t xml:space="preserve">Wang SS, Abdou AM, Morton LM, et al. Human leukocyte antigen class I and II alleles in non-Hodgkin lymphoma etiology. </w:t>
      </w:r>
      <w:r w:rsidRPr="00BB3BE7">
        <w:rPr>
          <w:rFonts w:cs="Arial"/>
          <w:i/>
          <w:iCs/>
          <w:noProof/>
        </w:rPr>
        <w:t>Blood</w:t>
      </w:r>
      <w:r w:rsidRPr="00BB3BE7">
        <w:rPr>
          <w:rFonts w:cs="Arial"/>
          <w:noProof/>
        </w:rPr>
        <w:t xml:space="preserve"> 2010;</w:t>
      </w:r>
      <w:r w:rsidRPr="00BB3BE7">
        <w:rPr>
          <w:rFonts w:cs="Arial"/>
          <w:b/>
          <w:bCs/>
          <w:noProof/>
        </w:rPr>
        <w:t>115</w:t>
      </w:r>
      <w:r w:rsidRPr="00BB3BE7">
        <w:rPr>
          <w:rFonts w:cs="Arial"/>
          <w:noProof/>
        </w:rPr>
        <w:t>:4820–3.</w:t>
      </w:r>
    </w:p>
    <w:p w14:paraId="4855D5D8"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lastRenderedPageBreak/>
        <w:t>11.</w:t>
      </w:r>
      <w:r w:rsidRPr="00BB3BE7">
        <w:rPr>
          <w:rFonts w:cs="Arial"/>
          <w:noProof/>
        </w:rPr>
        <w:tab/>
        <w:t xml:space="preserve">Thorley-Lawson DA, Gross A. Persistence of the Epstein–Barr Virus and the Origins of Associated Lymphomas. </w:t>
      </w:r>
      <w:r w:rsidRPr="00BB3BE7">
        <w:rPr>
          <w:rFonts w:cs="Arial"/>
          <w:i/>
          <w:iCs/>
          <w:noProof/>
        </w:rPr>
        <w:t>N Engl J Med</w:t>
      </w:r>
      <w:r w:rsidRPr="00BB3BE7">
        <w:rPr>
          <w:rFonts w:cs="Arial"/>
          <w:noProof/>
        </w:rPr>
        <w:t xml:space="preserve"> 2004;</w:t>
      </w:r>
      <w:r w:rsidRPr="00BB3BE7">
        <w:rPr>
          <w:rFonts w:cs="Arial"/>
          <w:b/>
          <w:bCs/>
          <w:noProof/>
        </w:rPr>
        <w:t>350</w:t>
      </w:r>
      <w:r w:rsidRPr="00BB3BE7">
        <w:rPr>
          <w:rFonts w:cs="Arial"/>
          <w:noProof/>
        </w:rPr>
        <w:t>:1328–37.</w:t>
      </w:r>
    </w:p>
    <w:p w14:paraId="1FF9A6F2"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12.</w:t>
      </w:r>
      <w:r w:rsidRPr="00BB3BE7">
        <w:rPr>
          <w:rFonts w:cs="Arial"/>
          <w:noProof/>
        </w:rPr>
        <w:tab/>
        <w:t xml:space="preserve">Ferri C, Caracciolo F, Zignego AL, et al. Hepatitis C virus infection in patients with non-Hodgkin’s lymphoma. </w:t>
      </w:r>
      <w:r w:rsidRPr="00BB3BE7">
        <w:rPr>
          <w:rFonts w:cs="Arial"/>
          <w:i/>
          <w:iCs/>
          <w:noProof/>
        </w:rPr>
        <w:t>Br J Haematol</w:t>
      </w:r>
      <w:r w:rsidRPr="00BB3BE7">
        <w:rPr>
          <w:rFonts w:cs="Arial"/>
          <w:noProof/>
        </w:rPr>
        <w:t xml:space="preserve"> 1994;</w:t>
      </w:r>
      <w:r w:rsidRPr="00BB3BE7">
        <w:rPr>
          <w:rFonts w:cs="Arial"/>
          <w:b/>
          <w:bCs/>
          <w:noProof/>
        </w:rPr>
        <w:t>88</w:t>
      </w:r>
      <w:r w:rsidRPr="00BB3BE7">
        <w:rPr>
          <w:rFonts w:cs="Arial"/>
          <w:noProof/>
        </w:rPr>
        <w:t>:392–4.</w:t>
      </w:r>
    </w:p>
    <w:p w14:paraId="478665D5"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13.</w:t>
      </w:r>
      <w:r w:rsidRPr="00BB3BE7">
        <w:rPr>
          <w:rFonts w:cs="Arial"/>
          <w:noProof/>
        </w:rPr>
        <w:tab/>
        <w:t xml:space="preserve">Parsonnet J, Hansen S, Rodriguez L, et al. Helicobacter pylori infection and gastric lymphoma. </w:t>
      </w:r>
      <w:r w:rsidRPr="00BB3BE7">
        <w:rPr>
          <w:rFonts w:cs="Arial"/>
          <w:i/>
          <w:iCs/>
          <w:noProof/>
        </w:rPr>
        <w:t>N Engl J Med</w:t>
      </w:r>
      <w:r w:rsidRPr="00BB3BE7">
        <w:rPr>
          <w:rFonts w:cs="Arial"/>
          <w:noProof/>
        </w:rPr>
        <w:t xml:space="preserve"> 1994;</w:t>
      </w:r>
      <w:r w:rsidRPr="00BB3BE7">
        <w:rPr>
          <w:rFonts w:cs="Arial"/>
          <w:b/>
          <w:bCs/>
          <w:noProof/>
        </w:rPr>
        <w:t>330</w:t>
      </w:r>
      <w:r w:rsidRPr="00BB3BE7">
        <w:rPr>
          <w:rFonts w:cs="Arial"/>
          <w:noProof/>
        </w:rPr>
        <w:t>:1267–71.</w:t>
      </w:r>
    </w:p>
    <w:p w14:paraId="09FD8701"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14.</w:t>
      </w:r>
      <w:r w:rsidRPr="00BB3BE7">
        <w:rPr>
          <w:rFonts w:cs="Arial"/>
          <w:noProof/>
        </w:rPr>
        <w:tab/>
        <w:t xml:space="preserve">Engels E a. Infectious agents as causes of non-Hodgkin lymphoma. </w:t>
      </w:r>
      <w:r w:rsidRPr="00BB3BE7">
        <w:rPr>
          <w:rFonts w:cs="Arial"/>
          <w:i/>
          <w:iCs/>
          <w:noProof/>
        </w:rPr>
        <w:t>Cancer Epidemiol Biomarkers Prev</w:t>
      </w:r>
      <w:r w:rsidRPr="00BB3BE7">
        <w:rPr>
          <w:rFonts w:cs="Arial"/>
          <w:noProof/>
        </w:rPr>
        <w:t xml:space="preserve"> 2007;</w:t>
      </w:r>
      <w:r w:rsidRPr="00BB3BE7">
        <w:rPr>
          <w:rFonts w:cs="Arial"/>
          <w:b/>
          <w:bCs/>
          <w:noProof/>
        </w:rPr>
        <w:t>16</w:t>
      </w:r>
      <w:r w:rsidRPr="00BB3BE7">
        <w:rPr>
          <w:rFonts w:cs="Arial"/>
          <w:noProof/>
        </w:rPr>
        <w:t>:401–4.</w:t>
      </w:r>
    </w:p>
    <w:p w14:paraId="5E30F70C"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15.</w:t>
      </w:r>
      <w:r w:rsidRPr="00BB3BE7">
        <w:rPr>
          <w:rFonts w:cs="Arial"/>
          <w:noProof/>
        </w:rPr>
        <w:tab/>
        <w:t>Longnecker RM, Kieff E, Cohen JI. Epstein-Barr Virus. In: Knipe DM, Howley PM, editors. Fields Virol. 6th ed., Philadelphia, PA: Lippincott Williams &amp; Wilkins; 2013, p. 1898–959.</w:t>
      </w:r>
    </w:p>
    <w:p w14:paraId="17825E5B"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16.</w:t>
      </w:r>
      <w:r w:rsidRPr="00BB3BE7">
        <w:rPr>
          <w:rFonts w:cs="Arial"/>
          <w:noProof/>
        </w:rPr>
        <w:tab/>
        <w:t xml:space="preserve">Fleisher G, Henle W, Henle G, et al. Primary Infection with Epstein-Barr Virus in Infants in the United States: Clinical and Serologic Observations. </w:t>
      </w:r>
      <w:r w:rsidRPr="00BB3BE7">
        <w:rPr>
          <w:rFonts w:cs="Arial"/>
          <w:i/>
          <w:iCs/>
          <w:noProof/>
        </w:rPr>
        <w:t>J Infect Dis</w:t>
      </w:r>
      <w:r w:rsidRPr="00BB3BE7">
        <w:rPr>
          <w:rFonts w:cs="Arial"/>
          <w:noProof/>
        </w:rPr>
        <w:t xml:space="preserve"> 1979;</w:t>
      </w:r>
      <w:r w:rsidRPr="00BB3BE7">
        <w:rPr>
          <w:rFonts w:cs="Arial"/>
          <w:b/>
          <w:bCs/>
          <w:noProof/>
        </w:rPr>
        <w:t>139</w:t>
      </w:r>
      <w:r w:rsidRPr="00BB3BE7">
        <w:rPr>
          <w:rFonts w:cs="Arial"/>
          <w:noProof/>
        </w:rPr>
        <w:t>:553–8.</w:t>
      </w:r>
    </w:p>
    <w:p w14:paraId="7F6A781C"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17.</w:t>
      </w:r>
      <w:r w:rsidRPr="00BB3BE7">
        <w:rPr>
          <w:rFonts w:cs="Arial"/>
          <w:noProof/>
        </w:rPr>
        <w:tab/>
        <w:t xml:space="preserve">Luzuriaga K, Sullivan JL. Infectious mononucleosis. </w:t>
      </w:r>
      <w:r w:rsidRPr="00BB3BE7">
        <w:rPr>
          <w:rFonts w:cs="Arial"/>
          <w:i/>
          <w:iCs/>
          <w:noProof/>
        </w:rPr>
        <w:t>N Engl J Med</w:t>
      </w:r>
      <w:r w:rsidRPr="00BB3BE7">
        <w:rPr>
          <w:rFonts w:cs="Arial"/>
          <w:noProof/>
        </w:rPr>
        <w:t xml:space="preserve"> 2010;</w:t>
      </w:r>
      <w:r w:rsidRPr="00BB3BE7">
        <w:rPr>
          <w:rFonts w:cs="Arial"/>
          <w:b/>
          <w:bCs/>
          <w:noProof/>
        </w:rPr>
        <w:t>362</w:t>
      </w:r>
      <w:r w:rsidRPr="00BB3BE7">
        <w:rPr>
          <w:rFonts w:cs="Arial"/>
          <w:noProof/>
        </w:rPr>
        <w:t>:1993–2000.</w:t>
      </w:r>
    </w:p>
    <w:p w14:paraId="328ECD13"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18.</w:t>
      </w:r>
      <w:r w:rsidRPr="00BB3BE7">
        <w:rPr>
          <w:rFonts w:cs="Arial"/>
          <w:noProof/>
        </w:rPr>
        <w:tab/>
        <w:t>Macsween KF, Johannessen I. Epstein-Barr Virus (EBV): Infectious Mononucleosis and Other Non-malignant EBV-Associated Diseases. In: Kaslow RA, Stanberry LR, Le Duc JW, editors. Viral Infect Humans Epidemiol Control, Boston, MA: Springer US; 2014, p. 867–96.</w:t>
      </w:r>
    </w:p>
    <w:p w14:paraId="2B5E11F8"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19.</w:t>
      </w:r>
      <w:r w:rsidRPr="00BB3BE7">
        <w:rPr>
          <w:rFonts w:cs="Arial"/>
          <w:noProof/>
        </w:rPr>
        <w:tab/>
        <w:t xml:space="preserve">Balfour HH, Dunmire SK, Hogquist KA. Infectious mononucleosis. </w:t>
      </w:r>
      <w:r w:rsidRPr="00BB3BE7">
        <w:rPr>
          <w:rFonts w:cs="Arial"/>
          <w:i/>
          <w:iCs/>
          <w:noProof/>
        </w:rPr>
        <w:t>Clin Transl Immunol</w:t>
      </w:r>
      <w:r w:rsidRPr="00BB3BE7">
        <w:rPr>
          <w:rFonts w:cs="Arial"/>
          <w:noProof/>
        </w:rPr>
        <w:t xml:space="preserve"> 2015;</w:t>
      </w:r>
      <w:r w:rsidRPr="00BB3BE7">
        <w:rPr>
          <w:rFonts w:cs="Arial"/>
          <w:b/>
          <w:bCs/>
          <w:noProof/>
        </w:rPr>
        <w:t>4</w:t>
      </w:r>
      <w:r w:rsidRPr="00BB3BE7">
        <w:rPr>
          <w:rFonts w:cs="Arial"/>
          <w:noProof/>
        </w:rPr>
        <w:t>:e33.</w:t>
      </w:r>
    </w:p>
    <w:p w14:paraId="52E4162F"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20.</w:t>
      </w:r>
      <w:r w:rsidRPr="00BB3BE7">
        <w:rPr>
          <w:rFonts w:cs="Arial"/>
          <w:noProof/>
        </w:rPr>
        <w:tab/>
        <w:t xml:space="preserve">Tian C, Hromatka BS, Kiefer AK, et al. Genome-wide association and HLA region fine-mapping studies identify susceptibility loci for multiple common infections. </w:t>
      </w:r>
      <w:r w:rsidRPr="00BB3BE7">
        <w:rPr>
          <w:rFonts w:cs="Arial"/>
          <w:i/>
          <w:iCs/>
          <w:noProof/>
        </w:rPr>
        <w:t>Nat Commun</w:t>
      </w:r>
      <w:r w:rsidRPr="00BB3BE7">
        <w:rPr>
          <w:rFonts w:cs="Arial"/>
          <w:noProof/>
        </w:rPr>
        <w:t xml:space="preserve"> 2017;</w:t>
      </w:r>
      <w:r w:rsidRPr="00BB3BE7">
        <w:rPr>
          <w:rFonts w:cs="Arial"/>
          <w:b/>
          <w:bCs/>
          <w:noProof/>
        </w:rPr>
        <w:t>8</w:t>
      </w:r>
      <w:r w:rsidRPr="00BB3BE7">
        <w:rPr>
          <w:rFonts w:cs="Arial"/>
          <w:noProof/>
        </w:rPr>
        <w:t>:599.</w:t>
      </w:r>
    </w:p>
    <w:p w14:paraId="1333E0AB"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21.</w:t>
      </w:r>
      <w:r w:rsidRPr="00BB3BE7">
        <w:rPr>
          <w:rFonts w:cs="Arial"/>
          <w:noProof/>
        </w:rPr>
        <w:tab/>
        <w:t xml:space="preserve">Mcaulay K a, Higgins CD, Macsween KF, et al. HLA class I polymorphisms are associated with development of infectious mononucleosis upon primary EBV infection. </w:t>
      </w:r>
      <w:r w:rsidRPr="00BB3BE7">
        <w:rPr>
          <w:rFonts w:cs="Arial"/>
          <w:i/>
          <w:iCs/>
          <w:noProof/>
        </w:rPr>
        <w:t>J Clin Invest</w:t>
      </w:r>
      <w:r w:rsidRPr="00BB3BE7">
        <w:rPr>
          <w:rFonts w:cs="Arial"/>
          <w:noProof/>
        </w:rPr>
        <w:t xml:space="preserve"> 2007;</w:t>
      </w:r>
      <w:r w:rsidRPr="00BB3BE7">
        <w:rPr>
          <w:rFonts w:cs="Arial"/>
          <w:b/>
          <w:bCs/>
          <w:noProof/>
        </w:rPr>
        <w:t>117</w:t>
      </w:r>
      <w:r w:rsidRPr="00BB3BE7">
        <w:rPr>
          <w:rFonts w:cs="Arial"/>
          <w:noProof/>
        </w:rPr>
        <w:t>.</w:t>
      </w:r>
    </w:p>
    <w:p w14:paraId="483EC08F"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lastRenderedPageBreak/>
        <w:t>22.</w:t>
      </w:r>
      <w:r w:rsidRPr="00BB3BE7">
        <w:rPr>
          <w:rFonts w:cs="Arial"/>
          <w:noProof/>
        </w:rPr>
        <w:tab/>
        <w:t xml:space="preserve">Becker N, Falster MO, Vajdic CM, et al. Self-reported history of infections and the risk of non-Hodgkin lymphoma: An InterLymph pooled analysis. </w:t>
      </w:r>
      <w:r w:rsidRPr="00BB3BE7">
        <w:rPr>
          <w:rFonts w:cs="Arial"/>
          <w:i/>
          <w:iCs/>
          <w:noProof/>
        </w:rPr>
        <w:t>Int J Cancer</w:t>
      </w:r>
      <w:r w:rsidRPr="00BB3BE7">
        <w:rPr>
          <w:rFonts w:cs="Arial"/>
          <w:noProof/>
        </w:rPr>
        <w:t xml:space="preserve"> 2012;</w:t>
      </w:r>
      <w:r w:rsidRPr="00BB3BE7">
        <w:rPr>
          <w:rFonts w:cs="Arial"/>
          <w:b/>
          <w:bCs/>
          <w:noProof/>
        </w:rPr>
        <w:t>131</w:t>
      </w:r>
      <w:r w:rsidRPr="00BB3BE7">
        <w:rPr>
          <w:rFonts w:cs="Arial"/>
          <w:noProof/>
        </w:rPr>
        <w:t>:2342–8.</w:t>
      </w:r>
    </w:p>
    <w:p w14:paraId="2A6E0FE2"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23.</w:t>
      </w:r>
      <w:r w:rsidRPr="00BB3BE7">
        <w:rPr>
          <w:rFonts w:cs="Arial"/>
          <w:noProof/>
        </w:rPr>
        <w:tab/>
        <w:t xml:space="preserve">Hwang AE, Hamilton AS, Cockburn MG, et al. Evidence of genetic susceptibility to infectious mononucleosis: a twin study. </w:t>
      </w:r>
      <w:r w:rsidRPr="00BB3BE7">
        <w:rPr>
          <w:rFonts w:cs="Arial"/>
          <w:i/>
          <w:iCs/>
          <w:noProof/>
        </w:rPr>
        <w:t>Epidemiol Infect</w:t>
      </w:r>
      <w:r w:rsidRPr="00BB3BE7">
        <w:rPr>
          <w:rFonts w:cs="Arial"/>
          <w:noProof/>
        </w:rPr>
        <w:t xml:space="preserve"> 2012;</w:t>
      </w:r>
      <w:r w:rsidRPr="00BB3BE7">
        <w:rPr>
          <w:rFonts w:cs="Arial"/>
          <w:b/>
          <w:bCs/>
          <w:noProof/>
        </w:rPr>
        <w:t>140</w:t>
      </w:r>
      <w:r w:rsidRPr="00BB3BE7">
        <w:rPr>
          <w:rFonts w:cs="Arial"/>
          <w:noProof/>
        </w:rPr>
        <w:t>:2089–95.</w:t>
      </w:r>
    </w:p>
    <w:p w14:paraId="5B641416"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24.</w:t>
      </w:r>
      <w:r w:rsidRPr="00BB3BE7">
        <w:rPr>
          <w:rFonts w:cs="Arial"/>
          <w:noProof/>
        </w:rPr>
        <w:tab/>
        <w:t xml:space="preserve">Rostgaard K, Wohlfahrt J, Hjalgrim H. A genetic basis for infectious mononucleosis: evidence from a family study of hospitalized cases in Denmark. </w:t>
      </w:r>
      <w:r w:rsidRPr="00BB3BE7">
        <w:rPr>
          <w:rFonts w:cs="Arial"/>
          <w:i/>
          <w:iCs/>
          <w:noProof/>
        </w:rPr>
        <w:t>Clin Infect Dis</w:t>
      </w:r>
      <w:r w:rsidRPr="00BB3BE7">
        <w:rPr>
          <w:rFonts w:cs="Arial"/>
          <w:noProof/>
        </w:rPr>
        <w:t xml:space="preserve"> 2014;</w:t>
      </w:r>
      <w:r w:rsidRPr="00BB3BE7">
        <w:rPr>
          <w:rFonts w:cs="Arial"/>
          <w:b/>
          <w:bCs/>
          <w:noProof/>
        </w:rPr>
        <w:t>58</w:t>
      </w:r>
      <w:r w:rsidRPr="00BB3BE7">
        <w:rPr>
          <w:rFonts w:cs="Arial"/>
          <w:noProof/>
        </w:rPr>
        <w:t>:1684–9.</w:t>
      </w:r>
    </w:p>
    <w:p w14:paraId="296378AB"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25.</w:t>
      </w:r>
      <w:r w:rsidRPr="00BB3BE7">
        <w:rPr>
          <w:rFonts w:cs="Arial"/>
          <w:noProof/>
        </w:rPr>
        <w:tab/>
        <w:t xml:space="preserve">Kane E, Skibola CF, Bracci PM, et al. Non-Hodgkin Lymphoma, Body Mass Index, and Cytokine Polymorphisms: A Pooled Analysis from the InterLymph Consortium. </w:t>
      </w:r>
      <w:r w:rsidRPr="00BB3BE7">
        <w:rPr>
          <w:rFonts w:cs="Arial"/>
          <w:i/>
          <w:iCs/>
          <w:noProof/>
        </w:rPr>
        <w:t>Cancer Epidemiol Biomarkers Prev</w:t>
      </w:r>
      <w:r w:rsidRPr="00BB3BE7">
        <w:rPr>
          <w:rFonts w:cs="Arial"/>
          <w:noProof/>
        </w:rPr>
        <w:t xml:space="preserve"> 2015;</w:t>
      </w:r>
      <w:r w:rsidRPr="00BB3BE7">
        <w:rPr>
          <w:rFonts w:cs="Arial"/>
          <w:b/>
          <w:bCs/>
          <w:noProof/>
        </w:rPr>
        <w:t>24</w:t>
      </w:r>
      <w:r w:rsidRPr="00BB3BE7">
        <w:rPr>
          <w:rFonts w:cs="Arial"/>
          <w:noProof/>
        </w:rPr>
        <w:t>:1061–70.</w:t>
      </w:r>
    </w:p>
    <w:p w14:paraId="68190871"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26.</w:t>
      </w:r>
      <w:r w:rsidRPr="00BB3BE7">
        <w:rPr>
          <w:rFonts w:cs="Arial"/>
          <w:noProof/>
        </w:rPr>
        <w:tab/>
        <w:t xml:space="preserve">Skibola CF, Bracci PM, Nieters A, et al. Tumor necrosis factor (TNF) and lymphotoxin-alpha (LTA) polymorphisms and risk of non-Hodgkin lymphoma in the InterLymph Consortium. </w:t>
      </w:r>
      <w:r w:rsidRPr="00BB3BE7">
        <w:rPr>
          <w:rFonts w:cs="Arial"/>
          <w:i/>
          <w:iCs/>
          <w:noProof/>
        </w:rPr>
        <w:t>Am J Epidemiol</w:t>
      </w:r>
      <w:r w:rsidRPr="00BB3BE7">
        <w:rPr>
          <w:rFonts w:cs="Arial"/>
          <w:noProof/>
        </w:rPr>
        <w:t xml:space="preserve"> 2010;</w:t>
      </w:r>
      <w:r w:rsidRPr="00BB3BE7">
        <w:rPr>
          <w:rFonts w:cs="Arial"/>
          <w:b/>
          <w:bCs/>
          <w:noProof/>
        </w:rPr>
        <w:t>171</w:t>
      </w:r>
      <w:r w:rsidRPr="00BB3BE7">
        <w:rPr>
          <w:rFonts w:cs="Arial"/>
          <w:noProof/>
        </w:rPr>
        <w:t>:267–76.</w:t>
      </w:r>
    </w:p>
    <w:p w14:paraId="2365CC77"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27.</w:t>
      </w:r>
      <w:r w:rsidRPr="00BB3BE7">
        <w:rPr>
          <w:rFonts w:cs="Arial"/>
          <w:noProof/>
        </w:rPr>
        <w:tab/>
        <w:t xml:space="preserve">Rothman N, Skibola CF, Wang SS, et al. Genetic variation in TNF and IL10 and risk of non-Hodgkin lymphoma: A report from the InterLymph Consortium. </w:t>
      </w:r>
      <w:r w:rsidRPr="00BB3BE7">
        <w:rPr>
          <w:rFonts w:cs="Arial"/>
          <w:i/>
          <w:iCs/>
          <w:noProof/>
        </w:rPr>
        <w:t>Lancet Oncol</w:t>
      </w:r>
      <w:r w:rsidRPr="00BB3BE7">
        <w:rPr>
          <w:rFonts w:cs="Arial"/>
          <w:noProof/>
        </w:rPr>
        <w:t xml:space="preserve"> 2006;</w:t>
      </w:r>
      <w:r w:rsidRPr="00BB3BE7">
        <w:rPr>
          <w:rFonts w:cs="Arial"/>
          <w:b/>
          <w:bCs/>
          <w:noProof/>
        </w:rPr>
        <w:t>7</w:t>
      </w:r>
      <w:r w:rsidRPr="00BB3BE7">
        <w:rPr>
          <w:rFonts w:cs="Arial"/>
          <w:noProof/>
        </w:rPr>
        <w:t>:27–38.</w:t>
      </w:r>
    </w:p>
    <w:p w14:paraId="1361BCE9"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28.</w:t>
      </w:r>
      <w:r w:rsidRPr="00BB3BE7">
        <w:rPr>
          <w:rFonts w:cs="Arial"/>
          <w:noProof/>
        </w:rPr>
        <w:tab/>
        <w:t xml:space="preserve">Cerhan JR, Ansell SM, Fredericksen ZS, et al. Genetic variation in 1253 immune and inflammation genes and risk of non-Hodgkin lymphoma. </w:t>
      </w:r>
      <w:r w:rsidRPr="00BB3BE7">
        <w:rPr>
          <w:rFonts w:cs="Arial"/>
          <w:i/>
          <w:iCs/>
          <w:noProof/>
        </w:rPr>
        <w:t>Blood</w:t>
      </w:r>
      <w:r w:rsidRPr="00BB3BE7">
        <w:rPr>
          <w:rFonts w:cs="Arial"/>
          <w:noProof/>
        </w:rPr>
        <w:t xml:space="preserve"> 2007;</w:t>
      </w:r>
      <w:r w:rsidRPr="00BB3BE7">
        <w:rPr>
          <w:rFonts w:cs="Arial"/>
          <w:b/>
          <w:bCs/>
          <w:noProof/>
        </w:rPr>
        <w:t>110</w:t>
      </w:r>
      <w:r w:rsidRPr="00BB3BE7">
        <w:rPr>
          <w:rFonts w:cs="Arial"/>
          <w:noProof/>
        </w:rPr>
        <w:t>:4455–63.</w:t>
      </w:r>
    </w:p>
    <w:p w14:paraId="2798FBA8"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29.</w:t>
      </w:r>
      <w:r w:rsidRPr="00BB3BE7">
        <w:rPr>
          <w:rFonts w:cs="Arial"/>
          <w:noProof/>
        </w:rPr>
        <w:tab/>
        <w:t xml:space="preserve">Cerhan JR, Fredericksen ZS, Novak AJ, et al. A two-stage evaluation of genetic variation in immune and inflammation genes with risk of non-Hodgkin lymphoma identifies new susceptibility locus in 6p21.3 region. </w:t>
      </w:r>
      <w:r w:rsidRPr="00BB3BE7">
        <w:rPr>
          <w:rFonts w:cs="Arial"/>
          <w:i/>
          <w:iCs/>
          <w:noProof/>
        </w:rPr>
        <w:t>Cancer Epidemiol Biomarkers Prev</w:t>
      </w:r>
      <w:r w:rsidRPr="00BB3BE7">
        <w:rPr>
          <w:rFonts w:cs="Arial"/>
          <w:noProof/>
        </w:rPr>
        <w:t xml:space="preserve"> 2012;</w:t>
      </w:r>
      <w:r w:rsidRPr="00BB3BE7">
        <w:rPr>
          <w:rFonts w:cs="Arial"/>
          <w:b/>
          <w:bCs/>
          <w:noProof/>
        </w:rPr>
        <w:t>21</w:t>
      </w:r>
      <w:r w:rsidRPr="00BB3BE7">
        <w:rPr>
          <w:rFonts w:cs="Arial"/>
          <w:noProof/>
        </w:rPr>
        <w:t>:1799–806.</w:t>
      </w:r>
    </w:p>
    <w:p w14:paraId="32FB1AAC"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30.</w:t>
      </w:r>
      <w:r w:rsidRPr="00BB3BE7">
        <w:rPr>
          <w:rFonts w:cs="Arial"/>
          <w:noProof/>
        </w:rPr>
        <w:tab/>
        <w:t xml:space="preserve">Besson H, Brennan P, Becker N, et al. Tobacco smoking, alcohol drinking and non-Hodgkin’s lymphoma: A European multicenter case-control study (Epilymph). </w:t>
      </w:r>
      <w:r w:rsidRPr="00BB3BE7">
        <w:rPr>
          <w:rFonts w:cs="Arial"/>
          <w:i/>
          <w:iCs/>
          <w:noProof/>
        </w:rPr>
        <w:t>Int J Cancer</w:t>
      </w:r>
      <w:r w:rsidRPr="00BB3BE7">
        <w:rPr>
          <w:rFonts w:cs="Arial"/>
          <w:noProof/>
        </w:rPr>
        <w:t xml:space="preserve"> 2006;</w:t>
      </w:r>
      <w:r w:rsidRPr="00BB3BE7">
        <w:rPr>
          <w:rFonts w:cs="Arial"/>
          <w:b/>
          <w:bCs/>
          <w:noProof/>
        </w:rPr>
        <w:t>119</w:t>
      </w:r>
      <w:r w:rsidRPr="00BB3BE7">
        <w:rPr>
          <w:rFonts w:cs="Arial"/>
          <w:noProof/>
        </w:rPr>
        <w:t>:901–8.</w:t>
      </w:r>
    </w:p>
    <w:p w14:paraId="663B0CA0"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31.</w:t>
      </w:r>
      <w:r w:rsidRPr="00BB3BE7">
        <w:rPr>
          <w:rFonts w:cs="Arial"/>
          <w:noProof/>
        </w:rPr>
        <w:tab/>
        <w:t xml:space="preserve">Becker N, Fortuny J, Alvaro T, et al. Medical history and risk of lymphoma: Results of a European case-control study (EPILYMPH). </w:t>
      </w:r>
      <w:r w:rsidRPr="00BB3BE7">
        <w:rPr>
          <w:rFonts w:cs="Arial"/>
          <w:i/>
          <w:iCs/>
          <w:noProof/>
        </w:rPr>
        <w:t>J Cancer Res Clin Oncol</w:t>
      </w:r>
      <w:r w:rsidRPr="00BB3BE7">
        <w:rPr>
          <w:rFonts w:cs="Arial"/>
          <w:noProof/>
        </w:rPr>
        <w:t xml:space="preserve"> 2009;</w:t>
      </w:r>
      <w:r w:rsidRPr="00BB3BE7">
        <w:rPr>
          <w:rFonts w:cs="Arial"/>
          <w:b/>
          <w:bCs/>
          <w:noProof/>
        </w:rPr>
        <w:t>135</w:t>
      </w:r>
      <w:r w:rsidRPr="00BB3BE7">
        <w:rPr>
          <w:rFonts w:cs="Arial"/>
          <w:noProof/>
        </w:rPr>
        <w:t>:1099–107.</w:t>
      </w:r>
    </w:p>
    <w:p w14:paraId="026055A8"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lastRenderedPageBreak/>
        <w:t>32.</w:t>
      </w:r>
      <w:r w:rsidRPr="00BB3BE7">
        <w:rPr>
          <w:rFonts w:cs="Arial"/>
          <w:noProof/>
        </w:rPr>
        <w:tab/>
        <w:t xml:space="preserve">Cerhan JR, Fredericksen ZS, Wang AH, et al. Design and validity of a clinic-based case-control study on the molecular epidemiology of lymphoma. </w:t>
      </w:r>
      <w:r w:rsidRPr="00BB3BE7">
        <w:rPr>
          <w:rFonts w:cs="Arial"/>
          <w:i/>
          <w:iCs/>
          <w:noProof/>
        </w:rPr>
        <w:t>Int J Mol Epidemiol Genet</w:t>
      </w:r>
      <w:r w:rsidRPr="00BB3BE7">
        <w:rPr>
          <w:rFonts w:cs="Arial"/>
          <w:noProof/>
        </w:rPr>
        <w:t xml:space="preserve"> 2011;</w:t>
      </w:r>
      <w:r w:rsidRPr="00BB3BE7">
        <w:rPr>
          <w:rFonts w:cs="Arial"/>
          <w:b/>
          <w:bCs/>
          <w:noProof/>
        </w:rPr>
        <w:t>2</w:t>
      </w:r>
      <w:r w:rsidRPr="00BB3BE7">
        <w:rPr>
          <w:rFonts w:cs="Arial"/>
          <w:noProof/>
        </w:rPr>
        <w:t>:95–113.</w:t>
      </w:r>
    </w:p>
    <w:p w14:paraId="44C2C75A"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33.</w:t>
      </w:r>
      <w:r w:rsidRPr="00BB3BE7">
        <w:rPr>
          <w:rFonts w:cs="Arial"/>
          <w:noProof/>
        </w:rPr>
        <w:tab/>
        <w:t xml:space="preserve">Chatterjee N, Hartge P, Cerhan JR, et al. Risk of non-Hodgkin’s lymphoma and family history of lymphatic, hematologic, and other cancers. </w:t>
      </w:r>
      <w:r w:rsidRPr="00BB3BE7">
        <w:rPr>
          <w:rFonts w:cs="Arial"/>
          <w:i/>
          <w:iCs/>
          <w:noProof/>
        </w:rPr>
        <w:t>Cancer Epidemiol Biomarkers Prev</w:t>
      </w:r>
      <w:r w:rsidRPr="00BB3BE7">
        <w:rPr>
          <w:rFonts w:cs="Arial"/>
          <w:noProof/>
        </w:rPr>
        <w:t xml:space="preserve"> 2004;</w:t>
      </w:r>
      <w:r w:rsidRPr="00BB3BE7">
        <w:rPr>
          <w:rFonts w:cs="Arial"/>
          <w:b/>
          <w:bCs/>
          <w:noProof/>
        </w:rPr>
        <w:t>13</w:t>
      </w:r>
      <w:r w:rsidRPr="00BB3BE7">
        <w:rPr>
          <w:rFonts w:cs="Arial"/>
          <w:noProof/>
        </w:rPr>
        <w:t>:1415–21.</w:t>
      </w:r>
    </w:p>
    <w:p w14:paraId="7F669FCF"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34.</w:t>
      </w:r>
      <w:r w:rsidRPr="00BB3BE7">
        <w:rPr>
          <w:rFonts w:cs="Arial"/>
          <w:noProof/>
        </w:rPr>
        <w:tab/>
        <w:t xml:space="preserve">Hughes AM, Armstrong BK, Vajdic CM, et al. Sun exposure may protect against non-Hodgkin lymphoma: a case-control study. </w:t>
      </w:r>
      <w:r w:rsidRPr="00BB3BE7">
        <w:rPr>
          <w:rFonts w:cs="Arial"/>
          <w:i/>
          <w:iCs/>
          <w:noProof/>
        </w:rPr>
        <w:t>Int J Cancer</w:t>
      </w:r>
      <w:r w:rsidRPr="00BB3BE7">
        <w:rPr>
          <w:rFonts w:cs="Arial"/>
          <w:noProof/>
        </w:rPr>
        <w:t xml:space="preserve"> 2004;</w:t>
      </w:r>
      <w:r w:rsidRPr="00BB3BE7">
        <w:rPr>
          <w:rFonts w:cs="Arial"/>
          <w:b/>
          <w:bCs/>
          <w:noProof/>
        </w:rPr>
        <w:t>112</w:t>
      </w:r>
      <w:r w:rsidRPr="00BB3BE7">
        <w:rPr>
          <w:rFonts w:cs="Arial"/>
          <w:noProof/>
        </w:rPr>
        <w:t>:865–71.</w:t>
      </w:r>
    </w:p>
    <w:p w14:paraId="1F0DD06C"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35.</w:t>
      </w:r>
      <w:r w:rsidRPr="00BB3BE7">
        <w:rPr>
          <w:rFonts w:cs="Arial"/>
          <w:noProof/>
        </w:rPr>
        <w:tab/>
        <w:t xml:space="preserve">Smedby KE, Hjalgrim H, Melbye M, et al. Ultraviolet radiation exposure and risk of malignant lymphomas. </w:t>
      </w:r>
      <w:r w:rsidRPr="00BB3BE7">
        <w:rPr>
          <w:rFonts w:cs="Arial"/>
          <w:i/>
          <w:iCs/>
          <w:noProof/>
        </w:rPr>
        <w:t>J Natl Cancer Inst</w:t>
      </w:r>
      <w:r w:rsidRPr="00BB3BE7">
        <w:rPr>
          <w:rFonts w:cs="Arial"/>
          <w:noProof/>
        </w:rPr>
        <w:t xml:space="preserve"> 2005;</w:t>
      </w:r>
      <w:r w:rsidRPr="00BB3BE7">
        <w:rPr>
          <w:rFonts w:cs="Arial"/>
          <w:b/>
          <w:bCs/>
          <w:noProof/>
        </w:rPr>
        <w:t>97</w:t>
      </w:r>
      <w:r w:rsidRPr="00BB3BE7">
        <w:rPr>
          <w:rFonts w:cs="Arial"/>
          <w:noProof/>
        </w:rPr>
        <w:t>:199–209.</w:t>
      </w:r>
    </w:p>
    <w:p w14:paraId="70017B66"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36.</w:t>
      </w:r>
      <w:r w:rsidRPr="00BB3BE7">
        <w:rPr>
          <w:rFonts w:cs="Arial"/>
          <w:noProof/>
        </w:rPr>
        <w:tab/>
        <w:t xml:space="preserve">Holly EA, Lele C, Bracci PM, et al. Case-control study of non-Hodgkin’s lymphoma among women and heterosexual men in the San Francisco Bay Area, California. </w:t>
      </w:r>
      <w:r w:rsidRPr="00BB3BE7">
        <w:rPr>
          <w:rFonts w:cs="Arial"/>
          <w:i/>
          <w:iCs/>
          <w:noProof/>
        </w:rPr>
        <w:t>Am J Epidemiol</w:t>
      </w:r>
      <w:r w:rsidRPr="00BB3BE7">
        <w:rPr>
          <w:rFonts w:cs="Arial"/>
          <w:noProof/>
        </w:rPr>
        <w:t xml:space="preserve"> 1999;</w:t>
      </w:r>
      <w:r w:rsidRPr="00BB3BE7">
        <w:rPr>
          <w:rFonts w:cs="Arial"/>
          <w:b/>
          <w:bCs/>
          <w:noProof/>
        </w:rPr>
        <w:t>150</w:t>
      </w:r>
      <w:r w:rsidRPr="00BB3BE7">
        <w:rPr>
          <w:rFonts w:cs="Arial"/>
          <w:noProof/>
        </w:rPr>
        <w:t>:375–89.</w:t>
      </w:r>
    </w:p>
    <w:p w14:paraId="03E7F2CB"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37.</w:t>
      </w:r>
      <w:r w:rsidRPr="00BB3BE7">
        <w:rPr>
          <w:rFonts w:cs="Arial"/>
          <w:noProof/>
        </w:rPr>
        <w:tab/>
        <w:t xml:space="preserve">Holly EA, Bracci PM. Population-based study of non-Hodgkin lymphoma, histology, and medical history among human immunodeficiency virus-negative participants in San Francisco. </w:t>
      </w:r>
      <w:r w:rsidRPr="00BB3BE7">
        <w:rPr>
          <w:rFonts w:cs="Arial"/>
          <w:i/>
          <w:iCs/>
          <w:noProof/>
        </w:rPr>
        <w:t>Am J Epidemiol</w:t>
      </w:r>
      <w:r w:rsidRPr="00BB3BE7">
        <w:rPr>
          <w:rFonts w:cs="Arial"/>
          <w:noProof/>
        </w:rPr>
        <w:t xml:space="preserve"> 2003;</w:t>
      </w:r>
      <w:r w:rsidRPr="00BB3BE7">
        <w:rPr>
          <w:rFonts w:cs="Arial"/>
          <w:b/>
          <w:bCs/>
          <w:noProof/>
        </w:rPr>
        <w:t>158</w:t>
      </w:r>
      <w:r w:rsidRPr="00BB3BE7">
        <w:rPr>
          <w:rFonts w:cs="Arial"/>
          <w:noProof/>
        </w:rPr>
        <w:t>:316–27.</w:t>
      </w:r>
    </w:p>
    <w:p w14:paraId="7459F73C"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38.</w:t>
      </w:r>
      <w:r w:rsidRPr="00BB3BE7">
        <w:rPr>
          <w:rFonts w:cs="Arial"/>
          <w:noProof/>
        </w:rPr>
        <w:tab/>
        <w:t xml:space="preserve">Morton LM, Holford TR, Leaderer B, et al. Alcohol use and risk of non-Hodgkin’s lymphoma among Connecticut women (United States). </w:t>
      </w:r>
      <w:r w:rsidRPr="00BB3BE7">
        <w:rPr>
          <w:rFonts w:cs="Arial"/>
          <w:i/>
          <w:iCs/>
          <w:noProof/>
        </w:rPr>
        <w:t>Cancer Causes Control</w:t>
      </w:r>
      <w:r w:rsidRPr="00BB3BE7">
        <w:rPr>
          <w:rFonts w:cs="Arial"/>
          <w:noProof/>
        </w:rPr>
        <w:t xml:space="preserve"> 2003;</w:t>
      </w:r>
      <w:r w:rsidRPr="00BB3BE7">
        <w:rPr>
          <w:rFonts w:cs="Arial"/>
          <w:b/>
          <w:bCs/>
          <w:noProof/>
        </w:rPr>
        <w:t>14</w:t>
      </w:r>
      <w:r w:rsidRPr="00BB3BE7">
        <w:rPr>
          <w:rFonts w:cs="Arial"/>
          <w:noProof/>
        </w:rPr>
        <w:t>:687–94.</w:t>
      </w:r>
    </w:p>
    <w:p w14:paraId="3A6EC06B"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39.</w:t>
      </w:r>
      <w:r w:rsidRPr="00BB3BE7">
        <w:rPr>
          <w:rFonts w:cs="Arial"/>
          <w:noProof/>
        </w:rPr>
        <w:tab/>
        <w:t xml:space="preserve">Conde L, Halperin E, Akers NK, et al. Genome-wide association study of follicular lymphoma identifies a risk locus at 6p21.32. </w:t>
      </w:r>
      <w:r w:rsidRPr="00BB3BE7">
        <w:rPr>
          <w:rFonts w:cs="Arial"/>
          <w:i/>
          <w:iCs/>
          <w:noProof/>
        </w:rPr>
        <w:t>Nat Genet</w:t>
      </w:r>
      <w:r w:rsidRPr="00BB3BE7">
        <w:rPr>
          <w:rFonts w:cs="Arial"/>
          <w:noProof/>
        </w:rPr>
        <w:t xml:space="preserve"> 2010;</w:t>
      </w:r>
      <w:r w:rsidRPr="00BB3BE7">
        <w:rPr>
          <w:rFonts w:cs="Arial"/>
          <w:b/>
          <w:bCs/>
          <w:noProof/>
        </w:rPr>
        <w:t>42</w:t>
      </w:r>
      <w:r w:rsidRPr="00BB3BE7">
        <w:rPr>
          <w:rFonts w:cs="Arial"/>
          <w:noProof/>
        </w:rPr>
        <w:t>:661–4.</w:t>
      </w:r>
    </w:p>
    <w:p w14:paraId="45D89A05"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40.</w:t>
      </w:r>
      <w:r w:rsidRPr="00BB3BE7">
        <w:rPr>
          <w:rFonts w:cs="Arial"/>
          <w:noProof/>
        </w:rPr>
        <w:tab/>
        <w:t xml:space="preserve">Spinelli JJ, Ng CH, Weber J-P, et al. Organochlorines and risk of non-Hodgkin lymphoma. </w:t>
      </w:r>
      <w:r w:rsidRPr="00BB3BE7">
        <w:rPr>
          <w:rFonts w:cs="Arial"/>
          <w:i/>
          <w:iCs/>
          <w:noProof/>
        </w:rPr>
        <w:t>Int J Cancer</w:t>
      </w:r>
      <w:r w:rsidRPr="00BB3BE7">
        <w:rPr>
          <w:rFonts w:cs="Arial"/>
          <w:noProof/>
        </w:rPr>
        <w:t xml:space="preserve"> 2007;</w:t>
      </w:r>
      <w:r w:rsidRPr="00BB3BE7">
        <w:rPr>
          <w:rFonts w:cs="Arial"/>
          <w:b/>
          <w:bCs/>
          <w:noProof/>
        </w:rPr>
        <w:t>121</w:t>
      </w:r>
      <w:r w:rsidRPr="00BB3BE7">
        <w:rPr>
          <w:rFonts w:cs="Arial"/>
          <w:noProof/>
        </w:rPr>
        <w:t>:2767–75.</w:t>
      </w:r>
    </w:p>
    <w:p w14:paraId="219980CB"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41.</w:t>
      </w:r>
      <w:r w:rsidRPr="00BB3BE7">
        <w:rPr>
          <w:rFonts w:cs="Arial"/>
          <w:noProof/>
        </w:rPr>
        <w:tab/>
        <w:t xml:space="preserve">Smedby KE, Foo JN, Skibola CF, et al. GWAS of follicular lymphoma reveals allelic heterogeneity at 6p21.32 and suggests shared genetic susceptibility with diffuse large B-cell lymphoma. </w:t>
      </w:r>
      <w:r w:rsidRPr="00BB3BE7">
        <w:rPr>
          <w:rFonts w:cs="Arial"/>
          <w:i/>
          <w:iCs/>
          <w:noProof/>
        </w:rPr>
        <w:t>PLoS Genet</w:t>
      </w:r>
      <w:r w:rsidRPr="00BB3BE7">
        <w:rPr>
          <w:rFonts w:cs="Arial"/>
          <w:noProof/>
        </w:rPr>
        <w:t xml:space="preserve"> 2011;</w:t>
      </w:r>
      <w:r w:rsidRPr="00BB3BE7">
        <w:rPr>
          <w:rFonts w:cs="Arial"/>
          <w:b/>
          <w:bCs/>
          <w:noProof/>
        </w:rPr>
        <w:t>7</w:t>
      </w:r>
      <w:r w:rsidRPr="00BB3BE7">
        <w:rPr>
          <w:rFonts w:cs="Arial"/>
          <w:noProof/>
        </w:rPr>
        <w:t>.</w:t>
      </w:r>
    </w:p>
    <w:p w14:paraId="18EEB075"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42.</w:t>
      </w:r>
      <w:r w:rsidRPr="00BB3BE7">
        <w:rPr>
          <w:rFonts w:cs="Arial"/>
          <w:noProof/>
        </w:rPr>
        <w:tab/>
        <w:t xml:space="preserve">Morton LM, Turner JJ, Cerhan JR, et al. Proposed classification of lymphoid neoplasms for epidemiologic research from the Pathology Working Group of the International Lymphoma Epidemiology Consortium (InterLymph). </w:t>
      </w:r>
      <w:r w:rsidRPr="00BB3BE7">
        <w:rPr>
          <w:rFonts w:cs="Arial"/>
          <w:i/>
          <w:iCs/>
          <w:noProof/>
        </w:rPr>
        <w:t>Blood</w:t>
      </w:r>
      <w:r w:rsidRPr="00BB3BE7">
        <w:rPr>
          <w:rFonts w:cs="Arial"/>
          <w:noProof/>
        </w:rPr>
        <w:t xml:space="preserve"> </w:t>
      </w:r>
      <w:r w:rsidRPr="00BB3BE7">
        <w:rPr>
          <w:rFonts w:cs="Arial"/>
          <w:noProof/>
        </w:rPr>
        <w:lastRenderedPageBreak/>
        <w:t>2007;</w:t>
      </w:r>
      <w:r w:rsidRPr="00BB3BE7">
        <w:rPr>
          <w:rFonts w:cs="Arial"/>
          <w:b/>
          <w:bCs/>
          <w:noProof/>
        </w:rPr>
        <w:t>110</w:t>
      </w:r>
      <w:r w:rsidRPr="00BB3BE7">
        <w:rPr>
          <w:rFonts w:cs="Arial"/>
          <w:noProof/>
        </w:rPr>
        <w:t>:695–708.</w:t>
      </w:r>
    </w:p>
    <w:p w14:paraId="17F441A3"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43.</w:t>
      </w:r>
      <w:r w:rsidRPr="00BB3BE7">
        <w:rPr>
          <w:rFonts w:cs="Arial"/>
          <w:noProof/>
        </w:rPr>
        <w:tab/>
        <w:t xml:space="preserve">Turner JJ, Morton LM, Linet MS, et al. InterLymph hierarchical classification of lymphoid neoplasms for epidemiologic research based on the WHO classification (2008): Update and future directions. </w:t>
      </w:r>
      <w:r w:rsidRPr="00BB3BE7">
        <w:rPr>
          <w:rFonts w:cs="Arial"/>
          <w:i/>
          <w:iCs/>
          <w:noProof/>
        </w:rPr>
        <w:t>Blood</w:t>
      </w:r>
      <w:r w:rsidRPr="00BB3BE7">
        <w:rPr>
          <w:rFonts w:cs="Arial"/>
          <w:noProof/>
        </w:rPr>
        <w:t xml:space="preserve"> 2010;</w:t>
      </w:r>
      <w:r w:rsidRPr="00BB3BE7">
        <w:rPr>
          <w:rFonts w:cs="Arial"/>
          <w:b/>
          <w:bCs/>
          <w:noProof/>
        </w:rPr>
        <w:t>116</w:t>
      </w:r>
      <w:r w:rsidRPr="00BB3BE7">
        <w:rPr>
          <w:rFonts w:cs="Arial"/>
          <w:noProof/>
        </w:rPr>
        <w:t>.</w:t>
      </w:r>
    </w:p>
    <w:p w14:paraId="1086C87C"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44.</w:t>
      </w:r>
      <w:r w:rsidRPr="00BB3BE7">
        <w:rPr>
          <w:rFonts w:cs="Arial"/>
          <w:noProof/>
        </w:rPr>
        <w:tab/>
        <w:t>Swerdlow SH, Campo E, Harris NL, et al. WHO Classification of Tumours of Haematopoietic and Lymphoid Tissues. vol. 2. 4th ed. International Agency for Research on Cancer; 2008.</w:t>
      </w:r>
    </w:p>
    <w:p w14:paraId="1DC5EE5A"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45.</w:t>
      </w:r>
      <w:r w:rsidRPr="00BB3BE7">
        <w:rPr>
          <w:rFonts w:cs="Arial"/>
          <w:noProof/>
        </w:rPr>
        <w:tab/>
        <w:t xml:space="preserve">Johnson AD, Handsaker RE, Pulit SL, et al. SNAP: A web-based tool for identification and annotation of proxy SNPs using HapMap. </w:t>
      </w:r>
      <w:r w:rsidRPr="00BB3BE7">
        <w:rPr>
          <w:rFonts w:cs="Arial"/>
          <w:i/>
          <w:iCs/>
          <w:noProof/>
        </w:rPr>
        <w:t>Bioinformatics</w:t>
      </w:r>
      <w:r w:rsidRPr="00BB3BE7">
        <w:rPr>
          <w:rFonts w:cs="Arial"/>
          <w:noProof/>
        </w:rPr>
        <w:t xml:space="preserve"> 2008;</w:t>
      </w:r>
      <w:r w:rsidRPr="00BB3BE7">
        <w:rPr>
          <w:rFonts w:cs="Arial"/>
          <w:b/>
          <w:bCs/>
          <w:noProof/>
        </w:rPr>
        <w:t>24</w:t>
      </w:r>
      <w:r w:rsidRPr="00BB3BE7">
        <w:rPr>
          <w:rFonts w:cs="Arial"/>
          <w:noProof/>
        </w:rPr>
        <w:t>:2938–9.</w:t>
      </w:r>
    </w:p>
    <w:p w14:paraId="4D55BA1A"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46.</w:t>
      </w:r>
      <w:r w:rsidRPr="00BB3BE7">
        <w:rPr>
          <w:rFonts w:cs="Arial"/>
          <w:noProof/>
        </w:rPr>
        <w:tab/>
        <w:t xml:space="preserve">Mukherjee B, Ahn J, Gruber SB, et al. Tests for gene-environment interaction from case-control data: a novel study of type I error, power and designs. </w:t>
      </w:r>
      <w:r w:rsidRPr="00BB3BE7">
        <w:rPr>
          <w:rFonts w:cs="Arial"/>
          <w:i/>
          <w:iCs/>
          <w:noProof/>
        </w:rPr>
        <w:t>Genet Epidemiol</w:t>
      </w:r>
      <w:r w:rsidRPr="00BB3BE7">
        <w:rPr>
          <w:rFonts w:cs="Arial"/>
          <w:noProof/>
        </w:rPr>
        <w:t xml:space="preserve"> 2008;</w:t>
      </w:r>
      <w:r w:rsidRPr="00BB3BE7">
        <w:rPr>
          <w:rFonts w:cs="Arial"/>
          <w:b/>
          <w:bCs/>
          <w:noProof/>
        </w:rPr>
        <w:t>32</w:t>
      </w:r>
      <w:r w:rsidRPr="00BB3BE7">
        <w:rPr>
          <w:rFonts w:cs="Arial"/>
          <w:noProof/>
        </w:rPr>
        <w:t>:615–26.</w:t>
      </w:r>
    </w:p>
    <w:p w14:paraId="6CD15541"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47.</w:t>
      </w:r>
      <w:r w:rsidRPr="00BB3BE7">
        <w:rPr>
          <w:rFonts w:cs="Arial"/>
          <w:noProof/>
        </w:rPr>
        <w:tab/>
        <w:t>Kamerman SB. A global history of early childhood education and care. 2006.</w:t>
      </w:r>
    </w:p>
    <w:p w14:paraId="35C08857"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48.</w:t>
      </w:r>
      <w:r w:rsidRPr="00BB3BE7">
        <w:rPr>
          <w:rFonts w:cs="Arial"/>
          <w:noProof/>
        </w:rPr>
        <w:tab/>
        <w:t xml:space="preserve">Lemeshow S, Hosmer DW. A review of goodness of fit statistics for use in the development of logistic regression models. </w:t>
      </w:r>
      <w:r w:rsidRPr="00BB3BE7">
        <w:rPr>
          <w:rFonts w:cs="Arial"/>
          <w:i/>
          <w:iCs/>
          <w:noProof/>
        </w:rPr>
        <w:t>Am J Epidemiol</w:t>
      </w:r>
      <w:r w:rsidRPr="00BB3BE7">
        <w:rPr>
          <w:rFonts w:cs="Arial"/>
          <w:noProof/>
        </w:rPr>
        <w:t xml:space="preserve"> 1982;</w:t>
      </w:r>
      <w:r w:rsidRPr="00BB3BE7">
        <w:rPr>
          <w:rFonts w:cs="Arial"/>
          <w:b/>
          <w:bCs/>
          <w:noProof/>
        </w:rPr>
        <w:t>115</w:t>
      </w:r>
      <w:r w:rsidRPr="00BB3BE7">
        <w:rPr>
          <w:rFonts w:cs="Arial"/>
          <w:noProof/>
        </w:rPr>
        <w:t>:92–106.</w:t>
      </w:r>
    </w:p>
    <w:p w14:paraId="363B3079"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49.</w:t>
      </w:r>
      <w:r w:rsidRPr="00BB3BE7">
        <w:rPr>
          <w:rFonts w:cs="Arial"/>
          <w:noProof/>
        </w:rPr>
        <w:tab/>
        <w:t xml:space="preserve">Conneely KN, Boehnke M. So Many Correlated Tests, So Little Time! Rapid Adjustment of P Values for Multiple Correlated Tests. </w:t>
      </w:r>
      <w:r w:rsidRPr="00BB3BE7">
        <w:rPr>
          <w:rFonts w:cs="Arial"/>
          <w:i/>
          <w:iCs/>
          <w:noProof/>
        </w:rPr>
        <w:t>Am J Hum Genet</w:t>
      </w:r>
      <w:r w:rsidRPr="00BB3BE7">
        <w:rPr>
          <w:rFonts w:cs="Arial"/>
          <w:noProof/>
        </w:rPr>
        <w:t xml:space="preserve"> 2007;</w:t>
      </w:r>
      <w:r w:rsidRPr="00BB3BE7">
        <w:rPr>
          <w:rFonts w:cs="Arial"/>
          <w:b/>
          <w:bCs/>
          <w:noProof/>
        </w:rPr>
        <w:t>81</w:t>
      </w:r>
      <w:r w:rsidRPr="00BB3BE7">
        <w:rPr>
          <w:rFonts w:cs="Arial"/>
          <w:noProof/>
        </w:rPr>
        <w:t>:1158–68.</w:t>
      </w:r>
    </w:p>
    <w:p w14:paraId="17BF54A5"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50.</w:t>
      </w:r>
      <w:r w:rsidRPr="00BB3BE7">
        <w:rPr>
          <w:rFonts w:cs="Arial"/>
          <w:noProof/>
        </w:rPr>
        <w:tab/>
        <w:t xml:space="preserve">Pike BL, Nossal GJ. Interleukin 1 can act as a B-cell growth and differentiation factor. </w:t>
      </w:r>
      <w:r w:rsidRPr="00BB3BE7">
        <w:rPr>
          <w:rFonts w:cs="Arial"/>
          <w:i/>
          <w:iCs/>
          <w:noProof/>
        </w:rPr>
        <w:t>Proc Natl Acad Sci U S A</w:t>
      </w:r>
      <w:r w:rsidRPr="00BB3BE7">
        <w:rPr>
          <w:rFonts w:cs="Arial"/>
          <w:noProof/>
        </w:rPr>
        <w:t xml:space="preserve"> 1985;</w:t>
      </w:r>
      <w:r w:rsidRPr="00BB3BE7">
        <w:rPr>
          <w:rFonts w:cs="Arial"/>
          <w:b/>
          <w:bCs/>
          <w:noProof/>
        </w:rPr>
        <w:t>82</w:t>
      </w:r>
      <w:r w:rsidRPr="00BB3BE7">
        <w:rPr>
          <w:rFonts w:cs="Arial"/>
          <w:noProof/>
        </w:rPr>
        <w:t>:8153–7.</w:t>
      </w:r>
    </w:p>
    <w:p w14:paraId="221F0ABF"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51.</w:t>
      </w:r>
      <w:r w:rsidRPr="00BB3BE7">
        <w:rPr>
          <w:rFonts w:cs="Arial"/>
          <w:noProof/>
        </w:rPr>
        <w:tab/>
        <w:t xml:space="preserve">Lichtman AH, Chin J, Schmidt JA, et al. Role of interleukin 1 in the activation of T lymphocytes. </w:t>
      </w:r>
      <w:r w:rsidRPr="00BB3BE7">
        <w:rPr>
          <w:rFonts w:cs="Arial"/>
          <w:i/>
          <w:iCs/>
          <w:noProof/>
        </w:rPr>
        <w:t>Proc Natl Acad Sci U S A</w:t>
      </w:r>
      <w:r w:rsidRPr="00BB3BE7">
        <w:rPr>
          <w:rFonts w:cs="Arial"/>
          <w:noProof/>
        </w:rPr>
        <w:t xml:space="preserve"> 1988;</w:t>
      </w:r>
      <w:r w:rsidRPr="00BB3BE7">
        <w:rPr>
          <w:rFonts w:cs="Arial"/>
          <w:b/>
          <w:bCs/>
          <w:noProof/>
        </w:rPr>
        <w:t>85</w:t>
      </w:r>
      <w:r w:rsidRPr="00BB3BE7">
        <w:rPr>
          <w:rFonts w:cs="Arial"/>
          <w:noProof/>
        </w:rPr>
        <w:t>:9699–703.</w:t>
      </w:r>
    </w:p>
    <w:p w14:paraId="1BEBFBD5"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52.</w:t>
      </w:r>
      <w:r w:rsidRPr="00BB3BE7">
        <w:rPr>
          <w:rFonts w:cs="Arial"/>
          <w:noProof/>
        </w:rPr>
        <w:tab/>
        <w:t xml:space="preserve">Schett G, Dayer J-M, Manger B. Interleukin-1 function and role in rheumatic disease. </w:t>
      </w:r>
      <w:r w:rsidRPr="00BB3BE7">
        <w:rPr>
          <w:rFonts w:cs="Arial"/>
          <w:i/>
          <w:iCs/>
          <w:noProof/>
        </w:rPr>
        <w:t>Nat Rev Rheumatol</w:t>
      </w:r>
      <w:r w:rsidRPr="00BB3BE7">
        <w:rPr>
          <w:rFonts w:cs="Arial"/>
          <w:noProof/>
        </w:rPr>
        <w:t xml:space="preserve"> 2016;</w:t>
      </w:r>
      <w:r w:rsidRPr="00BB3BE7">
        <w:rPr>
          <w:rFonts w:cs="Arial"/>
          <w:b/>
          <w:bCs/>
          <w:noProof/>
        </w:rPr>
        <w:t>12</w:t>
      </w:r>
      <w:r w:rsidRPr="00BB3BE7">
        <w:rPr>
          <w:rFonts w:cs="Arial"/>
          <w:noProof/>
        </w:rPr>
        <w:t>:14–24.</w:t>
      </w:r>
    </w:p>
    <w:p w14:paraId="4728E7EE"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53.</w:t>
      </w:r>
      <w:r w:rsidRPr="00BB3BE7">
        <w:rPr>
          <w:rFonts w:cs="Arial"/>
          <w:noProof/>
        </w:rPr>
        <w:tab/>
        <w:t xml:space="preserve">Nambu A, Nakae S, Iwakura Y. IL-1β, but not IL-1α, is required for antigen-specific T cell activation and the induction of local inflammation in the delayed-type </w:t>
      </w:r>
      <w:r w:rsidRPr="00BB3BE7">
        <w:rPr>
          <w:rFonts w:cs="Arial"/>
          <w:noProof/>
        </w:rPr>
        <w:lastRenderedPageBreak/>
        <w:t xml:space="preserve">hypersensitivity responses. </w:t>
      </w:r>
      <w:r w:rsidRPr="00BB3BE7">
        <w:rPr>
          <w:rFonts w:cs="Arial"/>
          <w:i/>
          <w:iCs/>
          <w:noProof/>
        </w:rPr>
        <w:t>Int Immunol</w:t>
      </w:r>
      <w:r w:rsidRPr="00BB3BE7">
        <w:rPr>
          <w:rFonts w:cs="Arial"/>
          <w:noProof/>
        </w:rPr>
        <w:t xml:space="preserve"> 2006;</w:t>
      </w:r>
      <w:r w:rsidRPr="00BB3BE7">
        <w:rPr>
          <w:rFonts w:cs="Arial"/>
          <w:b/>
          <w:bCs/>
          <w:noProof/>
        </w:rPr>
        <w:t>18</w:t>
      </w:r>
      <w:r w:rsidRPr="00BB3BE7">
        <w:rPr>
          <w:rFonts w:cs="Arial"/>
          <w:noProof/>
        </w:rPr>
        <w:t>:701–12.</w:t>
      </w:r>
    </w:p>
    <w:p w14:paraId="07566F3B"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54.</w:t>
      </w:r>
      <w:r w:rsidRPr="00BB3BE7">
        <w:rPr>
          <w:rFonts w:cs="Arial"/>
          <w:noProof/>
        </w:rPr>
        <w:tab/>
        <w:t xml:space="preserve">Hackett RJ, Davis LS, Lipsky PE. Comparative effects of tumor necrosis factor-alpha and IL-1 beta on mitogen-induced T cell activation. </w:t>
      </w:r>
      <w:r w:rsidRPr="00BB3BE7">
        <w:rPr>
          <w:rFonts w:cs="Arial"/>
          <w:i/>
          <w:iCs/>
          <w:noProof/>
        </w:rPr>
        <w:t>J Immunol</w:t>
      </w:r>
      <w:r w:rsidRPr="00BB3BE7">
        <w:rPr>
          <w:rFonts w:cs="Arial"/>
          <w:noProof/>
        </w:rPr>
        <w:t xml:space="preserve"> 1988;</w:t>
      </w:r>
      <w:r w:rsidRPr="00BB3BE7">
        <w:rPr>
          <w:rFonts w:cs="Arial"/>
          <w:b/>
          <w:bCs/>
          <w:noProof/>
        </w:rPr>
        <w:t>140</w:t>
      </w:r>
      <w:r w:rsidRPr="00BB3BE7">
        <w:rPr>
          <w:rFonts w:cs="Arial"/>
          <w:noProof/>
        </w:rPr>
        <w:t>:2639–44.</w:t>
      </w:r>
    </w:p>
    <w:p w14:paraId="19F5CEC7"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55.</w:t>
      </w:r>
      <w:r w:rsidRPr="00BB3BE7">
        <w:rPr>
          <w:rFonts w:cs="Arial"/>
          <w:noProof/>
        </w:rPr>
        <w:tab/>
        <w:t>Hirbod-Mobarakeh A, Amirzargar AA, Nikbin B, et al. Immunogenetics of Cancer. Cancer Immunol, Berlin, Heidelberg: Springer Berlin Heidelberg; 2015, p. 295–341.</w:t>
      </w:r>
    </w:p>
    <w:p w14:paraId="060A5F72"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56.</w:t>
      </w:r>
      <w:r w:rsidRPr="00BB3BE7">
        <w:rPr>
          <w:rFonts w:cs="Arial"/>
          <w:noProof/>
        </w:rPr>
        <w:tab/>
        <w:t xml:space="preserve">Kasztelewicz B, Jankowska I, Pawłowska J, et al. The impact of cytokine gene polymorphisms on Epstein-Barr virus infection outcome in pediatric liver transplant recipients. </w:t>
      </w:r>
      <w:r w:rsidRPr="00BB3BE7">
        <w:rPr>
          <w:rFonts w:cs="Arial"/>
          <w:i/>
          <w:iCs/>
          <w:noProof/>
        </w:rPr>
        <w:t>J Clin Virol</w:t>
      </w:r>
      <w:r w:rsidRPr="00BB3BE7">
        <w:rPr>
          <w:rFonts w:cs="Arial"/>
          <w:noProof/>
        </w:rPr>
        <w:t xml:space="preserve"> 2012;</w:t>
      </w:r>
      <w:r w:rsidRPr="00BB3BE7">
        <w:rPr>
          <w:rFonts w:cs="Arial"/>
          <w:b/>
          <w:bCs/>
          <w:noProof/>
        </w:rPr>
        <w:t>55</w:t>
      </w:r>
      <w:r w:rsidRPr="00BB3BE7">
        <w:rPr>
          <w:rFonts w:cs="Arial"/>
          <w:noProof/>
        </w:rPr>
        <w:t>:226–32.</w:t>
      </w:r>
    </w:p>
    <w:p w14:paraId="56FC3FE6"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57.</w:t>
      </w:r>
      <w:r w:rsidRPr="00BB3BE7">
        <w:rPr>
          <w:rFonts w:cs="Arial"/>
          <w:noProof/>
        </w:rPr>
        <w:tab/>
        <w:t xml:space="preserve">Terry CF, Loukaci V, Green FR. Cooperative influence of genetic polymorphisms on interleukin 6 transcriptional regulation. </w:t>
      </w:r>
      <w:r w:rsidRPr="00BB3BE7">
        <w:rPr>
          <w:rFonts w:cs="Arial"/>
          <w:i/>
          <w:iCs/>
          <w:noProof/>
        </w:rPr>
        <w:t>J Biol Chem</w:t>
      </w:r>
      <w:r w:rsidRPr="00BB3BE7">
        <w:rPr>
          <w:rFonts w:cs="Arial"/>
          <w:noProof/>
        </w:rPr>
        <w:t xml:space="preserve"> 2000;</w:t>
      </w:r>
      <w:r w:rsidRPr="00BB3BE7">
        <w:rPr>
          <w:rFonts w:cs="Arial"/>
          <w:b/>
          <w:bCs/>
          <w:noProof/>
        </w:rPr>
        <w:t>275</w:t>
      </w:r>
      <w:r w:rsidRPr="00BB3BE7">
        <w:rPr>
          <w:rFonts w:cs="Arial"/>
          <w:noProof/>
        </w:rPr>
        <w:t>:18138–44.</w:t>
      </w:r>
    </w:p>
    <w:p w14:paraId="262C5032"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58.</w:t>
      </w:r>
      <w:r w:rsidRPr="00BB3BE7">
        <w:rPr>
          <w:rFonts w:cs="Arial"/>
          <w:noProof/>
        </w:rPr>
        <w:tab/>
        <w:t xml:space="preserve">Burger R. Impact of Interleukin-6 in hematological malignancies. </w:t>
      </w:r>
      <w:r w:rsidRPr="00BB3BE7">
        <w:rPr>
          <w:rFonts w:cs="Arial"/>
          <w:i/>
          <w:iCs/>
          <w:noProof/>
        </w:rPr>
        <w:t>Transfus Med Hemotherapy</w:t>
      </w:r>
      <w:r w:rsidRPr="00BB3BE7">
        <w:rPr>
          <w:rFonts w:cs="Arial"/>
          <w:noProof/>
        </w:rPr>
        <w:t xml:space="preserve"> 2013;</w:t>
      </w:r>
      <w:r w:rsidRPr="00BB3BE7">
        <w:rPr>
          <w:rFonts w:cs="Arial"/>
          <w:b/>
          <w:bCs/>
          <w:noProof/>
        </w:rPr>
        <w:t>40</w:t>
      </w:r>
      <w:r w:rsidRPr="00BB3BE7">
        <w:rPr>
          <w:rFonts w:cs="Arial"/>
          <w:noProof/>
        </w:rPr>
        <w:t>:336–43.</w:t>
      </w:r>
    </w:p>
    <w:p w14:paraId="0D0D4863"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59.</w:t>
      </w:r>
      <w:r w:rsidRPr="00BB3BE7">
        <w:rPr>
          <w:rFonts w:cs="Arial"/>
          <w:noProof/>
        </w:rPr>
        <w:tab/>
        <w:t xml:space="preserve">Nye FJ. Social class and infectious mononucleosis. </w:t>
      </w:r>
      <w:r w:rsidRPr="00BB3BE7">
        <w:rPr>
          <w:rFonts w:cs="Arial"/>
          <w:i/>
          <w:iCs/>
          <w:noProof/>
        </w:rPr>
        <w:t>J Hyg (Lond)</w:t>
      </w:r>
      <w:r w:rsidRPr="00BB3BE7">
        <w:rPr>
          <w:rFonts w:cs="Arial"/>
          <w:noProof/>
        </w:rPr>
        <w:t xml:space="preserve"> 1973;</w:t>
      </w:r>
      <w:r w:rsidRPr="00BB3BE7">
        <w:rPr>
          <w:rFonts w:cs="Arial"/>
          <w:b/>
          <w:bCs/>
          <w:noProof/>
        </w:rPr>
        <w:t>71</w:t>
      </w:r>
      <w:r w:rsidRPr="00BB3BE7">
        <w:rPr>
          <w:rFonts w:cs="Arial"/>
          <w:noProof/>
        </w:rPr>
        <w:t>:145–9.</w:t>
      </w:r>
    </w:p>
    <w:p w14:paraId="519EB69C"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60.</w:t>
      </w:r>
      <w:r w:rsidRPr="00BB3BE7">
        <w:rPr>
          <w:rFonts w:cs="Arial"/>
          <w:noProof/>
        </w:rPr>
        <w:tab/>
        <w:t xml:space="preserve">Lehane DE. A Seroepidemiologic Study of Infectious Mononucleosis. </w:t>
      </w:r>
      <w:r w:rsidRPr="00BB3BE7">
        <w:rPr>
          <w:rFonts w:cs="Arial"/>
          <w:i/>
          <w:iCs/>
          <w:noProof/>
        </w:rPr>
        <w:t>JAMA</w:t>
      </w:r>
      <w:r w:rsidRPr="00BB3BE7">
        <w:rPr>
          <w:rFonts w:cs="Arial"/>
          <w:noProof/>
        </w:rPr>
        <w:t xml:space="preserve"> 1970;</w:t>
      </w:r>
      <w:r w:rsidRPr="00BB3BE7">
        <w:rPr>
          <w:rFonts w:cs="Arial"/>
          <w:b/>
          <w:bCs/>
          <w:noProof/>
        </w:rPr>
        <w:t>212</w:t>
      </w:r>
      <w:r w:rsidRPr="00BB3BE7">
        <w:rPr>
          <w:rFonts w:cs="Arial"/>
          <w:noProof/>
        </w:rPr>
        <w:t>:2240.</w:t>
      </w:r>
    </w:p>
    <w:p w14:paraId="50D064CC"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61.</w:t>
      </w:r>
      <w:r w:rsidRPr="00BB3BE7">
        <w:rPr>
          <w:rFonts w:cs="Arial"/>
          <w:noProof/>
        </w:rPr>
        <w:tab/>
        <w:t xml:space="preserve">Sumaya C V, Henle W, Henle G, et al. Seroepidemiologic study of Epstein-Barr virus infections in a rural community. </w:t>
      </w:r>
      <w:r w:rsidRPr="00BB3BE7">
        <w:rPr>
          <w:rFonts w:cs="Arial"/>
          <w:i/>
          <w:iCs/>
          <w:noProof/>
        </w:rPr>
        <w:t>J Infect Dis</w:t>
      </w:r>
      <w:r w:rsidRPr="00BB3BE7">
        <w:rPr>
          <w:rFonts w:cs="Arial"/>
          <w:noProof/>
        </w:rPr>
        <w:t xml:space="preserve"> 1975;</w:t>
      </w:r>
      <w:r w:rsidRPr="00BB3BE7">
        <w:rPr>
          <w:rFonts w:cs="Arial"/>
          <w:b/>
          <w:bCs/>
          <w:noProof/>
        </w:rPr>
        <w:t>131</w:t>
      </w:r>
      <w:r w:rsidRPr="00BB3BE7">
        <w:rPr>
          <w:rFonts w:cs="Arial"/>
          <w:noProof/>
        </w:rPr>
        <w:t>:403–8.</w:t>
      </w:r>
    </w:p>
    <w:p w14:paraId="65B7D60D"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62.</w:t>
      </w:r>
      <w:r w:rsidRPr="00BB3BE7">
        <w:rPr>
          <w:rFonts w:cs="Arial"/>
          <w:noProof/>
        </w:rPr>
        <w:tab/>
        <w:t xml:space="preserve">Rostgaard K, Nielsen TR, Wohlfahrt J, et al. Sibship structure and risk of infectious mononucleosis: a population-based cohort study. </w:t>
      </w:r>
      <w:r w:rsidRPr="00BB3BE7">
        <w:rPr>
          <w:rFonts w:cs="Arial"/>
          <w:i/>
          <w:iCs/>
          <w:noProof/>
        </w:rPr>
        <w:t>Int J Epidemiol</w:t>
      </w:r>
      <w:r w:rsidRPr="00BB3BE7">
        <w:rPr>
          <w:rFonts w:cs="Arial"/>
          <w:noProof/>
        </w:rPr>
        <w:t xml:space="preserve"> 2014;</w:t>
      </w:r>
      <w:r w:rsidRPr="00BB3BE7">
        <w:rPr>
          <w:rFonts w:cs="Arial"/>
          <w:b/>
          <w:bCs/>
          <w:noProof/>
        </w:rPr>
        <w:t>43</w:t>
      </w:r>
      <w:r w:rsidRPr="00BB3BE7">
        <w:rPr>
          <w:rFonts w:cs="Arial"/>
          <w:noProof/>
        </w:rPr>
        <w:t>:1607–14.</w:t>
      </w:r>
    </w:p>
    <w:p w14:paraId="589B98CC"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63.</w:t>
      </w:r>
      <w:r w:rsidRPr="00BB3BE7">
        <w:rPr>
          <w:rFonts w:cs="Arial"/>
          <w:noProof/>
        </w:rPr>
        <w:tab/>
        <w:t xml:space="preserve">Liu Z, Fang F, Chang ET, et al. Sibship size, birth order and risk of nasopharyngeal carcinoma and infectious mononucleosis: a nationwide study in Sweden. </w:t>
      </w:r>
      <w:r w:rsidRPr="00BB3BE7">
        <w:rPr>
          <w:rFonts w:cs="Arial"/>
          <w:i/>
          <w:iCs/>
          <w:noProof/>
        </w:rPr>
        <w:t>Int J Epidemiol</w:t>
      </w:r>
      <w:r w:rsidRPr="00BB3BE7">
        <w:rPr>
          <w:rFonts w:cs="Arial"/>
          <w:noProof/>
        </w:rPr>
        <w:t xml:space="preserve"> 2016;</w:t>
      </w:r>
      <w:r w:rsidRPr="00BB3BE7">
        <w:rPr>
          <w:rFonts w:cs="Arial"/>
          <w:b/>
          <w:bCs/>
          <w:noProof/>
        </w:rPr>
        <w:t>45</w:t>
      </w:r>
      <w:r w:rsidRPr="00BB3BE7">
        <w:rPr>
          <w:rFonts w:cs="Arial"/>
          <w:noProof/>
        </w:rPr>
        <w:t>:825–34.</w:t>
      </w:r>
    </w:p>
    <w:p w14:paraId="6441AF69"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64.</w:t>
      </w:r>
      <w:r w:rsidRPr="00BB3BE7">
        <w:rPr>
          <w:rFonts w:cs="Arial"/>
          <w:noProof/>
        </w:rPr>
        <w:tab/>
        <w:t xml:space="preserve">Crawford DH, Macsween KF, Higgins CD, et al. A cohort study among university students: identification of risk factors for Epstein-Barr virus seroconversion and </w:t>
      </w:r>
      <w:r w:rsidRPr="00BB3BE7">
        <w:rPr>
          <w:rFonts w:cs="Arial"/>
          <w:noProof/>
        </w:rPr>
        <w:lastRenderedPageBreak/>
        <w:t xml:space="preserve">infectious mononucleosis. </w:t>
      </w:r>
      <w:r w:rsidRPr="00BB3BE7">
        <w:rPr>
          <w:rFonts w:cs="Arial"/>
          <w:i/>
          <w:iCs/>
          <w:noProof/>
        </w:rPr>
        <w:t>Clin Infect Dis</w:t>
      </w:r>
      <w:r w:rsidRPr="00BB3BE7">
        <w:rPr>
          <w:rFonts w:cs="Arial"/>
          <w:noProof/>
        </w:rPr>
        <w:t xml:space="preserve"> 2006;</w:t>
      </w:r>
      <w:r w:rsidRPr="00BB3BE7">
        <w:rPr>
          <w:rFonts w:cs="Arial"/>
          <w:b/>
          <w:bCs/>
          <w:noProof/>
        </w:rPr>
        <w:t>43</w:t>
      </w:r>
      <w:r w:rsidRPr="00BB3BE7">
        <w:rPr>
          <w:rFonts w:cs="Arial"/>
          <w:noProof/>
        </w:rPr>
        <w:t>:276–82.</w:t>
      </w:r>
    </w:p>
    <w:p w14:paraId="46F33F2A"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65.</w:t>
      </w:r>
      <w:r w:rsidRPr="00BB3BE7">
        <w:rPr>
          <w:rFonts w:cs="Arial"/>
          <w:noProof/>
        </w:rPr>
        <w:tab/>
        <w:t xml:space="preserve">Ramagopalan S V, Giovannoni G, Yeates DG, et al. Sex ratio of infectious mononucleosis and possible relevance to multiple sclerosis. </w:t>
      </w:r>
      <w:r w:rsidRPr="00BB3BE7">
        <w:rPr>
          <w:rFonts w:cs="Arial"/>
          <w:i/>
          <w:iCs/>
          <w:noProof/>
        </w:rPr>
        <w:t>Mult Scler J</w:t>
      </w:r>
      <w:r w:rsidRPr="00BB3BE7">
        <w:rPr>
          <w:rFonts w:cs="Arial"/>
          <w:noProof/>
        </w:rPr>
        <w:t xml:space="preserve"> 2013;</w:t>
      </w:r>
      <w:r w:rsidRPr="00BB3BE7">
        <w:rPr>
          <w:rFonts w:cs="Arial"/>
          <w:b/>
          <w:bCs/>
          <w:noProof/>
        </w:rPr>
        <w:t>19</w:t>
      </w:r>
      <w:r w:rsidRPr="00BB3BE7">
        <w:rPr>
          <w:rFonts w:cs="Arial"/>
          <w:noProof/>
        </w:rPr>
        <w:t>:359–61.</w:t>
      </w:r>
    </w:p>
    <w:p w14:paraId="7CCAF6EF"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66.</w:t>
      </w:r>
      <w:r w:rsidRPr="00BB3BE7">
        <w:rPr>
          <w:rFonts w:cs="Arial"/>
          <w:noProof/>
        </w:rPr>
        <w:tab/>
        <w:t xml:space="preserve">Petersen I, Thomas JM, Hamilton WT, et al. Risk and predictors of fatigue after infectious mononucleosis in a large primary-care cohort. </w:t>
      </w:r>
      <w:r w:rsidRPr="00BB3BE7">
        <w:rPr>
          <w:rFonts w:cs="Arial"/>
          <w:i/>
          <w:iCs/>
          <w:noProof/>
        </w:rPr>
        <w:t>QJM - Mon J Assoc Physicians</w:t>
      </w:r>
      <w:r w:rsidRPr="00BB3BE7">
        <w:rPr>
          <w:rFonts w:cs="Arial"/>
          <w:noProof/>
        </w:rPr>
        <w:t xml:space="preserve"> 2006;</w:t>
      </w:r>
      <w:r w:rsidRPr="00BB3BE7">
        <w:rPr>
          <w:rFonts w:cs="Arial"/>
          <w:b/>
          <w:bCs/>
          <w:noProof/>
        </w:rPr>
        <w:t>99</w:t>
      </w:r>
      <w:r w:rsidRPr="00BB3BE7">
        <w:rPr>
          <w:rFonts w:cs="Arial"/>
          <w:noProof/>
        </w:rPr>
        <w:t>:49–55.</w:t>
      </w:r>
    </w:p>
    <w:p w14:paraId="1170365F"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67.</w:t>
      </w:r>
      <w:r w:rsidRPr="00BB3BE7">
        <w:rPr>
          <w:rFonts w:cs="Arial"/>
          <w:noProof/>
        </w:rPr>
        <w:tab/>
        <w:t xml:space="preserve">Buchwald DS, Rea TD, Katon WJ, et al. Acute infectious mononucleosis: characteristics of patients who report failure to recover. </w:t>
      </w:r>
      <w:r w:rsidRPr="00BB3BE7">
        <w:rPr>
          <w:rFonts w:cs="Arial"/>
          <w:i/>
          <w:iCs/>
          <w:noProof/>
        </w:rPr>
        <w:t>Am J Med</w:t>
      </w:r>
      <w:r w:rsidRPr="00BB3BE7">
        <w:rPr>
          <w:rFonts w:cs="Arial"/>
          <w:noProof/>
        </w:rPr>
        <w:t xml:space="preserve"> 2000;</w:t>
      </w:r>
      <w:r w:rsidRPr="00BB3BE7">
        <w:rPr>
          <w:rFonts w:cs="Arial"/>
          <w:b/>
          <w:bCs/>
          <w:noProof/>
        </w:rPr>
        <w:t>109</w:t>
      </w:r>
      <w:r w:rsidRPr="00BB3BE7">
        <w:rPr>
          <w:rFonts w:cs="Arial"/>
          <w:noProof/>
        </w:rPr>
        <w:t>:531–7.</w:t>
      </w:r>
    </w:p>
    <w:p w14:paraId="18E2A49E"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68.</w:t>
      </w:r>
      <w:r w:rsidRPr="00BB3BE7">
        <w:rPr>
          <w:rFonts w:cs="Arial"/>
          <w:noProof/>
        </w:rPr>
        <w:tab/>
        <w:t xml:space="preserve">Macsween KF, Higgins CD, McAulay K a, et al. Infectious mononucleosis in university students in the United Kingdom: evaluation of the clinical features and consequences of the disease. </w:t>
      </w:r>
      <w:r w:rsidRPr="00BB3BE7">
        <w:rPr>
          <w:rFonts w:cs="Arial"/>
          <w:i/>
          <w:iCs/>
          <w:noProof/>
        </w:rPr>
        <w:t>Clin Infect Dis</w:t>
      </w:r>
      <w:r w:rsidRPr="00BB3BE7">
        <w:rPr>
          <w:rFonts w:cs="Arial"/>
          <w:noProof/>
        </w:rPr>
        <w:t xml:space="preserve"> 2010;</w:t>
      </w:r>
      <w:r w:rsidRPr="00BB3BE7">
        <w:rPr>
          <w:rFonts w:cs="Arial"/>
          <w:b/>
          <w:bCs/>
          <w:noProof/>
        </w:rPr>
        <w:t>50</w:t>
      </w:r>
      <w:r w:rsidRPr="00BB3BE7">
        <w:rPr>
          <w:rFonts w:cs="Arial"/>
          <w:noProof/>
        </w:rPr>
        <w:t>:699–706.</w:t>
      </w:r>
    </w:p>
    <w:p w14:paraId="49D20D86"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69.</w:t>
      </w:r>
      <w:r w:rsidRPr="00BB3BE7">
        <w:rPr>
          <w:rFonts w:cs="Arial"/>
          <w:noProof/>
        </w:rPr>
        <w:tab/>
        <w:t xml:space="preserve">Beagley KW, Gockel CM. Regulation of innate and adaptive immunity by the female sex hormones oestradiol and progesterone. </w:t>
      </w:r>
      <w:r w:rsidRPr="00BB3BE7">
        <w:rPr>
          <w:rFonts w:cs="Arial"/>
          <w:i/>
          <w:iCs/>
          <w:noProof/>
        </w:rPr>
        <w:t>FEMS Immunol Med Microbiol</w:t>
      </w:r>
      <w:r w:rsidRPr="00BB3BE7">
        <w:rPr>
          <w:rFonts w:cs="Arial"/>
          <w:noProof/>
        </w:rPr>
        <w:t xml:space="preserve"> 2003;</w:t>
      </w:r>
      <w:r w:rsidRPr="00BB3BE7">
        <w:rPr>
          <w:rFonts w:cs="Arial"/>
          <w:b/>
          <w:bCs/>
          <w:noProof/>
        </w:rPr>
        <w:t>38</w:t>
      </w:r>
      <w:r w:rsidRPr="00BB3BE7">
        <w:rPr>
          <w:rFonts w:cs="Arial"/>
          <w:noProof/>
        </w:rPr>
        <w:t>:13–22.</w:t>
      </w:r>
    </w:p>
    <w:p w14:paraId="1A5DBC80"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70.</w:t>
      </w:r>
      <w:r w:rsidRPr="00BB3BE7">
        <w:rPr>
          <w:rFonts w:cs="Arial"/>
          <w:noProof/>
        </w:rPr>
        <w:tab/>
        <w:t xml:space="preserve">Fink AL, Klein SL. Sex and Gender Impact Immune Responses to Vaccines Among the Elderly. </w:t>
      </w:r>
      <w:r w:rsidRPr="00BB3BE7">
        <w:rPr>
          <w:rFonts w:cs="Arial"/>
          <w:i/>
          <w:iCs/>
          <w:noProof/>
        </w:rPr>
        <w:t>Physiology</w:t>
      </w:r>
      <w:r w:rsidRPr="00BB3BE7">
        <w:rPr>
          <w:rFonts w:cs="Arial"/>
          <w:noProof/>
        </w:rPr>
        <w:t xml:space="preserve"> 2015;</w:t>
      </w:r>
      <w:r w:rsidRPr="00BB3BE7">
        <w:rPr>
          <w:rFonts w:cs="Arial"/>
          <w:b/>
          <w:bCs/>
          <w:noProof/>
        </w:rPr>
        <w:t>30</w:t>
      </w:r>
      <w:r w:rsidRPr="00BB3BE7">
        <w:rPr>
          <w:rFonts w:cs="Arial"/>
          <w:noProof/>
        </w:rPr>
        <w:t>:408–16.</w:t>
      </w:r>
    </w:p>
    <w:p w14:paraId="191546C8" w14:textId="77777777" w:rsidR="00BB3BE7" w:rsidRPr="00BB3BE7" w:rsidRDefault="00BB3BE7" w:rsidP="00BB3BE7">
      <w:pPr>
        <w:widowControl w:val="0"/>
        <w:autoSpaceDE w:val="0"/>
        <w:autoSpaceDN w:val="0"/>
        <w:adjustRightInd w:val="0"/>
        <w:spacing w:before="480"/>
        <w:ind w:left="640" w:hanging="640"/>
        <w:rPr>
          <w:rFonts w:cs="Arial"/>
          <w:noProof/>
        </w:rPr>
      </w:pPr>
      <w:r w:rsidRPr="00BB3BE7">
        <w:rPr>
          <w:rFonts w:cs="Arial"/>
          <w:noProof/>
        </w:rPr>
        <w:t>71.</w:t>
      </w:r>
      <w:r w:rsidRPr="00BB3BE7">
        <w:rPr>
          <w:rFonts w:cs="Arial"/>
          <w:noProof/>
        </w:rPr>
        <w:tab/>
        <w:t xml:space="preserve">Houldcroft CJ, Kellam P. Host genetics of Epstein-Barr virus infection, latency and disease. </w:t>
      </w:r>
      <w:r w:rsidRPr="00BB3BE7">
        <w:rPr>
          <w:rFonts w:cs="Arial"/>
          <w:i/>
          <w:iCs/>
          <w:noProof/>
        </w:rPr>
        <w:t>Rev Med Virol</w:t>
      </w:r>
      <w:r w:rsidRPr="00BB3BE7">
        <w:rPr>
          <w:rFonts w:cs="Arial"/>
          <w:noProof/>
        </w:rPr>
        <w:t xml:space="preserve"> 2015;</w:t>
      </w:r>
      <w:r w:rsidRPr="00BB3BE7">
        <w:rPr>
          <w:rFonts w:cs="Arial"/>
          <w:b/>
          <w:bCs/>
          <w:noProof/>
        </w:rPr>
        <w:t>25</w:t>
      </w:r>
      <w:r w:rsidRPr="00BB3BE7">
        <w:rPr>
          <w:rFonts w:cs="Arial"/>
          <w:noProof/>
        </w:rPr>
        <w:t>:71–84.</w:t>
      </w:r>
    </w:p>
    <w:p w14:paraId="7ED0101D" w14:textId="3F41C541" w:rsidR="00FC439A" w:rsidRPr="00E83343" w:rsidRDefault="00641CCC" w:rsidP="00BB3BE7">
      <w:pPr>
        <w:widowControl w:val="0"/>
        <w:autoSpaceDE w:val="0"/>
        <w:autoSpaceDN w:val="0"/>
        <w:adjustRightInd w:val="0"/>
        <w:spacing w:before="480"/>
        <w:ind w:left="640" w:hanging="640"/>
        <w:rPr>
          <w:rFonts w:cs="Arial"/>
        </w:rPr>
      </w:pPr>
      <w:r w:rsidRPr="00E83343">
        <w:rPr>
          <w:rFonts w:cs="Arial"/>
        </w:rPr>
        <w:fldChar w:fldCharType="end"/>
      </w:r>
    </w:p>
    <w:p w14:paraId="0F0718DB" w14:textId="77777777" w:rsidR="00FC439A" w:rsidRPr="00E83343" w:rsidRDefault="00FC439A" w:rsidP="00011D3F">
      <w:pPr>
        <w:rPr>
          <w:rFonts w:cs="Arial"/>
        </w:rPr>
      </w:pPr>
    </w:p>
    <w:sectPr w:rsidR="00FC439A" w:rsidRPr="00E83343" w:rsidSect="00270B8D">
      <w:pgSz w:w="12240" w:h="15840"/>
      <w:pgMar w:top="1418" w:right="1418" w:bottom="1418" w:left="1418" w:header="720" w:footer="619"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Niquelle Wadé" w:date="2019-04-25T21:12:00Z" w:initials="NW">
    <w:p w14:paraId="3AAB961D" w14:textId="15E4BED5" w:rsidR="00EC7030" w:rsidRDefault="00EC7030">
      <w:pPr>
        <w:pStyle w:val="CommentText"/>
      </w:pPr>
      <w:r>
        <w:rPr>
          <w:rStyle w:val="CommentReference"/>
        </w:rPr>
        <w:annotationRef/>
      </w:r>
      <w:r>
        <w:t>Waiting on final funding details from co-authors</w:t>
      </w:r>
    </w:p>
  </w:comment>
  <w:comment w:id="10" w:author="Niquelle Wadé" w:date="2019-04-25T21:12:00Z" w:initials="NW">
    <w:p w14:paraId="7896A564" w14:textId="1DDD7973" w:rsidR="00EC7030" w:rsidRDefault="00EC7030">
      <w:pPr>
        <w:pStyle w:val="CommentText"/>
      </w:pPr>
      <w:r>
        <w:rPr>
          <w:rStyle w:val="CommentReference"/>
        </w:rPr>
        <w:annotationRef/>
      </w:r>
      <w:r>
        <w:t>Waiting on final acknowledgement details from co-authors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AB961D" w15:done="0"/>
  <w15:commentEx w15:paraId="7896A5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B961D" w16cid:durableId="206CA12D"/>
  <w16cid:commentId w16cid:paraId="7896A564" w16cid:durableId="206CA13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C4994" w14:textId="77777777" w:rsidR="007F159A" w:rsidRDefault="007F159A" w:rsidP="0040650E">
      <w:r>
        <w:separator/>
      </w:r>
    </w:p>
    <w:p w14:paraId="2EBF8B7B" w14:textId="77777777" w:rsidR="007F159A" w:rsidRDefault="007F159A"/>
    <w:p w14:paraId="0556C9ED" w14:textId="77777777" w:rsidR="007F159A" w:rsidRDefault="007F159A"/>
    <w:p w14:paraId="6D8D2D36" w14:textId="77777777" w:rsidR="007F159A" w:rsidRDefault="007F159A"/>
    <w:p w14:paraId="5C0C5F96" w14:textId="77777777" w:rsidR="007F159A" w:rsidRDefault="007F159A"/>
  </w:endnote>
  <w:endnote w:type="continuationSeparator" w:id="0">
    <w:p w14:paraId="7E51E8C5" w14:textId="77777777" w:rsidR="007F159A" w:rsidRDefault="007F159A" w:rsidP="0040650E">
      <w:r>
        <w:continuationSeparator/>
      </w:r>
    </w:p>
    <w:p w14:paraId="275BDAF5" w14:textId="77777777" w:rsidR="007F159A" w:rsidRDefault="007F159A"/>
    <w:p w14:paraId="09EBB98E" w14:textId="77777777" w:rsidR="007F159A" w:rsidRDefault="007F159A"/>
    <w:p w14:paraId="333A3A2E" w14:textId="77777777" w:rsidR="007F159A" w:rsidRDefault="007F159A"/>
    <w:p w14:paraId="5BD6B606" w14:textId="77777777" w:rsidR="007F159A" w:rsidRDefault="007F159A"/>
  </w:endnote>
  <w:endnote w:type="continuationNotice" w:id="1">
    <w:p w14:paraId="664AF749" w14:textId="77777777" w:rsidR="007F159A" w:rsidRDefault="007F159A"/>
    <w:p w14:paraId="64FD8E93" w14:textId="77777777" w:rsidR="007F159A" w:rsidRDefault="007F159A"/>
    <w:p w14:paraId="6E537C2F" w14:textId="77777777" w:rsidR="007F159A" w:rsidRDefault="007F159A"/>
    <w:p w14:paraId="13D00EAA" w14:textId="77777777" w:rsidR="007F159A" w:rsidRDefault="007F159A"/>
    <w:p w14:paraId="2FCF3F57" w14:textId="77777777" w:rsidR="007F159A" w:rsidRDefault="007F1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A8236" w14:textId="31B0717A" w:rsidR="00E44E76" w:rsidRPr="00D575CD" w:rsidRDefault="00E44E76" w:rsidP="00D575CD">
    <w:pPr>
      <w:pStyle w:val="Footer"/>
      <w:jc w:val="right"/>
      <w:rPr>
        <w:sz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761C6" w14:textId="5A708E2A" w:rsidR="00E44E76" w:rsidRPr="00EF7273" w:rsidRDefault="00E44E76" w:rsidP="0040650E">
    <w:pPr>
      <w:pStyle w:val="Footer"/>
      <w:jc w:val="right"/>
      <w:rPr>
        <w:caps/>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99065" w14:textId="77777777" w:rsidR="007F159A" w:rsidRDefault="007F159A" w:rsidP="0040650E">
      <w:r>
        <w:separator/>
      </w:r>
    </w:p>
    <w:p w14:paraId="0BB56DCD" w14:textId="77777777" w:rsidR="007F159A" w:rsidRDefault="007F159A"/>
    <w:p w14:paraId="4A4215BB" w14:textId="77777777" w:rsidR="007F159A" w:rsidRDefault="007F159A"/>
    <w:p w14:paraId="644892FA" w14:textId="77777777" w:rsidR="007F159A" w:rsidRDefault="007F159A"/>
    <w:p w14:paraId="4F3B7E2D" w14:textId="77777777" w:rsidR="007F159A" w:rsidRDefault="007F159A"/>
  </w:footnote>
  <w:footnote w:type="continuationSeparator" w:id="0">
    <w:p w14:paraId="7CD490BC" w14:textId="77777777" w:rsidR="007F159A" w:rsidRDefault="007F159A" w:rsidP="0040650E">
      <w:r>
        <w:continuationSeparator/>
      </w:r>
    </w:p>
    <w:p w14:paraId="01C18904" w14:textId="77777777" w:rsidR="007F159A" w:rsidRDefault="007F159A"/>
    <w:p w14:paraId="78B216B9" w14:textId="77777777" w:rsidR="007F159A" w:rsidRDefault="007F159A"/>
    <w:p w14:paraId="631EA0DB" w14:textId="77777777" w:rsidR="007F159A" w:rsidRDefault="007F159A"/>
    <w:p w14:paraId="290DE6D3" w14:textId="77777777" w:rsidR="007F159A" w:rsidRDefault="007F159A"/>
  </w:footnote>
  <w:footnote w:type="continuationNotice" w:id="1">
    <w:p w14:paraId="2898F1F2" w14:textId="77777777" w:rsidR="007F159A" w:rsidRDefault="007F159A"/>
    <w:p w14:paraId="0E868ECF" w14:textId="77777777" w:rsidR="007F159A" w:rsidRDefault="007F159A"/>
    <w:p w14:paraId="5B215006" w14:textId="77777777" w:rsidR="007F159A" w:rsidRDefault="007F159A"/>
    <w:p w14:paraId="2807D232" w14:textId="77777777" w:rsidR="007F159A" w:rsidRDefault="007F159A"/>
    <w:p w14:paraId="4F177DBD" w14:textId="77777777" w:rsidR="007F159A" w:rsidRDefault="007F159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4576" w14:textId="33CC16FF" w:rsidR="00E44E76" w:rsidRPr="008D5E54" w:rsidRDefault="00E44E76" w:rsidP="00E02A6E">
    <w:pPr>
      <w:pStyle w:val="Header"/>
      <w:framePr w:wrap="around" w:vAnchor="text" w:hAnchor="margin" w:xAlign="right" w:y="1"/>
      <w:rPr>
        <w:rStyle w:val="PageNumber"/>
        <w:sz w:val="20"/>
      </w:rPr>
    </w:pPr>
    <w:r w:rsidRPr="008D5E54">
      <w:rPr>
        <w:rStyle w:val="PageNumber"/>
        <w:sz w:val="20"/>
      </w:rPr>
      <w:fldChar w:fldCharType="begin"/>
    </w:r>
    <w:r w:rsidRPr="008D5E54">
      <w:rPr>
        <w:rStyle w:val="PageNumber"/>
        <w:sz w:val="20"/>
      </w:rPr>
      <w:instrText xml:space="preserve">PAGE  </w:instrText>
    </w:r>
    <w:r w:rsidRPr="008D5E54">
      <w:rPr>
        <w:rStyle w:val="PageNumber"/>
        <w:sz w:val="20"/>
      </w:rPr>
      <w:fldChar w:fldCharType="separate"/>
    </w:r>
    <w:r w:rsidR="00B451CD">
      <w:rPr>
        <w:rStyle w:val="PageNumber"/>
        <w:noProof/>
        <w:sz w:val="20"/>
      </w:rPr>
      <w:t>25</w:t>
    </w:r>
    <w:r w:rsidRPr="008D5E54">
      <w:rPr>
        <w:rStyle w:val="PageNumber"/>
        <w:sz w:val="20"/>
      </w:rPr>
      <w:fldChar w:fldCharType="end"/>
    </w:r>
  </w:p>
  <w:p w14:paraId="17FA9E5B" w14:textId="6539C48A" w:rsidR="00E44E76" w:rsidRPr="00EE6233" w:rsidRDefault="00E44E76" w:rsidP="00E02A6E">
    <w:pPr>
      <w:pStyle w:val="Header"/>
      <w:ind w:right="360"/>
      <w:jc w:val="righ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7EED"/>
    <w:multiLevelType w:val="hybridMultilevel"/>
    <w:tmpl w:val="E054748A"/>
    <w:lvl w:ilvl="0" w:tplc="6292E81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12AA5"/>
    <w:multiLevelType w:val="hybridMultilevel"/>
    <w:tmpl w:val="51CC6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84A26"/>
    <w:multiLevelType w:val="hybridMultilevel"/>
    <w:tmpl w:val="4420D162"/>
    <w:lvl w:ilvl="0" w:tplc="CF0EC19E">
      <w:numFmt w:val="bullet"/>
      <w:lvlText w:val="-"/>
      <w:lvlJc w:val="left"/>
      <w:pPr>
        <w:ind w:left="720" w:hanging="360"/>
      </w:pPr>
      <w:rPr>
        <w:rFonts w:ascii="Arial" w:eastAsiaTheme="minorEastAsia"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6740F"/>
    <w:multiLevelType w:val="multilevel"/>
    <w:tmpl w:val="79DA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E6B74"/>
    <w:multiLevelType w:val="hybridMultilevel"/>
    <w:tmpl w:val="2BC6C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B20B5"/>
    <w:multiLevelType w:val="hybridMultilevel"/>
    <w:tmpl w:val="E0EA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ja-JP" w:vendorID="64" w:dllVersion="6" w:nlCheck="1" w:checkStyle="1"/>
  <w:activeWritingStyle w:appName="MSWord" w:lang="en-US" w:vendorID="64" w:dllVersion="131078" w:nlCheck="1" w:checkStyle="0"/>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0&lt;/ScanUnformatted&gt;&lt;ScanChanges&gt;0&lt;/ScanChanges&gt;&lt;Suspended&gt;1&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fddsf2psae5sdxeevs65x9awrdetvzd9svz9&quot;&gt;Niquelle EndNote Library&lt;record-ids&gt;&lt;item&gt;269&lt;/item&gt;&lt;item&gt;407&lt;/item&gt;&lt;item&gt;410&lt;/item&gt;&lt;item&gt;411&lt;/item&gt;&lt;item&gt;412&lt;/item&gt;&lt;item&gt;413&lt;/item&gt;&lt;item&gt;414&lt;/item&gt;&lt;item&gt;415&lt;/item&gt;&lt;item&gt;416&lt;/item&gt;&lt;item&gt;421&lt;/item&gt;&lt;item&gt;422&lt;/item&gt;&lt;item&gt;424&lt;/item&gt;&lt;item&gt;443&lt;/item&gt;&lt;item&gt;444&lt;/item&gt;&lt;item&gt;445&lt;/item&gt;&lt;item&gt;447&lt;/item&gt;&lt;item&gt;454&lt;/item&gt;&lt;item&gt;456&lt;/item&gt;&lt;item&gt;457&lt;/item&gt;&lt;item&gt;458&lt;/item&gt;&lt;item&gt;459&lt;/item&gt;&lt;item&gt;460&lt;/item&gt;&lt;item&gt;461&lt;/item&gt;&lt;item&gt;462&lt;/item&gt;&lt;item&gt;463&lt;/item&gt;&lt;item&gt;464&lt;/item&gt;&lt;item&gt;466&lt;/item&gt;&lt;item&gt;467&lt;/item&gt;&lt;item&gt;468&lt;/item&gt;&lt;item&gt;469&lt;/item&gt;&lt;item&gt;471&lt;/item&gt;&lt;item&gt;472&lt;/item&gt;&lt;item&gt;473&lt;/item&gt;&lt;item&gt;474&lt;/item&gt;&lt;item&gt;475&lt;/item&gt;&lt;item&gt;476&lt;/item&gt;&lt;item&gt;477&lt;/item&gt;&lt;item&gt;478&lt;/item&gt;&lt;item&gt;483&lt;/item&gt;&lt;item&gt;484&lt;/item&gt;&lt;item&gt;485&lt;/item&gt;&lt;item&gt;486&lt;/item&gt;&lt;item&gt;487&lt;/item&gt;&lt;item&gt;488&lt;/item&gt;&lt;item&gt;491&lt;/item&gt;&lt;item&gt;492&lt;/item&gt;&lt;item&gt;493&lt;/item&gt;&lt;item&gt;497&lt;/item&gt;&lt;item&gt;498&lt;/item&gt;&lt;item&gt;499&lt;/item&gt;&lt;item&gt;500&lt;/item&gt;&lt;item&gt;501&lt;/item&gt;&lt;item&gt;502&lt;/item&gt;&lt;item&gt;503&lt;/item&gt;&lt;item&gt;506&lt;/item&gt;&lt;item&gt;508&lt;/item&gt;&lt;item&gt;509&lt;/item&gt;&lt;item&gt;510&lt;/item&gt;&lt;item&gt;511&lt;/item&gt;&lt;item&gt;513&lt;/item&gt;&lt;item&gt;514&lt;/item&gt;&lt;item&gt;515&lt;/item&gt;&lt;item&gt;516&lt;/item&gt;&lt;item&gt;517&lt;/item&gt;&lt;item&gt;526&lt;/item&gt;&lt;/record-ids&gt;&lt;/item&gt;&lt;/Libraries&gt;"/>
  </w:docVars>
  <w:rsids>
    <w:rsidRoot w:val="005408BE"/>
    <w:rsid w:val="000011A4"/>
    <w:rsid w:val="000017F1"/>
    <w:rsid w:val="00003636"/>
    <w:rsid w:val="000037B3"/>
    <w:rsid w:val="00003BA0"/>
    <w:rsid w:val="000052A9"/>
    <w:rsid w:val="00006037"/>
    <w:rsid w:val="00007190"/>
    <w:rsid w:val="00007344"/>
    <w:rsid w:val="000075BE"/>
    <w:rsid w:val="00007B76"/>
    <w:rsid w:val="00011558"/>
    <w:rsid w:val="00011D3F"/>
    <w:rsid w:val="00016077"/>
    <w:rsid w:val="0001634C"/>
    <w:rsid w:val="00017257"/>
    <w:rsid w:val="00017DA5"/>
    <w:rsid w:val="00020FC1"/>
    <w:rsid w:val="00022A8E"/>
    <w:rsid w:val="00024B76"/>
    <w:rsid w:val="00026D89"/>
    <w:rsid w:val="00030C7D"/>
    <w:rsid w:val="0003112D"/>
    <w:rsid w:val="00032301"/>
    <w:rsid w:val="00032D69"/>
    <w:rsid w:val="000352FF"/>
    <w:rsid w:val="00036F9B"/>
    <w:rsid w:val="00037906"/>
    <w:rsid w:val="000403A4"/>
    <w:rsid w:val="00040C3C"/>
    <w:rsid w:val="0004153F"/>
    <w:rsid w:val="00043271"/>
    <w:rsid w:val="00043B50"/>
    <w:rsid w:val="00044EE2"/>
    <w:rsid w:val="00045067"/>
    <w:rsid w:val="0004614F"/>
    <w:rsid w:val="00046817"/>
    <w:rsid w:val="0004732A"/>
    <w:rsid w:val="000515AC"/>
    <w:rsid w:val="000529BD"/>
    <w:rsid w:val="000540B4"/>
    <w:rsid w:val="000551FA"/>
    <w:rsid w:val="0005641C"/>
    <w:rsid w:val="000565EF"/>
    <w:rsid w:val="00056718"/>
    <w:rsid w:val="000602E0"/>
    <w:rsid w:val="00061601"/>
    <w:rsid w:val="00064A19"/>
    <w:rsid w:val="000650BE"/>
    <w:rsid w:val="00066B8B"/>
    <w:rsid w:val="000711E2"/>
    <w:rsid w:val="000728B2"/>
    <w:rsid w:val="000743C4"/>
    <w:rsid w:val="00074D13"/>
    <w:rsid w:val="00074ECF"/>
    <w:rsid w:val="000808DF"/>
    <w:rsid w:val="00080CC9"/>
    <w:rsid w:val="00082A9A"/>
    <w:rsid w:val="000872B1"/>
    <w:rsid w:val="00087A4F"/>
    <w:rsid w:val="00087A62"/>
    <w:rsid w:val="00093182"/>
    <w:rsid w:val="00095A35"/>
    <w:rsid w:val="00095B7C"/>
    <w:rsid w:val="00095C5C"/>
    <w:rsid w:val="0009601B"/>
    <w:rsid w:val="000A04C6"/>
    <w:rsid w:val="000A1C0B"/>
    <w:rsid w:val="000A45BF"/>
    <w:rsid w:val="000A4D29"/>
    <w:rsid w:val="000A597E"/>
    <w:rsid w:val="000A647F"/>
    <w:rsid w:val="000A6FB1"/>
    <w:rsid w:val="000B0FAF"/>
    <w:rsid w:val="000B15F7"/>
    <w:rsid w:val="000B51CF"/>
    <w:rsid w:val="000C0F0A"/>
    <w:rsid w:val="000C120B"/>
    <w:rsid w:val="000C235A"/>
    <w:rsid w:val="000C2424"/>
    <w:rsid w:val="000C31B7"/>
    <w:rsid w:val="000C379A"/>
    <w:rsid w:val="000C4ED3"/>
    <w:rsid w:val="000C55AB"/>
    <w:rsid w:val="000C62D5"/>
    <w:rsid w:val="000C7191"/>
    <w:rsid w:val="000C77B8"/>
    <w:rsid w:val="000C7C8B"/>
    <w:rsid w:val="000C7F41"/>
    <w:rsid w:val="000D00AB"/>
    <w:rsid w:val="000D10FE"/>
    <w:rsid w:val="000D1867"/>
    <w:rsid w:val="000D21D9"/>
    <w:rsid w:val="000D22B9"/>
    <w:rsid w:val="000D2AFB"/>
    <w:rsid w:val="000D74C4"/>
    <w:rsid w:val="000E0CFC"/>
    <w:rsid w:val="000E2091"/>
    <w:rsid w:val="000E4855"/>
    <w:rsid w:val="000E6742"/>
    <w:rsid w:val="000F1F88"/>
    <w:rsid w:val="000F2AE7"/>
    <w:rsid w:val="000F5CE4"/>
    <w:rsid w:val="000F6462"/>
    <w:rsid w:val="000F68DB"/>
    <w:rsid w:val="000F707F"/>
    <w:rsid w:val="000F78FF"/>
    <w:rsid w:val="00103D7B"/>
    <w:rsid w:val="0010491F"/>
    <w:rsid w:val="00104F52"/>
    <w:rsid w:val="0010667A"/>
    <w:rsid w:val="00106CB1"/>
    <w:rsid w:val="001105C8"/>
    <w:rsid w:val="001105D7"/>
    <w:rsid w:val="0011080F"/>
    <w:rsid w:val="00111110"/>
    <w:rsid w:val="0011450A"/>
    <w:rsid w:val="00114C09"/>
    <w:rsid w:val="00116B9F"/>
    <w:rsid w:val="00120A0C"/>
    <w:rsid w:val="00121915"/>
    <w:rsid w:val="001243B6"/>
    <w:rsid w:val="00124C6A"/>
    <w:rsid w:val="00126FB4"/>
    <w:rsid w:val="00133314"/>
    <w:rsid w:val="001341DC"/>
    <w:rsid w:val="0013479F"/>
    <w:rsid w:val="00134EA0"/>
    <w:rsid w:val="00135F8F"/>
    <w:rsid w:val="001362D0"/>
    <w:rsid w:val="00136AE5"/>
    <w:rsid w:val="0013707D"/>
    <w:rsid w:val="00137E7C"/>
    <w:rsid w:val="00141CAB"/>
    <w:rsid w:val="00142AAD"/>
    <w:rsid w:val="00143F73"/>
    <w:rsid w:val="00144A5F"/>
    <w:rsid w:val="00144E33"/>
    <w:rsid w:val="00144F85"/>
    <w:rsid w:val="001456E8"/>
    <w:rsid w:val="00146CD8"/>
    <w:rsid w:val="001471CD"/>
    <w:rsid w:val="00147D1B"/>
    <w:rsid w:val="001520BE"/>
    <w:rsid w:val="00153581"/>
    <w:rsid w:val="001555A5"/>
    <w:rsid w:val="00155F2F"/>
    <w:rsid w:val="001602AB"/>
    <w:rsid w:val="00160435"/>
    <w:rsid w:val="00161143"/>
    <w:rsid w:val="001616BA"/>
    <w:rsid w:val="00161C07"/>
    <w:rsid w:val="00163B40"/>
    <w:rsid w:val="001650FA"/>
    <w:rsid w:val="00166E03"/>
    <w:rsid w:val="00167118"/>
    <w:rsid w:val="0017120D"/>
    <w:rsid w:val="00173130"/>
    <w:rsid w:val="00174EB4"/>
    <w:rsid w:val="00174FD3"/>
    <w:rsid w:val="00177755"/>
    <w:rsid w:val="00182342"/>
    <w:rsid w:val="001825CF"/>
    <w:rsid w:val="00183F83"/>
    <w:rsid w:val="0018483B"/>
    <w:rsid w:val="00186200"/>
    <w:rsid w:val="00186969"/>
    <w:rsid w:val="00187DB0"/>
    <w:rsid w:val="00187E0F"/>
    <w:rsid w:val="00190BC0"/>
    <w:rsid w:val="00190E39"/>
    <w:rsid w:val="00190F3F"/>
    <w:rsid w:val="00192CC3"/>
    <w:rsid w:val="0019304B"/>
    <w:rsid w:val="0019418B"/>
    <w:rsid w:val="00194FDB"/>
    <w:rsid w:val="00195021"/>
    <w:rsid w:val="00196A4D"/>
    <w:rsid w:val="00196F65"/>
    <w:rsid w:val="001A0CAB"/>
    <w:rsid w:val="001A339A"/>
    <w:rsid w:val="001A3EFF"/>
    <w:rsid w:val="001B0DA9"/>
    <w:rsid w:val="001B0DFF"/>
    <w:rsid w:val="001B1986"/>
    <w:rsid w:val="001B44D8"/>
    <w:rsid w:val="001B7318"/>
    <w:rsid w:val="001C08BB"/>
    <w:rsid w:val="001C0D2D"/>
    <w:rsid w:val="001C1966"/>
    <w:rsid w:val="001C1DAB"/>
    <w:rsid w:val="001C2B52"/>
    <w:rsid w:val="001C3724"/>
    <w:rsid w:val="001C386B"/>
    <w:rsid w:val="001C4390"/>
    <w:rsid w:val="001C4719"/>
    <w:rsid w:val="001C69F2"/>
    <w:rsid w:val="001D05AF"/>
    <w:rsid w:val="001D1081"/>
    <w:rsid w:val="001D114C"/>
    <w:rsid w:val="001D1637"/>
    <w:rsid w:val="001D1925"/>
    <w:rsid w:val="001D1B0D"/>
    <w:rsid w:val="001D5A40"/>
    <w:rsid w:val="001D76A4"/>
    <w:rsid w:val="001E0C1E"/>
    <w:rsid w:val="001E3197"/>
    <w:rsid w:val="001E525E"/>
    <w:rsid w:val="001E5717"/>
    <w:rsid w:val="001F0958"/>
    <w:rsid w:val="001F1065"/>
    <w:rsid w:val="001F1637"/>
    <w:rsid w:val="001F28B7"/>
    <w:rsid w:val="001F2DA7"/>
    <w:rsid w:val="001F5669"/>
    <w:rsid w:val="001F6A1B"/>
    <w:rsid w:val="001F6A7E"/>
    <w:rsid w:val="001F6F19"/>
    <w:rsid w:val="001F7E3A"/>
    <w:rsid w:val="00201793"/>
    <w:rsid w:val="00201AA1"/>
    <w:rsid w:val="00201B0E"/>
    <w:rsid w:val="00201C68"/>
    <w:rsid w:val="0020354B"/>
    <w:rsid w:val="00203847"/>
    <w:rsid w:val="0020462E"/>
    <w:rsid w:val="00207DB5"/>
    <w:rsid w:val="0021029F"/>
    <w:rsid w:val="00217406"/>
    <w:rsid w:val="002177F2"/>
    <w:rsid w:val="00217F7D"/>
    <w:rsid w:val="002207B7"/>
    <w:rsid w:val="0022191F"/>
    <w:rsid w:val="002221E4"/>
    <w:rsid w:val="00222621"/>
    <w:rsid w:val="00222DAB"/>
    <w:rsid w:val="00223A26"/>
    <w:rsid w:val="00226A05"/>
    <w:rsid w:val="00226B09"/>
    <w:rsid w:val="00232272"/>
    <w:rsid w:val="00235850"/>
    <w:rsid w:val="002372D5"/>
    <w:rsid w:val="00240AA3"/>
    <w:rsid w:val="00243195"/>
    <w:rsid w:val="0024507C"/>
    <w:rsid w:val="00246C20"/>
    <w:rsid w:val="0025087D"/>
    <w:rsid w:val="00250F8C"/>
    <w:rsid w:val="002521DA"/>
    <w:rsid w:val="002534B5"/>
    <w:rsid w:val="0025434C"/>
    <w:rsid w:val="00256BE0"/>
    <w:rsid w:val="00256F1A"/>
    <w:rsid w:val="00257366"/>
    <w:rsid w:val="0025759E"/>
    <w:rsid w:val="002610F3"/>
    <w:rsid w:val="00270B8D"/>
    <w:rsid w:val="00271B2A"/>
    <w:rsid w:val="00280C91"/>
    <w:rsid w:val="00281AC6"/>
    <w:rsid w:val="0028337B"/>
    <w:rsid w:val="00283C52"/>
    <w:rsid w:val="00287BA6"/>
    <w:rsid w:val="00290430"/>
    <w:rsid w:val="002911F3"/>
    <w:rsid w:val="002933A4"/>
    <w:rsid w:val="00295AA4"/>
    <w:rsid w:val="002A0DBF"/>
    <w:rsid w:val="002A0E97"/>
    <w:rsid w:val="002A56F1"/>
    <w:rsid w:val="002A6043"/>
    <w:rsid w:val="002A7834"/>
    <w:rsid w:val="002B1606"/>
    <w:rsid w:val="002B173F"/>
    <w:rsid w:val="002B18D9"/>
    <w:rsid w:val="002B1B39"/>
    <w:rsid w:val="002B1CC8"/>
    <w:rsid w:val="002B226C"/>
    <w:rsid w:val="002B26CF"/>
    <w:rsid w:val="002B30A7"/>
    <w:rsid w:val="002B53EB"/>
    <w:rsid w:val="002B545A"/>
    <w:rsid w:val="002B5971"/>
    <w:rsid w:val="002C0389"/>
    <w:rsid w:val="002C0888"/>
    <w:rsid w:val="002C2FFC"/>
    <w:rsid w:val="002C48D4"/>
    <w:rsid w:val="002C6EB5"/>
    <w:rsid w:val="002C769A"/>
    <w:rsid w:val="002D02DF"/>
    <w:rsid w:val="002D1FE1"/>
    <w:rsid w:val="002D406C"/>
    <w:rsid w:val="002D418F"/>
    <w:rsid w:val="002D54DE"/>
    <w:rsid w:val="002D61F6"/>
    <w:rsid w:val="002D6383"/>
    <w:rsid w:val="002E103E"/>
    <w:rsid w:val="002E2E71"/>
    <w:rsid w:val="002E5E00"/>
    <w:rsid w:val="002F1D17"/>
    <w:rsid w:val="002F2923"/>
    <w:rsid w:val="002F371D"/>
    <w:rsid w:val="002F4362"/>
    <w:rsid w:val="002F4A15"/>
    <w:rsid w:val="002F4DD8"/>
    <w:rsid w:val="002F54F4"/>
    <w:rsid w:val="002F68AC"/>
    <w:rsid w:val="002F7990"/>
    <w:rsid w:val="00302240"/>
    <w:rsid w:val="003034D9"/>
    <w:rsid w:val="00303C40"/>
    <w:rsid w:val="0030484C"/>
    <w:rsid w:val="003071E5"/>
    <w:rsid w:val="00307AB6"/>
    <w:rsid w:val="0031038E"/>
    <w:rsid w:val="00310E07"/>
    <w:rsid w:val="0031336F"/>
    <w:rsid w:val="00314204"/>
    <w:rsid w:val="00314E97"/>
    <w:rsid w:val="003162ED"/>
    <w:rsid w:val="003207B4"/>
    <w:rsid w:val="00321C9E"/>
    <w:rsid w:val="00321E97"/>
    <w:rsid w:val="00322F57"/>
    <w:rsid w:val="00323354"/>
    <w:rsid w:val="0032406D"/>
    <w:rsid w:val="00324746"/>
    <w:rsid w:val="00324E56"/>
    <w:rsid w:val="00327AE8"/>
    <w:rsid w:val="003311EB"/>
    <w:rsid w:val="003321AE"/>
    <w:rsid w:val="00333FCA"/>
    <w:rsid w:val="003365DE"/>
    <w:rsid w:val="00336615"/>
    <w:rsid w:val="00340406"/>
    <w:rsid w:val="00342190"/>
    <w:rsid w:val="00344C64"/>
    <w:rsid w:val="00346A51"/>
    <w:rsid w:val="00351950"/>
    <w:rsid w:val="0035270B"/>
    <w:rsid w:val="00354371"/>
    <w:rsid w:val="003549A8"/>
    <w:rsid w:val="003558D8"/>
    <w:rsid w:val="00357405"/>
    <w:rsid w:val="00361226"/>
    <w:rsid w:val="00362D5B"/>
    <w:rsid w:val="00364AB1"/>
    <w:rsid w:val="00365B95"/>
    <w:rsid w:val="00370A18"/>
    <w:rsid w:val="0037100A"/>
    <w:rsid w:val="00371C6C"/>
    <w:rsid w:val="0037245F"/>
    <w:rsid w:val="0037586B"/>
    <w:rsid w:val="0038147E"/>
    <w:rsid w:val="00381488"/>
    <w:rsid w:val="0038381E"/>
    <w:rsid w:val="00383ABA"/>
    <w:rsid w:val="00383DFE"/>
    <w:rsid w:val="00386C66"/>
    <w:rsid w:val="00390ED4"/>
    <w:rsid w:val="00391311"/>
    <w:rsid w:val="00393BB7"/>
    <w:rsid w:val="00397113"/>
    <w:rsid w:val="003A01A2"/>
    <w:rsid w:val="003A23F9"/>
    <w:rsid w:val="003A3F98"/>
    <w:rsid w:val="003A6955"/>
    <w:rsid w:val="003B2461"/>
    <w:rsid w:val="003B2895"/>
    <w:rsid w:val="003B4479"/>
    <w:rsid w:val="003B5361"/>
    <w:rsid w:val="003B59AC"/>
    <w:rsid w:val="003B6080"/>
    <w:rsid w:val="003B6412"/>
    <w:rsid w:val="003B756C"/>
    <w:rsid w:val="003C077C"/>
    <w:rsid w:val="003C1053"/>
    <w:rsid w:val="003C3920"/>
    <w:rsid w:val="003C52B0"/>
    <w:rsid w:val="003C52B4"/>
    <w:rsid w:val="003C5AF9"/>
    <w:rsid w:val="003C7FFE"/>
    <w:rsid w:val="003D037E"/>
    <w:rsid w:val="003D051C"/>
    <w:rsid w:val="003D17F7"/>
    <w:rsid w:val="003D26FD"/>
    <w:rsid w:val="003D2830"/>
    <w:rsid w:val="003D493F"/>
    <w:rsid w:val="003D4FAE"/>
    <w:rsid w:val="003D6937"/>
    <w:rsid w:val="003D754D"/>
    <w:rsid w:val="003D75E1"/>
    <w:rsid w:val="003D7AB3"/>
    <w:rsid w:val="003E2E1F"/>
    <w:rsid w:val="003E48B3"/>
    <w:rsid w:val="003E6912"/>
    <w:rsid w:val="003E7D30"/>
    <w:rsid w:val="003F052B"/>
    <w:rsid w:val="003F0A93"/>
    <w:rsid w:val="003F0ECC"/>
    <w:rsid w:val="003F33CE"/>
    <w:rsid w:val="003F3C2A"/>
    <w:rsid w:val="003F47EC"/>
    <w:rsid w:val="003F6D5F"/>
    <w:rsid w:val="00400ED1"/>
    <w:rsid w:val="00403711"/>
    <w:rsid w:val="0040553F"/>
    <w:rsid w:val="0040650E"/>
    <w:rsid w:val="004067D0"/>
    <w:rsid w:val="004071B6"/>
    <w:rsid w:val="00411A5A"/>
    <w:rsid w:val="00415611"/>
    <w:rsid w:val="00415878"/>
    <w:rsid w:val="00422209"/>
    <w:rsid w:val="00422E51"/>
    <w:rsid w:val="004241ED"/>
    <w:rsid w:val="00424802"/>
    <w:rsid w:val="004260AD"/>
    <w:rsid w:val="00426751"/>
    <w:rsid w:val="004272A9"/>
    <w:rsid w:val="0042752A"/>
    <w:rsid w:val="00430D2E"/>
    <w:rsid w:val="00431A4A"/>
    <w:rsid w:val="00431A7D"/>
    <w:rsid w:val="004322B3"/>
    <w:rsid w:val="00435E0C"/>
    <w:rsid w:val="0043632D"/>
    <w:rsid w:val="00440833"/>
    <w:rsid w:val="00442212"/>
    <w:rsid w:val="004424E3"/>
    <w:rsid w:val="00442CC3"/>
    <w:rsid w:val="00443A4B"/>
    <w:rsid w:val="00445FB8"/>
    <w:rsid w:val="00446C4D"/>
    <w:rsid w:val="00447FE6"/>
    <w:rsid w:val="004504DD"/>
    <w:rsid w:val="00450BDF"/>
    <w:rsid w:val="00450F0B"/>
    <w:rsid w:val="00451E86"/>
    <w:rsid w:val="00452F94"/>
    <w:rsid w:val="0045401E"/>
    <w:rsid w:val="00455651"/>
    <w:rsid w:val="004608E2"/>
    <w:rsid w:val="00461E29"/>
    <w:rsid w:val="004631B1"/>
    <w:rsid w:val="00463806"/>
    <w:rsid w:val="00472054"/>
    <w:rsid w:val="004720E3"/>
    <w:rsid w:val="0047450D"/>
    <w:rsid w:val="0047531B"/>
    <w:rsid w:val="00475DA4"/>
    <w:rsid w:val="004760FD"/>
    <w:rsid w:val="00477AF6"/>
    <w:rsid w:val="00481A15"/>
    <w:rsid w:val="00483AD6"/>
    <w:rsid w:val="00486CE4"/>
    <w:rsid w:val="00487C75"/>
    <w:rsid w:val="0049212F"/>
    <w:rsid w:val="00493DD9"/>
    <w:rsid w:val="004943BC"/>
    <w:rsid w:val="0049448B"/>
    <w:rsid w:val="00495E42"/>
    <w:rsid w:val="00495FAF"/>
    <w:rsid w:val="00497136"/>
    <w:rsid w:val="004A0CA5"/>
    <w:rsid w:val="004A0F60"/>
    <w:rsid w:val="004A1A66"/>
    <w:rsid w:val="004A1AE7"/>
    <w:rsid w:val="004A33FE"/>
    <w:rsid w:val="004A42B6"/>
    <w:rsid w:val="004A4891"/>
    <w:rsid w:val="004A5081"/>
    <w:rsid w:val="004A7866"/>
    <w:rsid w:val="004B02A2"/>
    <w:rsid w:val="004B19AF"/>
    <w:rsid w:val="004B2E71"/>
    <w:rsid w:val="004B2F04"/>
    <w:rsid w:val="004B31DA"/>
    <w:rsid w:val="004B4CAB"/>
    <w:rsid w:val="004B518E"/>
    <w:rsid w:val="004B5989"/>
    <w:rsid w:val="004B59C0"/>
    <w:rsid w:val="004C17EC"/>
    <w:rsid w:val="004C3BA6"/>
    <w:rsid w:val="004C429D"/>
    <w:rsid w:val="004C5C70"/>
    <w:rsid w:val="004C7DDA"/>
    <w:rsid w:val="004D02C1"/>
    <w:rsid w:val="004D0DD0"/>
    <w:rsid w:val="004D1227"/>
    <w:rsid w:val="004D13A9"/>
    <w:rsid w:val="004D3177"/>
    <w:rsid w:val="004D325D"/>
    <w:rsid w:val="004D6728"/>
    <w:rsid w:val="004D7C2E"/>
    <w:rsid w:val="004E1F71"/>
    <w:rsid w:val="004E26F1"/>
    <w:rsid w:val="004E2D06"/>
    <w:rsid w:val="004E363A"/>
    <w:rsid w:val="004E53F9"/>
    <w:rsid w:val="004F0A7B"/>
    <w:rsid w:val="004F0EEB"/>
    <w:rsid w:val="004F2C04"/>
    <w:rsid w:val="004F3203"/>
    <w:rsid w:val="004F5408"/>
    <w:rsid w:val="004F5AE6"/>
    <w:rsid w:val="004F5B62"/>
    <w:rsid w:val="004F6408"/>
    <w:rsid w:val="004F7C00"/>
    <w:rsid w:val="00500A2D"/>
    <w:rsid w:val="00504513"/>
    <w:rsid w:val="00504698"/>
    <w:rsid w:val="00504D69"/>
    <w:rsid w:val="00506475"/>
    <w:rsid w:val="00513E21"/>
    <w:rsid w:val="005143A3"/>
    <w:rsid w:val="005161E0"/>
    <w:rsid w:val="00520C9D"/>
    <w:rsid w:val="0052421A"/>
    <w:rsid w:val="00524274"/>
    <w:rsid w:val="00524E91"/>
    <w:rsid w:val="005251E6"/>
    <w:rsid w:val="005253D2"/>
    <w:rsid w:val="0052623A"/>
    <w:rsid w:val="005303DF"/>
    <w:rsid w:val="00531C75"/>
    <w:rsid w:val="0053232A"/>
    <w:rsid w:val="005361DA"/>
    <w:rsid w:val="0053787C"/>
    <w:rsid w:val="005408BE"/>
    <w:rsid w:val="00543BC8"/>
    <w:rsid w:val="00543FD4"/>
    <w:rsid w:val="005457B0"/>
    <w:rsid w:val="00545D40"/>
    <w:rsid w:val="005478CB"/>
    <w:rsid w:val="00550C0F"/>
    <w:rsid w:val="00555256"/>
    <w:rsid w:val="0055725A"/>
    <w:rsid w:val="00557433"/>
    <w:rsid w:val="00560E9F"/>
    <w:rsid w:val="00561BD2"/>
    <w:rsid w:val="0056395A"/>
    <w:rsid w:val="005648C3"/>
    <w:rsid w:val="00566BFA"/>
    <w:rsid w:val="00567288"/>
    <w:rsid w:val="005672C0"/>
    <w:rsid w:val="005709C6"/>
    <w:rsid w:val="00570F98"/>
    <w:rsid w:val="00572DFC"/>
    <w:rsid w:val="0057360B"/>
    <w:rsid w:val="00574180"/>
    <w:rsid w:val="00575309"/>
    <w:rsid w:val="0057536E"/>
    <w:rsid w:val="00580085"/>
    <w:rsid w:val="00580E6A"/>
    <w:rsid w:val="00582370"/>
    <w:rsid w:val="00585B8B"/>
    <w:rsid w:val="00585E38"/>
    <w:rsid w:val="005862E9"/>
    <w:rsid w:val="00587C3E"/>
    <w:rsid w:val="005911EA"/>
    <w:rsid w:val="00592955"/>
    <w:rsid w:val="00592DAE"/>
    <w:rsid w:val="00592EE4"/>
    <w:rsid w:val="00593579"/>
    <w:rsid w:val="00594D56"/>
    <w:rsid w:val="00594FEB"/>
    <w:rsid w:val="0059604A"/>
    <w:rsid w:val="00596E88"/>
    <w:rsid w:val="0059736F"/>
    <w:rsid w:val="00597639"/>
    <w:rsid w:val="005A28EE"/>
    <w:rsid w:val="005A2909"/>
    <w:rsid w:val="005A3FAA"/>
    <w:rsid w:val="005A4389"/>
    <w:rsid w:val="005A5B98"/>
    <w:rsid w:val="005A757E"/>
    <w:rsid w:val="005A7E2D"/>
    <w:rsid w:val="005B0314"/>
    <w:rsid w:val="005B1725"/>
    <w:rsid w:val="005B18FB"/>
    <w:rsid w:val="005B1E06"/>
    <w:rsid w:val="005B315E"/>
    <w:rsid w:val="005B473F"/>
    <w:rsid w:val="005B4846"/>
    <w:rsid w:val="005B5643"/>
    <w:rsid w:val="005B6191"/>
    <w:rsid w:val="005B7653"/>
    <w:rsid w:val="005C187A"/>
    <w:rsid w:val="005C23F1"/>
    <w:rsid w:val="005C38C9"/>
    <w:rsid w:val="005C3BA8"/>
    <w:rsid w:val="005C4543"/>
    <w:rsid w:val="005C6FB8"/>
    <w:rsid w:val="005C792B"/>
    <w:rsid w:val="005C797C"/>
    <w:rsid w:val="005D1297"/>
    <w:rsid w:val="005D3EA5"/>
    <w:rsid w:val="005D5733"/>
    <w:rsid w:val="005D6DCC"/>
    <w:rsid w:val="005D75EF"/>
    <w:rsid w:val="005D7968"/>
    <w:rsid w:val="005E0131"/>
    <w:rsid w:val="005E0976"/>
    <w:rsid w:val="005E1009"/>
    <w:rsid w:val="005E1638"/>
    <w:rsid w:val="005E472F"/>
    <w:rsid w:val="005E52A0"/>
    <w:rsid w:val="005E595A"/>
    <w:rsid w:val="005E6CD0"/>
    <w:rsid w:val="005E7DD7"/>
    <w:rsid w:val="005F019B"/>
    <w:rsid w:val="005F2958"/>
    <w:rsid w:val="005F3410"/>
    <w:rsid w:val="005F35CB"/>
    <w:rsid w:val="005F44A1"/>
    <w:rsid w:val="005F4767"/>
    <w:rsid w:val="005F4976"/>
    <w:rsid w:val="00604052"/>
    <w:rsid w:val="006044F7"/>
    <w:rsid w:val="0060479F"/>
    <w:rsid w:val="00611089"/>
    <w:rsid w:val="00611D07"/>
    <w:rsid w:val="0061301C"/>
    <w:rsid w:val="00613165"/>
    <w:rsid w:val="00614158"/>
    <w:rsid w:val="00615975"/>
    <w:rsid w:val="00616583"/>
    <w:rsid w:val="00620475"/>
    <w:rsid w:val="006219FC"/>
    <w:rsid w:val="006225C8"/>
    <w:rsid w:val="00622E10"/>
    <w:rsid w:val="006233C8"/>
    <w:rsid w:val="00627562"/>
    <w:rsid w:val="0063324D"/>
    <w:rsid w:val="00633C71"/>
    <w:rsid w:val="00634C5E"/>
    <w:rsid w:val="00635046"/>
    <w:rsid w:val="00637FFE"/>
    <w:rsid w:val="00641CCC"/>
    <w:rsid w:val="00642F46"/>
    <w:rsid w:val="00645113"/>
    <w:rsid w:val="00645478"/>
    <w:rsid w:val="00645761"/>
    <w:rsid w:val="006458E2"/>
    <w:rsid w:val="0064675B"/>
    <w:rsid w:val="00646ADA"/>
    <w:rsid w:val="0064794C"/>
    <w:rsid w:val="00647993"/>
    <w:rsid w:val="00647A0C"/>
    <w:rsid w:val="00650F42"/>
    <w:rsid w:val="00651E47"/>
    <w:rsid w:val="006520FE"/>
    <w:rsid w:val="00652665"/>
    <w:rsid w:val="0065422C"/>
    <w:rsid w:val="00654337"/>
    <w:rsid w:val="00654D8D"/>
    <w:rsid w:val="006554F4"/>
    <w:rsid w:val="00656D0A"/>
    <w:rsid w:val="006600E6"/>
    <w:rsid w:val="006618C4"/>
    <w:rsid w:val="00661970"/>
    <w:rsid w:val="00662332"/>
    <w:rsid w:val="00664684"/>
    <w:rsid w:val="00665AEF"/>
    <w:rsid w:val="00666B12"/>
    <w:rsid w:val="00670ACC"/>
    <w:rsid w:val="00670BE2"/>
    <w:rsid w:val="006712AB"/>
    <w:rsid w:val="006771F0"/>
    <w:rsid w:val="00677F6E"/>
    <w:rsid w:val="00680833"/>
    <w:rsid w:val="0068315C"/>
    <w:rsid w:val="00687156"/>
    <w:rsid w:val="006957B9"/>
    <w:rsid w:val="00695825"/>
    <w:rsid w:val="00695AC0"/>
    <w:rsid w:val="00696B26"/>
    <w:rsid w:val="00696BB6"/>
    <w:rsid w:val="006A01CA"/>
    <w:rsid w:val="006A022D"/>
    <w:rsid w:val="006A0AC5"/>
    <w:rsid w:val="006A17F3"/>
    <w:rsid w:val="006A52FD"/>
    <w:rsid w:val="006A6B77"/>
    <w:rsid w:val="006B10BA"/>
    <w:rsid w:val="006B1781"/>
    <w:rsid w:val="006B2751"/>
    <w:rsid w:val="006B3B65"/>
    <w:rsid w:val="006C2E3E"/>
    <w:rsid w:val="006C5B90"/>
    <w:rsid w:val="006C6C38"/>
    <w:rsid w:val="006C6FA2"/>
    <w:rsid w:val="006D017A"/>
    <w:rsid w:val="006D0C5D"/>
    <w:rsid w:val="006D22DE"/>
    <w:rsid w:val="006D2D93"/>
    <w:rsid w:val="006D3E47"/>
    <w:rsid w:val="006D4458"/>
    <w:rsid w:val="006D5210"/>
    <w:rsid w:val="006D521A"/>
    <w:rsid w:val="006D55B5"/>
    <w:rsid w:val="006D6620"/>
    <w:rsid w:val="006D70D6"/>
    <w:rsid w:val="006E4D9F"/>
    <w:rsid w:val="006E4EAC"/>
    <w:rsid w:val="006E6133"/>
    <w:rsid w:val="006F2BA3"/>
    <w:rsid w:val="006F38EA"/>
    <w:rsid w:val="006F6F42"/>
    <w:rsid w:val="00700389"/>
    <w:rsid w:val="00702494"/>
    <w:rsid w:val="00703A51"/>
    <w:rsid w:val="00703BC1"/>
    <w:rsid w:val="00704FFF"/>
    <w:rsid w:val="00710011"/>
    <w:rsid w:val="007117E6"/>
    <w:rsid w:val="00711FA7"/>
    <w:rsid w:val="007154B5"/>
    <w:rsid w:val="00720074"/>
    <w:rsid w:val="0072078D"/>
    <w:rsid w:val="00720D97"/>
    <w:rsid w:val="00721B55"/>
    <w:rsid w:val="00722A4D"/>
    <w:rsid w:val="00723678"/>
    <w:rsid w:val="0072463B"/>
    <w:rsid w:val="0072745A"/>
    <w:rsid w:val="00730C41"/>
    <w:rsid w:val="007336FE"/>
    <w:rsid w:val="0073413B"/>
    <w:rsid w:val="007346A9"/>
    <w:rsid w:val="0073495E"/>
    <w:rsid w:val="007365C6"/>
    <w:rsid w:val="00737C98"/>
    <w:rsid w:val="00737E63"/>
    <w:rsid w:val="00743077"/>
    <w:rsid w:val="007441B6"/>
    <w:rsid w:val="0074576B"/>
    <w:rsid w:val="00746546"/>
    <w:rsid w:val="00747D6A"/>
    <w:rsid w:val="0075240E"/>
    <w:rsid w:val="007528ED"/>
    <w:rsid w:val="00752E6A"/>
    <w:rsid w:val="00754AEC"/>
    <w:rsid w:val="00754C0F"/>
    <w:rsid w:val="00755789"/>
    <w:rsid w:val="00757035"/>
    <w:rsid w:val="00757364"/>
    <w:rsid w:val="007607A5"/>
    <w:rsid w:val="00761464"/>
    <w:rsid w:val="00762360"/>
    <w:rsid w:val="007635AA"/>
    <w:rsid w:val="007678C9"/>
    <w:rsid w:val="00774CDC"/>
    <w:rsid w:val="0077766F"/>
    <w:rsid w:val="0078130E"/>
    <w:rsid w:val="0078285A"/>
    <w:rsid w:val="00782B37"/>
    <w:rsid w:val="007830D0"/>
    <w:rsid w:val="00785128"/>
    <w:rsid w:val="00785D32"/>
    <w:rsid w:val="0079115E"/>
    <w:rsid w:val="00793522"/>
    <w:rsid w:val="00794260"/>
    <w:rsid w:val="0079596B"/>
    <w:rsid w:val="00796024"/>
    <w:rsid w:val="007963B5"/>
    <w:rsid w:val="00797193"/>
    <w:rsid w:val="0079787E"/>
    <w:rsid w:val="007979F0"/>
    <w:rsid w:val="007A1C42"/>
    <w:rsid w:val="007A38F6"/>
    <w:rsid w:val="007A6A08"/>
    <w:rsid w:val="007A78F6"/>
    <w:rsid w:val="007B61C0"/>
    <w:rsid w:val="007C0546"/>
    <w:rsid w:val="007C239B"/>
    <w:rsid w:val="007C277E"/>
    <w:rsid w:val="007C3687"/>
    <w:rsid w:val="007C4A0D"/>
    <w:rsid w:val="007C78B5"/>
    <w:rsid w:val="007C7D35"/>
    <w:rsid w:val="007C7FBD"/>
    <w:rsid w:val="007D2704"/>
    <w:rsid w:val="007D2891"/>
    <w:rsid w:val="007D3A29"/>
    <w:rsid w:val="007D3F4C"/>
    <w:rsid w:val="007D6BB4"/>
    <w:rsid w:val="007E1DE6"/>
    <w:rsid w:val="007E293A"/>
    <w:rsid w:val="007E3A95"/>
    <w:rsid w:val="007E451A"/>
    <w:rsid w:val="007E5C8D"/>
    <w:rsid w:val="007E5F83"/>
    <w:rsid w:val="007F0D0E"/>
    <w:rsid w:val="007F159A"/>
    <w:rsid w:val="007F1E6A"/>
    <w:rsid w:val="007F2EA8"/>
    <w:rsid w:val="007F34CE"/>
    <w:rsid w:val="007F36D3"/>
    <w:rsid w:val="007F4E79"/>
    <w:rsid w:val="007F52AF"/>
    <w:rsid w:val="007F65AE"/>
    <w:rsid w:val="007F772C"/>
    <w:rsid w:val="007F7B2F"/>
    <w:rsid w:val="0080430A"/>
    <w:rsid w:val="00805D55"/>
    <w:rsid w:val="0080657C"/>
    <w:rsid w:val="00807EBD"/>
    <w:rsid w:val="00810657"/>
    <w:rsid w:val="00810D76"/>
    <w:rsid w:val="00815C6E"/>
    <w:rsid w:val="00815FAC"/>
    <w:rsid w:val="00816475"/>
    <w:rsid w:val="0082194F"/>
    <w:rsid w:val="00823AF3"/>
    <w:rsid w:val="00823C70"/>
    <w:rsid w:val="008251DF"/>
    <w:rsid w:val="008261C1"/>
    <w:rsid w:val="00826AF3"/>
    <w:rsid w:val="00827735"/>
    <w:rsid w:val="00827D04"/>
    <w:rsid w:val="00830C67"/>
    <w:rsid w:val="008322E8"/>
    <w:rsid w:val="00832CD5"/>
    <w:rsid w:val="00835A68"/>
    <w:rsid w:val="00837B26"/>
    <w:rsid w:val="00840136"/>
    <w:rsid w:val="00841685"/>
    <w:rsid w:val="00843427"/>
    <w:rsid w:val="00847912"/>
    <w:rsid w:val="008502EA"/>
    <w:rsid w:val="00852B9F"/>
    <w:rsid w:val="00857636"/>
    <w:rsid w:val="008628B0"/>
    <w:rsid w:val="00863C73"/>
    <w:rsid w:val="00867B4A"/>
    <w:rsid w:val="00870473"/>
    <w:rsid w:val="00873200"/>
    <w:rsid w:val="00874D8F"/>
    <w:rsid w:val="00874EDC"/>
    <w:rsid w:val="00874FAC"/>
    <w:rsid w:val="008779BF"/>
    <w:rsid w:val="00877B5B"/>
    <w:rsid w:val="0088095B"/>
    <w:rsid w:val="00883C5C"/>
    <w:rsid w:val="00883C92"/>
    <w:rsid w:val="008840B5"/>
    <w:rsid w:val="00884774"/>
    <w:rsid w:val="0088480C"/>
    <w:rsid w:val="0088591B"/>
    <w:rsid w:val="00887B34"/>
    <w:rsid w:val="00890EA7"/>
    <w:rsid w:val="008937B2"/>
    <w:rsid w:val="0089500D"/>
    <w:rsid w:val="0089565E"/>
    <w:rsid w:val="00896DF5"/>
    <w:rsid w:val="00896E1C"/>
    <w:rsid w:val="00897E59"/>
    <w:rsid w:val="008A0E64"/>
    <w:rsid w:val="008A43C0"/>
    <w:rsid w:val="008A6109"/>
    <w:rsid w:val="008A6EF7"/>
    <w:rsid w:val="008A7D03"/>
    <w:rsid w:val="008B0432"/>
    <w:rsid w:val="008B1D12"/>
    <w:rsid w:val="008B304D"/>
    <w:rsid w:val="008B4DBE"/>
    <w:rsid w:val="008B5745"/>
    <w:rsid w:val="008B6FB4"/>
    <w:rsid w:val="008B7635"/>
    <w:rsid w:val="008C0A1E"/>
    <w:rsid w:val="008C0CF9"/>
    <w:rsid w:val="008C1AEB"/>
    <w:rsid w:val="008C29ED"/>
    <w:rsid w:val="008C3682"/>
    <w:rsid w:val="008C384E"/>
    <w:rsid w:val="008C5CC7"/>
    <w:rsid w:val="008D1CFD"/>
    <w:rsid w:val="008D2387"/>
    <w:rsid w:val="008D2BEF"/>
    <w:rsid w:val="008D381C"/>
    <w:rsid w:val="008E0543"/>
    <w:rsid w:val="008E0F9B"/>
    <w:rsid w:val="008E2C76"/>
    <w:rsid w:val="008E319D"/>
    <w:rsid w:val="008E4BB1"/>
    <w:rsid w:val="008E58AF"/>
    <w:rsid w:val="008F2CAB"/>
    <w:rsid w:val="008F2D33"/>
    <w:rsid w:val="008F4928"/>
    <w:rsid w:val="008F6873"/>
    <w:rsid w:val="0090063C"/>
    <w:rsid w:val="00903025"/>
    <w:rsid w:val="009057A8"/>
    <w:rsid w:val="009061D6"/>
    <w:rsid w:val="00910831"/>
    <w:rsid w:val="00910C5B"/>
    <w:rsid w:val="00913199"/>
    <w:rsid w:val="009132A0"/>
    <w:rsid w:val="009138A7"/>
    <w:rsid w:val="00913EBF"/>
    <w:rsid w:val="00914A46"/>
    <w:rsid w:val="0091663F"/>
    <w:rsid w:val="00916E82"/>
    <w:rsid w:val="00920D50"/>
    <w:rsid w:val="00921323"/>
    <w:rsid w:val="00923207"/>
    <w:rsid w:val="00926515"/>
    <w:rsid w:val="00927304"/>
    <w:rsid w:val="0093028D"/>
    <w:rsid w:val="009306FA"/>
    <w:rsid w:val="0093429D"/>
    <w:rsid w:val="00937061"/>
    <w:rsid w:val="009373C8"/>
    <w:rsid w:val="0093798A"/>
    <w:rsid w:val="009416EE"/>
    <w:rsid w:val="009429DA"/>
    <w:rsid w:val="0094322D"/>
    <w:rsid w:val="009432F6"/>
    <w:rsid w:val="00944273"/>
    <w:rsid w:val="00944A71"/>
    <w:rsid w:val="0094538F"/>
    <w:rsid w:val="00945854"/>
    <w:rsid w:val="0094727D"/>
    <w:rsid w:val="00947404"/>
    <w:rsid w:val="00947EE3"/>
    <w:rsid w:val="009501A0"/>
    <w:rsid w:val="009509EA"/>
    <w:rsid w:val="00950A97"/>
    <w:rsid w:val="0095306B"/>
    <w:rsid w:val="00954142"/>
    <w:rsid w:val="009555BE"/>
    <w:rsid w:val="009558A4"/>
    <w:rsid w:val="00956680"/>
    <w:rsid w:val="00956C9B"/>
    <w:rsid w:val="00956F69"/>
    <w:rsid w:val="009570FD"/>
    <w:rsid w:val="00957665"/>
    <w:rsid w:val="00957EE4"/>
    <w:rsid w:val="00957F75"/>
    <w:rsid w:val="00965610"/>
    <w:rsid w:val="009657E0"/>
    <w:rsid w:val="009660F5"/>
    <w:rsid w:val="0096647A"/>
    <w:rsid w:val="00966859"/>
    <w:rsid w:val="009675EA"/>
    <w:rsid w:val="00970659"/>
    <w:rsid w:val="00972180"/>
    <w:rsid w:val="009736B1"/>
    <w:rsid w:val="00975F71"/>
    <w:rsid w:val="0097729A"/>
    <w:rsid w:val="00980C7A"/>
    <w:rsid w:val="00981E12"/>
    <w:rsid w:val="00981F44"/>
    <w:rsid w:val="009837AB"/>
    <w:rsid w:val="00983EED"/>
    <w:rsid w:val="00984443"/>
    <w:rsid w:val="00986CD5"/>
    <w:rsid w:val="009876DC"/>
    <w:rsid w:val="009925FC"/>
    <w:rsid w:val="00993E35"/>
    <w:rsid w:val="00994B2F"/>
    <w:rsid w:val="00994C82"/>
    <w:rsid w:val="00994E69"/>
    <w:rsid w:val="00995238"/>
    <w:rsid w:val="00995DC4"/>
    <w:rsid w:val="00997EED"/>
    <w:rsid w:val="009A0284"/>
    <w:rsid w:val="009A4347"/>
    <w:rsid w:val="009A7709"/>
    <w:rsid w:val="009B038D"/>
    <w:rsid w:val="009B1215"/>
    <w:rsid w:val="009B1EFC"/>
    <w:rsid w:val="009B262D"/>
    <w:rsid w:val="009B2FE8"/>
    <w:rsid w:val="009B3B31"/>
    <w:rsid w:val="009B6EF0"/>
    <w:rsid w:val="009B75C0"/>
    <w:rsid w:val="009C07DD"/>
    <w:rsid w:val="009C16A8"/>
    <w:rsid w:val="009C4EA6"/>
    <w:rsid w:val="009C6F44"/>
    <w:rsid w:val="009C7446"/>
    <w:rsid w:val="009D153F"/>
    <w:rsid w:val="009D345B"/>
    <w:rsid w:val="009D4E68"/>
    <w:rsid w:val="009D5306"/>
    <w:rsid w:val="009D56AB"/>
    <w:rsid w:val="009D6348"/>
    <w:rsid w:val="009E10BC"/>
    <w:rsid w:val="009E1880"/>
    <w:rsid w:val="009E337D"/>
    <w:rsid w:val="009E382D"/>
    <w:rsid w:val="009E41BF"/>
    <w:rsid w:val="009E5E62"/>
    <w:rsid w:val="009F0093"/>
    <w:rsid w:val="009F01D9"/>
    <w:rsid w:val="009F109F"/>
    <w:rsid w:val="009F199B"/>
    <w:rsid w:val="009F437B"/>
    <w:rsid w:val="009F45A3"/>
    <w:rsid w:val="009F46FC"/>
    <w:rsid w:val="00A00481"/>
    <w:rsid w:val="00A02456"/>
    <w:rsid w:val="00A03500"/>
    <w:rsid w:val="00A05960"/>
    <w:rsid w:val="00A075C3"/>
    <w:rsid w:val="00A07A85"/>
    <w:rsid w:val="00A1115B"/>
    <w:rsid w:val="00A11BDD"/>
    <w:rsid w:val="00A1264E"/>
    <w:rsid w:val="00A15969"/>
    <w:rsid w:val="00A15FC8"/>
    <w:rsid w:val="00A17802"/>
    <w:rsid w:val="00A1795B"/>
    <w:rsid w:val="00A17D60"/>
    <w:rsid w:val="00A215D8"/>
    <w:rsid w:val="00A23126"/>
    <w:rsid w:val="00A23139"/>
    <w:rsid w:val="00A241BE"/>
    <w:rsid w:val="00A24668"/>
    <w:rsid w:val="00A26044"/>
    <w:rsid w:val="00A3000E"/>
    <w:rsid w:val="00A30761"/>
    <w:rsid w:val="00A310E4"/>
    <w:rsid w:val="00A33653"/>
    <w:rsid w:val="00A345EF"/>
    <w:rsid w:val="00A35102"/>
    <w:rsid w:val="00A354D9"/>
    <w:rsid w:val="00A35B43"/>
    <w:rsid w:val="00A35E67"/>
    <w:rsid w:val="00A36858"/>
    <w:rsid w:val="00A370C3"/>
    <w:rsid w:val="00A40824"/>
    <w:rsid w:val="00A412C0"/>
    <w:rsid w:val="00A42034"/>
    <w:rsid w:val="00A42715"/>
    <w:rsid w:val="00A4274F"/>
    <w:rsid w:val="00A43E91"/>
    <w:rsid w:val="00A4418B"/>
    <w:rsid w:val="00A464B9"/>
    <w:rsid w:val="00A47098"/>
    <w:rsid w:val="00A505C4"/>
    <w:rsid w:val="00A57A2E"/>
    <w:rsid w:val="00A60495"/>
    <w:rsid w:val="00A606C3"/>
    <w:rsid w:val="00A61196"/>
    <w:rsid w:val="00A6125D"/>
    <w:rsid w:val="00A61A05"/>
    <w:rsid w:val="00A6204F"/>
    <w:rsid w:val="00A626CE"/>
    <w:rsid w:val="00A62D9A"/>
    <w:rsid w:val="00A6374B"/>
    <w:rsid w:val="00A646F1"/>
    <w:rsid w:val="00A70CEF"/>
    <w:rsid w:val="00A7199C"/>
    <w:rsid w:val="00A723C4"/>
    <w:rsid w:val="00A72C84"/>
    <w:rsid w:val="00A74F38"/>
    <w:rsid w:val="00A76F4F"/>
    <w:rsid w:val="00A77719"/>
    <w:rsid w:val="00A77C55"/>
    <w:rsid w:val="00A8114A"/>
    <w:rsid w:val="00A81584"/>
    <w:rsid w:val="00A82A59"/>
    <w:rsid w:val="00A83547"/>
    <w:rsid w:val="00A848CA"/>
    <w:rsid w:val="00A84E4E"/>
    <w:rsid w:val="00A860BC"/>
    <w:rsid w:val="00A87AB7"/>
    <w:rsid w:val="00A904D7"/>
    <w:rsid w:val="00A90693"/>
    <w:rsid w:val="00A929FA"/>
    <w:rsid w:val="00A944B2"/>
    <w:rsid w:val="00A96C10"/>
    <w:rsid w:val="00A97176"/>
    <w:rsid w:val="00A97DBE"/>
    <w:rsid w:val="00A97F2A"/>
    <w:rsid w:val="00AA259D"/>
    <w:rsid w:val="00AA50F4"/>
    <w:rsid w:val="00AA5ED5"/>
    <w:rsid w:val="00AA68A8"/>
    <w:rsid w:val="00AB0371"/>
    <w:rsid w:val="00AB1157"/>
    <w:rsid w:val="00AB1987"/>
    <w:rsid w:val="00AB2859"/>
    <w:rsid w:val="00AB382B"/>
    <w:rsid w:val="00AB389C"/>
    <w:rsid w:val="00AB50CB"/>
    <w:rsid w:val="00AB55F0"/>
    <w:rsid w:val="00AB77BE"/>
    <w:rsid w:val="00AC0646"/>
    <w:rsid w:val="00AC1905"/>
    <w:rsid w:val="00AC1B91"/>
    <w:rsid w:val="00AC3605"/>
    <w:rsid w:val="00AC3CB5"/>
    <w:rsid w:val="00AC5396"/>
    <w:rsid w:val="00AC7989"/>
    <w:rsid w:val="00AC7D9E"/>
    <w:rsid w:val="00AC7E9B"/>
    <w:rsid w:val="00AD0D0E"/>
    <w:rsid w:val="00AD1E17"/>
    <w:rsid w:val="00AD1E96"/>
    <w:rsid w:val="00AD34A9"/>
    <w:rsid w:val="00AD6415"/>
    <w:rsid w:val="00AE0574"/>
    <w:rsid w:val="00AE27FF"/>
    <w:rsid w:val="00AE3B78"/>
    <w:rsid w:val="00AE3DA3"/>
    <w:rsid w:val="00AE6404"/>
    <w:rsid w:val="00AE66AD"/>
    <w:rsid w:val="00AE68BB"/>
    <w:rsid w:val="00AE7262"/>
    <w:rsid w:val="00AE7C42"/>
    <w:rsid w:val="00AF0B37"/>
    <w:rsid w:val="00AF0E5A"/>
    <w:rsid w:val="00AF2C5B"/>
    <w:rsid w:val="00AF602E"/>
    <w:rsid w:val="00AF6D03"/>
    <w:rsid w:val="00B00436"/>
    <w:rsid w:val="00B01E1C"/>
    <w:rsid w:val="00B03F00"/>
    <w:rsid w:val="00B04A87"/>
    <w:rsid w:val="00B04DB6"/>
    <w:rsid w:val="00B05623"/>
    <w:rsid w:val="00B06A3A"/>
    <w:rsid w:val="00B06E70"/>
    <w:rsid w:val="00B10E01"/>
    <w:rsid w:val="00B111DA"/>
    <w:rsid w:val="00B12F52"/>
    <w:rsid w:val="00B1586A"/>
    <w:rsid w:val="00B15DB1"/>
    <w:rsid w:val="00B17143"/>
    <w:rsid w:val="00B20079"/>
    <w:rsid w:val="00B2256A"/>
    <w:rsid w:val="00B254F1"/>
    <w:rsid w:val="00B26EAC"/>
    <w:rsid w:val="00B31114"/>
    <w:rsid w:val="00B33362"/>
    <w:rsid w:val="00B349BC"/>
    <w:rsid w:val="00B363BA"/>
    <w:rsid w:val="00B373E7"/>
    <w:rsid w:val="00B40125"/>
    <w:rsid w:val="00B41713"/>
    <w:rsid w:val="00B417EB"/>
    <w:rsid w:val="00B41AC0"/>
    <w:rsid w:val="00B451CD"/>
    <w:rsid w:val="00B4580C"/>
    <w:rsid w:val="00B51E95"/>
    <w:rsid w:val="00B5298B"/>
    <w:rsid w:val="00B53377"/>
    <w:rsid w:val="00B53BDE"/>
    <w:rsid w:val="00B54523"/>
    <w:rsid w:val="00B571BE"/>
    <w:rsid w:val="00B57ADE"/>
    <w:rsid w:val="00B57D06"/>
    <w:rsid w:val="00B60609"/>
    <w:rsid w:val="00B60953"/>
    <w:rsid w:val="00B611D5"/>
    <w:rsid w:val="00B62499"/>
    <w:rsid w:val="00B63501"/>
    <w:rsid w:val="00B67003"/>
    <w:rsid w:val="00B6797A"/>
    <w:rsid w:val="00B67AA5"/>
    <w:rsid w:val="00B726E0"/>
    <w:rsid w:val="00B72EB9"/>
    <w:rsid w:val="00B74FCA"/>
    <w:rsid w:val="00B75206"/>
    <w:rsid w:val="00B76E36"/>
    <w:rsid w:val="00B850EF"/>
    <w:rsid w:val="00B8559D"/>
    <w:rsid w:val="00B87D28"/>
    <w:rsid w:val="00B9024C"/>
    <w:rsid w:val="00B90CDB"/>
    <w:rsid w:val="00B926AB"/>
    <w:rsid w:val="00B9357D"/>
    <w:rsid w:val="00B94701"/>
    <w:rsid w:val="00B955AE"/>
    <w:rsid w:val="00B956AE"/>
    <w:rsid w:val="00B96342"/>
    <w:rsid w:val="00BA314E"/>
    <w:rsid w:val="00BA33DB"/>
    <w:rsid w:val="00BA3849"/>
    <w:rsid w:val="00BA47A5"/>
    <w:rsid w:val="00BA4C93"/>
    <w:rsid w:val="00BA60D0"/>
    <w:rsid w:val="00BA6776"/>
    <w:rsid w:val="00BA6918"/>
    <w:rsid w:val="00BA7421"/>
    <w:rsid w:val="00BA7BCA"/>
    <w:rsid w:val="00BB1332"/>
    <w:rsid w:val="00BB3BE7"/>
    <w:rsid w:val="00BB44E1"/>
    <w:rsid w:val="00BC0EE3"/>
    <w:rsid w:val="00BC1262"/>
    <w:rsid w:val="00BC1F21"/>
    <w:rsid w:val="00BC6C3A"/>
    <w:rsid w:val="00BC6C44"/>
    <w:rsid w:val="00BD1B36"/>
    <w:rsid w:val="00BD2A0A"/>
    <w:rsid w:val="00BD3ED7"/>
    <w:rsid w:val="00BD499B"/>
    <w:rsid w:val="00BD4FBD"/>
    <w:rsid w:val="00BD5515"/>
    <w:rsid w:val="00BE042C"/>
    <w:rsid w:val="00BE24D4"/>
    <w:rsid w:val="00BE3F08"/>
    <w:rsid w:val="00BE3F44"/>
    <w:rsid w:val="00BE5B47"/>
    <w:rsid w:val="00BE631F"/>
    <w:rsid w:val="00BE665F"/>
    <w:rsid w:val="00BE70F1"/>
    <w:rsid w:val="00BF1B2F"/>
    <w:rsid w:val="00BF1D58"/>
    <w:rsid w:val="00BF2297"/>
    <w:rsid w:val="00BF43CA"/>
    <w:rsid w:val="00BF479D"/>
    <w:rsid w:val="00BF5008"/>
    <w:rsid w:val="00BF543A"/>
    <w:rsid w:val="00BF6552"/>
    <w:rsid w:val="00C00145"/>
    <w:rsid w:val="00C001D9"/>
    <w:rsid w:val="00C00579"/>
    <w:rsid w:val="00C0066A"/>
    <w:rsid w:val="00C01038"/>
    <w:rsid w:val="00C03D56"/>
    <w:rsid w:val="00C04184"/>
    <w:rsid w:val="00C052A5"/>
    <w:rsid w:val="00C06C16"/>
    <w:rsid w:val="00C07215"/>
    <w:rsid w:val="00C07A26"/>
    <w:rsid w:val="00C1045F"/>
    <w:rsid w:val="00C11169"/>
    <w:rsid w:val="00C13F36"/>
    <w:rsid w:val="00C14A73"/>
    <w:rsid w:val="00C20591"/>
    <w:rsid w:val="00C22667"/>
    <w:rsid w:val="00C2578F"/>
    <w:rsid w:val="00C26CED"/>
    <w:rsid w:val="00C27449"/>
    <w:rsid w:val="00C355AC"/>
    <w:rsid w:val="00C355E3"/>
    <w:rsid w:val="00C36DAD"/>
    <w:rsid w:val="00C417FD"/>
    <w:rsid w:val="00C42119"/>
    <w:rsid w:val="00C443F4"/>
    <w:rsid w:val="00C45F13"/>
    <w:rsid w:val="00C46649"/>
    <w:rsid w:val="00C470F0"/>
    <w:rsid w:val="00C471DC"/>
    <w:rsid w:val="00C521CA"/>
    <w:rsid w:val="00C5237D"/>
    <w:rsid w:val="00C525D7"/>
    <w:rsid w:val="00C52A32"/>
    <w:rsid w:val="00C5350A"/>
    <w:rsid w:val="00C56B17"/>
    <w:rsid w:val="00C56E98"/>
    <w:rsid w:val="00C5741E"/>
    <w:rsid w:val="00C61BB7"/>
    <w:rsid w:val="00C64AED"/>
    <w:rsid w:val="00C656E0"/>
    <w:rsid w:val="00C66274"/>
    <w:rsid w:val="00C668D8"/>
    <w:rsid w:val="00C671A2"/>
    <w:rsid w:val="00C6765A"/>
    <w:rsid w:val="00C67A51"/>
    <w:rsid w:val="00C7037E"/>
    <w:rsid w:val="00C760DA"/>
    <w:rsid w:val="00C819D1"/>
    <w:rsid w:val="00C81B65"/>
    <w:rsid w:val="00C82F8F"/>
    <w:rsid w:val="00C8631E"/>
    <w:rsid w:val="00C90135"/>
    <w:rsid w:val="00C90F10"/>
    <w:rsid w:val="00C91079"/>
    <w:rsid w:val="00C9205B"/>
    <w:rsid w:val="00C9309E"/>
    <w:rsid w:val="00C96A54"/>
    <w:rsid w:val="00C96DA1"/>
    <w:rsid w:val="00C97347"/>
    <w:rsid w:val="00CA1B2E"/>
    <w:rsid w:val="00CA1EAF"/>
    <w:rsid w:val="00CA3728"/>
    <w:rsid w:val="00CA496B"/>
    <w:rsid w:val="00CA57AD"/>
    <w:rsid w:val="00CA57D4"/>
    <w:rsid w:val="00CA7C8F"/>
    <w:rsid w:val="00CB1093"/>
    <w:rsid w:val="00CB43A2"/>
    <w:rsid w:val="00CB4A3D"/>
    <w:rsid w:val="00CB5367"/>
    <w:rsid w:val="00CB59CF"/>
    <w:rsid w:val="00CB652A"/>
    <w:rsid w:val="00CC0534"/>
    <w:rsid w:val="00CC05FD"/>
    <w:rsid w:val="00CC1C0F"/>
    <w:rsid w:val="00CC2079"/>
    <w:rsid w:val="00CC3DDE"/>
    <w:rsid w:val="00CC6929"/>
    <w:rsid w:val="00CD1E13"/>
    <w:rsid w:val="00CD28D6"/>
    <w:rsid w:val="00CD2D07"/>
    <w:rsid w:val="00CD3455"/>
    <w:rsid w:val="00CD6DE8"/>
    <w:rsid w:val="00CD6DE9"/>
    <w:rsid w:val="00CD785D"/>
    <w:rsid w:val="00CE07BB"/>
    <w:rsid w:val="00CE1071"/>
    <w:rsid w:val="00CE17E3"/>
    <w:rsid w:val="00CE249A"/>
    <w:rsid w:val="00CE249E"/>
    <w:rsid w:val="00CE26B7"/>
    <w:rsid w:val="00CE359C"/>
    <w:rsid w:val="00CE5283"/>
    <w:rsid w:val="00CF157C"/>
    <w:rsid w:val="00CF1EE9"/>
    <w:rsid w:val="00CF3365"/>
    <w:rsid w:val="00CF4A69"/>
    <w:rsid w:val="00CF5581"/>
    <w:rsid w:val="00CF652B"/>
    <w:rsid w:val="00CF6C12"/>
    <w:rsid w:val="00D011E6"/>
    <w:rsid w:val="00D02651"/>
    <w:rsid w:val="00D03BFE"/>
    <w:rsid w:val="00D1153A"/>
    <w:rsid w:val="00D1274D"/>
    <w:rsid w:val="00D15274"/>
    <w:rsid w:val="00D156FE"/>
    <w:rsid w:val="00D15A75"/>
    <w:rsid w:val="00D2057E"/>
    <w:rsid w:val="00D2259D"/>
    <w:rsid w:val="00D22625"/>
    <w:rsid w:val="00D233C9"/>
    <w:rsid w:val="00D242B5"/>
    <w:rsid w:val="00D2432B"/>
    <w:rsid w:val="00D243C1"/>
    <w:rsid w:val="00D264A8"/>
    <w:rsid w:val="00D2667C"/>
    <w:rsid w:val="00D2676F"/>
    <w:rsid w:val="00D279B6"/>
    <w:rsid w:val="00D31C3E"/>
    <w:rsid w:val="00D373E2"/>
    <w:rsid w:val="00D37CE7"/>
    <w:rsid w:val="00D43703"/>
    <w:rsid w:val="00D43F81"/>
    <w:rsid w:val="00D44324"/>
    <w:rsid w:val="00D44B61"/>
    <w:rsid w:val="00D52758"/>
    <w:rsid w:val="00D52AB6"/>
    <w:rsid w:val="00D52F43"/>
    <w:rsid w:val="00D53EE3"/>
    <w:rsid w:val="00D553BB"/>
    <w:rsid w:val="00D55465"/>
    <w:rsid w:val="00D575CD"/>
    <w:rsid w:val="00D60AC3"/>
    <w:rsid w:val="00D61502"/>
    <w:rsid w:val="00D62F80"/>
    <w:rsid w:val="00D674DE"/>
    <w:rsid w:val="00D70093"/>
    <w:rsid w:val="00D706B8"/>
    <w:rsid w:val="00D7422B"/>
    <w:rsid w:val="00D75964"/>
    <w:rsid w:val="00D764A5"/>
    <w:rsid w:val="00D76FD9"/>
    <w:rsid w:val="00D80276"/>
    <w:rsid w:val="00D802FA"/>
    <w:rsid w:val="00D816FD"/>
    <w:rsid w:val="00D84A00"/>
    <w:rsid w:val="00D8598A"/>
    <w:rsid w:val="00D867D4"/>
    <w:rsid w:val="00D86DAA"/>
    <w:rsid w:val="00D86DB9"/>
    <w:rsid w:val="00D87404"/>
    <w:rsid w:val="00D87993"/>
    <w:rsid w:val="00D87C72"/>
    <w:rsid w:val="00D904B6"/>
    <w:rsid w:val="00D91C81"/>
    <w:rsid w:val="00D91E11"/>
    <w:rsid w:val="00D92434"/>
    <w:rsid w:val="00D93122"/>
    <w:rsid w:val="00D95134"/>
    <w:rsid w:val="00D96D4C"/>
    <w:rsid w:val="00D96EF2"/>
    <w:rsid w:val="00DA07A6"/>
    <w:rsid w:val="00DA0D95"/>
    <w:rsid w:val="00DA1E67"/>
    <w:rsid w:val="00DA22B6"/>
    <w:rsid w:val="00DA3EF4"/>
    <w:rsid w:val="00DA4987"/>
    <w:rsid w:val="00DA4D33"/>
    <w:rsid w:val="00DA4D97"/>
    <w:rsid w:val="00DA51F0"/>
    <w:rsid w:val="00DA71EF"/>
    <w:rsid w:val="00DB0DDA"/>
    <w:rsid w:val="00DB2AA4"/>
    <w:rsid w:val="00DB3AB2"/>
    <w:rsid w:val="00DB51D6"/>
    <w:rsid w:val="00DB6EAB"/>
    <w:rsid w:val="00DB6EB0"/>
    <w:rsid w:val="00DB7DC8"/>
    <w:rsid w:val="00DC01E5"/>
    <w:rsid w:val="00DC0767"/>
    <w:rsid w:val="00DC1102"/>
    <w:rsid w:val="00DC263E"/>
    <w:rsid w:val="00DC479A"/>
    <w:rsid w:val="00DC5FB7"/>
    <w:rsid w:val="00DC6161"/>
    <w:rsid w:val="00DC6735"/>
    <w:rsid w:val="00DC70E3"/>
    <w:rsid w:val="00DD1256"/>
    <w:rsid w:val="00DD1A94"/>
    <w:rsid w:val="00DD6B2C"/>
    <w:rsid w:val="00DE0784"/>
    <w:rsid w:val="00DE0F3F"/>
    <w:rsid w:val="00DE13CE"/>
    <w:rsid w:val="00DE1EA1"/>
    <w:rsid w:val="00DE45CB"/>
    <w:rsid w:val="00DE5C57"/>
    <w:rsid w:val="00DE6B6D"/>
    <w:rsid w:val="00DE7D8E"/>
    <w:rsid w:val="00DF046A"/>
    <w:rsid w:val="00DF0B0D"/>
    <w:rsid w:val="00DF1142"/>
    <w:rsid w:val="00DF194F"/>
    <w:rsid w:val="00DF504A"/>
    <w:rsid w:val="00DF565B"/>
    <w:rsid w:val="00DF6383"/>
    <w:rsid w:val="00E02A6E"/>
    <w:rsid w:val="00E05901"/>
    <w:rsid w:val="00E061B6"/>
    <w:rsid w:val="00E06545"/>
    <w:rsid w:val="00E0736A"/>
    <w:rsid w:val="00E0796B"/>
    <w:rsid w:val="00E1006B"/>
    <w:rsid w:val="00E1028E"/>
    <w:rsid w:val="00E10EA5"/>
    <w:rsid w:val="00E14606"/>
    <w:rsid w:val="00E150C8"/>
    <w:rsid w:val="00E15412"/>
    <w:rsid w:val="00E1541D"/>
    <w:rsid w:val="00E15ABA"/>
    <w:rsid w:val="00E16BD9"/>
    <w:rsid w:val="00E16EA6"/>
    <w:rsid w:val="00E173F4"/>
    <w:rsid w:val="00E17564"/>
    <w:rsid w:val="00E20B06"/>
    <w:rsid w:val="00E20D8B"/>
    <w:rsid w:val="00E218B6"/>
    <w:rsid w:val="00E21A32"/>
    <w:rsid w:val="00E22D19"/>
    <w:rsid w:val="00E234B5"/>
    <w:rsid w:val="00E25274"/>
    <w:rsid w:val="00E25394"/>
    <w:rsid w:val="00E25BFE"/>
    <w:rsid w:val="00E25E57"/>
    <w:rsid w:val="00E27045"/>
    <w:rsid w:val="00E27178"/>
    <w:rsid w:val="00E27F10"/>
    <w:rsid w:val="00E334D9"/>
    <w:rsid w:val="00E34307"/>
    <w:rsid w:val="00E34EA8"/>
    <w:rsid w:val="00E3521F"/>
    <w:rsid w:val="00E35DCE"/>
    <w:rsid w:val="00E35F19"/>
    <w:rsid w:val="00E40E3F"/>
    <w:rsid w:val="00E4127B"/>
    <w:rsid w:val="00E4262C"/>
    <w:rsid w:val="00E4277A"/>
    <w:rsid w:val="00E43908"/>
    <w:rsid w:val="00E442DF"/>
    <w:rsid w:val="00E44BB9"/>
    <w:rsid w:val="00E44D82"/>
    <w:rsid w:val="00E44E76"/>
    <w:rsid w:val="00E4712A"/>
    <w:rsid w:val="00E540BA"/>
    <w:rsid w:val="00E54CB3"/>
    <w:rsid w:val="00E56778"/>
    <w:rsid w:val="00E57F5C"/>
    <w:rsid w:val="00E62892"/>
    <w:rsid w:val="00E659F2"/>
    <w:rsid w:val="00E671BC"/>
    <w:rsid w:val="00E67A88"/>
    <w:rsid w:val="00E70E7D"/>
    <w:rsid w:val="00E71B6C"/>
    <w:rsid w:val="00E72CBC"/>
    <w:rsid w:val="00E75FF5"/>
    <w:rsid w:val="00E76561"/>
    <w:rsid w:val="00E777F0"/>
    <w:rsid w:val="00E80E24"/>
    <w:rsid w:val="00E80E4F"/>
    <w:rsid w:val="00E81312"/>
    <w:rsid w:val="00E83343"/>
    <w:rsid w:val="00E83DDC"/>
    <w:rsid w:val="00E868ED"/>
    <w:rsid w:val="00E91F1F"/>
    <w:rsid w:val="00E953B5"/>
    <w:rsid w:val="00E95613"/>
    <w:rsid w:val="00E95693"/>
    <w:rsid w:val="00E95A12"/>
    <w:rsid w:val="00EA039C"/>
    <w:rsid w:val="00EA06D1"/>
    <w:rsid w:val="00EA0D7A"/>
    <w:rsid w:val="00EA15B6"/>
    <w:rsid w:val="00EA2CC8"/>
    <w:rsid w:val="00EA356B"/>
    <w:rsid w:val="00EA3A9D"/>
    <w:rsid w:val="00EA412B"/>
    <w:rsid w:val="00EA715F"/>
    <w:rsid w:val="00EA78DE"/>
    <w:rsid w:val="00EB12CD"/>
    <w:rsid w:val="00EB285C"/>
    <w:rsid w:val="00EB3417"/>
    <w:rsid w:val="00EB3CFE"/>
    <w:rsid w:val="00EB72D7"/>
    <w:rsid w:val="00EC0339"/>
    <w:rsid w:val="00EC033E"/>
    <w:rsid w:val="00EC06FA"/>
    <w:rsid w:val="00EC41E8"/>
    <w:rsid w:val="00EC4544"/>
    <w:rsid w:val="00EC4731"/>
    <w:rsid w:val="00EC4968"/>
    <w:rsid w:val="00EC4D3D"/>
    <w:rsid w:val="00EC56C4"/>
    <w:rsid w:val="00EC7030"/>
    <w:rsid w:val="00ED0D0E"/>
    <w:rsid w:val="00ED16A5"/>
    <w:rsid w:val="00ED1896"/>
    <w:rsid w:val="00ED269D"/>
    <w:rsid w:val="00ED4558"/>
    <w:rsid w:val="00ED6BE0"/>
    <w:rsid w:val="00ED6DB8"/>
    <w:rsid w:val="00EE0981"/>
    <w:rsid w:val="00EE27FF"/>
    <w:rsid w:val="00EE2C93"/>
    <w:rsid w:val="00EE40F6"/>
    <w:rsid w:val="00EE4411"/>
    <w:rsid w:val="00EE6BD8"/>
    <w:rsid w:val="00EF406E"/>
    <w:rsid w:val="00EF7273"/>
    <w:rsid w:val="00F016BA"/>
    <w:rsid w:val="00F0187B"/>
    <w:rsid w:val="00F02489"/>
    <w:rsid w:val="00F03A80"/>
    <w:rsid w:val="00F16B35"/>
    <w:rsid w:val="00F17B54"/>
    <w:rsid w:val="00F2163D"/>
    <w:rsid w:val="00F2341E"/>
    <w:rsid w:val="00F2392F"/>
    <w:rsid w:val="00F242E5"/>
    <w:rsid w:val="00F254A2"/>
    <w:rsid w:val="00F265BE"/>
    <w:rsid w:val="00F31630"/>
    <w:rsid w:val="00F31D3F"/>
    <w:rsid w:val="00F320FC"/>
    <w:rsid w:val="00F327C4"/>
    <w:rsid w:val="00F3355B"/>
    <w:rsid w:val="00F336F2"/>
    <w:rsid w:val="00F33E25"/>
    <w:rsid w:val="00F35A2D"/>
    <w:rsid w:val="00F3760C"/>
    <w:rsid w:val="00F422B3"/>
    <w:rsid w:val="00F434B3"/>
    <w:rsid w:val="00F44DC1"/>
    <w:rsid w:val="00F47039"/>
    <w:rsid w:val="00F4746C"/>
    <w:rsid w:val="00F51177"/>
    <w:rsid w:val="00F54225"/>
    <w:rsid w:val="00F54A55"/>
    <w:rsid w:val="00F5611E"/>
    <w:rsid w:val="00F574A7"/>
    <w:rsid w:val="00F6196F"/>
    <w:rsid w:val="00F62206"/>
    <w:rsid w:val="00F6283E"/>
    <w:rsid w:val="00F62E99"/>
    <w:rsid w:val="00F63CD1"/>
    <w:rsid w:val="00F67BC0"/>
    <w:rsid w:val="00F67C51"/>
    <w:rsid w:val="00F7090E"/>
    <w:rsid w:val="00F7113D"/>
    <w:rsid w:val="00F75873"/>
    <w:rsid w:val="00F75A48"/>
    <w:rsid w:val="00F82B7B"/>
    <w:rsid w:val="00F85A14"/>
    <w:rsid w:val="00F86BB3"/>
    <w:rsid w:val="00F90486"/>
    <w:rsid w:val="00F924AD"/>
    <w:rsid w:val="00F945D9"/>
    <w:rsid w:val="00F967D5"/>
    <w:rsid w:val="00F97EB4"/>
    <w:rsid w:val="00FA3650"/>
    <w:rsid w:val="00FA48EB"/>
    <w:rsid w:val="00FA76AC"/>
    <w:rsid w:val="00FA7B66"/>
    <w:rsid w:val="00FA7CE1"/>
    <w:rsid w:val="00FA7F2E"/>
    <w:rsid w:val="00FB2C35"/>
    <w:rsid w:val="00FB46E3"/>
    <w:rsid w:val="00FB71B9"/>
    <w:rsid w:val="00FC1485"/>
    <w:rsid w:val="00FC1A7B"/>
    <w:rsid w:val="00FC3A05"/>
    <w:rsid w:val="00FC439A"/>
    <w:rsid w:val="00FC4476"/>
    <w:rsid w:val="00FC4C8C"/>
    <w:rsid w:val="00FC676C"/>
    <w:rsid w:val="00FD0496"/>
    <w:rsid w:val="00FD1444"/>
    <w:rsid w:val="00FD3B1A"/>
    <w:rsid w:val="00FD6D24"/>
    <w:rsid w:val="00FD724C"/>
    <w:rsid w:val="00FD76BD"/>
    <w:rsid w:val="00FE1213"/>
    <w:rsid w:val="00FE2668"/>
    <w:rsid w:val="00FE4168"/>
    <w:rsid w:val="00FE4BBA"/>
    <w:rsid w:val="00FE7F7C"/>
    <w:rsid w:val="00FF4651"/>
    <w:rsid w:val="00FF5E23"/>
    <w:rsid w:val="00FF77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540F8B"/>
  <w15:docId w15:val="{BB831ABB-B20F-2A45-A0CF-08EEFE27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B8B"/>
    <w:rPr>
      <w:rFonts w:ascii="Arial" w:hAnsi="Arial"/>
    </w:rPr>
  </w:style>
  <w:style w:type="paragraph" w:styleId="Heading1">
    <w:name w:val="heading 1"/>
    <w:basedOn w:val="Normal"/>
    <w:next w:val="Normal"/>
    <w:link w:val="Heading1Char"/>
    <w:uiPriority w:val="9"/>
    <w:qFormat/>
    <w:rsid w:val="001111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Heading2">
    <w:name w:val="heading 2"/>
    <w:basedOn w:val="Normal"/>
    <w:next w:val="Normal"/>
    <w:link w:val="Heading2Char"/>
    <w:uiPriority w:val="9"/>
    <w:unhideWhenUsed/>
    <w:qFormat/>
    <w:rsid w:val="00E02A6E"/>
    <w:pPr>
      <w:keepNext/>
      <w:keepLines/>
      <w:spacing w:after="240"/>
      <w:outlineLvl w:val="1"/>
    </w:pPr>
    <w:rPr>
      <w:rFonts w:eastAsia="MS Gothic" w:cs="Arial"/>
      <w:b/>
      <w:bCs/>
      <w:iCs/>
      <w:szCs w:val="28"/>
      <w:u w:val="single"/>
    </w:rPr>
  </w:style>
  <w:style w:type="paragraph" w:styleId="Heading3">
    <w:name w:val="heading 3"/>
    <w:basedOn w:val="Normal"/>
    <w:next w:val="Normal"/>
    <w:link w:val="Heading3Char"/>
    <w:uiPriority w:val="9"/>
    <w:unhideWhenUsed/>
    <w:qFormat/>
    <w:rsid w:val="00BA60D0"/>
    <w:pPr>
      <w:spacing w:line="480" w:lineRule="auto"/>
      <w:outlineLvl w:val="2"/>
    </w:pPr>
    <w:rPr>
      <w:rFonts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110"/>
    <w:rPr>
      <w:rFonts w:asciiTheme="majorHAnsi" w:eastAsiaTheme="majorEastAsia" w:hAnsiTheme="majorHAnsi" w:cstheme="majorBidi"/>
      <w:b/>
      <w:bCs/>
      <w:color w:val="365F91" w:themeColor="accent1" w:themeShade="BF"/>
      <w:sz w:val="28"/>
      <w:szCs w:val="28"/>
      <w:lang w:eastAsia="en-US" w:bidi="en-US"/>
    </w:rPr>
  </w:style>
  <w:style w:type="paragraph" w:styleId="BalloonText">
    <w:name w:val="Balloon Text"/>
    <w:basedOn w:val="Normal"/>
    <w:link w:val="BalloonTextChar"/>
    <w:uiPriority w:val="99"/>
    <w:semiHidden/>
    <w:unhideWhenUsed/>
    <w:rsid w:val="001111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110"/>
    <w:rPr>
      <w:rFonts w:ascii="Lucida Grande" w:hAnsi="Lucida Grande" w:cs="Lucida Grande"/>
      <w:sz w:val="18"/>
      <w:szCs w:val="18"/>
    </w:rPr>
  </w:style>
  <w:style w:type="character" w:styleId="CommentReference">
    <w:name w:val="annotation reference"/>
    <w:basedOn w:val="DefaultParagraphFont"/>
    <w:uiPriority w:val="99"/>
    <w:semiHidden/>
    <w:unhideWhenUsed/>
    <w:rsid w:val="005E472F"/>
    <w:rPr>
      <w:sz w:val="18"/>
      <w:szCs w:val="18"/>
    </w:rPr>
  </w:style>
  <w:style w:type="paragraph" w:styleId="CommentText">
    <w:name w:val="annotation text"/>
    <w:basedOn w:val="Normal"/>
    <w:link w:val="CommentTextChar"/>
    <w:uiPriority w:val="99"/>
    <w:unhideWhenUsed/>
    <w:rsid w:val="005E472F"/>
  </w:style>
  <w:style w:type="character" w:customStyle="1" w:styleId="CommentTextChar">
    <w:name w:val="Comment Text Char"/>
    <w:basedOn w:val="DefaultParagraphFont"/>
    <w:link w:val="CommentText"/>
    <w:uiPriority w:val="99"/>
    <w:rsid w:val="005E472F"/>
    <w:rPr>
      <w:rFonts w:ascii="Calibri" w:hAnsi="Calibri"/>
    </w:rPr>
  </w:style>
  <w:style w:type="paragraph" w:styleId="CommentSubject">
    <w:name w:val="annotation subject"/>
    <w:basedOn w:val="CommentText"/>
    <w:next w:val="CommentText"/>
    <w:link w:val="CommentSubjectChar"/>
    <w:uiPriority w:val="99"/>
    <w:semiHidden/>
    <w:unhideWhenUsed/>
    <w:rsid w:val="005E472F"/>
    <w:rPr>
      <w:b/>
      <w:bCs/>
      <w:sz w:val="20"/>
      <w:szCs w:val="20"/>
    </w:rPr>
  </w:style>
  <w:style w:type="character" w:customStyle="1" w:styleId="CommentSubjectChar">
    <w:name w:val="Comment Subject Char"/>
    <w:basedOn w:val="CommentTextChar"/>
    <w:link w:val="CommentSubject"/>
    <w:uiPriority w:val="99"/>
    <w:semiHidden/>
    <w:rsid w:val="005E472F"/>
    <w:rPr>
      <w:rFonts w:ascii="Calibri" w:hAnsi="Calibri"/>
      <w:b/>
      <w:bCs/>
      <w:sz w:val="20"/>
      <w:szCs w:val="20"/>
    </w:rPr>
  </w:style>
  <w:style w:type="paragraph" w:styleId="NormalWeb">
    <w:name w:val="Normal (Web)"/>
    <w:basedOn w:val="Normal"/>
    <w:uiPriority w:val="99"/>
    <w:unhideWhenUsed/>
    <w:rsid w:val="00AB55F0"/>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04153F"/>
    <w:pPr>
      <w:ind w:left="720"/>
      <w:contextualSpacing/>
    </w:pPr>
  </w:style>
  <w:style w:type="paragraph" w:styleId="Header">
    <w:name w:val="header"/>
    <w:basedOn w:val="Normal"/>
    <w:link w:val="HeaderChar"/>
    <w:uiPriority w:val="99"/>
    <w:unhideWhenUsed/>
    <w:rsid w:val="0040650E"/>
    <w:pPr>
      <w:tabs>
        <w:tab w:val="center" w:pos="4320"/>
        <w:tab w:val="right" w:pos="8640"/>
      </w:tabs>
    </w:pPr>
  </w:style>
  <w:style w:type="character" w:customStyle="1" w:styleId="HeaderChar">
    <w:name w:val="Header Char"/>
    <w:basedOn w:val="DefaultParagraphFont"/>
    <w:link w:val="Header"/>
    <w:uiPriority w:val="99"/>
    <w:rsid w:val="0040650E"/>
    <w:rPr>
      <w:rFonts w:ascii="Calibri" w:hAnsi="Calibri"/>
    </w:rPr>
  </w:style>
  <w:style w:type="paragraph" w:styleId="Footer">
    <w:name w:val="footer"/>
    <w:basedOn w:val="Normal"/>
    <w:link w:val="FooterChar"/>
    <w:uiPriority w:val="99"/>
    <w:unhideWhenUsed/>
    <w:rsid w:val="0040650E"/>
    <w:pPr>
      <w:tabs>
        <w:tab w:val="center" w:pos="4320"/>
        <w:tab w:val="right" w:pos="8640"/>
      </w:tabs>
    </w:pPr>
  </w:style>
  <w:style w:type="character" w:customStyle="1" w:styleId="FooterChar">
    <w:name w:val="Footer Char"/>
    <w:basedOn w:val="DefaultParagraphFont"/>
    <w:link w:val="Footer"/>
    <w:uiPriority w:val="99"/>
    <w:rsid w:val="0040650E"/>
    <w:rPr>
      <w:rFonts w:ascii="Calibri" w:hAnsi="Calibri"/>
    </w:rPr>
  </w:style>
  <w:style w:type="character" w:styleId="PageNumber">
    <w:name w:val="page number"/>
    <w:basedOn w:val="DefaultParagraphFont"/>
    <w:uiPriority w:val="99"/>
    <w:semiHidden/>
    <w:unhideWhenUsed/>
    <w:rsid w:val="00F67BC0"/>
  </w:style>
  <w:style w:type="paragraph" w:styleId="Revision">
    <w:name w:val="Revision"/>
    <w:hidden/>
    <w:uiPriority w:val="99"/>
    <w:semiHidden/>
    <w:rsid w:val="00555256"/>
    <w:rPr>
      <w:rFonts w:ascii="Calibri" w:hAnsi="Calibri"/>
    </w:rPr>
  </w:style>
  <w:style w:type="paragraph" w:styleId="Caption">
    <w:name w:val="caption"/>
    <w:basedOn w:val="Normal"/>
    <w:next w:val="Normal"/>
    <w:uiPriority w:val="35"/>
    <w:unhideWhenUsed/>
    <w:qFormat/>
    <w:rsid w:val="0078285A"/>
  </w:style>
  <w:style w:type="character" w:styleId="Hyperlink">
    <w:name w:val="Hyperlink"/>
    <w:basedOn w:val="DefaultParagraphFont"/>
    <w:uiPriority w:val="99"/>
    <w:unhideWhenUsed/>
    <w:rsid w:val="004424E3"/>
    <w:rPr>
      <w:color w:val="0000FF"/>
      <w:u w:val="single"/>
    </w:rPr>
  </w:style>
  <w:style w:type="character" w:styleId="FollowedHyperlink">
    <w:name w:val="FollowedHyperlink"/>
    <w:basedOn w:val="DefaultParagraphFont"/>
    <w:uiPriority w:val="99"/>
    <w:semiHidden/>
    <w:unhideWhenUsed/>
    <w:rsid w:val="004424E3"/>
    <w:rPr>
      <w:color w:val="800080"/>
      <w:u w:val="single"/>
    </w:rPr>
  </w:style>
  <w:style w:type="paragraph" w:customStyle="1" w:styleId="xl63">
    <w:name w:val="xl63"/>
    <w:basedOn w:val="Normal"/>
    <w:rsid w:val="004424E3"/>
    <w:pPr>
      <w:spacing w:before="100" w:beforeAutospacing="1" w:after="100" w:afterAutospacing="1"/>
    </w:pPr>
    <w:rPr>
      <w:rFonts w:ascii="Times" w:hAnsi="Times"/>
      <w:sz w:val="16"/>
      <w:szCs w:val="16"/>
      <w:lang w:eastAsia="en-US"/>
    </w:rPr>
  </w:style>
  <w:style w:type="paragraph" w:customStyle="1" w:styleId="xl64">
    <w:name w:val="xl64"/>
    <w:basedOn w:val="Normal"/>
    <w:rsid w:val="004424E3"/>
    <w:pPr>
      <w:spacing w:before="100" w:beforeAutospacing="1" w:after="100" w:afterAutospacing="1"/>
    </w:pPr>
    <w:rPr>
      <w:rFonts w:cs="Arial"/>
      <w:sz w:val="16"/>
      <w:szCs w:val="16"/>
      <w:lang w:eastAsia="en-US"/>
    </w:rPr>
  </w:style>
  <w:style w:type="paragraph" w:customStyle="1" w:styleId="xl65">
    <w:name w:val="xl65"/>
    <w:basedOn w:val="Normal"/>
    <w:rsid w:val="004424E3"/>
    <w:pPr>
      <w:spacing w:before="100" w:beforeAutospacing="1" w:after="100" w:afterAutospacing="1"/>
    </w:pPr>
    <w:rPr>
      <w:rFonts w:cs="Arial"/>
      <w:b/>
      <w:bCs/>
      <w:sz w:val="16"/>
      <w:szCs w:val="16"/>
      <w:lang w:eastAsia="en-US"/>
    </w:rPr>
  </w:style>
  <w:style w:type="paragraph" w:customStyle="1" w:styleId="xl66">
    <w:name w:val="xl66"/>
    <w:basedOn w:val="Normal"/>
    <w:rsid w:val="004424E3"/>
    <w:pPr>
      <w:spacing w:before="100" w:beforeAutospacing="1" w:after="100" w:afterAutospacing="1"/>
      <w:jc w:val="center"/>
    </w:pPr>
    <w:rPr>
      <w:rFonts w:cs="Arial"/>
      <w:b/>
      <w:bCs/>
      <w:sz w:val="16"/>
      <w:szCs w:val="16"/>
      <w:lang w:eastAsia="en-US"/>
    </w:rPr>
  </w:style>
  <w:style w:type="paragraph" w:customStyle="1" w:styleId="xl67">
    <w:name w:val="xl67"/>
    <w:basedOn w:val="Normal"/>
    <w:rsid w:val="004424E3"/>
    <w:pPr>
      <w:pBdr>
        <w:right w:val="single" w:sz="4" w:space="0" w:color="auto"/>
      </w:pBdr>
      <w:spacing w:before="100" w:beforeAutospacing="1" w:after="100" w:afterAutospacing="1"/>
      <w:jc w:val="center"/>
    </w:pPr>
    <w:rPr>
      <w:rFonts w:cs="Arial"/>
      <w:b/>
      <w:bCs/>
      <w:sz w:val="16"/>
      <w:szCs w:val="16"/>
      <w:lang w:eastAsia="en-US"/>
    </w:rPr>
  </w:style>
  <w:style w:type="paragraph" w:customStyle="1" w:styleId="xl68">
    <w:name w:val="xl68"/>
    <w:basedOn w:val="Normal"/>
    <w:rsid w:val="004424E3"/>
    <w:pPr>
      <w:pBdr>
        <w:left w:val="single" w:sz="4" w:space="0" w:color="auto"/>
      </w:pBdr>
      <w:spacing w:before="100" w:beforeAutospacing="1" w:after="100" w:afterAutospacing="1"/>
      <w:jc w:val="center"/>
    </w:pPr>
    <w:rPr>
      <w:rFonts w:cs="Arial"/>
      <w:b/>
      <w:bCs/>
      <w:sz w:val="16"/>
      <w:szCs w:val="16"/>
      <w:lang w:eastAsia="en-US"/>
    </w:rPr>
  </w:style>
  <w:style w:type="paragraph" w:customStyle="1" w:styleId="xl69">
    <w:name w:val="xl69"/>
    <w:basedOn w:val="Normal"/>
    <w:rsid w:val="004424E3"/>
    <w:pPr>
      <w:spacing w:before="100" w:beforeAutospacing="1" w:after="100" w:afterAutospacing="1"/>
      <w:jc w:val="center"/>
    </w:pPr>
    <w:rPr>
      <w:rFonts w:cs="Arial"/>
      <w:sz w:val="16"/>
      <w:szCs w:val="16"/>
      <w:lang w:eastAsia="en-US"/>
    </w:rPr>
  </w:style>
  <w:style w:type="paragraph" w:customStyle="1" w:styleId="xl70">
    <w:name w:val="xl70"/>
    <w:basedOn w:val="Normal"/>
    <w:rsid w:val="004424E3"/>
    <w:pPr>
      <w:spacing w:before="100" w:beforeAutospacing="1" w:after="100" w:afterAutospacing="1"/>
      <w:jc w:val="center"/>
    </w:pPr>
    <w:rPr>
      <w:rFonts w:cs="Arial"/>
      <w:sz w:val="16"/>
      <w:szCs w:val="16"/>
      <w:lang w:eastAsia="en-US"/>
    </w:rPr>
  </w:style>
  <w:style w:type="paragraph" w:customStyle="1" w:styleId="xl71">
    <w:name w:val="xl71"/>
    <w:basedOn w:val="Normal"/>
    <w:rsid w:val="004424E3"/>
    <w:pPr>
      <w:spacing w:before="100" w:beforeAutospacing="1" w:after="100" w:afterAutospacing="1"/>
      <w:jc w:val="center"/>
    </w:pPr>
    <w:rPr>
      <w:rFonts w:cs="Arial"/>
      <w:sz w:val="16"/>
      <w:szCs w:val="16"/>
      <w:lang w:eastAsia="en-US"/>
    </w:rPr>
  </w:style>
  <w:style w:type="paragraph" w:customStyle="1" w:styleId="xl72">
    <w:name w:val="xl72"/>
    <w:basedOn w:val="Normal"/>
    <w:rsid w:val="004424E3"/>
    <w:pPr>
      <w:spacing w:before="100" w:beforeAutospacing="1" w:after="100" w:afterAutospacing="1"/>
      <w:jc w:val="center"/>
    </w:pPr>
    <w:rPr>
      <w:rFonts w:cs="Arial"/>
      <w:sz w:val="16"/>
      <w:szCs w:val="16"/>
      <w:lang w:eastAsia="en-US"/>
    </w:rPr>
  </w:style>
  <w:style w:type="paragraph" w:customStyle="1" w:styleId="xl73">
    <w:name w:val="xl73"/>
    <w:basedOn w:val="Normal"/>
    <w:rsid w:val="004424E3"/>
    <w:pPr>
      <w:pBdr>
        <w:left w:val="single" w:sz="4" w:space="0" w:color="auto"/>
      </w:pBdr>
      <w:spacing w:before="100" w:beforeAutospacing="1" w:after="100" w:afterAutospacing="1"/>
      <w:jc w:val="center"/>
    </w:pPr>
    <w:rPr>
      <w:rFonts w:cs="Arial"/>
      <w:sz w:val="16"/>
      <w:szCs w:val="16"/>
      <w:lang w:eastAsia="en-US"/>
    </w:rPr>
  </w:style>
  <w:style w:type="paragraph" w:customStyle="1" w:styleId="xl74">
    <w:name w:val="xl74"/>
    <w:basedOn w:val="Normal"/>
    <w:rsid w:val="004424E3"/>
    <w:pPr>
      <w:pBdr>
        <w:top w:val="single" w:sz="4" w:space="0" w:color="auto"/>
      </w:pBdr>
      <w:spacing w:before="100" w:beforeAutospacing="1" w:after="100" w:afterAutospacing="1"/>
    </w:pPr>
    <w:rPr>
      <w:rFonts w:cs="Arial"/>
      <w:sz w:val="16"/>
      <w:szCs w:val="16"/>
      <w:lang w:eastAsia="en-US"/>
    </w:rPr>
  </w:style>
  <w:style w:type="paragraph" w:customStyle="1" w:styleId="xl75">
    <w:name w:val="xl75"/>
    <w:basedOn w:val="Normal"/>
    <w:rsid w:val="004424E3"/>
    <w:pPr>
      <w:pBdr>
        <w:top w:val="single" w:sz="4" w:space="0" w:color="auto"/>
      </w:pBdr>
      <w:spacing w:before="100" w:beforeAutospacing="1" w:after="100" w:afterAutospacing="1"/>
      <w:jc w:val="center"/>
    </w:pPr>
    <w:rPr>
      <w:rFonts w:cs="Arial"/>
      <w:sz w:val="16"/>
      <w:szCs w:val="16"/>
      <w:lang w:eastAsia="en-US"/>
    </w:rPr>
  </w:style>
  <w:style w:type="paragraph" w:customStyle="1" w:styleId="xl76">
    <w:name w:val="xl76"/>
    <w:basedOn w:val="Normal"/>
    <w:rsid w:val="004424E3"/>
    <w:pPr>
      <w:pBdr>
        <w:top w:val="single" w:sz="4" w:space="0" w:color="auto"/>
      </w:pBdr>
      <w:spacing w:before="100" w:beforeAutospacing="1" w:after="100" w:afterAutospacing="1"/>
      <w:jc w:val="center"/>
    </w:pPr>
    <w:rPr>
      <w:rFonts w:cs="Arial"/>
      <w:sz w:val="16"/>
      <w:szCs w:val="16"/>
      <w:lang w:eastAsia="en-US"/>
    </w:rPr>
  </w:style>
  <w:style w:type="paragraph" w:customStyle="1" w:styleId="xl77">
    <w:name w:val="xl77"/>
    <w:basedOn w:val="Normal"/>
    <w:rsid w:val="004424E3"/>
    <w:pPr>
      <w:pBdr>
        <w:top w:val="single" w:sz="4" w:space="0" w:color="auto"/>
        <w:right w:val="single" w:sz="4" w:space="0" w:color="auto"/>
      </w:pBdr>
      <w:spacing w:before="100" w:beforeAutospacing="1" w:after="100" w:afterAutospacing="1"/>
      <w:jc w:val="center"/>
    </w:pPr>
    <w:rPr>
      <w:rFonts w:cs="Arial"/>
      <w:sz w:val="16"/>
      <w:szCs w:val="16"/>
      <w:lang w:eastAsia="en-US"/>
    </w:rPr>
  </w:style>
  <w:style w:type="paragraph" w:customStyle="1" w:styleId="xl78">
    <w:name w:val="xl78"/>
    <w:basedOn w:val="Normal"/>
    <w:rsid w:val="004424E3"/>
    <w:pPr>
      <w:pBdr>
        <w:top w:val="single" w:sz="4" w:space="0" w:color="auto"/>
        <w:left w:val="single" w:sz="4" w:space="0" w:color="auto"/>
      </w:pBdr>
      <w:spacing w:before="100" w:beforeAutospacing="1" w:after="100" w:afterAutospacing="1"/>
      <w:jc w:val="center"/>
    </w:pPr>
    <w:rPr>
      <w:rFonts w:cs="Arial"/>
      <w:sz w:val="16"/>
      <w:szCs w:val="16"/>
      <w:lang w:eastAsia="en-US"/>
    </w:rPr>
  </w:style>
  <w:style w:type="paragraph" w:customStyle="1" w:styleId="xl79">
    <w:name w:val="xl79"/>
    <w:basedOn w:val="Normal"/>
    <w:rsid w:val="004424E3"/>
    <w:pPr>
      <w:spacing w:before="100" w:beforeAutospacing="1" w:after="100" w:afterAutospacing="1"/>
      <w:jc w:val="center"/>
    </w:pPr>
    <w:rPr>
      <w:rFonts w:cs="Arial"/>
      <w:sz w:val="16"/>
      <w:szCs w:val="16"/>
      <w:lang w:eastAsia="en-US"/>
    </w:rPr>
  </w:style>
  <w:style w:type="paragraph" w:customStyle="1" w:styleId="xl80">
    <w:name w:val="xl80"/>
    <w:basedOn w:val="Normal"/>
    <w:rsid w:val="004424E3"/>
    <w:pPr>
      <w:spacing w:before="100" w:beforeAutospacing="1" w:after="100" w:afterAutospacing="1"/>
      <w:jc w:val="center"/>
    </w:pPr>
    <w:rPr>
      <w:rFonts w:cs="Arial"/>
      <w:sz w:val="16"/>
      <w:szCs w:val="16"/>
      <w:lang w:eastAsia="en-US"/>
    </w:rPr>
  </w:style>
  <w:style w:type="paragraph" w:customStyle="1" w:styleId="xl81">
    <w:name w:val="xl81"/>
    <w:basedOn w:val="Normal"/>
    <w:rsid w:val="004424E3"/>
    <w:pPr>
      <w:spacing w:before="100" w:beforeAutospacing="1" w:after="100" w:afterAutospacing="1"/>
      <w:jc w:val="center"/>
    </w:pPr>
    <w:rPr>
      <w:rFonts w:cs="Arial"/>
      <w:sz w:val="16"/>
      <w:szCs w:val="16"/>
      <w:lang w:eastAsia="en-US"/>
    </w:rPr>
  </w:style>
  <w:style w:type="paragraph" w:customStyle="1" w:styleId="xl82">
    <w:name w:val="xl82"/>
    <w:basedOn w:val="Normal"/>
    <w:rsid w:val="004424E3"/>
    <w:pPr>
      <w:pBdr>
        <w:right w:val="single" w:sz="4" w:space="0" w:color="auto"/>
      </w:pBdr>
      <w:spacing w:before="100" w:beforeAutospacing="1" w:after="100" w:afterAutospacing="1"/>
      <w:jc w:val="center"/>
    </w:pPr>
    <w:rPr>
      <w:rFonts w:cs="Arial"/>
      <w:sz w:val="16"/>
      <w:szCs w:val="16"/>
      <w:lang w:eastAsia="en-US"/>
    </w:rPr>
  </w:style>
  <w:style w:type="paragraph" w:customStyle="1" w:styleId="xl83">
    <w:name w:val="xl83"/>
    <w:basedOn w:val="Normal"/>
    <w:rsid w:val="004424E3"/>
    <w:pPr>
      <w:pBdr>
        <w:left w:val="single" w:sz="4" w:space="0" w:color="auto"/>
      </w:pBdr>
      <w:spacing w:before="100" w:beforeAutospacing="1" w:after="100" w:afterAutospacing="1"/>
      <w:jc w:val="center"/>
    </w:pPr>
    <w:rPr>
      <w:rFonts w:cs="Arial"/>
      <w:sz w:val="16"/>
      <w:szCs w:val="16"/>
      <w:lang w:eastAsia="en-US"/>
    </w:rPr>
  </w:style>
  <w:style w:type="paragraph" w:customStyle="1" w:styleId="xl84">
    <w:name w:val="xl84"/>
    <w:basedOn w:val="Normal"/>
    <w:rsid w:val="004424E3"/>
    <w:pPr>
      <w:spacing w:before="100" w:beforeAutospacing="1" w:after="100" w:afterAutospacing="1"/>
      <w:jc w:val="center"/>
    </w:pPr>
    <w:rPr>
      <w:rFonts w:cs="Arial"/>
      <w:sz w:val="16"/>
      <w:szCs w:val="16"/>
      <w:lang w:eastAsia="en-US"/>
    </w:rPr>
  </w:style>
  <w:style w:type="paragraph" w:customStyle="1" w:styleId="xl85">
    <w:name w:val="xl85"/>
    <w:basedOn w:val="Normal"/>
    <w:rsid w:val="004424E3"/>
    <w:pPr>
      <w:spacing w:before="100" w:beforeAutospacing="1" w:after="100" w:afterAutospacing="1"/>
      <w:jc w:val="center"/>
    </w:pPr>
    <w:rPr>
      <w:rFonts w:cs="Arial"/>
      <w:sz w:val="16"/>
      <w:szCs w:val="16"/>
      <w:lang w:eastAsia="en-US"/>
    </w:rPr>
  </w:style>
  <w:style w:type="paragraph" w:customStyle="1" w:styleId="xl86">
    <w:name w:val="xl86"/>
    <w:basedOn w:val="Normal"/>
    <w:rsid w:val="004424E3"/>
    <w:pPr>
      <w:pBdr>
        <w:left w:val="single" w:sz="4" w:space="0" w:color="auto"/>
      </w:pBdr>
      <w:spacing w:before="100" w:beforeAutospacing="1" w:after="100" w:afterAutospacing="1"/>
      <w:jc w:val="center"/>
    </w:pPr>
    <w:rPr>
      <w:rFonts w:cs="Arial"/>
      <w:sz w:val="16"/>
      <w:szCs w:val="16"/>
      <w:lang w:eastAsia="en-US"/>
    </w:rPr>
  </w:style>
  <w:style w:type="paragraph" w:customStyle="1" w:styleId="xl87">
    <w:name w:val="xl87"/>
    <w:basedOn w:val="Normal"/>
    <w:rsid w:val="004424E3"/>
    <w:pPr>
      <w:pBdr>
        <w:bottom w:val="single" w:sz="4" w:space="0" w:color="auto"/>
      </w:pBdr>
      <w:spacing w:before="100" w:beforeAutospacing="1" w:after="100" w:afterAutospacing="1"/>
      <w:jc w:val="center"/>
    </w:pPr>
    <w:rPr>
      <w:rFonts w:cs="Arial"/>
      <w:b/>
      <w:bCs/>
      <w:sz w:val="16"/>
      <w:szCs w:val="16"/>
      <w:lang w:eastAsia="en-US"/>
    </w:rPr>
  </w:style>
  <w:style w:type="paragraph" w:customStyle="1" w:styleId="xl88">
    <w:name w:val="xl88"/>
    <w:basedOn w:val="Normal"/>
    <w:rsid w:val="004424E3"/>
    <w:pPr>
      <w:pBdr>
        <w:top w:val="single" w:sz="4" w:space="0" w:color="auto"/>
      </w:pBdr>
      <w:spacing w:before="100" w:beforeAutospacing="1" w:after="100" w:afterAutospacing="1"/>
      <w:jc w:val="center"/>
    </w:pPr>
    <w:rPr>
      <w:rFonts w:cs="Arial"/>
      <w:sz w:val="16"/>
      <w:szCs w:val="16"/>
      <w:lang w:eastAsia="en-US"/>
    </w:rPr>
  </w:style>
  <w:style w:type="paragraph" w:customStyle="1" w:styleId="xl89">
    <w:name w:val="xl89"/>
    <w:basedOn w:val="Normal"/>
    <w:rsid w:val="004424E3"/>
    <w:pPr>
      <w:pBdr>
        <w:top w:val="single" w:sz="4" w:space="0" w:color="auto"/>
        <w:left w:val="single" w:sz="4" w:space="0" w:color="auto"/>
      </w:pBdr>
      <w:spacing w:before="100" w:beforeAutospacing="1" w:after="100" w:afterAutospacing="1"/>
      <w:jc w:val="center"/>
    </w:pPr>
    <w:rPr>
      <w:rFonts w:cs="Arial"/>
      <w:sz w:val="16"/>
      <w:szCs w:val="16"/>
      <w:lang w:eastAsia="en-US"/>
    </w:rPr>
  </w:style>
  <w:style w:type="paragraph" w:customStyle="1" w:styleId="xl90">
    <w:name w:val="xl90"/>
    <w:basedOn w:val="Normal"/>
    <w:rsid w:val="004424E3"/>
    <w:pPr>
      <w:spacing w:before="100" w:beforeAutospacing="1" w:after="100" w:afterAutospacing="1"/>
      <w:jc w:val="center"/>
    </w:pPr>
    <w:rPr>
      <w:rFonts w:cs="Arial"/>
      <w:sz w:val="16"/>
      <w:szCs w:val="16"/>
      <w:lang w:eastAsia="en-US"/>
    </w:rPr>
  </w:style>
  <w:style w:type="paragraph" w:customStyle="1" w:styleId="xl91">
    <w:name w:val="xl91"/>
    <w:basedOn w:val="Normal"/>
    <w:rsid w:val="004424E3"/>
    <w:pPr>
      <w:spacing w:before="100" w:beforeAutospacing="1" w:after="100" w:afterAutospacing="1"/>
      <w:jc w:val="center"/>
    </w:pPr>
    <w:rPr>
      <w:rFonts w:cs="Arial"/>
      <w:sz w:val="16"/>
      <w:szCs w:val="16"/>
      <w:lang w:eastAsia="en-US"/>
    </w:rPr>
  </w:style>
  <w:style w:type="paragraph" w:customStyle="1" w:styleId="xl92">
    <w:name w:val="xl92"/>
    <w:basedOn w:val="Normal"/>
    <w:rsid w:val="004424E3"/>
    <w:pPr>
      <w:pBdr>
        <w:left w:val="single" w:sz="4" w:space="0" w:color="auto"/>
      </w:pBdr>
      <w:spacing w:before="100" w:beforeAutospacing="1" w:after="100" w:afterAutospacing="1"/>
      <w:jc w:val="center"/>
    </w:pPr>
    <w:rPr>
      <w:rFonts w:cs="Arial"/>
      <w:sz w:val="16"/>
      <w:szCs w:val="16"/>
      <w:lang w:eastAsia="en-US"/>
    </w:rPr>
  </w:style>
  <w:style w:type="paragraph" w:customStyle="1" w:styleId="xl93">
    <w:name w:val="xl93"/>
    <w:basedOn w:val="Normal"/>
    <w:rsid w:val="004424E3"/>
    <w:pPr>
      <w:pBdr>
        <w:left w:val="single" w:sz="4" w:space="0" w:color="auto"/>
      </w:pBdr>
      <w:spacing w:before="100" w:beforeAutospacing="1" w:after="100" w:afterAutospacing="1"/>
      <w:jc w:val="center"/>
    </w:pPr>
    <w:rPr>
      <w:rFonts w:cs="Arial"/>
      <w:sz w:val="16"/>
      <w:szCs w:val="16"/>
      <w:lang w:eastAsia="en-US"/>
    </w:rPr>
  </w:style>
  <w:style w:type="paragraph" w:customStyle="1" w:styleId="xl94">
    <w:name w:val="xl94"/>
    <w:basedOn w:val="Normal"/>
    <w:rsid w:val="004424E3"/>
    <w:pPr>
      <w:pBdr>
        <w:top w:val="single" w:sz="4" w:space="0" w:color="auto"/>
      </w:pBdr>
      <w:spacing w:before="100" w:beforeAutospacing="1" w:after="100" w:afterAutospacing="1"/>
      <w:jc w:val="center"/>
    </w:pPr>
    <w:rPr>
      <w:rFonts w:cs="Arial"/>
      <w:b/>
      <w:bCs/>
      <w:sz w:val="16"/>
      <w:szCs w:val="16"/>
      <w:lang w:eastAsia="en-US"/>
    </w:rPr>
  </w:style>
  <w:style w:type="paragraph" w:customStyle="1" w:styleId="xl95">
    <w:name w:val="xl95"/>
    <w:basedOn w:val="Normal"/>
    <w:rsid w:val="004424E3"/>
    <w:pPr>
      <w:spacing w:before="100" w:beforeAutospacing="1" w:after="100" w:afterAutospacing="1"/>
      <w:jc w:val="center"/>
    </w:pPr>
    <w:rPr>
      <w:rFonts w:cs="Arial"/>
      <w:b/>
      <w:bCs/>
      <w:sz w:val="16"/>
      <w:szCs w:val="16"/>
      <w:lang w:eastAsia="en-US"/>
    </w:rPr>
  </w:style>
  <w:style w:type="paragraph" w:customStyle="1" w:styleId="xl96">
    <w:name w:val="xl96"/>
    <w:basedOn w:val="Normal"/>
    <w:rsid w:val="004424E3"/>
    <w:pPr>
      <w:spacing w:before="100" w:beforeAutospacing="1" w:after="100" w:afterAutospacing="1"/>
      <w:jc w:val="center"/>
    </w:pPr>
    <w:rPr>
      <w:rFonts w:cs="Arial"/>
      <w:b/>
      <w:bCs/>
      <w:sz w:val="16"/>
      <w:szCs w:val="16"/>
      <w:lang w:eastAsia="en-US"/>
    </w:rPr>
  </w:style>
  <w:style w:type="paragraph" w:customStyle="1" w:styleId="xl97">
    <w:name w:val="xl97"/>
    <w:basedOn w:val="Normal"/>
    <w:rsid w:val="004424E3"/>
    <w:pPr>
      <w:pBdr>
        <w:right w:val="single" w:sz="4" w:space="0" w:color="auto"/>
      </w:pBdr>
      <w:spacing w:before="100" w:beforeAutospacing="1" w:after="100" w:afterAutospacing="1"/>
      <w:jc w:val="center"/>
    </w:pPr>
    <w:rPr>
      <w:rFonts w:cs="Arial"/>
      <w:b/>
      <w:bCs/>
      <w:sz w:val="16"/>
      <w:szCs w:val="16"/>
      <w:lang w:eastAsia="en-US"/>
    </w:rPr>
  </w:style>
  <w:style w:type="paragraph" w:customStyle="1" w:styleId="xl98">
    <w:name w:val="xl98"/>
    <w:basedOn w:val="Normal"/>
    <w:rsid w:val="004424E3"/>
    <w:pPr>
      <w:spacing w:before="100" w:beforeAutospacing="1" w:after="100" w:afterAutospacing="1"/>
      <w:jc w:val="center"/>
    </w:pPr>
    <w:rPr>
      <w:rFonts w:cs="Arial"/>
      <w:b/>
      <w:bCs/>
      <w:sz w:val="16"/>
      <w:szCs w:val="16"/>
      <w:lang w:eastAsia="en-US"/>
    </w:rPr>
  </w:style>
  <w:style w:type="paragraph" w:customStyle="1" w:styleId="xl99">
    <w:name w:val="xl99"/>
    <w:basedOn w:val="Normal"/>
    <w:rsid w:val="004424E3"/>
    <w:pPr>
      <w:pBdr>
        <w:top w:val="single" w:sz="8" w:space="0" w:color="auto"/>
      </w:pBdr>
      <w:spacing w:before="100" w:beforeAutospacing="1" w:after="100" w:afterAutospacing="1"/>
    </w:pPr>
    <w:rPr>
      <w:rFonts w:cs="Arial"/>
      <w:sz w:val="16"/>
      <w:szCs w:val="16"/>
      <w:lang w:eastAsia="en-US"/>
    </w:rPr>
  </w:style>
  <w:style w:type="paragraph" w:customStyle="1" w:styleId="xl100">
    <w:name w:val="xl100"/>
    <w:basedOn w:val="Normal"/>
    <w:rsid w:val="004424E3"/>
    <w:pPr>
      <w:pBdr>
        <w:top w:val="single" w:sz="8" w:space="0" w:color="auto"/>
        <w:bottom w:val="single" w:sz="4" w:space="0" w:color="auto"/>
      </w:pBdr>
      <w:spacing w:before="100" w:beforeAutospacing="1" w:after="100" w:afterAutospacing="1"/>
      <w:jc w:val="center"/>
    </w:pPr>
    <w:rPr>
      <w:rFonts w:cs="Arial"/>
      <w:b/>
      <w:bCs/>
      <w:sz w:val="16"/>
      <w:szCs w:val="16"/>
      <w:lang w:eastAsia="en-US"/>
    </w:rPr>
  </w:style>
  <w:style w:type="paragraph" w:customStyle="1" w:styleId="xl101">
    <w:name w:val="xl101"/>
    <w:basedOn w:val="Normal"/>
    <w:rsid w:val="004424E3"/>
    <w:pPr>
      <w:pBdr>
        <w:bottom w:val="single" w:sz="8" w:space="0" w:color="auto"/>
      </w:pBdr>
      <w:spacing w:before="100" w:beforeAutospacing="1" w:after="100" w:afterAutospacing="1"/>
    </w:pPr>
    <w:rPr>
      <w:rFonts w:cs="Arial"/>
      <w:sz w:val="16"/>
      <w:szCs w:val="16"/>
      <w:lang w:eastAsia="en-US"/>
    </w:rPr>
  </w:style>
  <w:style w:type="paragraph" w:customStyle="1" w:styleId="xl102">
    <w:name w:val="xl102"/>
    <w:basedOn w:val="Normal"/>
    <w:rsid w:val="004424E3"/>
    <w:pPr>
      <w:pBdr>
        <w:bottom w:val="single" w:sz="8" w:space="0" w:color="auto"/>
      </w:pBdr>
      <w:spacing w:before="100" w:beforeAutospacing="1" w:after="100" w:afterAutospacing="1"/>
      <w:jc w:val="center"/>
    </w:pPr>
    <w:rPr>
      <w:rFonts w:cs="Arial"/>
      <w:sz w:val="16"/>
      <w:szCs w:val="16"/>
      <w:lang w:eastAsia="en-US"/>
    </w:rPr>
  </w:style>
  <w:style w:type="paragraph" w:customStyle="1" w:styleId="xl103">
    <w:name w:val="xl103"/>
    <w:basedOn w:val="Normal"/>
    <w:rsid w:val="004424E3"/>
    <w:pPr>
      <w:pBdr>
        <w:bottom w:val="single" w:sz="8" w:space="0" w:color="auto"/>
      </w:pBdr>
      <w:spacing w:before="100" w:beforeAutospacing="1" w:after="100" w:afterAutospacing="1"/>
      <w:jc w:val="center"/>
    </w:pPr>
    <w:rPr>
      <w:rFonts w:cs="Arial"/>
      <w:sz w:val="16"/>
      <w:szCs w:val="16"/>
      <w:lang w:eastAsia="en-US"/>
    </w:rPr>
  </w:style>
  <w:style w:type="paragraph" w:customStyle="1" w:styleId="xl104">
    <w:name w:val="xl104"/>
    <w:basedOn w:val="Normal"/>
    <w:rsid w:val="004424E3"/>
    <w:pPr>
      <w:pBdr>
        <w:bottom w:val="single" w:sz="8" w:space="0" w:color="auto"/>
      </w:pBdr>
      <w:spacing w:before="100" w:beforeAutospacing="1" w:after="100" w:afterAutospacing="1"/>
      <w:jc w:val="center"/>
    </w:pPr>
    <w:rPr>
      <w:rFonts w:cs="Arial"/>
      <w:b/>
      <w:bCs/>
      <w:sz w:val="16"/>
      <w:szCs w:val="16"/>
      <w:lang w:eastAsia="en-US"/>
    </w:rPr>
  </w:style>
  <w:style w:type="paragraph" w:customStyle="1" w:styleId="xl105">
    <w:name w:val="xl105"/>
    <w:basedOn w:val="Normal"/>
    <w:rsid w:val="004424E3"/>
    <w:pPr>
      <w:pBdr>
        <w:left w:val="single" w:sz="4" w:space="0" w:color="auto"/>
        <w:bottom w:val="single" w:sz="8" w:space="0" w:color="auto"/>
      </w:pBdr>
      <w:spacing w:before="100" w:beforeAutospacing="1" w:after="100" w:afterAutospacing="1"/>
      <w:jc w:val="center"/>
    </w:pPr>
    <w:rPr>
      <w:rFonts w:cs="Arial"/>
      <w:sz w:val="16"/>
      <w:szCs w:val="16"/>
      <w:lang w:eastAsia="en-US"/>
    </w:rPr>
  </w:style>
  <w:style w:type="paragraph" w:customStyle="1" w:styleId="xl106">
    <w:name w:val="xl106"/>
    <w:basedOn w:val="Normal"/>
    <w:rsid w:val="004424E3"/>
    <w:pPr>
      <w:pBdr>
        <w:bottom w:val="single" w:sz="8" w:space="0" w:color="auto"/>
      </w:pBdr>
      <w:spacing w:before="100" w:beforeAutospacing="1" w:after="100" w:afterAutospacing="1"/>
      <w:jc w:val="center"/>
    </w:pPr>
    <w:rPr>
      <w:rFonts w:cs="Arial"/>
      <w:sz w:val="16"/>
      <w:szCs w:val="16"/>
      <w:lang w:eastAsia="en-US"/>
    </w:rPr>
  </w:style>
  <w:style w:type="paragraph" w:customStyle="1" w:styleId="xl107">
    <w:name w:val="xl107"/>
    <w:basedOn w:val="Normal"/>
    <w:rsid w:val="004424E3"/>
    <w:pPr>
      <w:pBdr>
        <w:bottom w:val="single" w:sz="8" w:space="0" w:color="auto"/>
      </w:pBdr>
      <w:spacing w:before="100" w:beforeAutospacing="1" w:after="100" w:afterAutospacing="1"/>
      <w:jc w:val="center"/>
    </w:pPr>
    <w:rPr>
      <w:rFonts w:cs="Arial"/>
      <w:b/>
      <w:bCs/>
      <w:sz w:val="16"/>
      <w:szCs w:val="16"/>
      <w:lang w:eastAsia="en-US"/>
    </w:rPr>
  </w:style>
  <w:style w:type="paragraph" w:customStyle="1" w:styleId="xl108">
    <w:name w:val="xl108"/>
    <w:basedOn w:val="Normal"/>
    <w:rsid w:val="004424E3"/>
    <w:pPr>
      <w:pBdr>
        <w:bottom w:val="single" w:sz="8" w:space="0" w:color="auto"/>
      </w:pBdr>
      <w:spacing w:before="100" w:beforeAutospacing="1" w:after="100" w:afterAutospacing="1"/>
      <w:jc w:val="center"/>
    </w:pPr>
    <w:rPr>
      <w:rFonts w:cs="Arial"/>
      <w:b/>
      <w:bCs/>
      <w:sz w:val="12"/>
      <w:szCs w:val="12"/>
      <w:lang w:eastAsia="en-US"/>
    </w:rPr>
  </w:style>
  <w:style w:type="paragraph" w:customStyle="1" w:styleId="CrossReference">
    <w:name w:val="Cross Reference"/>
    <w:basedOn w:val="Normal"/>
    <w:rsid w:val="00C470F0"/>
    <w:pPr>
      <w:spacing w:line="480" w:lineRule="auto"/>
    </w:pPr>
    <w:rPr>
      <w:b/>
    </w:rPr>
  </w:style>
  <w:style w:type="character" w:customStyle="1" w:styleId="Heading2Char">
    <w:name w:val="Heading 2 Char"/>
    <w:basedOn w:val="DefaultParagraphFont"/>
    <w:link w:val="Heading2"/>
    <w:uiPriority w:val="9"/>
    <w:rsid w:val="00E02A6E"/>
    <w:rPr>
      <w:rFonts w:ascii="Arial" w:eastAsia="MS Gothic" w:hAnsi="Arial" w:cs="Arial"/>
      <w:b/>
      <w:bCs/>
      <w:iCs/>
      <w:szCs w:val="28"/>
      <w:u w:val="single"/>
    </w:rPr>
  </w:style>
  <w:style w:type="character" w:customStyle="1" w:styleId="Heading3Char">
    <w:name w:val="Heading 3 Char"/>
    <w:basedOn w:val="DefaultParagraphFont"/>
    <w:link w:val="Heading3"/>
    <w:uiPriority w:val="9"/>
    <w:rsid w:val="00BA60D0"/>
    <w:rPr>
      <w:rFonts w:ascii="Arial" w:hAnsi="Arial" w:cs="Arial"/>
      <w:b/>
      <w:i/>
    </w:rPr>
  </w:style>
  <w:style w:type="paragraph" w:styleId="DocumentMap">
    <w:name w:val="Document Map"/>
    <w:basedOn w:val="Normal"/>
    <w:link w:val="DocumentMapChar"/>
    <w:uiPriority w:val="99"/>
    <w:semiHidden/>
    <w:unhideWhenUsed/>
    <w:rsid w:val="00E35F19"/>
    <w:rPr>
      <w:rFonts w:ascii="Times New Roman" w:hAnsi="Times New Roman" w:cs="Times New Roman"/>
    </w:rPr>
  </w:style>
  <w:style w:type="character" w:customStyle="1" w:styleId="DocumentMapChar">
    <w:name w:val="Document Map Char"/>
    <w:basedOn w:val="DefaultParagraphFont"/>
    <w:link w:val="DocumentMap"/>
    <w:uiPriority w:val="99"/>
    <w:semiHidden/>
    <w:rsid w:val="00E35F19"/>
    <w:rPr>
      <w:rFonts w:ascii="Times New Roman" w:hAnsi="Times New Roman" w:cs="Times New Roman"/>
    </w:rPr>
  </w:style>
  <w:style w:type="paragraph" w:customStyle="1" w:styleId="EndNoteBibliographyTitle">
    <w:name w:val="EndNote Bibliography Title"/>
    <w:basedOn w:val="Normal"/>
    <w:rsid w:val="000F6462"/>
    <w:pPr>
      <w:jc w:val="center"/>
    </w:pPr>
    <w:rPr>
      <w:rFonts w:cs="Arial"/>
      <w:sz w:val="22"/>
    </w:rPr>
  </w:style>
  <w:style w:type="paragraph" w:customStyle="1" w:styleId="EndNoteBibliography">
    <w:name w:val="EndNote Bibliography"/>
    <w:basedOn w:val="Normal"/>
    <w:rsid w:val="000F6462"/>
    <w:rPr>
      <w:rFonts w:cs="Arial"/>
      <w:sz w:val="22"/>
    </w:rPr>
  </w:style>
  <w:style w:type="character" w:styleId="LineNumber">
    <w:name w:val="line number"/>
    <w:basedOn w:val="DefaultParagraphFont"/>
    <w:uiPriority w:val="99"/>
    <w:semiHidden/>
    <w:unhideWhenUsed/>
    <w:rsid w:val="003B59AC"/>
  </w:style>
  <w:style w:type="character" w:customStyle="1" w:styleId="y0nh2b">
    <w:name w:val="y0nh2b"/>
    <w:basedOn w:val="DefaultParagraphFont"/>
    <w:rsid w:val="00C22667"/>
  </w:style>
  <w:style w:type="character" w:customStyle="1" w:styleId="wrk6pd">
    <w:name w:val="wrk6pd"/>
    <w:basedOn w:val="DefaultParagraphFont"/>
    <w:rsid w:val="00C22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5006">
      <w:bodyDiv w:val="1"/>
      <w:marLeft w:val="0"/>
      <w:marRight w:val="0"/>
      <w:marTop w:val="0"/>
      <w:marBottom w:val="0"/>
      <w:divBdr>
        <w:top w:val="none" w:sz="0" w:space="0" w:color="auto"/>
        <w:left w:val="none" w:sz="0" w:space="0" w:color="auto"/>
        <w:bottom w:val="none" w:sz="0" w:space="0" w:color="auto"/>
        <w:right w:val="none" w:sz="0" w:space="0" w:color="auto"/>
      </w:divBdr>
    </w:div>
    <w:div w:id="34547867">
      <w:bodyDiv w:val="1"/>
      <w:marLeft w:val="0"/>
      <w:marRight w:val="0"/>
      <w:marTop w:val="0"/>
      <w:marBottom w:val="0"/>
      <w:divBdr>
        <w:top w:val="none" w:sz="0" w:space="0" w:color="auto"/>
        <w:left w:val="none" w:sz="0" w:space="0" w:color="auto"/>
        <w:bottom w:val="none" w:sz="0" w:space="0" w:color="auto"/>
        <w:right w:val="none" w:sz="0" w:space="0" w:color="auto"/>
      </w:divBdr>
    </w:div>
    <w:div w:id="37054067">
      <w:bodyDiv w:val="1"/>
      <w:marLeft w:val="0"/>
      <w:marRight w:val="0"/>
      <w:marTop w:val="0"/>
      <w:marBottom w:val="0"/>
      <w:divBdr>
        <w:top w:val="none" w:sz="0" w:space="0" w:color="auto"/>
        <w:left w:val="none" w:sz="0" w:space="0" w:color="auto"/>
        <w:bottom w:val="none" w:sz="0" w:space="0" w:color="auto"/>
        <w:right w:val="none" w:sz="0" w:space="0" w:color="auto"/>
      </w:divBdr>
    </w:div>
    <w:div w:id="53434694">
      <w:bodyDiv w:val="1"/>
      <w:marLeft w:val="0"/>
      <w:marRight w:val="0"/>
      <w:marTop w:val="0"/>
      <w:marBottom w:val="0"/>
      <w:divBdr>
        <w:top w:val="none" w:sz="0" w:space="0" w:color="auto"/>
        <w:left w:val="none" w:sz="0" w:space="0" w:color="auto"/>
        <w:bottom w:val="none" w:sz="0" w:space="0" w:color="auto"/>
        <w:right w:val="none" w:sz="0" w:space="0" w:color="auto"/>
      </w:divBdr>
    </w:div>
    <w:div w:id="72052824">
      <w:bodyDiv w:val="1"/>
      <w:marLeft w:val="0"/>
      <w:marRight w:val="0"/>
      <w:marTop w:val="0"/>
      <w:marBottom w:val="0"/>
      <w:divBdr>
        <w:top w:val="none" w:sz="0" w:space="0" w:color="auto"/>
        <w:left w:val="none" w:sz="0" w:space="0" w:color="auto"/>
        <w:bottom w:val="none" w:sz="0" w:space="0" w:color="auto"/>
        <w:right w:val="none" w:sz="0" w:space="0" w:color="auto"/>
      </w:divBdr>
    </w:div>
    <w:div w:id="88741646">
      <w:bodyDiv w:val="1"/>
      <w:marLeft w:val="0"/>
      <w:marRight w:val="0"/>
      <w:marTop w:val="0"/>
      <w:marBottom w:val="0"/>
      <w:divBdr>
        <w:top w:val="none" w:sz="0" w:space="0" w:color="auto"/>
        <w:left w:val="none" w:sz="0" w:space="0" w:color="auto"/>
        <w:bottom w:val="none" w:sz="0" w:space="0" w:color="auto"/>
        <w:right w:val="none" w:sz="0" w:space="0" w:color="auto"/>
      </w:divBdr>
    </w:div>
    <w:div w:id="113641281">
      <w:bodyDiv w:val="1"/>
      <w:marLeft w:val="0"/>
      <w:marRight w:val="0"/>
      <w:marTop w:val="0"/>
      <w:marBottom w:val="0"/>
      <w:divBdr>
        <w:top w:val="none" w:sz="0" w:space="0" w:color="auto"/>
        <w:left w:val="none" w:sz="0" w:space="0" w:color="auto"/>
        <w:bottom w:val="none" w:sz="0" w:space="0" w:color="auto"/>
        <w:right w:val="none" w:sz="0" w:space="0" w:color="auto"/>
      </w:divBdr>
    </w:div>
    <w:div w:id="116801014">
      <w:bodyDiv w:val="1"/>
      <w:marLeft w:val="0"/>
      <w:marRight w:val="0"/>
      <w:marTop w:val="0"/>
      <w:marBottom w:val="0"/>
      <w:divBdr>
        <w:top w:val="none" w:sz="0" w:space="0" w:color="auto"/>
        <w:left w:val="none" w:sz="0" w:space="0" w:color="auto"/>
        <w:bottom w:val="none" w:sz="0" w:space="0" w:color="auto"/>
        <w:right w:val="none" w:sz="0" w:space="0" w:color="auto"/>
      </w:divBdr>
    </w:div>
    <w:div w:id="133184934">
      <w:bodyDiv w:val="1"/>
      <w:marLeft w:val="0"/>
      <w:marRight w:val="0"/>
      <w:marTop w:val="0"/>
      <w:marBottom w:val="0"/>
      <w:divBdr>
        <w:top w:val="none" w:sz="0" w:space="0" w:color="auto"/>
        <w:left w:val="none" w:sz="0" w:space="0" w:color="auto"/>
        <w:bottom w:val="none" w:sz="0" w:space="0" w:color="auto"/>
        <w:right w:val="none" w:sz="0" w:space="0" w:color="auto"/>
      </w:divBdr>
    </w:div>
    <w:div w:id="133448655">
      <w:bodyDiv w:val="1"/>
      <w:marLeft w:val="0"/>
      <w:marRight w:val="0"/>
      <w:marTop w:val="0"/>
      <w:marBottom w:val="0"/>
      <w:divBdr>
        <w:top w:val="none" w:sz="0" w:space="0" w:color="auto"/>
        <w:left w:val="none" w:sz="0" w:space="0" w:color="auto"/>
        <w:bottom w:val="none" w:sz="0" w:space="0" w:color="auto"/>
        <w:right w:val="none" w:sz="0" w:space="0" w:color="auto"/>
      </w:divBdr>
    </w:div>
    <w:div w:id="204948600">
      <w:bodyDiv w:val="1"/>
      <w:marLeft w:val="0"/>
      <w:marRight w:val="0"/>
      <w:marTop w:val="0"/>
      <w:marBottom w:val="0"/>
      <w:divBdr>
        <w:top w:val="none" w:sz="0" w:space="0" w:color="auto"/>
        <w:left w:val="none" w:sz="0" w:space="0" w:color="auto"/>
        <w:bottom w:val="none" w:sz="0" w:space="0" w:color="auto"/>
        <w:right w:val="none" w:sz="0" w:space="0" w:color="auto"/>
      </w:divBdr>
    </w:div>
    <w:div w:id="213928484">
      <w:bodyDiv w:val="1"/>
      <w:marLeft w:val="0"/>
      <w:marRight w:val="0"/>
      <w:marTop w:val="0"/>
      <w:marBottom w:val="0"/>
      <w:divBdr>
        <w:top w:val="none" w:sz="0" w:space="0" w:color="auto"/>
        <w:left w:val="none" w:sz="0" w:space="0" w:color="auto"/>
        <w:bottom w:val="none" w:sz="0" w:space="0" w:color="auto"/>
        <w:right w:val="none" w:sz="0" w:space="0" w:color="auto"/>
      </w:divBdr>
    </w:div>
    <w:div w:id="225533711">
      <w:bodyDiv w:val="1"/>
      <w:marLeft w:val="0"/>
      <w:marRight w:val="0"/>
      <w:marTop w:val="0"/>
      <w:marBottom w:val="0"/>
      <w:divBdr>
        <w:top w:val="none" w:sz="0" w:space="0" w:color="auto"/>
        <w:left w:val="none" w:sz="0" w:space="0" w:color="auto"/>
        <w:bottom w:val="none" w:sz="0" w:space="0" w:color="auto"/>
        <w:right w:val="none" w:sz="0" w:space="0" w:color="auto"/>
      </w:divBdr>
    </w:div>
    <w:div w:id="231163539">
      <w:bodyDiv w:val="1"/>
      <w:marLeft w:val="0"/>
      <w:marRight w:val="0"/>
      <w:marTop w:val="0"/>
      <w:marBottom w:val="0"/>
      <w:divBdr>
        <w:top w:val="none" w:sz="0" w:space="0" w:color="auto"/>
        <w:left w:val="none" w:sz="0" w:space="0" w:color="auto"/>
        <w:bottom w:val="none" w:sz="0" w:space="0" w:color="auto"/>
        <w:right w:val="none" w:sz="0" w:space="0" w:color="auto"/>
      </w:divBdr>
    </w:div>
    <w:div w:id="236135481">
      <w:bodyDiv w:val="1"/>
      <w:marLeft w:val="0"/>
      <w:marRight w:val="0"/>
      <w:marTop w:val="0"/>
      <w:marBottom w:val="0"/>
      <w:divBdr>
        <w:top w:val="none" w:sz="0" w:space="0" w:color="auto"/>
        <w:left w:val="none" w:sz="0" w:space="0" w:color="auto"/>
        <w:bottom w:val="none" w:sz="0" w:space="0" w:color="auto"/>
        <w:right w:val="none" w:sz="0" w:space="0" w:color="auto"/>
      </w:divBdr>
    </w:div>
    <w:div w:id="248588648">
      <w:bodyDiv w:val="1"/>
      <w:marLeft w:val="0"/>
      <w:marRight w:val="0"/>
      <w:marTop w:val="0"/>
      <w:marBottom w:val="0"/>
      <w:divBdr>
        <w:top w:val="none" w:sz="0" w:space="0" w:color="auto"/>
        <w:left w:val="none" w:sz="0" w:space="0" w:color="auto"/>
        <w:bottom w:val="none" w:sz="0" w:space="0" w:color="auto"/>
        <w:right w:val="none" w:sz="0" w:space="0" w:color="auto"/>
      </w:divBdr>
    </w:div>
    <w:div w:id="265387010">
      <w:bodyDiv w:val="1"/>
      <w:marLeft w:val="0"/>
      <w:marRight w:val="0"/>
      <w:marTop w:val="0"/>
      <w:marBottom w:val="0"/>
      <w:divBdr>
        <w:top w:val="none" w:sz="0" w:space="0" w:color="auto"/>
        <w:left w:val="none" w:sz="0" w:space="0" w:color="auto"/>
        <w:bottom w:val="none" w:sz="0" w:space="0" w:color="auto"/>
        <w:right w:val="none" w:sz="0" w:space="0" w:color="auto"/>
      </w:divBdr>
    </w:div>
    <w:div w:id="274675856">
      <w:bodyDiv w:val="1"/>
      <w:marLeft w:val="0"/>
      <w:marRight w:val="0"/>
      <w:marTop w:val="0"/>
      <w:marBottom w:val="0"/>
      <w:divBdr>
        <w:top w:val="none" w:sz="0" w:space="0" w:color="auto"/>
        <w:left w:val="none" w:sz="0" w:space="0" w:color="auto"/>
        <w:bottom w:val="none" w:sz="0" w:space="0" w:color="auto"/>
        <w:right w:val="none" w:sz="0" w:space="0" w:color="auto"/>
      </w:divBdr>
    </w:div>
    <w:div w:id="274750184">
      <w:bodyDiv w:val="1"/>
      <w:marLeft w:val="0"/>
      <w:marRight w:val="0"/>
      <w:marTop w:val="0"/>
      <w:marBottom w:val="0"/>
      <w:divBdr>
        <w:top w:val="none" w:sz="0" w:space="0" w:color="auto"/>
        <w:left w:val="none" w:sz="0" w:space="0" w:color="auto"/>
        <w:bottom w:val="none" w:sz="0" w:space="0" w:color="auto"/>
        <w:right w:val="none" w:sz="0" w:space="0" w:color="auto"/>
      </w:divBdr>
    </w:div>
    <w:div w:id="298538294">
      <w:bodyDiv w:val="1"/>
      <w:marLeft w:val="0"/>
      <w:marRight w:val="0"/>
      <w:marTop w:val="0"/>
      <w:marBottom w:val="0"/>
      <w:divBdr>
        <w:top w:val="none" w:sz="0" w:space="0" w:color="auto"/>
        <w:left w:val="none" w:sz="0" w:space="0" w:color="auto"/>
        <w:bottom w:val="none" w:sz="0" w:space="0" w:color="auto"/>
        <w:right w:val="none" w:sz="0" w:space="0" w:color="auto"/>
      </w:divBdr>
    </w:div>
    <w:div w:id="304118957">
      <w:bodyDiv w:val="1"/>
      <w:marLeft w:val="0"/>
      <w:marRight w:val="0"/>
      <w:marTop w:val="0"/>
      <w:marBottom w:val="0"/>
      <w:divBdr>
        <w:top w:val="none" w:sz="0" w:space="0" w:color="auto"/>
        <w:left w:val="none" w:sz="0" w:space="0" w:color="auto"/>
        <w:bottom w:val="none" w:sz="0" w:space="0" w:color="auto"/>
        <w:right w:val="none" w:sz="0" w:space="0" w:color="auto"/>
      </w:divBdr>
    </w:div>
    <w:div w:id="330302866">
      <w:bodyDiv w:val="1"/>
      <w:marLeft w:val="0"/>
      <w:marRight w:val="0"/>
      <w:marTop w:val="0"/>
      <w:marBottom w:val="0"/>
      <w:divBdr>
        <w:top w:val="none" w:sz="0" w:space="0" w:color="auto"/>
        <w:left w:val="none" w:sz="0" w:space="0" w:color="auto"/>
        <w:bottom w:val="none" w:sz="0" w:space="0" w:color="auto"/>
        <w:right w:val="none" w:sz="0" w:space="0" w:color="auto"/>
      </w:divBdr>
    </w:div>
    <w:div w:id="339550838">
      <w:bodyDiv w:val="1"/>
      <w:marLeft w:val="0"/>
      <w:marRight w:val="0"/>
      <w:marTop w:val="0"/>
      <w:marBottom w:val="0"/>
      <w:divBdr>
        <w:top w:val="none" w:sz="0" w:space="0" w:color="auto"/>
        <w:left w:val="none" w:sz="0" w:space="0" w:color="auto"/>
        <w:bottom w:val="none" w:sz="0" w:space="0" w:color="auto"/>
        <w:right w:val="none" w:sz="0" w:space="0" w:color="auto"/>
      </w:divBdr>
    </w:div>
    <w:div w:id="356473256">
      <w:bodyDiv w:val="1"/>
      <w:marLeft w:val="0"/>
      <w:marRight w:val="0"/>
      <w:marTop w:val="0"/>
      <w:marBottom w:val="0"/>
      <w:divBdr>
        <w:top w:val="none" w:sz="0" w:space="0" w:color="auto"/>
        <w:left w:val="none" w:sz="0" w:space="0" w:color="auto"/>
        <w:bottom w:val="none" w:sz="0" w:space="0" w:color="auto"/>
        <w:right w:val="none" w:sz="0" w:space="0" w:color="auto"/>
      </w:divBdr>
    </w:div>
    <w:div w:id="362021932">
      <w:bodyDiv w:val="1"/>
      <w:marLeft w:val="0"/>
      <w:marRight w:val="0"/>
      <w:marTop w:val="0"/>
      <w:marBottom w:val="0"/>
      <w:divBdr>
        <w:top w:val="none" w:sz="0" w:space="0" w:color="auto"/>
        <w:left w:val="none" w:sz="0" w:space="0" w:color="auto"/>
        <w:bottom w:val="none" w:sz="0" w:space="0" w:color="auto"/>
        <w:right w:val="none" w:sz="0" w:space="0" w:color="auto"/>
      </w:divBdr>
    </w:div>
    <w:div w:id="375668273">
      <w:bodyDiv w:val="1"/>
      <w:marLeft w:val="0"/>
      <w:marRight w:val="0"/>
      <w:marTop w:val="0"/>
      <w:marBottom w:val="0"/>
      <w:divBdr>
        <w:top w:val="none" w:sz="0" w:space="0" w:color="auto"/>
        <w:left w:val="none" w:sz="0" w:space="0" w:color="auto"/>
        <w:bottom w:val="none" w:sz="0" w:space="0" w:color="auto"/>
        <w:right w:val="none" w:sz="0" w:space="0" w:color="auto"/>
      </w:divBdr>
    </w:div>
    <w:div w:id="378482329">
      <w:bodyDiv w:val="1"/>
      <w:marLeft w:val="0"/>
      <w:marRight w:val="0"/>
      <w:marTop w:val="0"/>
      <w:marBottom w:val="0"/>
      <w:divBdr>
        <w:top w:val="none" w:sz="0" w:space="0" w:color="auto"/>
        <w:left w:val="none" w:sz="0" w:space="0" w:color="auto"/>
        <w:bottom w:val="none" w:sz="0" w:space="0" w:color="auto"/>
        <w:right w:val="none" w:sz="0" w:space="0" w:color="auto"/>
      </w:divBdr>
    </w:div>
    <w:div w:id="383991520">
      <w:bodyDiv w:val="1"/>
      <w:marLeft w:val="0"/>
      <w:marRight w:val="0"/>
      <w:marTop w:val="0"/>
      <w:marBottom w:val="0"/>
      <w:divBdr>
        <w:top w:val="none" w:sz="0" w:space="0" w:color="auto"/>
        <w:left w:val="none" w:sz="0" w:space="0" w:color="auto"/>
        <w:bottom w:val="none" w:sz="0" w:space="0" w:color="auto"/>
        <w:right w:val="none" w:sz="0" w:space="0" w:color="auto"/>
      </w:divBdr>
    </w:div>
    <w:div w:id="387148325">
      <w:bodyDiv w:val="1"/>
      <w:marLeft w:val="0"/>
      <w:marRight w:val="0"/>
      <w:marTop w:val="0"/>
      <w:marBottom w:val="0"/>
      <w:divBdr>
        <w:top w:val="none" w:sz="0" w:space="0" w:color="auto"/>
        <w:left w:val="none" w:sz="0" w:space="0" w:color="auto"/>
        <w:bottom w:val="none" w:sz="0" w:space="0" w:color="auto"/>
        <w:right w:val="none" w:sz="0" w:space="0" w:color="auto"/>
      </w:divBdr>
    </w:div>
    <w:div w:id="405957212">
      <w:bodyDiv w:val="1"/>
      <w:marLeft w:val="0"/>
      <w:marRight w:val="0"/>
      <w:marTop w:val="0"/>
      <w:marBottom w:val="0"/>
      <w:divBdr>
        <w:top w:val="none" w:sz="0" w:space="0" w:color="auto"/>
        <w:left w:val="none" w:sz="0" w:space="0" w:color="auto"/>
        <w:bottom w:val="none" w:sz="0" w:space="0" w:color="auto"/>
        <w:right w:val="none" w:sz="0" w:space="0" w:color="auto"/>
      </w:divBdr>
    </w:div>
    <w:div w:id="423459408">
      <w:bodyDiv w:val="1"/>
      <w:marLeft w:val="0"/>
      <w:marRight w:val="0"/>
      <w:marTop w:val="0"/>
      <w:marBottom w:val="0"/>
      <w:divBdr>
        <w:top w:val="none" w:sz="0" w:space="0" w:color="auto"/>
        <w:left w:val="none" w:sz="0" w:space="0" w:color="auto"/>
        <w:bottom w:val="none" w:sz="0" w:space="0" w:color="auto"/>
        <w:right w:val="none" w:sz="0" w:space="0" w:color="auto"/>
      </w:divBdr>
    </w:div>
    <w:div w:id="430205604">
      <w:bodyDiv w:val="1"/>
      <w:marLeft w:val="0"/>
      <w:marRight w:val="0"/>
      <w:marTop w:val="0"/>
      <w:marBottom w:val="0"/>
      <w:divBdr>
        <w:top w:val="none" w:sz="0" w:space="0" w:color="auto"/>
        <w:left w:val="none" w:sz="0" w:space="0" w:color="auto"/>
        <w:bottom w:val="none" w:sz="0" w:space="0" w:color="auto"/>
        <w:right w:val="none" w:sz="0" w:space="0" w:color="auto"/>
      </w:divBdr>
    </w:div>
    <w:div w:id="455104993">
      <w:bodyDiv w:val="1"/>
      <w:marLeft w:val="0"/>
      <w:marRight w:val="0"/>
      <w:marTop w:val="0"/>
      <w:marBottom w:val="0"/>
      <w:divBdr>
        <w:top w:val="none" w:sz="0" w:space="0" w:color="auto"/>
        <w:left w:val="none" w:sz="0" w:space="0" w:color="auto"/>
        <w:bottom w:val="none" w:sz="0" w:space="0" w:color="auto"/>
        <w:right w:val="none" w:sz="0" w:space="0" w:color="auto"/>
      </w:divBdr>
    </w:div>
    <w:div w:id="473374253">
      <w:bodyDiv w:val="1"/>
      <w:marLeft w:val="0"/>
      <w:marRight w:val="0"/>
      <w:marTop w:val="0"/>
      <w:marBottom w:val="0"/>
      <w:divBdr>
        <w:top w:val="none" w:sz="0" w:space="0" w:color="auto"/>
        <w:left w:val="none" w:sz="0" w:space="0" w:color="auto"/>
        <w:bottom w:val="none" w:sz="0" w:space="0" w:color="auto"/>
        <w:right w:val="none" w:sz="0" w:space="0" w:color="auto"/>
      </w:divBdr>
      <w:divsChild>
        <w:div w:id="581183596">
          <w:marLeft w:val="0"/>
          <w:marRight w:val="0"/>
          <w:marTop w:val="0"/>
          <w:marBottom w:val="0"/>
          <w:divBdr>
            <w:top w:val="none" w:sz="0" w:space="0" w:color="auto"/>
            <w:left w:val="none" w:sz="0" w:space="0" w:color="auto"/>
            <w:bottom w:val="none" w:sz="0" w:space="0" w:color="auto"/>
            <w:right w:val="none" w:sz="0" w:space="0" w:color="auto"/>
          </w:divBdr>
          <w:divsChild>
            <w:div w:id="46151410">
              <w:marLeft w:val="0"/>
              <w:marRight w:val="0"/>
              <w:marTop w:val="0"/>
              <w:marBottom w:val="0"/>
              <w:divBdr>
                <w:top w:val="none" w:sz="0" w:space="0" w:color="auto"/>
                <w:left w:val="none" w:sz="0" w:space="0" w:color="auto"/>
                <w:bottom w:val="none" w:sz="0" w:space="0" w:color="auto"/>
                <w:right w:val="none" w:sz="0" w:space="0" w:color="auto"/>
              </w:divBdr>
              <w:divsChild>
                <w:div w:id="2002077751">
                  <w:marLeft w:val="0"/>
                  <w:marRight w:val="0"/>
                  <w:marTop w:val="0"/>
                  <w:marBottom w:val="0"/>
                  <w:divBdr>
                    <w:top w:val="none" w:sz="0" w:space="0" w:color="auto"/>
                    <w:left w:val="none" w:sz="0" w:space="0" w:color="auto"/>
                    <w:bottom w:val="none" w:sz="0" w:space="0" w:color="auto"/>
                    <w:right w:val="none" w:sz="0" w:space="0" w:color="auto"/>
                  </w:divBdr>
                  <w:divsChild>
                    <w:div w:id="1774009711">
                      <w:marLeft w:val="0"/>
                      <w:marRight w:val="0"/>
                      <w:marTop w:val="0"/>
                      <w:marBottom w:val="0"/>
                      <w:divBdr>
                        <w:top w:val="none" w:sz="0" w:space="0" w:color="auto"/>
                        <w:left w:val="none" w:sz="0" w:space="0" w:color="auto"/>
                        <w:bottom w:val="none" w:sz="0" w:space="0" w:color="auto"/>
                        <w:right w:val="none" w:sz="0" w:space="0" w:color="auto"/>
                      </w:divBdr>
                      <w:divsChild>
                        <w:div w:id="10543528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87660943">
              <w:marLeft w:val="0"/>
              <w:marRight w:val="0"/>
              <w:marTop w:val="0"/>
              <w:marBottom w:val="0"/>
              <w:divBdr>
                <w:top w:val="none" w:sz="0" w:space="0" w:color="auto"/>
                <w:left w:val="none" w:sz="0" w:space="0" w:color="auto"/>
                <w:bottom w:val="none" w:sz="0" w:space="0" w:color="auto"/>
                <w:right w:val="none" w:sz="0" w:space="0" w:color="auto"/>
              </w:divBdr>
              <w:divsChild>
                <w:div w:id="761989771">
                  <w:marLeft w:val="0"/>
                  <w:marRight w:val="0"/>
                  <w:marTop w:val="0"/>
                  <w:marBottom w:val="0"/>
                  <w:divBdr>
                    <w:top w:val="none" w:sz="0" w:space="0" w:color="auto"/>
                    <w:left w:val="none" w:sz="0" w:space="0" w:color="auto"/>
                    <w:bottom w:val="none" w:sz="0" w:space="0" w:color="auto"/>
                    <w:right w:val="none" w:sz="0" w:space="0" w:color="auto"/>
                  </w:divBdr>
                  <w:divsChild>
                    <w:div w:id="1819102625">
                      <w:marLeft w:val="0"/>
                      <w:marRight w:val="0"/>
                      <w:marTop w:val="0"/>
                      <w:marBottom w:val="0"/>
                      <w:divBdr>
                        <w:top w:val="none" w:sz="0" w:space="0" w:color="auto"/>
                        <w:left w:val="none" w:sz="0" w:space="0" w:color="auto"/>
                        <w:bottom w:val="none" w:sz="0" w:space="0" w:color="auto"/>
                        <w:right w:val="none" w:sz="0" w:space="0" w:color="auto"/>
                      </w:divBdr>
                      <w:divsChild>
                        <w:div w:id="1571191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71484640">
              <w:marLeft w:val="0"/>
              <w:marRight w:val="0"/>
              <w:marTop w:val="0"/>
              <w:marBottom w:val="0"/>
              <w:divBdr>
                <w:top w:val="none" w:sz="0" w:space="0" w:color="auto"/>
                <w:left w:val="none" w:sz="0" w:space="0" w:color="auto"/>
                <w:bottom w:val="none" w:sz="0" w:space="0" w:color="auto"/>
                <w:right w:val="none" w:sz="0" w:space="0" w:color="auto"/>
              </w:divBdr>
              <w:divsChild>
                <w:div w:id="277221575">
                  <w:marLeft w:val="0"/>
                  <w:marRight w:val="0"/>
                  <w:marTop w:val="0"/>
                  <w:marBottom w:val="0"/>
                  <w:divBdr>
                    <w:top w:val="none" w:sz="0" w:space="0" w:color="auto"/>
                    <w:left w:val="none" w:sz="0" w:space="0" w:color="auto"/>
                    <w:bottom w:val="none" w:sz="0" w:space="0" w:color="auto"/>
                    <w:right w:val="none" w:sz="0" w:space="0" w:color="auto"/>
                  </w:divBdr>
                  <w:divsChild>
                    <w:div w:id="17757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97024">
              <w:marLeft w:val="0"/>
              <w:marRight w:val="0"/>
              <w:marTop w:val="0"/>
              <w:marBottom w:val="0"/>
              <w:divBdr>
                <w:top w:val="none" w:sz="0" w:space="0" w:color="auto"/>
                <w:left w:val="none" w:sz="0" w:space="0" w:color="auto"/>
                <w:bottom w:val="none" w:sz="0" w:space="0" w:color="auto"/>
                <w:right w:val="none" w:sz="0" w:space="0" w:color="auto"/>
              </w:divBdr>
              <w:divsChild>
                <w:div w:id="845245282">
                  <w:marLeft w:val="0"/>
                  <w:marRight w:val="0"/>
                  <w:marTop w:val="0"/>
                  <w:marBottom w:val="0"/>
                  <w:divBdr>
                    <w:top w:val="none" w:sz="0" w:space="0" w:color="auto"/>
                    <w:left w:val="none" w:sz="0" w:space="0" w:color="auto"/>
                    <w:bottom w:val="none" w:sz="0" w:space="0" w:color="auto"/>
                    <w:right w:val="none" w:sz="0" w:space="0" w:color="auto"/>
                  </w:divBdr>
                  <w:divsChild>
                    <w:div w:id="20377328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50086637">
              <w:marLeft w:val="0"/>
              <w:marRight w:val="0"/>
              <w:marTop w:val="0"/>
              <w:marBottom w:val="0"/>
              <w:divBdr>
                <w:top w:val="none" w:sz="0" w:space="0" w:color="auto"/>
                <w:left w:val="none" w:sz="0" w:space="0" w:color="auto"/>
                <w:bottom w:val="none" w:sz="0" w:space="0" w:color="auto"/>
                <w:right w:val="none" w:sz="0" w:space="0" w:color="auto"/>
              </w:divBdr>
              <w:divsChild>
                <w:div w:id="525216782">
                  <w:marLeft w:val="0"/>
                  <w:marRight w:val="0"/>
                  <w:marTop w:val="0"/>
                  <w:marBottom w:val="0"/>
                  <w:divBdr>
                    <w:top w:val="none" w:sz="0" w:space="0" w:color="auto"/>
                    <w:left w:val="none" w:sz="0" w:space="0" w:color="auto"/>
                    <w:bottom w:val="none" w:sz="0" w:space="0" w:color="auto"/>
                    <w:right w:val="none" w:sz="0" w:space="0" w:color="auto"/>
                  </w:divBdr>
                  <w:divsChild>
                    <w:div w:id="400373553">
                      <w:marLeft w:val="0"/>
                      <w:marRight w:val="0"/>
                      <w:marTop w:val="0"/>
                      <w:marBottom w:val="0"/>
                      <w:divBdr>
                        <w:top w:val="none" w:sz="0" w:space="0" w:color="auto"/>
                        <w:left w:val="none" w:sz="0" w:space="0" w:color="auto"/>
                        <w:bottom w:val="none" w:sz="0" w:space="0" w:color="auto"/>
                        <w:right w:val="none" w:sz="0" w:space="0" w:color="auto"/>
                      </w:divBdr>
                      <w:divsChild>
                        <w:div w:id="1774351846">
                          <w:marLeft w:val="0"/>
                          <w:marRight w:val="0"/>
                          <w:marTop w:val="0"/>
                          <w:marBottom w:val="0"/>
                          <w:divBdr>
                            <w:top w:val="none" w:sz="0" w:space="0" w:color="auto"/>
                            <w:left w:val="none" w:sz="0" w:space="0" w:color="auto"/>
                            <w:bottom w:val="none" w:sz="0" w:space="0" w:color="auto"/>
                            <w:right w:val="none" w:sz="0" w:space="0" w:color="auto"/>
                          </w:divBdr>
                        </w:div>
                      </w:divsChild>
                    </w:div>
                    <w:div w:id="483619272">
                      <w:marLeft w:val="0"/>
                      <w:marRight w:val="0"/>
                      <w:marTop w:val="0"/>
                      <w:marBottom w:val="0"/>
                      <w:divBdr>
                        <w:top w:val="none" w:sz="0" w:space="0" w:color="auto"/>
                        <w:left w:val="none" w:sz="0" w:space="0" w:color="auto"/>
                        <w:bottom w:val="none" w:sz="0" w:space="0" w:color="auto"/>
                        <w:right w:val="none" w:sz="0" w:space="0" w:color="auto"/>
                      </w:divBdr>
                      <w:divsChild>
                        <w:div w:id="1978142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44650900">
          <w:marLeft w:val="0"/>
          <w:marRight w:val="0"/>
          <w:marTop w:val="0"/>
          <w:marBottom w:val="0"/>
          <w:divBdr>
            <w:top w:val="none" w:sz="0" w:space="0" w:color="auto"/>
            <w:left w:val="none" w:sz="0" w:space="0" w:color="auto"/>
            <w:bottom w:val="none" w:sz="0" w:space="0" w:color="auto"/>
            <w:right w:val="none" w:sz="0" w:space="0" w:color="auto"/>
          </w:divBdr>
          <w:divsChild>
            <w:div w:id="8651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5506">
      <w:bodyDiv w:val="1"/>
      <w:marLeft w:val="0"/>
      <w:marRight w:val="0"/>
      <w:marTop w:val="0"/>
      <w:marBottom w:val="0"/>
      <w:divBdr>
        <w:top w:val="none" w:sz="0" w:space="0" w:color="auto"/>
        <w:left w:val="none" w:sz="0" w:space="0" w:color="auto"/>
        <w:bottom w:val="none" w:sz="0" w:space="0" w:color="auto"/>
        <w:right w:val="none" w:sz="0" w:space="0" w:color="auto"/>
      </w:divBdr>
    </w:div>
    <w:div w:id="498733281">
      <w:bodyDiv w:val="1"/>
      <w:marLeft w:val="0"/>
      <w:marRight w:val="0"/>
      <w:marTop w:val="0"/>
      <w:marBottom w:val="0"/>
      <w:divBdr>
        <w:top w:val="none" w:sz="0" w:space="0" w:color="auto"/>
        <w:left w:val="none" w:sz="0" w:space="0" w:color="auto"/>
        <w:bottom w:val="none" w:sz="0" w:space="0" w:color="auto"/>
        <w:right w:val="none" w:sz="0" w:space="0" w:color="auto"/>
      </w:divBdr>
    </w:div>
    <w:div w:id="513151699">
      <w:bodyDiv w:val="1"/>
      <w:marLeft w:val="0"/>
      <w:marRight w:val="0"/>
      <w:marTop w:val="0"/>
      <w:marBottom w:val="0"/>
      <w:divBdr>
        <w:top w:val="none" w:sz="0" w:space="0" w:color="auto"/>
        <w:left w:val="none" w:sz="0" w:space="0" w:color="auto"/>
        <w:bottom w:val="none" w:sz="0" w:space="0" w:color="auto"/>
        <w:right w:val="none" w:sz="0" w:space="0" w:color="auto"/>
      </w:divBdr>
    </w:div>
    <w:div w:id="545919961">
      <w:bodyDiv w:val="1"/>
      <w:marLeft w:val="0"/>
      <w:marRight w:val="0"/>
      <w:marTop w:val="0"/>
      <w:marBottom w:val="0"/>
      <w:divBdr>
        <w:top w:val="none" w:sz="0" w:space="0" w:color="auto"/>
        <w:left w:val="none" w:sz="0" w:space="0" w:color="auto"/>
        <w:bottom w:val="none" w:sz="0" w:space="0" w:color="auto"/>
        <w:right w:val="none" w:sz="0" w:space="0" w:color="auto"/>
      </w:divBdr>
    </w:div>
    <w:div w:id="552547180">
      <w:bodyDiv w:val="1"/>
      <w:marLeft w:val="0"/>
      <w:marRight w:val="0"/>
      <w:marTop w:val="0"/>
      <w:marBottom w:val="0"/>
      <w:divBdr>
        <w:top w:val="none" w:sz="0" w:space="0" w:color="auto"/>
        <w:left w:val="none" w:sz="0" w:space="0" w:color="auto"/>
        <w:bottom w:val="none" w:sz="0" w:space="0" w:color="auto"/>
        <w:right w:val="none" w:sz="0" w:space="0" w:color="auto"/>
      </w:divBdr>
    </w:div>
    <w:div w:id="595022222">
      <w:bodyDiv w:val="1"/>
      <w:marLeft w:val="0"/>
      <w:marRight w:val="0"/>
      <w:marTop w:val="0"/>
      <w:marBottom w:val="0"/>
      <w:divBdr>
        <w:top w:val="none" w:sz="0" w:space="0" w:color="auto"/>
        <w:left w:val="none" w:sz="0" w:space="0" w:color="auto"/>
        <w:bottom w:val="none" w:sz="0" w:space="0" w:color="auto"/>
        <w:right w:val="none" w:sz="0" w:space="0" w:color="auto"/>
      </w:divBdr>
    </w:div>
    <w:div w:id="617680051">
      <w:bodyDiv w:val="1"/>
      <w:marLeft w:val="0"/>
      <w:marRight w:val="0"/>
      <w:marTop w:val="0"/>
      <w:marBottom w:val="0"/>
      <w:divBdr>
        <w:top w:val="none" w:sz="0" w:space="0" w:color="auto"/>
        <w:left w:val="none" w:sz="0" w:space="0" w:color="auto"/>
        <w:bottom w:val="none" w:sz="0" w:space="0" w:color="auto"/>
        <w:right w:val="none" w:sz="0" w:space="0" w:color="auto"/>
      </w:divBdr>
    </w:div>
    <w:div w:id="625939021">
      <w:bodyDiv w:val="1"/>
      <w:marLeft w:val="0"/>
      <w:marRight w:val="0"/>
      <w:marTop w:val="0"/>
      <w:marBottom w:val="0"/>
      <w:divBdr>
        <w:top w:val="none" w:sz="0" w:space="0" w:color="auto"/>
        <w:left w:val="none" w:sz="0" w:space="0" w:color="auto"/>
        <w:bottom w:val="none" w:sz="0" w:space="0" w:color="auto"/>
        <w:right w:val="none" w:sz="0" w:space="0" w:color="auto"/>
      </w:divBdr>
    </w:div>
    <w:div w:id="626740299">
      <w:bodyDiv w:val="1"/>
      <w:marLeft w:val="0"/>
      <w:marRight w:val="0"/>
      <w:marTop w:val="0"/>
      <w:marBottom w:val="0"/>
      <w:divBdr>
        <w:top w:val="none" w:sz="0" w:space="0" w:color="auto"/>
        <w:left w:val="none" w:sz="0" w:space="0" w:color="auto"/>
        <w:bottom w:val="none" w:sz="0" w:space="0" w:color="auto"/>
        <w:right w:val="none" w:sz="0" w:space="0" w:color="auto"/>
      </w:divBdr>
    </w:div>
    <w:div w:id="642932006">
      <w:bodyDiv w:val="1"/>
      <w:marLeft w:val="0"/>
      <w:marRight w:val="0"/>
      <w:marTop w:val="0"/>
      <w:marBottom w:val="0"/>
      <w:divBdr>
        <w:top w:val="none" w:sz="0" w:space="0" w:color="auto"/>
        <w:left w:val="none" w:sz="0" w:space="0" w:color="auto"/>
        <w:bottom w:val="none" w:sz="0" w:space="0" w:color="auto"/>
        <w:right w:val="none" w:sz="0" w:space="0" w:color="auto"/>
      </w:divBdr>
    </w:div>
    <w:div w:id="644048843">
      <w:bodyDiv w:val="1"/>
      <w:marLeft w:val="0"/>
      <w:marRight w:val="0"/>
      <w:marTop w:val="0"/>
      <w:marBottom w:val="0"/>
      <w:divBdr>
        <w:top w:val="none" w:sz="0" w:space="0" w:color="auto"/>
        <w:left w:val="none" w:sz="0" w:space="0" w:color="auto"/>
        <w:bottom w:val="none" w:sz="0" w:space="0" w:color="auto"/>
        <w:right w:val="none" w:sz="0" w:space="0" w:color="auto"/>
      </w:divBdr>
    </w:div>
    <w:div w:id="663511754">
      <w:bodyDiv w:val="1"/>
      <w:marLeft w:val="0"/>
      <w:marRight w:val="0"/>
      <w:marTop w:val="0"/>
      <w:marBottom w:val="0"/>
      <w:divBdr>
        <w:top w:val="none" w:sz="0" w:space="0" w:color="auto"/>
        <w:left w:val="none" w:sz="0" w:space="0" w:color="auto"/>
        <w:bottom w:val="none" w:sz="0" w:space="0" w:color="auto"/>
        <w:right w:val="none" w:sz="0" w:space="0" w:color="auto"/>
      </w:divBdr>
    </w:div>
    <w:div w:id="692724734">
      <w:bodyDiv w:val="1"/>
      <w:marLeft w:val="0"/>
      <w:marRight w:val="0"/>
      <w:marTop w:val="0"/>
      <w:marBottom w:val="0"/>
      <w:divBdr>
        <w:top w:val="none" w:sz="0" w:space="0" w:color="auto"/>
        <w:left w:val="none" w:sz="0" w:space="0" w:color="auto"/>
        <w:bottom w:val="none" w:sz="0" w:space="0" w:color="auto"/>
        <w:right w:val="none" w:sz="0" w:space="0" w:color="auto"/>
      </w:divBdr>
    </w:div>
    <w:div w:id="693002795">
      <w:bodyDiv w:val="1"/>
      <w:marLeft w:val="0"/>
      <w:marRight w:val="0"/>
      <w:marTop w:val="0"/>
      <w:marBottom w:val="0"/>
      <w:divBdr>
        <w:top w:val="none" w:sz="0" w:space="0" w:color="auto"/>
        <w:left w:val="none" w:sz="0" w:space="0" w:color="auto"/>
        <w:bottom w:val="none" w:sz="0" w:space="0" w:color="auto"/>
        <w:right w:val="none" w:sz="0" w:space="0" w:color="auto"/>
      </w:divBdr>
    </w:div>
    <w:div w:id="719211010">
      <w:bodyDiv w:val="1"/>
      <w:marLeft w:val="0"/>
      <w:marRight w:val="0"/>
      <w:marTop w:val="0"/>
      <w:marBottom w:val="0"/>
      <w:divBdr>
        <w:top w:val="none" w:sz="0" w:space="0" w:color="auto"/>
        <w:left w:val="none" w:sz="0" w:space="0" w:color="auto"/>
        <w:bottom w:val="none" w:sz="0" w:space="0" w:color="auto"/>
        <w:right w:val="none" w:sz="0" w:space="0" w:color="auto"/>
      </w:divBdr>
    </w:div>
    <w:div w:id="802307013">
      <w:bodyDiv w:val="1"/>
      <w:marLeft w:val="0"/>
      <w:marRight w:val="0"/>
      <w:marTop w:val="0"/>
      <w:marBottom w:val="0"/>
      <w:divBdr>
        <w:top w:val="none" w:sz="0" w:space="0" w:color="auto"/>
        <w:left w:val="none" w:sz="0" w:space="0" w:color="auto"/>
        <w:bottom w:val="none" w:sz="0" w:space="0" w:color="auto"/>
        <w:right w:val="none" w:sz="0" w:space="0" w:color="auto"/>
      </w:divBdr>
    </w:div>
    <w:div w:id="823467532">
      <w:bodyDiv w:val="1"/>
      <w:marLeft w:val="0"/>
      <w:marRight w:val="0"/>
      <w:marTop w:val="0"/>
      <w:marBottom w:val="0"/>
      <w:divBdr>
        <w:top w:val="none" w:sz="0" w:space="0" w:color="auto"/>
        <w:left w:val="none" w:sz="0" w:space="0" w:color="auto"/>
        <w:bottom w:val="none" w:sz="0" w:space="0" w:color="auto"/>
        <w:right w:val="none" w:sz="0" w:space="0" w:color="auto"/>
      </w:divBdr>
    </w:div>
    <w:div w:id="839344506">
      <w:bodyDiv w:val="1"/>
      <w:marLeft w:val="0"/>
      <w:marRight w:val="0"/>
      <w:marTop w:val="0"/>
      <w:marBottom w:val="0"/>
      <w:divBdr>
        <w:top w:val="none" w:sz="0" w:space="0" w:color="auto"/>
        <w:left w:val="none" w:sz="0" w:space="0" w:color="auto"/>
        <w:bottom w:val="none" w:sz="0" w:space="0" w:color="auto"/>
        <w:right w:val="none" w:sz="0" w:space="0" w:color="auto"/>
      </w:divBdr>
    </w:div>
    <w:div w:id="841238845">
      <w:bodyDiv w:val="1"/>
      <w:marLeft w:val="0"/>
      <w:marRight w:val="0"/>
      <w:marTop w:val="0"/>
      <w:marBottom w:val="0"/>
      <w:divBdr>
        <w:top w:val="none" w:sz="0" w:space="0" w:color="auto"/>
        <w:left w:val="none" w:sz="0" w:space="0" w:color="auto"/>
        <w:bottom w:val="none" w:sz="0" w:space="0" w:color="auto"/>
        <w:right w:val="none" w:sz="0" w:space="0" w:color="auto"/>
      </w:divBdr>
    </w:div>
    <w:div w:id="849098454">
      <w:bodyDiv w:val="1"/>
      <w:marLeft w:val="0"/>
      <w:marRight w:val="0"/>
      <w:marTop w:val="0"/>
      <w:marBottom w:val="0"/>
      <w:divBdr>
        <w:top w:val="none" w:sz="0" w:space="0" w:color="auto"/>
        <w:left w:val="none" w:sz="0" w:space="0" w:color="auto"/>
        <w:bottom w:val="none" w:sz="0" w:space="0" w:color="auto"/>
        <w:right w:val="none" w:sz="0" w:space="0" w:color="auto"/>
      </w:divBdr>
    </w:div>
    <w:div w:id="869341907">
      <w:bodyDiv w:val="1"/>
      <w:marLeft w:val="0"/>
      <w:marRight w:val="0"/>
      <w:marTop w:val="0"/>
      <w:marBottom w:val="0"/>
      <w:divBdr>
        <w:top w:val="none" w:sz="0" w:space="0" w:color="auto"/>
        <w:left w:val="none" w:sz="0" w:space="0" w:color="auto"/>
        <w:bottom w:val="none" w:sz="0" w:space="0" w:color="auto"/>
        <w:right w:val="none" w:sz="0" w:space="0" w:color="auto"/>
      </w:divBdr>
    </w:div>
    <w:div w:id="874855639">
      <w:bodyDiv w:val="1"/>
      <w:marLeft w:val="0"/>
      <w:marRight w:val="0"/>
      <w:marTop w:val="0"/>
      <w:marBottom w:val="0"/>
      <w:divBdr>
        <w:top w:val="none" w:sz="0" w:space="0" w:color="auto"/>
        <w:left w:val="none" w:sz="0" w:space="0" w:color="auto"/>
        <w:bottom w:val="none" w:sz="0" w:space="0" w:color="auto"/>
        <w:right w:val="none" w:sz="0" w:space="0" w:color="auto"/>
      </w:divBdr>
    </w:div>
    <w:div w:id="881554239">
      <w:bodyDiv w:val="1"/>
      <w:marLeft w:val="0"/>
      <w:marRight w:val="0"/>
      <w:marTop w:val="0"/>
      <w:marBottom w:val="0"/>
      <w:divBdr>
        <w:top w:val="none" w:sz="0" w:space="0" w:color="auto"/>
        <w:left w:val="none" w:sz="0" w:space="0" w:color="auto"/>
        <w:bottom w:val="none" w:sz="0" w:space="0" w:color="auto"/>
        <w:right w:val="none" w:sz="0" w:space="0" w:color="auto"/>
      </w:divBdr>
    </w:div>
    <w:div w:id="912354011">
      <w:bodyDiv w:val="1"/>
      <w:marLeft w:val="0"/>
      <w:marRight w:val="0"/>
      <w:marTop w:val="0"/>
      <w:marBottom w:val="0"/>
      <w:divBdr>
        <w:top w:val="none" w:sz="0" w:space="0" w:color="auto"/>
        <w:left w:val="none" w:sz="0" w:space="0" w:color="auto"/>
        <w:bottom w:val="none" w:sz="0" w:space="0" w:color="auto"/>
        <w:right w:val="none" w:sz="0" w:space="0" w:color="auto"/>
      </w:divBdr>
    </w:div>
    <w:div w:id="918291633">
      <w:bodyDiv w:val="1"/>
      <w:marLeft w:val="0"/>
      <w:marRight w:val="0"/>
      <w:marTop w:val="0"/>
      <w:marBottom w:val="0"/>
      <w:divBdr>
        <w:top w:val="none" w:sz="0" w:space="0" w:color="auto"/>
        <w:left w:val="none" w:sz="0" w:space="0" w:color="auto"/>
        <w:bottom w:val="none" w:sz="0" w:space="0" w:color="auto"/>
        <w:right w:val="none" w:sz="0" w:space="0" w:color="auto"/>
      </w:divBdr>
    </w:div>
    <w:div w:id="928268677">
      <w:bodyDiv w:val="1"/>
      <w:marLeft w:val="0"/>
      <w:marRight w:val="0"/>
      <w:marTop w:val="0"/>
      <w:marBottom w:val="0"/>
      <w:divBdr>
        <w:top w:val="none" w:sz="0" w:space="0" w:color="auto"/>
        <w:left w:val="none" w:sz="0" w:space="0" w:color="auto"/>
        <w:bottom w:val="none" w:sz="0" w:space="0" w:color="auto"/>
        <w:right w:val="none" w:sz="0" w:space="0" w:color="auto"/>
      </w:divBdr>
    </w:div>
    <w:div w:id="935330479">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
    <w:div w:id="975112349">
      <w:bodyDiv w:val="1"/>
      <w:marLeft w:val="0"/>
      <w:marRight w:val="0"/>
      <w:marTop w:val="0"/>
      <w:marBottom w:val="0"/>
      <w:divBdr>
        <w:top w:val="none" w:sz="0" w:space="0" w:color="auto"/>
        <w:left w:val="none" w:sz="0" w:space="0" w:color="auto"/>
        <w:bottom w:val="none" w:sz="0" w:space="0" w:color="auto"/>
        <w:right w:val="none" w:sz="0" w:space="0" w:color="auto"/>
      </w:divBdr>
    </w:div>
    <w:div w:id="1002776498">
      <w:bodyDiv w:val="1"/>
      <w:marLeft w:val="0"/>
      <w:marRight w:val="0"/>
      <w:marTop w:val="0"/>
      <w:marBottom w:val="0"/>
      <w:divBdr>
        <w:top w:val="none" w:sz="0" w:space="0" w:color="auto"/>
        <w:left w:val="none" w:sz="0" w:space="0" w:color="auto"/>
        <w:bottom w:val="none" w:sz="0" w:space="0" w:color="auto"/>
        <w:right w:val="none" w:sz="0" w:space="0" w:color="auto"/>
      </w:divBdr>
    </w:div>
    <w:div w:id="1012226476">
      <w:bodyDiv w:val="1"/>
      <w:marLeft w:val="0"/>
      <w:marRight w:val="0"/>
      <w:marTop w:val="0"/>
      <w:marBottom w:val="0"/>
      <w:divBdr>
        <w:top w:val="none" w:sz="0" w:space="0" w:color="auto"/>
        <w:left w:val="none" w:sz="0" w:space="0" w:color="auto"/>
        <w:bottom w:val="none" w:sz="0" w:space="0" w:color="auto"/>
        <w:right w:val="none" w:sz="0" w:space="0" w:color="auto"/>
      </w:divBdr>
    </w:div>
    <w:div w:id="1030686342">
      <w:bodyDiv w:val="1"/>
      <w:marLeft w:val="0"/>
      <w:marRight w:val="0"/>
      <w:marTop w:val="0"/>
      <w:marBottom w:val="0"/>
      <w:divBdr>
        <w:top w:val="none" w:sz="0" w:space="0" w:color="auto"/>
        <w:left w:val="none" w:sz="0" w:space="0" w:color="auto"/>
        <w:bottom w:val="none" w:sz="0" w:space="0" w:color="auto"/>
        <w:right w:val="none" w:sz="0" w:space="0" w:color="auto"/>
      </w:divBdr>
    </w:div>
    <w:div w:id="1047144857">
      <w:bodyDiv w:val="1"/>
      <w:marLeft w:val="0"/>
      <w:marRight w:val="0"/>
      <w:marTop w:val="0"/>
      <w:marBottom w:val="0"/>
      <w:divBdr>
        <w:top w:val="none" w:sz="0" w:space="0" w:color="auto"/>
        <w:left w:val="none" w:sz="0" w:space="0" w:color="auto"/>
        <w:bottom w:val="none" w:sz="0" w:space="0" w:color="auto"/>
        <w:right w:val="none" w:sz="0" w:space="0" w:color="auto"/>
      </w:divBdr>
      <w:divsChild>
        <w:div w:id="15010736">
          <w:marLeft w:val="0"/>
          <w:marRight w:val="0"/>
          <w:marTop w:val="0"/>
          <w:marBottom w:val="0"/>
          <w:divBdr>
            <w:top w:val="none" w:sz="0" w:space="0" w:color="auto"/>
            <w:left w:val="none" w:sz="0" w:space="0" w:color="auto"/>
            <w:bottom w:val="none" w:sz="0" w:space="0" w:color="auto"/>
            <w:right w:val="none" w:sz="0" w:space="0" w:color="auto"/>
          </w:divBdr>
          <w:divsChild>
            <w:div w:id="229662149">
              <w:marLeft w:val="0"/>
              <w:marRight w:val="0"/>
              <w:marTop w:val="0"/>
              <w:marBottom w:val="0"/>
              <w:divBdr>
                <w:top w:val="none" w:sz="0" w:space="0" w:color="auto"/>
                <w:left w:val="none" w:sz="0" w:space="0" w:color="auto"/>
                <w:bottom w:val="none" w:sz="0" w:space="0" w:color="auto"/>
                <w:right w:val="none" w:sz="0" w:space="0" w:color="auto"/>
              </w:divBdr>
              <w:divsChild>
                <w:div w:id="1102142150">
                  <w:marLeft w:val="0"/>
                  <w:marRight w:val="0"/>
                  <w:marTop w:val="0"/>
                  <w:marBottom w:val="0"/>
                  <w:divBdr>
                    <w:top w:val="none" w:sz="0" w:space="0" w:color="auto"/>
                    <w:left w:val="none" w:sz="0" w:space="0" w:color="auto"/>
                    <w:bottom w:val="none" w:sz="0" w:space="0" w:color="auto"/>
                    <w:right w:val="none" w:sz="0" w:space="0" w:color="auto"/>
                  </w:divBdr>
                  <w:divsChild>
                    <w:div w:id="1992059716">
                      <w:marLeft w:val="0"/>
                      <w:marRight w:val="0"/>
                      <w:marTop w:val="90"/>
                      <w:marBottom w:val="0"/>
                      <w:divBdr>
                        <w:top w:val="none" w:sz="0" w:space="0" w:color="auto"/>
                        <w:left w:val="none" w:sz="0" w:space="0" w:color="auto"/>
                        <w:bottom w:val="none" w:sz="0" w:space="0" w:color="auto"/>
                        <w:right w:val="none" w:sz="0" w:space="0" w:color="auto"/>
                      </w:divBdr>
                      <w:divsChild>
                        <w:div w:id="44909586">
                          <w:marLeft w:val="0"/>
                          <w:marRight w:val="0"/>
                          <w:marTop w:val="0"/>
                          <w:marBottom w:val="0"/>
                          <w:divBdr>
                            <w:top w:val="none" w:sz="0" w:space="0" w:color="auto"/>
                            <w:left w:val="none" w:sz="0" w:space="0" w:color="auto"/>
                            <w:bottom w:val="none" w:sz="0" w:space="0" w:color="auto"/>
                            <w:right w:val="none" w:sz="0" w:space="0" w:color="auto"/>
                          </w:divBdr>
                          <w:divsChild>
                            <w:div w:id="2066953360">
                              <w:marLeft w:val="0"/>
                              <w:marRight w:val="0"/>
                              <w:marTop w:val="0"/>
                              <w:marBottom w:val="0"/>
                              <w:divBdr>
                                <w:top w:val="none" w:sz="0" w:space="0" w:color="auto"/>
                                <w:left w:val="none" w:sz="0" w:space="0" w:color="auto"/>
                                <w:bottom w:val="none" w:sz="0" w:space="0" w:color="auto"/>
                                <w:right w:val="none" w:sz="0" w:space="0" w:color="auto"/>
                              </w:divBdr>
                              <w:divsChild>
                                <w:div w:id="1220166864">
                                  <w:marLeft w:val="0"/>
                                  <w:marRight w:val="0"/>
                                  <w:marTop w:val="0"/>
                                  <w:marBottom w:val="0"/>
                                  <w:divBdr>
                                    <w:top w:val="none" w:sz="0" w:space="0" w:color="auto"/>
                                    <w:left w:val="none" w:sz="0" w:space="0" w:color="auto"/>
                                    <w:bottom w:val="none" w:sz="0" w:space="0" w:color="auto"/>
                                    <w:right w:val="none" w:sz="0" w:space="0" w:color="auto"/>
                                  </w:divBdr>
                                  <w:divsChild>
                                    <w:div w:id="2086295049">
                                      <w:marLeft w:val="0"/>
                                      <w:marRight w:val="0"/>
                                      <w:marTop w:val="0"/>
                                      <w:marBottom w:val="420"/>
                                      <w:divBdr>
                                        <w:top w:val="none" w:sz="0" w:space="0" w:color="auto"/>
                                        <w:left w:val="none" w:sz="0" w:space="0" w:color="auto"/>
                                        <w:bottom w:val="none" w:sz="0" w:space="0" w:color="auto"/>
                                        <w:right w:val="none" w:sz="0" w:space="0" w:color="auto"/>
                                      </w:divBdr>
                                      <w:divsChild>
                                        <w:div w:id="1208644459">
                                          <w:marLeft w:val="0"/>
                                          <w:marRight w:val="0"/>
                                          <w:marTop w:val="0"/>
                                          <w:marBottom w:val="0"/>
                                          <w:divBdr>
                                            <w:top w:val="none" w:sz="0" w:space="0" w:color="auto"/>
                                            <w:left w:val="none" w:sz="0" w:space="0" w:color="auto"/>
                                            <w:bottom w:val="none" w:sz="0" w:space="0" w:color="auto"/>
                                            <w:right w:val="none" w:sz="0" w:space="0" w:color="auto"/>
                                          </w:divBdr>
                                          <w:divsChild>
                                            <w:div w:id="333848463">
                                              <w:marLeft w:val="0"/>
                                              <w:marRight w:val="0"/>
                                              <w:marTop w:val="0"/>
                                              <w:marBottom w:val="0"/>
                                              <w:divBdr>
                                                <w:top w:val="none" w:sz="0" w:space="0" w:color="auto"/>
                                                <w:left w:val="none" w:sz="0" w:space="0" w:color="auto"/>
                                                <w:bottom w:val="none" w:sz="0" w:space="0" w:color="auto"/>
                                                <w:right w:val="none" w:sz="0" w:space="0" w:color="auto"/>
                                              </w:divBdr>
                                              <w:divsChild>
                                                <w:div w:id="141385608">
                                                  <w:marLeft w:val="0"/>
                                                  <w:marRight w:val="0"/>
                                                  <w:marTop w:val="0"/>
                                                  <w:marBottom w:val="0"/>
                                                  <w:divBdr>
                                                    <w:top w:val="none" w:sz="0" w:space="0" w:color="auto"/>
                                                    <w:left w:val="none" w:sz="0" w:space="0" w:color="auto"/>
                                                    <w:bottom w:val="none" w:sz="0" w:space="0" w:color="auto"/>
                                                    <w:right w:val="none" w:sz="0" w:space="0" w:color="auto"/>
                                                  </w:divBdr>
                                                  <w:divsChild>
                                                    <w:div w:id="393702783">
                                                      <w:marLeft w:val="0"/>
                                                      <w:marRight w:val="0"/>
                                                      <w:marTop w:val="0"/>
                                                      <w:marBottom w:val="0"/>
                                                      <w:divBdr>
                                                        <w:top w:val="none" w:sz="0" w:space="0" w:color="auto"/>
                                                        <w:left w:val="none" w:sz="0" w:space="0" w:color="auto"/>
                                                        <w:bottom w:val="none" w:sz="0" w:space="0" w:color="auto"/>
                                                        <w:right w:val="none" w:sz="0" w:space="0" w:color="auto"/>
                                                      </w:divBdr>
                                                    </w:div>
                                                    <w:div w:id="9480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2828">
          <w:marLeft w:val="0"/>
          <w:marRight w:val="0"/>
          <w:marTop w:val="0"/>
          <w:marBottom w:val="0"/>
          <w:divBdr>
            <w:top w:val="none" w:sz="0" w:space="0" w:color="auto"/>
            <w:left w:val="none" w:sz="0" w:space="0" w:color="auto"/>
            <w:bottom w:val="none" w:sz="0" w:space="0" w:color="auto"/>
            <w:right w:val="none" w:sz="0" w:space="0" w:color="auto"/>
          </w:divBdr>
          <w:divsChild>
            <w:div w:id="282883773">
              <w:marLeft w:val="0"/>
              <w:marRight w:val="0"/>
              <w:marTop w:val="0"/>
              <w:marBottom w:val="0"/>
              <w:divBdr>
                <w:top w:val="none" w:sz="0" w:space="0" w:color="auto"/>
                <w:left w:val="none" w:sz="0" w:space="0" w:color="auto"/>
                <w:bottom w:val="none" w:sz="0" w:space="0" w:color="auto"/>
                <w:right w:val="none" w:sz="0" w:space="0" w:color="auto"/>
              </w:divBdr>
              <w:divsChild>
                <w:div w:id="456721572">
                  <w:marLeft w:val="0"/>
                  <w:marRight w:val="0"/>
                  <w:marTop w:val="0"/>
                  <w:marBottom w:val="0"/>
                  <w:divBdr>
                    <w:top w:val="none" w:sz="0" w:space="0" w:color="auto"/>
                    <w:left w:val="none" w:sz="0" w:space="0" w:color="auto"/>
                    <w:bottom w:val="none" w:sz="0" w:space="0" w:color="auto"/>
                    <w:right w:val="none" w:sz="0" w:space="0" w:color="auto"/>
                  </w:divBdr>
                  <w:divsChild>
                    <w:div w:id="1578395379">
                      <w:marLeft w:val="0"/>
                      <w:marRight w:val="0"/>
                      <w:marTop w:val="0"/>
                      <w:marBottom w:val="420"/>
                      <w:divBdr>
                        <w:top w:val="none" w:sz="0" w:space="0" w:color="auto"/>
                        <w:left w:val="none" w:sz="0" w:space="0" w:color="auto"/>
                        <w:bottom w:val="none" w:sz="0" w:space="0" w:color="auto"/>
                        <w:right w:val="none" w:sz="0" w:space="0" w:color="auto"/>
                      </w:divBdr>
                      <w:divsChild>
                        <w:div w:id="14783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632199">
      <w:bodyDiv w:val="1"/>
      <w:marLeft w:val="0"/>
      <w:marRight w:val="0"/>
      <w:marTop w:val="0"/>
      <w:marBottom w:val="0"/>
      <w:divBdr>
        <w:top w:val="none" w:sz="0" w:space="0" w:color="auto"/>
        <w:left w:val="none" w:sz="0" w:space="0" w:color="auto"/>
        <w:bottom w:val="none" w:sz="0" w:space="0" w:color="auto"/>
        <w:right w:val="none" w:sz="0" w:space="0" w:color="auto"/>
      </w:divBdr>
    </w:div>
    <w:div w:id="1082795197">
      <w:bodyDiv w:val="1"/>
      <w:marLeft w:val="0"/>
      <w:marRight w:val="0"/>
      <w:marTop w:val="0"/>
      <w:marBottom w:val="0"/>
      <w:divBdr>
        <w:top w:val="none" w:sz="0" w:space="0" w:color="auto"/>
        <w:left w:val="none" w:sz="0" w:space="0" w:color="auto"/>
        <w:bottom w:val="none" w:sz="0" w:space="0" w:color="auto"/>
        <w:right w:val="none" w:sz="0" w:space="0" w:color="auto"/>
      </w:divBdr>
    </w:div>
    <w:div w:id="1094672538">
      <w:bodyDiv w:val="1"/>
      <w:marLeft w:val="0"/>
      <w:marRight w:val="0"/>
      <w:marTop w:val="0"/>
      <w:marBottom w:val="0"/>
      <w:divBdr>
        <w:top w:val="none" w:sz="0" w:space="0" w:color="auto"/>
        <w:left w:val="none" w:sz="0" w:space="0" w:color="auto"/>
        <w:bottom w:val="none" w:sz="0" w:space="0" w:color="auto"/>
        <w:right w:val="none" w:sz="0" w:space="0" w:color="auto"/>
      </w:divBdr>
    </w:div>
    <w:div w:id="1104377240">
      <w:bodyDiv w:val="1"/>
      <w:marLeft w:val="0"/>
      <w:marRight w:val="0"/>
      <w:marTop w:val="0"/>
      <w:marBottom w:val="0"/>
      <w:divBdr>
        <w:top w:val="none" w:sz="0" w:space="0" w:color="auto"/>
        <w:left w:val="none" w:sz="0" w:space="0" w:color="auto"/>
        <w:bottom w:val="none" w:sz="0" w:space="0" w:color="auto"/>
        <w:right w:val="none" w:sz="0" w:space="0" w:color="auto"/>
      </w:divBdr>
    </w:div>
    <w:div w:id="1114978985">
      <w:bodyDiv w:val="1"/>
      <w:marLeft w:val="0"/>
      <w:marRight w:val="0"/>
      <w:marTop w:val="0"/>
      <w:marBottom w:val="0"/>
      <w:divBdr>
        <w:top w:val="none" w:sz="0" w:space="0" w:color="auto"/>
        <w:left w:val="none" w:sz="0" w:space="0" w:color="auto"/>
        <w:bottom w:val="none" w:sz="0" w:space="0" w:color="auto"/>
        <w:right w:val="none" w:sz="0" w:space="0" w:color="auto"/>
      </w:divBdr>
    </w:div>
    <w:div w:id="1128234943">
      <w:bodyDiv w:val="1"/>
      <w:marLeft w:val="0"/>
      <w:marRight w:val="0"/>
      <w:marTop w:val="0"/>
      <w:marBottom w:val="0"/>
      <w:divBdr>
        <w:top w:val="none" w:sz="0" w:space="0" w:color="auto"/>
        <w:left w:val="none" w:sz="0" w:space="0" w:color="auto"/>
        <w:bottom w:val="none" w:sz="0" w:space="0" w:color="auto"/>
        <w:right w:val="none" w:sz="0" w:space="0" w:color="auto"/>
      </w:divBdr>
    </w:div>
    <w:div w:id="1128817386">
      <w:bodyDiv w:val="1"/>
      <w:marLeft w:val="0"/>
      <w:marRight w:val="0"/>
      <w:marTop w:val="0"/>
      <w:marBottom w:val="0"/>
      <w:divBdr>
        <w:top w:val="none" w:sz="0" w:space="0" w:color="auto"/>
        <w:left w:val="none" w:sz="0" w:space="0" w:color="auto"/>
        <w:bottom w:val="none" w:sz="0" w:space="0" w:color="auto"/>
        <w:right w:val="none" w:sz="0" w:space="0" w:color="auto"/>
      </w:divBdr>
    </w:div>
    <w:div w:id="1135877648">
      <w:bodyDiv w:val="1"/>
      <w:marLeft w:val="0"/>
      <w:marRight w:val="0"/>
      <w:marTop w:val="0"/>
      <w:marBottom w:val="0"/>
      <w:divBdr>
        <w:top w:val="none" w:sz="0" w:space="0" w:color="auto"/>
        <w:left w:val="none" w:sz="0" w:space="0" w:color="auto"/>
        <w:bottom w:val="none" w:sz="0" w:space="0" w:color="auto"/>
        <w:right w:val="none" w:sz="0" w:space="0" w:color="auto"/>
      </w:divBdr>
    </w:div>
    <w:div w:id="1143087235">
      <w:bodyDiv w:val="1"/>
      <w:marLeft w:val="0"/>
      <w:marRight w:val="0"/>
      <w:marTop w:val="0"/>
      <w:marBottom w:val="0"/>
      <w:divBdr>
        <w:top w:val="none" w:sz="0" w:space="0" w:color="auto"/>
        <w:left w:val="none" w:sz="0" w:space="0" w:color="auto"/>
        <w:bottom w:val="none" w:sz="0" w:space="0" w:color="auto"/>
        <w:right w:val="none" w:sz="0" w:space="0" w:color="auto"/>
      </w:divBdr>
    </w:div>
    <w:div w:id="1145047741">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
    <w:div w:id="1224869564">
      <w:bodyDiv w:val="1"/>
      <w:marLeft w:val="0"/>
      <w:marRight w:val="0"/>
      <w:marTop w:val="0"/>
      <w:marBottom w:val="0"/>
      <w:divBdr>
        <w:top w:val="none" w:sz="0" w:space="0" w:color="auto"/>
        <w:left w:val="none" w:sz="0" w:space="0" w:color="auto"/>
        <w:bottom w:val="none" w:sz="0" w:space="0" w:color="auto"/>
        <w:right w:val="none" w:sz="0" w:space="0" w:color="auto"/>
      </w:divBdr>
    </w:div>
    <w:div w:id="1240212230">
      <w:bodyDiv w:val="1"/>
      <w:marLeft w:val="0"/>
      <w:marRight w:val="0"/>
      <w:marTop w:val="0"/>
      <w:marBottom w:val="0"/>
      <w:divBdr>
        <w:top w:val="none" w:sz="0" w:space="0" w:color="auto"/>
        <w:left w:val="none" w:sz="0" w:space="0" w:color="auto"/>
        <w:bottom w:val="none" w:sz="0" w:space="0" w:color="auto"/>
        <w:right w:val="none" w:sz="0" w:space="0" w:color="auto"/>
      </w:divBdr>
    </w:div>
    <w:div w:id="1242637011">
      <w:bodyDiv w:val="1"/>
      <w:marLeft w:val="0"/>
      <w:marRight w:val="0"/>
      <w:marTop w:val="0"/>
      <w:marBottom w:val="0"/>
      <w:divBdr>
        <w:top w:val="none" w:sz="0" w:space="0" w:color="auto"/>
        <w:left w:val="none" w:sz="0" w:space="0" w:color="auto"/>
        <w:bottom w:val="none" w:sz="0" w:space="0" w:color="auto"/>
        <w:right w:val="none" w:sz="0" w:space="0" w:color="auto"/>
      </w:divBdr>
    </w:div>
    <w:div w:id="1250846286">
      <w:bodyDiv w:val="1"/>
      <w:marLeft w:val="0"/>
      <w:marRight w:val="0"/>
      <w:marTop w:val="0"/>
      <w:marBottom w:val="0"/>
      <w:divBdr>
        <w:top w:val="none" w:sz="0" w:space="0" w:color="auto"/>
        <w:left w:val="none" w:sz="0" w:space="0" w:color="auto"/>
        <w:bottom w:val="none" w:sz="0" w:space="0" w:color="auto"/>
        <w:right w:val="none" w:sz="0" w:space="0" w:color="auto"/>
      </w:divBdr>
    </w:div>
    <w:div w:id="1253120901">
      <w:bodyDiv w:val="1"/>
      <w:marLeft w:val="0"/>
      <w:marRight w:val="0"/>
      <w:marTop w:val="0"/>
      <w:marBottom w:val="0"/>
      <w:divBdr>
        <w:top w:val="none" w:sz="0" w:space="0" w:color="auto"/>
        <w:left w:val="none" w:sz="0" w:space="0" w:color="auto"/>
        <w:bottom w:val="none" w:sz="0" w:space="0" w:color="auto"/>
        <w:right w:val="none" w:sz="0" w:space="0" w:color="auto"/>
      </w:divBdr>
    </w:div>
    <w:div w:id="1260455553">
      <w:bodyDiv w:val="1"/>
      <w:marLeft w:val="0"/>
      <w:marRight w:val="0"/>
      <w:marTop w:val="0"/>
      <w:marBottom w:val="0"/>
      <w:divBdr>
        <w:top w:val="none" w:sz="0" w:space="0" w:color="auto"/>
        <w:left w:val="none" w:sz="0" w:space="0" w:color="auto"/>
        <w:bottom w:val="none" w:sz="0" w:space="0" w:color="auto"/>
        <w:right w:val="none" w:sz="0" w:space="0" w:color="auto"/>
      </w:divBdr>
    </w:div>
    <w:div w:id="1262714317">
      <w:bodyDiv w:val="1"/>
      <w:marLeft w:val="0"/>
      <w:marRight w:val="0"/>
      <w:marTop w:val="0"/>
      <w:marBottom w:val="0"/>
      <w:divBdr>
        <w:top w:val="none" w:sz="0" w:space="0" w:color="auto"/>
        <w:left w:val="none" w:sz="0" w:space="0" w:color="auto"/>
        <w:bottom w:val="none" w:sz="0" w:space="0" w:color="auto"/>
        <w:right w:val="none" w:sz="0" w:space="0" w:color="auto"/>
      </w:divBdr>
    </w:div>
    <w:div w:id="1281690464">
      <w:bodyDiv w:val="1"/>
      <w:marLeft w:val="0"/>
      <w:marRight w:val="0"/>
      <w:marTop w:val="0"/>
      <w:marBottom w:val="0"/>
      <w:divBdr>
        <w:top w:val="none" w:sz="0" w:space="0" w:color="auto"/>
        <w:left w:val="none" w:sz="0" w:space="0" w:color="auto"/>
        <w:bottom w:val="none" w:sz="0" w:space="0" w:color="auto"/>
        <w:right w:val="none" w:sz="0" w:space="0" w:color="auto"/>
      </w:divBdr>
    </w:div>
    <w:div w:id="1282492839">
      <w:bodyDiv w:val="1"/>
      <w:marLeft w:val="0"/>
      <w:marRight w:val="0"/>
      <w:marTop w:val="0"/>
      <w:marBottom w:val="0"/>
      <w:divBdr>
        <w:top w:val="none" w:sz="0" w:space="0" w:color="auto"/>
        <w:left w:val="none" w:sz="0" w:space="0" w:color="auto"/>
        <w:bottom w:val="none" w:sz="0" w:space="0" w:color="auto"/>
        <w:right w:val="none" w:sz="0" w:space="0" w:color="auto"/>
      </w:divBdr>
    </w:div>
    <w:div w:id="1286421956">
      <w:bodyDiv w:val="1"/>
      <w:marLeft w:val="0"/>
      <w:marRight w:val="0"/>
      <w:marTop w:val="0"/>
      <w:marBottom w:val="0"/>
      <w:divBdr>
        <w:top w:val="none" w:sz="0" w:space="0" w:color="auto"/>
        <w:left w:val="none" w:sz="0" w:space="0" w:color="auto"/>
        <w:bottom w:val="none" w:sz="0" w:space="0" w:color="auto"/>
        <w:right w:val="none" w:sz="0" w:space="0" w:color="auto"/>
      </w:divBdr>
    </w:div>
    <w:div w:id="1289775760">
      <w:bodyDiv w:val="1"/>
      <w:marLeft w:val="0"/>
      <w:marRight w:val="0"/>
      <w:marTop w:val="0"/>
      <w:marBottom w:val="0"/>
      <w:divBdr>
        <w:top w:val="none" w:sz="0" w:space="0" w:color="auto"/>
        <w:left w:val="none" w:sz="0" w:space="0" w:color="auto"/>
        <w:bottom w:val="none" w:sz="0" w:space="0" w:color="auto"/>
        <w:right w:val="none" w:sz="0" w:space="0" w:color="auto"/>
      </w:divBdr>
    </w:div>
    <w:div w:id="1304505655">
      <w:bodyDiv w:val="1"/>
      <w:marLeft w:val="0"/>
      <w:marRight w:val="0"/>
      <w:marTop w:val="0"/>
      <w:marBottom w:val="0"/>
      <w:divBdr>
        <w:top w:val="none" w:sz="0" w:space="0" w:color="auto"/>
        <w:left w:val="none" w:sz="0" w:space="0" w:color="auto"/>
        <w:bottom w:val="none" w:sz="0" w:space="0" w:color="auto"/>
        <w:right w:val="none" w:sz="0" w:space="0" w:color="auto"/>
      </w:divBdr>
    </w:div>
    <w:div w:id="1348556940">
      <w:bodyDiv w:val="1"/>
      <w:marLeft w:val="0"/>
      <w:marRight w:val="0"/>
      <w:marTop w:val="0"/>
      <w:marBottom w:val="0"/>
      <w:divBdr>
        <w:top w:val="none" w:sz="0" w:space="0" w:color="auto"/>
        <w:left w:val="none" w:sz="0" w:space="0" w:color="auto"/>
        <w:bottom w:val="none" w:sz="0" w:space="0" w:color="auto"/>
        <w:right w:val="none" w:sz="0" w:space="0" w:color="auto"/>
      </w:divBdr>
    </w:div>
    <w:div w:id="1395162225">
      <w:bodyDiv w:val="1"/>
      <w:marLeft w:val="0"/>
      <w:marRight w:val="0"/>
      <w:marTop w:val="0"/>
      <w:marBottom w:val="0"/>
      <w:divBdr>
        <w:top w:val="none" w:sz="0" w:space="0" w:color="auto"/>
        <w:left w:val="none" w:sz="0" w:space="0" w:color="auto"/>
        <w:bottom w:val="none" w:sz="0" w:space="0" w:color="auto"/>
        <w:right w:val="none" w:sz="0" w:space="0" w:color="auto"/>
      </w:divBdr>
    </w:div>
    <w:div w:id="1396734746">
      <w:bodyDiv w:val="1"/>
      <w:marLeft w:val="0"/>
      <w:marRight w:val="0"/>
      <w:marTop w:val="0"/>
      <w:marBottom w:val="0"/>
      <w:divBdr>
        <w:top w:val="none" w:sz="0" w:space="0" w:color="auto"/>
        <w:left w:val="none" w:sz="0" w:space="0" w:color="auto"/>
        <w:bottom w:val="none" w:sz="0" w:space="0" w:color="auto"/>
        <w:right w:val="none" w:sz="0" w:space="0" w:color="auto"/>
      </w:divBdr>
    </w:div>
    <w:div w:id="1425682721">
      <w:bodyDiv w:val="1"/>
      <w:marLeft w:val="0"/>
      <w:marRight w:val="0"/>
      <w:marTop w:val="0"/>
      <w:marBottom w:val="0"/>
      <w:divBdr>
        <w:top w:val="none" w:sz="0" w:space="0" w:color="auto"/>
        <w:left w:val="none" w:sz="0" w:space="0" w:color="auto"/>
        <w:bottom w:val="none" w:sz="0" w:space="0" w:color="auto"/>
        <w:right w:val="none" w:sz="0" w:space="0" w:color="auto"/>
      </w:divBdr>
    </w:div>
    <w:div w:id="1460880815">
      <w:bodyDiv w:val="1"/>
      <w:marLeft w:val="0"/>
      <w:marRight w:val="0"/>
      <w:marTop w:val="0"/>
      <w:marBottom w:val="0"/>
      <w:divBdr>
        <w:top w:val="none" w:sz="0" w:space="0" w:color="auto"/>
        <w:left w:val="none" w:sz="0" w:space="0" w:color="auto"/>
        <w:bottom w:val="none" w:sz="0" w:space="0" w:color="auto"/>
        <w:right w:val="none" w:sz="0" w:space="0" w:color="auto"/>
      </w:divBdr>
      <w:divsChild>
        <w:div w:id="832530282">
          <w:marLeft w:val="0"/>
          <w:marRight w:val="0"/>
          <w:marTop w:val="0"/>
          <w:marBottom w:val="166"/>
          <w:divBdr>
            <w:top w:val="none" w:sz="0" w:space="0" w:color="auto"/>
            <w:left w:val="none" w:sz="0" w:space="0" w:color="auto"/>
            <w:bottom w:val="none" w:sz="0" w:space="0" w:color="auto"/>
            <w:right w:val="none" w:sz="0" w:space="0" w:color="auto"/>
          </w:divBdr>
          <w:divsChild>
            <w:div w:id="78603689">
              <w:marLeft w:val="0"/>
              <w:marRight w:val="0"/>
              <w:marTop w:val="0"/>
              <w:marBottom w:val="0"/>
              <w:divBdr>
                <w:top w:val="none" w:sz="0" w:space="0" w:color="auto"/>
                <w:left w:val="none" w:sz="0" w:space="0" w:color="auto"/>
                <w:bottom w:val="none" w:sz="0" w:space="0" w:color="auto"/>
                <w:right w:val="none" w:sz="0" w:space="0" w:color="auto"/>
              </w:divBdr>
              <w:divsChild>
                <w:div w:id="1683773343">
                  <w:marLeft w:val="0"/>
                  <w:marRight w:val="0"/>
                  <w:marTop w:val="0"/>
                  <w:marBottom w:val="0"/>
                  <w:divBdr>
                    <w:top w:val="none" w:sz="0" w:space="0" w:color="auto"/>
                    <w:left w:val="none" w:sz="0" w:space="0" w:color="auto"/>
                    <w:bottom w:val="none" w:sz="0" w:space="0" w:color="auto"/>
                    <w:right w:val="none" w:sz="0" w:space="0" w:color="auto"/>
                  </w:divBdr>
                  <w:divsChild>
                    <w:div w:id="1724863883">
                      <w:marLeft w:val="0"/>
                      <w:marRight w:val="0"/>
                      <w:marTop w:val="0"/>
                      <w:marBottom w:val="0"/>
                      <w:divBdr>
                        <w:top w:val="none" w:sz="0" w:space="0" w:color="auto"/>
                        <w:left w:val="none" w:sz="0" w:space="0" w:color="auto"/>
                        <w:bottom w:val="none" w:sz="0" w:space="0" w:color="auto"/>
                        <w:right w:val="none" w:sz="0" w:space="0" w:color="auto"/>
                      </w:divBdr>
                    </w:div>
                    <w:div w:id="1741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4697">
              <w:marLeft w:val="0"/>
              <w:marRight w:val="0"/>
              <w:marTop w:val="0"/>
              <w:marBottom w:val="0"/>
              <w:divBdr>
                <w:top w:val="none" w:sz="0" w:space="0" w:color="auto"/>
                <w:left w:val="none" w:sz="0" w:space="0" w:color="auto"/>
                <w:bottom w:val="none" w:sz="0" w:space="0" w:color="auto"/>
                <w:right w:val="none" w:sz="0" w:space="0" w:color="auto"/>
              </w:divBdr>
              <w:divsChild>
                <w:div w:id="632713020">
                  <w:marLeft w:val="0"/>
                  <w:marRight w:val="0"/>
                  <w:marTop w:val="0"/>
                  <w:marBottom w:val="0"/>
                  <w:divBdr>
                    <w:top w:val="none" w:sz="0" w:space="0" w:color="auto"/>
                    <w:left w:val="none" w:sz="0" w:space="0" w:color="auto"/>
                    <w:bottom w:val="none" w:sz="0" w:space="0" w:color="auto"/>
                    <w:right w:val="none" w:sz="0" w:space="0" w:color="auto"/>
                  </w:divBdr>
                </w:div>
                <w:div w:id="19274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4412">
          <w:marLeft w:val="0"/>
          <w:marRight w:val="0"/>
          <w:marTop w:val="166"/>
          <w:marBottom w:val="166"/>
          <w:divBdr>
            <w:top w:val="none" w:sz="0" w:space="0" w:color="auto"/>
            <w:left w:val="none" w:sz="0" w:space="0" w:color="auto"/>
            <w:bottom w:val="none" w:sz="0" w:space="0" w:color="auto"/>
            <w:right w:val="none" w:sz="0" w:space="0" w:color="auto"/>
          </w:divBdr>
          <w:divsChild>
            <w:div w:id="21050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55781">
      <w:bodyDiv w:val="1"/>
      <w:marLeft w:val="0"/>
      <w:marRight w:val="0"/>
      <w:marTop w:val="0"/>
      <w:marBottom w:val="0"/>
      <w:divBdr>
        <w:top w:val="none" w:sz="0" w:space="0" w:color="auto"/>
        <w:left w:val="none" w:sz="0" w:space="0" w:color="auto"/>
        <w:bottom w:val="none" w:sz="0" w:space="0" w:color="auto"/>
        <w:right w:val="none" w:sz="0" w:space="0" w:color="auto"/>
      </w:divBdr>
    </w:div>
    <w:div w:id="1469860054">
      <w:bodyDiv w:val="1"/>
      <w:marLeft w:val="0"/>
      <w:marRight w:val="0"/>
      <w:marTop w:val="0"/>
      <w:marBottom w:val="0"/>
      <w:divBdr>
        <w:top w:val="none" w:sz="0" w:space="0" w:color="auto"/>
        <w:left w:val="none" w:sz="0" w:space="0" w:color="auto"/>
        <w:bottom w:val="none" w:sz="0" w:space="0" w:color="auto"/>
        <w:right w:val="none" w:sz="0" w:space="0" w:color="auto"/>
      </w:divBdr>
    </w:div>
    <w:div w:id="1470054579">
      <w:bodyDiv w:val="1"/>
      <w:marLeft w:val="0"/>
      <w:marRight w:val="0"/>
      <w:marTop w:val="0"/>
      <w:marBottom w:val="0"/>
      <w:divBdr>
        <w:top w:val="none" w:sz="0" w:space="0" w:color="auto"/>
        <w:left w:val="none" w:sz="0" w:space="0" w:color="auto"/>
        <w:bottom w:val="none" w:sz="0" w:space="0" w:color="auto"/>
        <w:right w:val="none" w:sz="0" w:space="0" w:color="auto"/>
      </w:divBdr>
    </w:div>
    <w:div w:id="1485659270">
      <w:bodyDiv w:val="1"/>
      <w:marLeft w:val="0"/>
      <w:marRight w:val="0"/>
      <w:marTop w:val="0"/>
      <w:marBottom w:val="0"/>
      <w:divBdr>
        <w:top w:val="none" w:sz="0" w:space="0" w:color="auto"/>
        <w:left w:val="none" w:sz="0" w:space="0" w:color="auto"/>
        <w:bottom w:val="none" w:sz="0" w:space="0" w:color="auto"/>
        <w:right w:val="none" w:sz="0" w:space="0" w:color="auto"/>
      </w:divBdr>
    </w:div>
    <w:div w:id="1499422115">
      <w:bodyDiv w:val="1"/>
      <w:marLeft w:val="0"/>
      <w:marRight w:val="0"/>
      <w:marTop w:val="0"/>
      <w:marBottom w:val="0"/>
      <w:divBdr>
        <w:top w:val="none" w:sz="0" w:space="0" w:color="auto"/>
        <w:left w:val="none" w:sz="0" w:space="0" w:color="auto"/>
        <w:bottom w:val="none" w:sz="0" w:space="0" w:color="auto"/>
        <w:right w:val="none" w:sz="0" w:space="0" w:color="auto"/>
      </w:divBdr>
    </w:div>
    <w:div w:id="1510177975">
      <w:bodyDiv w:val="1"/>
      <w:marLeft w:val="0"/>
      <w:marRight w:val="0"/>
      <w:marTop w:val="0"/>
      <w:marBottom w:val="0"/>
      <w:divBdr>
        <w:top w:val="none" w:sz="0" w:space="0" w:color="auto"/>
        <w:left w:val="none" w:sz="0" w:space="0" w:color="auto"/>
        <w:bottom w:val="none" w:sz="0" w:space="0" w:color="auto"/>
        <w:right w:val="none" w:sz="0" w:space="0" w:color="auto"/>
      </w:divBdr>
    </w:div>
    <w:div w:id="1511873864">
      <w:bodyDiv w:val="1"/>
      <w:marLeft w:val="0"/>
      <w:marRight w:val="0"/>
      <w:marTop w:val="0"/>
      <w:marBottom w:val="0"/>
      <w:divBdr>
        <w:top w:val="none" w:sz="0" w:space="0" w:color="auto"/>
        <w:left w:val="none" w:sz="0" w:space="0" w:color="auto"/>
        <w:bottom w:val="none" w:sz="0" w:space="0" w:color="auto"/>
        <w:right w:val="none" w:sz="0" w:space="0" w:color="auto"/>
      </w:divBdr>
    </w:div>
    <w:div w:id="1527867527">
      <w:bodyDiv w:val="1"/>
      <w:marLeft w:val="0"/>
      <w:marRight w:val="0"/>
      <w:marTop w:val="0"/>
      <w:marBottom w:val="0"/>
      <w:divBdr>
        <w:top w:val="none" w:sz="0" w:space="0" w:color="auto"/>
        <w:left w:val="none" w:sz="0" w:space="0" w:color="auto"/>
        <w:bottom w:val="none" w:sz="0" w:space="0" w:color="auto"/>
        <w:right w:val="none" w:sz="0" w:space="0" w:color="auto"/>
      </w:divBdr>
    </w:div>
    <w:div w:id="1541556049">
      <w:bodyDiv w:val="1"/>
      <w:marLeft w:val="0"/>
      <w:marRight w:val="0"/>
      <w:marTop w:val="0"/>
      <w:marBottom w:val="0"/>
      <w:divBdr>
        <w:top w:val="none" w:sz="0" w:space="0" w:color="auto"/>
        <w:left w:val="none" w:sz="0" w:space="0" w:color="auto"/>
        <w:bottom w:val="none" w:sz="0" w:space="0" w:color="auto"/>
        <w:right w:val="none" w:sz="0" w:space="0" w:color="auto"/>
      </w:divBdr>
    </w:div>
    <w:div w:id="1570383006">
      <w:bodyDiv w:val="1"/>
      <w:marLeft w:val="0"/>
      <w:marRight w:val="0"/>
      <w:marTop w:val="0"/>
      <w:marBottom w:val="0"/>
      <w:divBdr>
        <w:top w:val="none" w:sz="0" w:space="0" w:color="auto"/>
        <w:left w:val="none" w:sz="0" w:space="0" w:color="auto"/>
        <w:bottom w:val="none" w:sz="0" w:space="0" w:color="auto"/>
        <w:right w:val="none" w:sz="0" w:space="0" w:color="auto"/>
      </w:divBdr>
    </w:div>
    <w:div w:id="1583102644">
      <w:bodyDiv w:val="1"/>
      <w:marLeft w:val="0"/>
      <w:marRight w:val="0"/>
      <w:marTop w:val="0"/>
      <w:marBottom w:val="0"/>
      <w:divBdr>
        <w:top w:val="none" w:sz="0" w:space="0" w:color="auto"/>
        <w:left w:val="none" w:sz="0" w:space="0" w:color="auto"/>
        <w:bottom w:val="none" w:sz="0" w:space="0" w:color="auto"/>
        <w:right w:val="none" w:sz="0" w:space="0" w:color="auto"/>
      </w:divBdr>
    </w:div>
    <w:div w:id="1592275907">
      <w:bodyDiv w:val="1"/>
      <w:marLeft w:val="0"/>
      <w:marRight w:val="0"/>
      <w:marTop w:val="0"/>
      <w:marBottom w:val="0"/>
      <w:divBdr>
        <w:top w:val="none" w:sz="0" w:space="0" w:color="auto"/>
        <w:left w:val="none" w:sz="0" w:space="0" w:color="auto"/>
        <w:bottom w:val="none" w:sz="0" w:space="0" w:color="auto"/>
        <w:right w:val="none" w:sz="0" w:space="0" w:color="auto"/>
      </w:divBdr>
    </w:div>
    <w:div w:id="1596862692">
      <w:bodyDiv w:val="1"/>
      <w:marLeft w:val="0"/>
      <w:marRight w:val="0"/>
      <w:marTop w:val="0"/>
      <w:marBottom w:val="0"/>
      <w:divBdr>
        <w:top w:val="none" w:sz="0" w:space="0" w:color="auto"/>
        <w:left w:val="none" w:sz="0" w:space="0" w:color="auto"/>
        <w:bottom w:val="none" w:sz="0" w:space="0" w:color="auto"/>
        <w:right w:val="none" w:sz="0" w:space="0" w:color="auto"/>
      </w:divBdr>
    </w:div>
    <w:div w:id="1611089854">
      <w:bodyDiv w:val="1"/>
      <w:marLeft w:val="0"/>
      <w:marRight w:val="0"/>
      <w:marTop w:val="0"/>
      <w:marBottom w:val="0"/>
      <w:divBdr>
        <w:top w:val="none" w:sz="0" w:space="0" w:color="auto"/>
        <w:left w:val="none" w:sz="0" w:space="0" w:color="auto"/>
        <w:bottom w:val="none" w:sz="0" w:space="0" w:color="auto"/>
        <w:right w:val="none" w:sz="0" w:space="0" w:color="auto"/>
      </w:divBdr>
    </w:div>
    <w:div w:id="1622490101">
      <w:bodyDiv w:val="1"/>
      <w:marLeft w:val="0"/>
      <w:marRight w:val="0"/>
      <w:marTop w:val="0"/>
      <w:marBottom w:val="0"/>
      <w:divBdr>
        <w:top w:val="none" w:sz="0" w:space="0" w:color="auto"/>
        <w:left w:val="none" w:sz="0" w:space="0" w:color="auto"/>
        <w:bottom w:val="none" w:sz="0" w:space="0" w:color="auto"/>
        <w:right w:val="none" w:sz="0" w:space="0" w:color="auto"/>
      </w:divBdr>
    </w:div>
    <w:div w:id="1632324637">
      <w:bodyDiv w:val="1"/>
      <w:marLeft w:val="0"/>
      <w:marRight w:val="0"/>
      <w:marTop w:val="0"/>
      <w:marBottom w:val="0"/>
      <w:divBdr>
        <w:top w:val="none" w:sz="0" w:space="0" w:color="auto"/>
        <w:left w:val="none" w:sz="0" w:space="0" w:color="auto"/>
        <w:bottom w:val="none" w:sz="0" w:space="0" w:color="auto"/>
        <w:right w:val="none" w:sz="0" w:space="0" w:color="auto"/>
      </w:divBdr>
    </w:div>
    <w:div w:id="1657487250">
      <w:bodyDiv w:val="1"/>
      <w:marLeft w:val="0"/>
      <w:marRight w:val="0"/>
      <w:marTop w:val="0"/>
      <w:marBottom w:val="0"/>
      <w:divBdr>
        <w:top w:val="none" w:sz="0" w:space="0" w:color="auto"/>
        <w:left w:val="none" w:sz="0" w:space="0" w:color="auto"/>
        <w:bottom w:val="none" w:sz="0" w:space="0" w:color="auto"/>
        <w:right w:val="none" w:sz="0" w:space="0" w:color="auto"/>
      </w:divBdr>
    </w:div>
    <w:div w:id="1664117750">
      <w:bodyDiv w:val="1"/>
      <w:marLeft w:val="0"/>
      <w:marRight w:val="0"/>
      <w:marTop w:val="0"/>
      <w:marBottom w:val="0"/>
      <w:divBdr>
        <w:top w:val="none" w:sz="0" w:space="0" w:color="auto"/>
        <w:left w:val="none" w:sz="0" w:space="0" w:color="auto"/>
        <w:bottom w:val="none" w:sz="0" w:space="0" w:color="auto"/>
        <w:right w:val="none" w:sz="0" w:space="0" w:color="auto"/>
      </w:divBdr>
    </w:div>
    <w:div w:id="1673141542">
      <w:bodyDiv w:val="1"/>
      <w:marLeft w:val="0"/>
      <w:marRight w:val="0"/>
      <w:marTop w:val="0"/>
      <w:marBottom w:val="0"/>
      <w:divBdr>
        <w:top w:val="none" w:sz="0" w:space="0" w:color="auto"/>
        <w:left w:val="none" w:sz="0" w:space="0" w:color="auto"/>
        <w:bottom w:val="none" w:sz="0" w:space="0" w:color="auto"/>
        <w:right w:val="none" w:sz="0" w:space="0" w:color="auto"/>
      </w:divBdr>
    </w:div>
    <w:div w:id="1677657801">
      <w:bodyDiv w:val="1"/>
      <w:marLeft w:val="0"/>
      <w:marRight w:val="0"/>
      <w:marTop w:val="0"/>
      <w:marBottom w:val="0"/>
      <w:divBdr>
        <w:top w:val="none" w:sz="0" w:space="0" w:color="auto"/>
        <w:left w:val="none" w:sz="0" w:space="0" w:color="auto"/>
        <w:bottom w:val="none" w:sz="0" w:space="0" w:color="auto"/>
        <w:right w:val="none" w:sz="0" w:space="0" w:color="auto"/>
      </w:divBdr>
    </w:div>
    <w:div w:id="1678967934">
      <w:bodyDiv w:val="1"/>
      <w:marLeft w:val="0"/>
      <w:marRight w:val="0"/>
      <w:marTop w:val="0"/>
      <w:marBottom w:val="0"/>
      <w:divBdr>
        <w:top w:val="none" w:sz="0" w:space="0" w:color="auto"/>
        <w:left w:val="none" w:sz="0" w:space="0" w:color="auto"/>
        <w:bottom w:val="none" w:sz="0" w:space="0" w:color="auto"/>
        <w:right w:val="none" w:sz="0" w:space="0" w:color="auto"/>
      </w:divBdr>
    </w:div>
    <w:div w:id="1688366494">
      <w:bodyDiv w:val="1"/>
      <w:marLeft w:val="0"/>
      <w:marRight w:val="0"/>
      <w:marTop w:val="0"/>
      <w:marBottom w:val="0"/>
      <w:divBdr>
        <w:top w:val="none" w:sz="0" w:space="0" w:color="auto"/>
        <w:left w:val="none" w:sz="0" w:space="0" w:color="auto"/>
        <w:bottom w:val="none" w:sz="0" w:space="0" w:color="auto"/>
        <w:right w:val="none" w:sz="0" w:space="0" w:color="auto"/>
      </w:divBdr>
      <w:divsChild>
        <w:div w:id="865219740">
          <w:marLeft w:val="0"/>
          <w:marRight w:val="0"/>
          <w:marTop w:val="0"/>
          <w:marBottom w:val="0"/>
          <w:divBdr>
            <w:top w:val="none" w:sz="0" w:space="0" w:color="auto"/>
            <w:left w:val="none" w:sz="0" w:space="0" w:color="auto"/>
            <w:bottom w:val="none" w:sz="0" w:space="0" w:color="auto"/>
            <w:right w:val="none" w:sz="0" w:space="0" w:color="auto"/>
          </w:divBdr>
          <w:divsChild>
            <w:div w:id="1202594442">
              <w:marLeft w:val="0"/>
              <w:marRight w:val="0"/>
              <w:marTop w:val="0"/>
              <w:marBottom w:val="0"/>
              <w:divBdr>
                <w:top w:val="none" w:sz="0" w:space="0" w:color="auto"/>
                <w:left w:val="none" w:sz="0" w:space="0" w:color="auto"/>
                <w:bottom w:val="none" w:sz="0" w:space="0" w:color="auto"/>
                <w:right w:val="none" w:sz="0" w:space="0" w:color="auto"/>
              </w:divBdr>
              <w:divsChild>
                <w:div w:id="1689600992">
                  <w:marLeft w:val="0"/>
                  <w:marRight w:val="0"/>
                  <w:marTop w:val="0"/>
                  <w:marBottom w:val="0"/>
                  <w:divBdr>
                    <w:top w:val="none" w:sz="0" w:space="0" w:color="auto"/>
                    <w:left w:val="none" w:sz="0" w:space="0" w:color="auto"/>
                    <w:bottom w:val="none" w:sz="0" w:space="0" w:color="auto"/>
                    <w:right w:val="none" w:sz="0" w:space="0" w:color="auto"/>
                  </w:divBdr>
                  <w:divsChild>
                    <w:div w:id="46953160">
                      <w:marLeft w:val="0"/>
                      <w:marRight w:val="0"/>
                      <w:marTop w:val="0"/>
                      <w:marBottom w:val="0"/>
                      <w:divBdr>
                        <w:top w:val="none" w:sz="0" w:space="0" w:color="auto"/>
                        <w:left w:val="none" w:sz="0" w:space="0" w:color="auto"/>
                        <w:bottom w:val="none" w:sz="0" w:space="0" w:color="auto"/>
                        <w:right w:val="none" w:sz="0" w:space="0" w:color="auto"/>
                      </w:divBdr>
                      <w:divsChild>
                        <w:div w:id="1517966318">
                          <w:marLeft w:val="0"/>
                          <w:marRight w:val="0"/>
                          <w:marTop w:val="0"/>
                          <w:marBottom w:val="0"/>
                          <w:divBdr>
                            <w:top w:val="none" w:sz="0" w:space="0" w:color="auto"/>
                            <w:left w:val="none" w:sz="0" w:space="0" w:color="auto"/>
                            <w:bottom w:val="none" w:sz="0" w:space="0" w:color="auto"/>
                            <w:right w:val="none" w:sz="0" w:space="0" w:color="auto"/>
                          </w:divBdr>
                          <w:divsChild>
                            <w:div w:id="1937595607">
                              <w:marLeft w:val="0"/>
                              <w:marRight w:val="0"/>
                              <w:marTop w:val="0"/>
                              <w:marBottom w:val="0"/>
                              <w:divBdr>
                                <w:top w:val="none" w:sz="0" w:space="0" w:color="auto"/>
                                <w:left w:val="none" w:sz="0" w:space="0" w:color="auto"/>
                                <w:bottom w:val="none" w:sz="0" w:space="0" w:color="auto"/>
                                <w:right w:val="none" w:sz="0" w:space="0" w:color="auto"/>
                              </w:divBdr>
                              <w:divsChild>
                                <w:div w:id="484933244">
                                  <w:marLeft w:val="0"/>
                                  <w:marRight w:val="0"/>
                                  <w:marTop w:val="0"/>
                                  <w:marBottom w:val="0"/>
                                  <w:divBdr>
                                    <w:top w:val="none" w:sz="0" w:space="0" w:color="auto"/>
                                    <w:left w:val="none" w:sz="0" w:space="0" w:color="auto"/>
                                    <w:bottom w:val="none" w:sz="0" w:space="0" w:color="auto"/>
                                    <w:right w:val="none" w:sz="0" w:space="0" w:color="auto"/>
                                  </w:divBdr>
                                  <w:divsChild>
                                    <w:div w:id="484669722">
                                      <w:marLeft w:val="0"/>
                                      <w:marRight w:val="0"/>
                                      <w:marTop w:val="0"/>
                                      <w:marBottom w:val="0"/>
                                      <w:divBdr>
                                        <w:top w:val="none" w:sz="0" w:space="0" w:color="auto"/>
                                        <w:left w:val="none" w:sz="0" w:space="0" w:color="auto"/>
                                        <w:bottom w:val="none" w:sz="0" w:space="0" w:color="auto"/>
                                        <w:right w:val="none" w:sz="0" w:space="0" w:color="auto"/>
                                      </w:divBdr>
                                      <w:divsChild>
                                        <w:div w:id="1758552616">
                                          <w:marLeft w:val="0"/>
                                          <w:marRight w:val="0"/>
                                          <w:marTop w:val="0"/>
                                          <w:marBottom w:val="0"/>
                                          <w:divBdr>
                                            <w:top w:val="none" w:sz="0" w:space="0" w:color="auto"/>
                                            <w:left w:val="none" w:sz="0" w:space="0" w:color="auto"/>
                                            <w:bottom w:val="none" w:sz="0" w:space="0" w:color="auto"/>
                                            <w:right w:val="none" w:sz="0" w:space="0" w:color="auto"/>
                                          </w:divBdr>
                                          <w:divsChild>
                                            <w:div w:id="1741633398">
                                              <w:marLeft w:val="0"/>
                                              <w:marRight w:val="0"/>
                                              <w:marTop w:val="0"/>
                                              <w:marBottom w:val="0"/>
                                              <w:divBdr>
                                                <w:top w:val="none" w:sz="0" w:space="0" w:color="auto"/>
                                                <w:left w:val="none" w:sz="0" w:space="0" w:color="auto"/>
                                                <w:bottom w:val="none" w:sz="0" w:space="0" w:color="auto"/>
                                                <w:right w:val="none" w:sz="0" w:space="0" w:color="auto"/>
                                              </w:divBdr>
                                              <w:divsChild>
                                                <w:div w:id="742413169">
                                                  <w:marLeft w:val="0"/>
                                                  <w:marRight w:val="0"/>
                                                  <w:marTop w:val="0"/>
                                                  <w:marBottom w:val="0"/>
                                                  <w:divBdr>
                                                    <w:top w:val="none" w:sz="0" w:space="0" w:color="auto"/>
                                                    <w:left w:val="none" w:sz="0" w:space="0" w:color="auto"/>
                                                    <w:bottom w:val="none" w:sz="0" w:space="0" w:color="auto"/>
                                                    <w:right w:val="none" w:sz="0" w:space="0" w:color="auto"/>
                                                  </w:divBdr>
                                                  <w:divsChild>
                                                    <w:div w:id="1681152721">
                                                      <w:marLeft w:val="0"/>
                                                      <w:marRight w:val="0"/>
                                                      <w:marTop w:val="0"/>
                                                      <w:marBottom w:val="0"/>
                                                      <w:divBdr>
                                                        <w:top w:val="none" w:sz="0" w:space="0" w:color="auto"/>
                                                        <w:left w:val="none" w:sz="0" w:space="0" w:color="auto"/>
                                                        <w:bottom w:val="none" w:sz="0" w:space="0" w:color="auto"/>
                                                        <w:right w:val="none" w:sz="0" w:space="0" w:color="auto"/>
                                                      </w:divBdr>
                                                      <w:divsChild>
                                                        <w:div w:id="1319844306">
                                                          <w:marLeft w:val="0"/>
                                                          <w:marRight w:val="0"/>
                                                          <w:marTop w:val="0"/>
                                                          <w:marBottom w:val="0"/>
                                                          <w:divBdr>
                                                            <w:top w:val="none" w:sz="0" w:space="0" w:color="auto"/>
                                                            <w:left w:val="none" w:sz="0" w:space="0" w:color="auto"/>
                                                            <w:bottom w:val="none" w:sz="0" w:space="0" w:color="auto"/>
                                                            <w:right w:val="none" w:sz="0" w:space="0" w:color="auto"/>
                                                          </w:divBdr>
                                                          <w:divsChild>
                                                            <w:div w:id="736629796">
                                                              <w:marLeft w:val="0"/>
                                                              <w:marRight w:val="0"/>
                                                              <w:marTop w:val="0"/>
                                                              <w:marBottom w:val="0"/>
                                                              <w:divBdr>
                                                                <w:top w:val="none" w:sz="0" w:space="0" w:color="auto"/>
                                                                <w:left w:val="none" w:sz="0" w:space="0" w:color="auto"/>
                                                                <w:bottom w:val="none" w:sz="0" w:space="0" w:color="auto"/>
                                                                <w:right w:val="none" w:sz="0" w:space="0" w:color="auto"/>
                                                              </w:divBdr>
                                                              <w:divsChild>
                                                                <w:div w:id="842084021">
                                                                  <w:marLeft w:val="0"/>
                                                                  <w:marRight w:val="0"/>
                                                                  <w:marTop w:val="0"/>
                                                                  <w:marBottom w:val="0"/>
                                                                  <w:divBdr>
                                                                    <w:top w:val="none" w:sz="0" w:space="0" w:color="auto"/>
                                                                    <w:left w:val="none" w:sz="0" w:space="0" w:color="auto"/>
                                                                    <w:bottom w:val="none" w:sz="0" w:space="0" w:color="auto"/>
                                                                    <w:right w:val="none" w:sz="0" w:space="0" w:color="auto"/>
                                                                  </w:divBdr>
                                                                  <w:divsChild>
                                                                    <w:div w:id="1131559313">
                                                                      <w:marLeft w:val="0"/>
                                                                      <w:marRight w:val="0"/>
                                                                      <w:marTop w:val="0"/>
                                                                      <w:marBottom w:val="0"/>
                                                                      <w:divBdr>
                                                                        <w:top w:val="none" w:sz="0" w:space="0" w:color="auto"/>
                                                                        <w:left w:val="none" w:sz="0" w:space="0" w:color="auto"/>
                                                                        <w:bottom w:val="none" w:sz="0" w:space="0" w:color="auto"/>
                                                                        <w:right w:val="none" w:sz="0" w:space="0" w:color="auto"/>
                                                                      </w:divBdr>
                                                                      <w:divsChild>
                                                                        <w:div w:id="830172065">
                                                                          <w:marLeft w:val="0"/>
                                                                          <w:marRight w:val="0"/>
                                                                          <w:marTop w:val="0"/>
                                                                          <w:marBottom w:val="0"/>
                                                                          <w:divBdr>
                                                                            <w:top w:val="none" w:sz="0" w:space="0" w:color="auto"/>
                                                                            <w:left w:val="none" w:sz="0" w:space="0" w:color="auto"/>
                                                                            <w:bottom w:val="none" w:sz="0" w:space="0" w:color="auto"/>
                                                                            <w:right w:val="none" w:sz="0" w:space="0" w:color="auto"/>
                                                                          </w:divBdr>
                                                                          <w:divsChild>
                                                                            <w:div w:id="453716959">
                                                                              <w:marLeft w:val="0"/>
                                                                              <w:marRight w:val="0"/>
                                                                              <w:marTop w:val="0"/>
                                                                              <w:marBottom w:val="0"/>
                                                                              <w:divBdr>
                                                                                <w:top w:val="none" w:sz="0" w:space="0" w:color="auto"/>
                                                                                <w:left w:val="none" w:sz="0" w:space="0" w:color="auto"/>
                                                                                <w:bottom w:val="none" w:sz="0" w:space="0" w:color="auto"/>
                                                                                <w:right w:val="none" w:sz="0" w:space="0" w:color="auto"/>
                                                                              </w:divBdr>
                                                                              <w:divsChild>
                                                                                <w:div w:id="880482787">
                                                                                  <w:marLeft w:val="0"/>
                                                                                  <w:marRight w:val="0"/>
                                                                                  <w:marTop w:val="0"/>
                                                                                  <w:marBottom w:val="0"/>
                                                                                  <w:divBdr>
                                                                                    <w:top w:val="none" w:sz="0" w:space="0" w:color="auto"/>
                                                                                    <w:left w:val="none" w:sz="0" w:space="0" w:color="auto"/>
                                                                                    <w:bottom w:val="none" w:sz="0" w:space="0" w:color="auto"/>
                                                                                    <w:right w:val="none" w:sz="0" w:space="0" w:color="auto"/>
                                                                                  </w:divBdr>
                                                                                  <w:divsChild>
                                                                                    <w:div w:id="1932617419">
                                                                                      <w:marLeft w:val="0"/>
                                                                                      <w:marRight w:val="0"/>
                                                                                      <w:marTop w:val="0"/>
                                                                                      <w:marBottom w:val="0"/>
                                                                                      <w:divBdr>
                                                                                        <w:top w:val="none" w:sz="0" w:space="0" w:color="auto"/>
                                                                                        <w:left w:val="none" w:sz="0" w:space="0" w:color="auto"/>
                                                                                        <w:bottom w:val="none" w:sz="0" w:space="0" w:color="auto"/>
                                                                                        <w:right w:val="none" w:sz="0" w:space="0" w:color="auto"/>
                                                                                      </w:divBdr>
                                                                                      <w:divsChild>
                                                                                        <w:div w:id="717319383">
                                                                                          <w:marLeft w:val="0"/>
                                                                                          <w:marRight w:val="0"/>
                                                                                          <w:marTop w:val="0"/>
                                                                                          <w:marBottom w:val="0"/>
                                                                                          <w:divBdr>
                                                                                            <w:top w:val="none" w:sz="0" w:space="0" w:color="auto"/>
                                                                                            <w:left w:val="none" w:sz="0" w:space="0" w:color="auto"/>
                                                                                            <w:bottom w:val="none" w:sz="0" w:space="0" w:color="auto"/>
                                                                                            <w:right w:val="none" w:sz="0" w:space="0" w:color="auto"/>
                                                                                          </w:divBdr>
                                                                                          <w:divsChild>
                                                                                            <w:div w:id="1506288047">
                                                                                              <w:marLeft w:val="0"/>
                                                                                              <w:marRight w:val="0"/>
                                                                                              <w:marTop w:val="0"/>
                                                                                              <w:marBottom w:val="0"/>
                                                                                              <w:divBdr>
                                                                                                <w:top w:val="none" w:sz="0" w:space="0" w:color="auto"/>
                                                                                                <w:left w:val="none" w:sz="0" w:space="0" w:color="auto"/>
                                                                                                <w:bottom w:val="none" w:sz="0" w:space="0" w:color="auto"/>
                                                                                                <w:right w:val="none" w:sz="0" w:space="0" w:color="auto"/>
                                                                                              </w:divBdr>
                                                                                              <w:divsChild>
                                                                                                <w:div w:id="336155632">
                                                                                                  <w:marLeft w:val="0"/>
                                                                                                  <w:marRight w:val="0"/>
                                                                                                  <w:marTop w:val="0"/>
                                                                                                  <w:marBottom w:val="0"/>
                                                                                                  <w:divBdr>
                                                                                                    <w:top w:val="none" w:sz="0" w:space="0" w:color="auto"/>
                                                                                                    <w:left w:val="none" w:sz="0" w:space="0" w:color="auto"/>
                                                                                                    <w:bottom w:val="none" w:sz="0" w:space="0" w:color="auto"/>
                                                                                                    <w:right w:val="none" w:sz="0" w:space="0" w:color="auto"/>
                                                                                                  </w:divBdr>
                                                                                                  <w:divsChild>
                                                                                                    <w:div w:id="1414014360">
                                                                                                      <w:marLeft w:val="0"/>
                                                                                                      <w:marRight w:val="0"/>
                                                                                                      <w:marTop w:val="0"/>
                                                                                                      <w:marBottom w:val="0"/>
                                                                                                      <w:divBdr>
                                                                                                        <w:top w:val="none" w:sz="0" w:space="0" w:color="auto"/>
                                                                                                        <w:left w:val="none" w:sz="0" w:space="0" w:color="auto"/>
                                                                                                        <w:bottom w:val="none" w:sz="0" w:space="0" w:color="auto"/>
                                                                                                        <w:right w:val="none" w:sz="0" w:space="0" w:color="auto"/>
                                                                                                      </w:divBdr>
                                                                                                      <w:divsChild>
                                                                                                        <w:div w:id="1202473027">
                                                                                                          <w:marLeft w:val="0"/>
                                                                                                          <w:marRight w:val="0"/>
                                                                                                          <w:marTop w:val="0"/>
                                                                                                          <w:marBottom w:val="0"/>
                                                                                                          <w:divBdr>
                                                                                                            <w:top w:val="none" w:sz="0" w:space="0" w:color="auto"/>
                                                                                                            <w:left w:val="none" w:sz="0" w:space="0" w:color="auto"/>
                                                                                                            <w:bottom w:val="none" w:sz="0" w:space="0" w:color="auto"/>
                                                                                                            <w:right w:val="none" w:sz="0" w:space="0" w:color="auto"/>
                                                                                                          </w:divBdr>
                                                                                                          <w:divsChild>
                                                                                                            <w:div w:id="2130588509">
                                                                                                              <w:marLeft w:val="0"/>
                                                                                                              <w:marRight w:val="0"/>
                                                                                                              <w:marTop w:val="0"/>
                                                                                                              <w:marBottom w:val="0"/>
                                                                                                              <w:divBdr>
                                                                                                                <w:top w:val="none" w:sz="0" w:space="0" w:color="auto"/>
                                                                                                                <w:left w:val="none" w:sz="0" w:space="0" w:color="auto"/>
                                                                                                                <w:bottom w:val="none" w:sz="0" w:space="0" w:color="auto"/>
                                                                                                                <w:right w:val="none" w:sz="0" w:space="0" w:color="auto"/>
                                                                                                              </w:divBdr>
                                                                                                              <w:divsChild>
                                                                                                                <w:div w:id="1829902995">
                                                                                                                  <w:marLeft w:val="0"/>
                                                                                                                  <w:marRight w:val="0"/>
                                                                                                                  <w:marTop w:val="0"/>
                                                                                                                  <w:marBottom w:val="0"/>
                                                                                                                  <w:divBdr>
                                                                                                                    <w:top w:val="none" w:sz="0" w:space="0" w:color="auto"/>
                                                                                                                    <w:left w:val="none" w:sz="0" w:space="0" w:color="auto"/>
                                                                                                                    <w:bottom w:val="none" w:sz="0" w:space="0" w:color="auto"/>
                                                                                                                    <w:right w:val="none" w:sz="0" w:space="0" w:color="auto"/>
                                                                                                                  </w:divBdr>
                                                                                                                  <w:divsChild>
                                                                                                                    <w:div w:id="1736538708">
                                                                                                                      <w:marLeft w:val="0"/>
                                                                                                                      <w:marRight w:val="0"/>
                                                                                                                      <w:marTop w:val="0"/>
                                                                                                                      <w:marBottom w:val="0"/>
                                                                                                                      <w:divBdr>
                                                                                                                        <w:top w:val="none" w:sz="0" w:space="0" w:color="auto"/>
                                                                                                                        <w:left w:val="none" w:sz="0" w:space="0" w:color="auto"/>
                                                                                                                        <w:bottom w:val="none" w:sz="0" w:space="0" w:color="auto"/>
                                                                                                                        <w:right w:val="none" w:sz="0" w:space="0" w:color="auto"/>
                                                                                                                      </w:divBdr>
                                                                                                                      <w:divsChild>
                                                                                                                        <w:div w:id="875198587">
                                                                                                                          <w:marLeft w:val="0"/>
                                                                                                                          <w:marRight w:val="0"/>
                                                                                                                          <w:marTop w:val="0"/>
                                                                                                                          <w:marBottom w:val="0"/>
                                                                                                                          <w:divBdr>
                                                                                                                            <w:top w:val="none" w:sz="0" w:space="0" w:color="auto"/>
                                                                                                                            <w:left w:val="none" w:sz="0" w:space="0" w:color="auto"/>
                                                                                                                            <w:bottom w:val="none" w:sz="0" w:space="0" w:color="auto"/>
                                                                                                                            <w:right w:val="none" w:sz="0" w:space="0" w:color="auto"/>
                                                                                                                          </w:divBdr>
                                                                                                                          <w:divsChild>
                                                                                                                            <w:div w:id="1603103757">
                                                                                                                              <w:marLeft w:val="0"/>
                                                                                                                              <w:marRight w:val="0"/>
                                                                                                                              <w:marTop w:val="0"/>
                                                                                                                              <w:marBottom w:val="0"/>
                                                                                                                              <w:divBdr>
                                                                                                                                <w:top w:val="none" w:sz="0" w:space="0" w:color="auto"/>
                                                                                                                                <w:left w:val="none" w:sz="0" w:space="0" w:color="auto"/>
                                                                                                                                <w:bottom w:val="none" w:sz="0" w:space="0" w:color="auto"/>
                                                                                                                                <w:right w:val="none" w:sz="0" w:space="0" w:color="auto"/>
                                                                                                                              </w:divBdr>
                                                                                                                              <w:divsChild>
                                                                                                                                <w:div w:id="2071539014">
                                                                                                                                  <w:marLeft w:val="0"/>
                                                                                                                                  <w:marRight w:val="0"/>
                                                                                                                                  <w:marTop w:val="0"/>
                                                                                                                                  <w:marBottom w:val="0"/>
                                                                                                                                  <w:divBdr>
                                                                                                                                    <w:top w:val="none" w:sz="0" w:space="0" w:color="auto"/>
                                                                                                                                    <w:left w:val="none" w:sz="0" w:space="0" w:color="auto"/>
                                                                                                                                    <w:bottom w:val="none" w:sz="0" w:space="0" w:color="auto"/>
                                                                                                                                    <w:right w:val="none" w:sz="0" w:space="0" w:color="auto"/>
                                                                                                                                  </w:divBdr>
                                                                                                                                  <w:divsChild>
                                                                                                                                    <w:div w:id="1212687306">
                                                                                                                                      <w:marLeft w:val="0"/>
                                                                                                                                      <w:marRight w:val="0"/>
                                                                                                                                      <w:marTop w:val="0"/>
                                                                                                                                      <w:marBottom w:val="0"/>
                                                                                                                                      <w:divBdr>
                                                                                                                                        <w:top w:val="none" w:sz="0" w:space="0" w:color="auto"/>
                                                                                                                                        <w:left w:val="none" w:sz="0" w:space="0" w:color="auto"/>
                                                                                                                                        <w:bottom w:val="none" w:sz="0" w:space="0" w:color="auto"/>
                                                                                                                                        <w:right w:val="none" w:sz="0" w:space="0" w:color="auto"/>
                                                                                                                                      </w:divBdr>
                                                                                                                                      <w:divsChild>
                                                                                                                                        <w:div w:id="667708751">
                                                                                                                                          <w:marLeft w:val="0"/>
                                                                                                                                          <w:marRight w:val="0"/>
                                                                                                                                          <w:marTop w:val="0"/>
                                                                                                                                          <w:marBottom w:val="0"/>
                                                                                                                                          <w:divBdr>
                                                                                                                                            <w:top w:val="none" w:sz="0" w:space="0" w:color="auto"/>
                                                                                                                                            <w:left w:val="none" w:sz="0" w:space="0" w:color="auto"/>
                                                                                                                                            <w:bottom w:val="none" w:sz="0" w:space="0" w:color="auto"/>
                                                                                                                                            <w:right w:val="none" w:sz="0" w:space="0" w:color="auto"/>
                                                                                                                                          </w:divBdr>
                                                                                                                                          <w:divsChild>
                                                                                                                                            <w:div w:id="668291786">
                                                                                                                                              <w:marLeft w:val="0"/>
                                                                                                                                              <w:marRight w:val="0"/>
                                                                                                                                              <w:marTop w:val="0"/>
                                                                                                                                              <w:marBottom w:val="0"/>
                                                                                                                                              <w:divBdr>
                                                                                                                                                <w:top w:val="none" w:sz="0" w:space="0" w:color="auto"/>
                                                                                                                                                <w:left w:val="none" w:sz="0" w:space="0" w:color="auto"/>
                                                                                                                                                <w:bottom w:val="none" w:sz="0" w:space="0" w:color="auto"/>
                                                                                                                                                <w:right w:val="none" w:sz="0" w:space="0" w:color="auto"/>
                                                                                                                                              </w:divBdr>
                                                                                                                                              <w:divsChild>
                                                                                                                                                <w:div w:id="1761363561">
                                                                                                                                                  <w:marLeft w:val="0"/>
                                                                                                                                                  <w:marRight w:val="0"/>
                                                                                                                                                  <w:marTop w:val="0"/>
                                                                                                                                                  <w:marBottom w:val="0"/>
                                                                                                                                                  <w:divBdr>
                                                                                                                                                    <w:top w:val="none" w:sz="0" w:space="0" w:color="auto"/>
                                                                                                                                                    <w:left w:val="none" w:sz="0" w:space="0" w:color="auto"/>
                                                                                                                                                    <w:bottom w:val="none" w:sz="0" w:space="0" w:color="auto"/>
                                                                                                                                                    <w:right w:val="none" w:sz="0" w:space="0" w:color="auto"/>
                                                                                                                                                  </w:divBdr>
                                                                                                                                                  <w:divsChild>
                                                                                                                                                    <w:div w:id="249777854">
                                                                                                                                                      <w:marLeft w:val="0"/>
                                                                                                                                                      <w:marRight w:val="0"/>
                                                                                                                                                      <w:marTop w:val="0"/>
                                                                                                                                                      <w:marBottom w:val="0"/>
                                                                                                                                                      <w:divBdr>
                                                                                                                                                        <w:top w:val="none" w:sz="0" w:space="0" w:color="auto"/>
                                                                                                                                                        <w:left w:val="none" w:sz="0" w:space="0" w:color="auto"/>
                                                                                                                                                        <w:bottom w:val="none" w:sz="0" w:space="0" w:color="auto"/>
                                                                                                                                                        <w:right w:val="none" w:sz="0" w:space="0" w:color="auto"/>
                                                                                                                                                      </w:divBdr>
                                                                                                                                                      <w:divsChild>
                                                                                                                                                        <w:div w:id="1889292532">
                                                                                                                                                          <w:marLeft w:val="0"/>
                                                                                                                                                          <w:marRight w:val="0"/>
                                                                                                                                                          <w:marTop w:val="0"/>
                                                                                                                                                          <w:marBottom w:val="0"/>
                                                                                                                                                          <w:divBdr>
                                                                                                                                                            <w:top w:val="none" w:sz="0" w:space="0" w:color="auto"/>
                                                                                                                                                            <w:left w:val="none" w:sz="0" w:space="0" w:color="auto"/>
                                                                                                                                                            <w:bottom w:val="none" w:sz="0" w:space="0" w:color="auto"/>
                                                                                                                                                            <w:right w:val="none" w:sz="0" w:space="0" w:color="auto"/>
                                                                                                                                                          </w:divBdr>
                                                                                                                                                          <w:divsChild>
                                                                                                                                                            <w:div w:id="803960325">
                                                                                                                                                              <w:marLeft w:val="0"/>
                                                                                                                                                              <w:marRight w:val="0"/>
                                                                                                                                                              <w:marTop w:val="0"/>
                                                                                                                                                              <w:marBottom w:val="0"/>
                                                                                                                                                              <w:divBdr>
                                                                                                                                                                <w:top w:val="none" w:sz="0" w:space="0" w:color="auto"/>
                                                                                                                                                                <w:left w:val="none" w:sz="0" w:space="0" w:color="auto"/>
                                                                                                                                                                <w:bottom w:val="none" w:sz="0" w:space="0" w:color="auto"/>
                                                                                                                                                                <w:right w:val="none" w:sz="0" w:space="0" w:color="auto"/>
                                                                                                                                                              </w:divBdr>
                                                                                                                                                              <w:divsChild>
                                                                                                                                                                <w:div w:id="974992483">
                                                                                                                                                                  <w:marLeft w:val="0"/>
                                                                                                                                                                  <w:marRight w:val="0"/>
                                                                                                                                                                  <w:marTop w:val="0"/>
                                                                                                                                                                  <w:marBottom w:val="0"/>
                                                                                                                                                                  <w:divBdr>
                                                                                                                                                                    <w:top w:val="none" w:sz="0" w:space="0" w:color="auto"/>
                                                                                                                                                                    <w:left w:val="none" w:sz="0" w:space="0" w:color="auto"/>
                                                                                                                                                                    <w:bottom w:val="none" w:sz="0" w:space="0" w:color="auto"/>
                                                                                                                                                                    <w:right w:val="none" w:sz="0" w:space="0" w:color="auto"/>
                                                                                                                                                                  </w:divBdr>
                                                                                                                                                                  <w:divsChild>
                                                                                                                                                                    <w:div w:id="982612612">
                                                                                                                                                                      <w:marLeft w:val="0"/>
                                                                                                                                                                      <w:marRight w:val="0"/>
                                                                                                                                                                      <w:marTop w:val="0"/>
                                                                                                                                                                      <w:marBottom w:val="0"/>
                                                                                                                                                                      <w:divBdr>
                                                                                                                                                                        <w:top w:val="none" w:sz="0" w:space="0" w:color="auto"/>
                                                                                                                                                                        <w:left w:val="none" w:sz="0" w:space="0" w:color="auto"/>
                                                                                                                                                                        <w:bottom w:val="none" w:sz="0" w:space="0" w:color="auto"/>
                                                                                                                                                                        <w:right w:val="none" w:sz="0" w:space="0" w:color="auto"/>
                                                                                                                                                                      </w:divBdr>
                                                                                                                                                                      <w:divsChild>
                                                                                                                                                                        <w:div w:id="1852525033">
                                                                                                                                                                          <w:marLeft w:val="0"/>
                                                                                                                                                                          <w:marRight w:val="0"/>
                                                                                                                                                                          <w:marTop w:val="0"/>
                                                                                                                                                                          <w:marBottom w:val="0"/>
                                                                                                                                                                          <w:divBdr>
                                                                                                                                                                            <w:top w:val="none" w:sz="0" w:space="0" w:color="auto"/>
                                                                                                                                                                            <w:left w:val="none" w:sz="0" w:space="0" w:color="auto"/>
                                                                                                                                                                            <w:bottom w:val="none" w:sz="0" w:space="0" w:color="auto"/>
                                                                                                                                                                            <w:right w:val="none" w:sz="0" w:space="0" w:color="auto"/>
                                                                                                                                                                          </w:divBdr>
                                                                                                                                                                          <w:divsChild>
                                                                                                                                                                            <w:div w:id="1498811265">
                                                                                                                                                                              <w:marLeft w:val="0"/>
                                                                                                                                                                              <w:marRight w:val="0"/>
                                                                                                                                                                              <w:marTop w:val="0"/>
                                                                                                                                                                              <w:marBottom w:val="0"/>
                                                                                                                                                                              <w:divBdr>
                                                                                                                                                                                <w:top w:val="none" w:sz="0" w:space="0" w:color="auto"/>
                                                                                                                                                                                <w:left w:val="none" w:sz="0" w:space="0" w:color="auto"/>
                                                                                                                                                                                <w:bottom w:val="none" w:sz="0" w:space="0" w:color="auto"/>
                                                                                                                                                                                <w:right w:val="none" w:sz="0" w:space="0" w:color="auto"/>
                                                                                                                                                                              </w:divBdr>
                                                                                                                                                                              <w:divsChild>
                                                                                                                                                                                <w:div w:id="1771973412">
                                                                                                                                                                                  <w:marLeft w:val="0"/>
                                                                                                                                                                                  <w:marRight w:val="0"/>
                                                                                                                                                                                  <w:marTop w:val="0"/>
                                                                                                                                                                                  <w:marBottom w:val="0"/>
                                                                                                                                                                                  <w:divBdr>
                                                                                                                                                                                    <w:top w:val="none" w:sz="0" w:space="0" w:color="auto"/>
                                                                                                                                                                                    <w:left w:val="none" w:sz="0" w:space="0" w:color="auto"/>
                                                                                                                                                                                    <w:bottom w:val="none" w:sz="0" w:space="0" w:color="auto"/>
                                                                                                                                                                                    <w:right w:val="none" w:sz="0" w:space="0" w:color="auto"/>
                                                                                                                                                                                  </w:divBdr>
                                                                                                                                                                                  <w:divsChild>
                                                                                                                                                                                    <w:div w:id="2047634707">
                                                                                                                                                                                      <w:marLeft w:val="0"/>
                                                                                                                                                                                      <w:marRight w:val="0"/>
                                                                                                                                                                                      <w:marTop w:val="0"/>
                                                                                                                                                                                      <w:marBottom w:val="0"/>
                                                                                                                                                                                      <w:divBdr>
                                                                                                                                                                                        <w:top w:val="none" w:sz="0" w:space="0" w:color="auto"/>
                                                                                                                                                                                        <w:left w:val="none" w:sz="0" w:space="0" w:color="auto"/>
                                                                                                                                                                                        <w:bottom w:val="none" w:sz="0" w:space="0" w:color="auto"/>
                                                                                                                                                                                        <w:right w:val="none" w:sz="0" w:space="0" w:color="auto"/>
                                                                                                                                                                                      </w:divBdr>
                                                                                                                                                                                      <w:divsChild>
                                                                                                                                                                                        <w:div w:id="1330137172">
                                                                                                                                                                                          <w:marLeft w:val="0"/>
                                                                                                                                                                                          <w:marRight w:val="0"/>
                                                                                                                                                                                          <w:marTop w:val="0"/>
                                                                                                                                                                                          <w:marBottom w:val="0"/>
                                                                                                                                                                                          <w:divBdr>
                                                                                                                                                                                            <w:top w:val="none" w:sz="0" w:space="0" w:color="auto"/>
                                                                                                                                                                                            <w:left w:val="none" w:sz="0" w:space="0" w:color="auto"/>
                                                                                                                                                                                            <w:bottom w:val="none" w:sz="0" w:space="0" w:color="auto"/>
                                                                                                                                                                                            <w:right w:val="none" w:sz="0" w:space="0" w:color="auto"/>
                                                                                                                                                                                          </w:divBdr>
                                                                                                                                                                                          <w:divsChild>
                                                                                                                                                                                            <w:div w:id="610434755">
                                                                                                                                                                                              <w:marLeft w:val="0"/>
                                                                                                                                                                                              <w:marRight w:val="0"/>
                                                                                                                                                                                              <w:marTop w:val="0"/>
                                                                                                                                                                                              <w:marBottom w:val="0"/>
                                                                                                                                                                                              <w:divBdr>
                                                                                                                                                                                                <w:top w:val="none" w:sz="0" w:space="0" w:color="auto"/>
                                                                                                                                                                                                <w:left w:val="none" w:sz="0" w:space="0" w:color="auto"/>
                                                                                                                                                                                                <w:bottom w:val="none" w:sz="0" w:space="0" w:color="auto"/>
                                                                                                                                                                                                <w:right w:val="none" w:sz="0" w:space="0" w:color="auto"/>
                                                                                                                                                                                              </w:divBdr>
                                                                                                                                                                                              <w:divsChild>
                                                                                                                                                                                                <w:div w:id="1876650096">
                                                                                                                                                                                                  <w:marLeft w:val="0"/>
                                                                                                                                                                                                  <w:marRight w:val="0"/>
                                                                                                                                                                                                  <w:marTop w:val="0"/>
                                                                                                                                                                                                  <w:marBottom w:val="0"/>
                                                                                                                                                                                                  <w:divBdr>
                                                                                                                                                                                                    <w:top w:val="none" w:sz="0" w:space="0" w:color="auto"/>
                                                                                                                                                                                                    <w:left w:val="none" w:sz="0" w:space="0" w:color="auto"/>
                                                                                                                                                                                                    <w:bottom w:val="none" w:sz="0" w:space="0" w:color="auto"/>
                                                                                                                                                                                                    <w:right w:val="none" w:sz="0" w:space="0" w:color="auto"/>
                                                                                                                                                                                                  </w:divBdr>
                                                                                                                                                                                                  <w:divsChild>
                                                                                                                                                                                                    <w:div w:id="1212889257">
                                                                                                                                                                                                      <w:marLeft w:val="0"/>
                                                                                                                                                                                                      <w:marRight w:val="0"/>
                                                                                                                                                                                                      <w:marTop w:val="0"/>
                                                                                                                                                                                                      <w:marBottom w:val="0"/>
                                                                                                                                                                                                      <w:divBdr>
                                                                                                                                                                                                        <w:top w:val="none" w:sz="0" w:space="0" w:color="auto"/>
                                                                                                                                                                                                        <w:left w:val="none" w:sz="0" w:space="0" w:color="auto"/>
                                                                                                                                                                                                        <w:bottom w:val="none" w:sz="0" w:space="0" w:color="auto"/>
                                                                                                                                                                                                        <w:right w:val="none" w:sz="0" w:space="0" w:color="auto"/>
                                                                                                                                                                                                      </w:divBdr>
                                                                                                                                                                                                      <w:divsChild>
                                                                                                                                                                                                        <w:div w:id="883785006">
                                                                                                                                                                                                          <w:marLeft w:val="0"/>
                                                                                                                                                                                                          <w:marRight w:val="0"/>
                                                                                                                                                                                                          <w:marTop w:val="0"/>
                                                                                                                                                                                                          <w:marBottom w:val="0"/>
                                                                                                                                                                                                          <w:divBdr>
                                                                                                                                                                                                            <w:top w:val="none" w:sz="0" w:space="0" w:color="auto"/>
                                                                                                                                                                                                            <w:left w:val="none" w:sz="0" w:space="0" w:color="auto"/>
                                                                                                                                                                                                            <w:bottom w:val="none" w:sz="0" w:space="0" w:color="auto"/>
                                                                                                                                                                                                            <w:right w:val="none" w:sz="0" w:space="0" w:color="auto"/>
                                                                                                                                                                                                          </w:divBdr>
                                                                                                                                                                                                          <w:divsChild>
                                                                                                                                                                                                            <w:div w:id="999776571">
                                                                                                                                                                                                              <w:marLeft w:val="0"/>
                                                                                                                                                                                                              <w:marRight w:val="0"/>
                                                                                                                                                                                                              <w:marTop w:val="0"/>
                                                                                                                                                                                                              <w:marBottom w:val="0"/>
                                                                                                                                                                                                              <w:divBdr>
                                                                                                                                                                                                                <w:top w:val="none" w:sz="0" w:space="0" w:color="auto"/>
                                                                                                                                                                                                                <w:left w:val="none" w:sz="0" w:space="0" w:color="auto"/>
                                                                                                                                                                                                                <w:bottom w:val="none" w:sz="0" w:space="0" w:color="auto"/>
                                                                                                                                                                                                                <w:right w:val="none" w:sz="0" w:space="0" w:color="auto"/>
                                                                                                                                                                                                              </w:divBdr>
                                                                                                                                                                                                              <w:divsChild>
                                                                                                                                                                                                                <w:div w:id="386955721">
                                                                                                                                                                                                                  <w:marLeft w:val="0"/>
                                                                                                                                                                                                                  <w:marRight w:val="0"/>
                                                                                                                                                                                                                  <w:marTop w:val="0"/>
                                                                                                                                                                                                                  <w:marBottom w:val="0"/>
                                                                                                                                                                                                                  <w:divBdr>
                                                                                                                                                                                                                    <w:top w:val="none" w:sz="0" w:space="0" w:color="auto"/>
                                                                                                                                                                                                                    <w:left w:val="none" w:sz="0" w:space="0" w:color="auto"/>
                                                                                                                                                                                                                    <w:bottom w:val="none" w:sz="0" w:space="0" w:color="auto"/>
                                                                                                                                                                                                                    <w:right w:val="none" w:sz="0" w:space="0" w:color="auto"/>
                                                                                                                                                                                                                  </w:divBdr>
                                                                                                                                                                                                                  <w:divsChild>
                                                                                                                                                                                                                    <w:div w:id="80492939">
                                                                                                                                                                                                                      <w:marLeft w:val="0"/>
                                                                                                                                                                                                                      <w:marRight w:val="0"/>
                                                                                                                                                                                                                      <w:marTop w:val="0"/>
                                                                                                                                                                                                                      <w:marBottom w:val="0"/>
                                                                                                                                                                                                                      <w:divBdr>
                                                                                                                                                                                                                        <w:top w:val="none" w:sz="0" w:space="0" w:color="auto"/>
                                                                                                                                                                                                                        <w:left w:val="none" w:sz="0" w:space="0" w:color="auto"/>
                                                                                                                                                                                                                        <w:bottom w:val="none" w:sz="0" w:space="0" w:color="auto"/>
                                                                                                                                                                                                                        <w:right w:val="none" w:sz="0" w:space="0" w:color="auto"/>
                                                                                                                                                                                                                      </w:divBdr>
                                                                                                                                                                                                                      <w:divsChild>
                                                                                                                                                                                                                        <w:div w:id="1587806827">
                                                                                                                                                                                                                          <w:marLeft w:val="0"/>
                                                                                                                                                                                                                          <w:marRight w:val="0"/>
                                                                                                                                                                                                                          <w:marTop w:val="0"/>
                                                                                                                                                                                                                          <w:marBottom w:val="0"/>
                                                                                                                                                                                                                          <w:divBdr>
                                                                                                                                                                                                                            <w:top w:val="none" w:sz="0" w:space="0" w:color="auto"/>
                                                                                                                                                                                                                            <w:left w:val="none" w:sz="0" w:space="0" w:color="auto"/>
                                                                                                                                                                                                                            <w:bottom w:val="none" w:sz="0" w:space="0" w:color="auto"/>
                                                                                                                                                                                                                            <w:right w:val="none" w:sz="0" w:space="0" w:color="auto"/>
                                                                                                                                                                                                                          </w:divBdr>
                                                                                                                                                                                                                          <w:divsChild>
                                                                                                                                                                                                                            <w:div w:id="1269696609">
                                                                                                                                                                                                                              <w:marLeft w:val="0"/>
                                                                                                                                                                                                                              <w:marRight w:val="0"/>
                                                                                                                                                                                                                              <w:marTop w:val="0"/>
                                                                                                                                                                                                                              <w:marBottom w:val="0"/>
                                                                                                                                                                                                                              <w:divBdr>
                                                                                                                                                                                                                                <w:top w:val="none" w:sz="0" w:space="0" w:color="auto"/>
                                                                                                                                                                                                                                <w:left w:val="none" w:sz="0" w:space="0" w:color="auto"/>
                                                                                                                                                                                                                                <w:bottom w:val="none" w:sz="0" w:space="0" w:color="auto"/>
                                                                                                                                                                                                                                <w:right w:val="none" w:sz="0" w:space="0" w:color="auto"/>
                                                                                                                                                                                                                              </w:divBdr>
                                                                                                                                                                                                                              <w:divsChild>
                                                                                                                                                                                                                                <w:div w:id="1810660788">
                                                                                                                                                                                                                                  <w:marLeft w:val="0"/>
                                                                                                                                                                                                                                  <w:marRight w:val="0"/>
                                                                                                                                                                                                                                  <w:marTop w:val="0"/>
                                                                                                                                                                                                                                  <w:marBottom w:val="0"/>
                                                                                                                                                                                                                                  <w:divBdr>
                                                                                                                                                                                                                                    <w:top w:val="none" w:sz="0" w:space="0" w:color="auto"/>
                                                                                                                                                                                                                                    <w:left w:val="none" w:sz="0" w:space="0" w:color="auto"/>
                                                                                                                                                                                                                                    <w:bottom w:val="none" w:sz="0" w:space="0" w:color="auto"/>
                                                                                                                                                                                                                                    <w:right w:val="none" w:sz="0" w:space="0" w:color="auto"/>
                                                                                                                                                                                                                                  </w:divBdr>
                                                                                                                                                                                                                                  <w:divsChild>
                                                                                                                                                                                                                                    <w:div w:id="1250231696">
                                                                                                                                                                                                                                      <w:marLeft w:val="0"/>
                                                                                                                                                                                                                                      <w:marRight w:val="0"/>
                                                                                                                                                                                                                                      <w:marTop w:val="0"/>
                                                                                                                                                                                                                                      <w:marBottom w:val="0"/>
                                                                                                                                                                                                                                      <w:divBdr>
                                                                                                                                                                                                                                        <w:top w:val="none" w:sz="0" w:space="0" w:color="auto"/>
                                                                                                                                                                                                                                        <w:left w:val="none" w:sz="0" w:space="0" w:color="auto"/>
                                                                                                                                                                                                                                        <w:bottom w:val="none" w:sz="0" w:space="0" w:color="auto"/>
                                                                                                                                                                                                                                        <w:right w:val="none" w:sz="0" w:space="0" w:color="auto"/>
                                                                                                                                                                                                                                      </w:divBdr>
                                                                                                                                                                                                                                      <w:divsChild>
                                                                                                                                                                                                                                        <w:div w:id="1754668359">
                                                                                                                                                                                                                                          <w:marLeft w:val="0"/>
                                                                                                                                                                                                                                          <w:marRight w:val="0"/>
                                                                                                                                                                                                                                          <w:marTop w:val="0"/>
                                                                                                                                                                                                                                          <w:marBottom w:val="0"/>
                                                                                                                                                                                                                                          <w:divBdr>
                                                                                                                                                                                                                                            <w:top w:val="none" w:sz="0" w:space="0" w:color="auto"/>
                                                                                                                                                                                                                                            <w:left w:val="none" w:sz="0" w:space="0" w:color="auto"/>
                                                                                                                                                                                                                                            <w:bottom w:val="none" w:sz="0" w:space="0" w:color="auto"/>
                                                                                                                                                                                                                                            <w:right w:val="none" w:sz="0" w:space="0" w:color="auto"/>
                                                                                                                                                                                                                                          </w:divBdr>
                                                                                                                                                                                                                                          <w:divsChild>
                                                                                                                                                                                                                                            <w:div w:id="1251039591">
                                                                                                                                                                                                                                              <w:marLeft w:val="0"/>
                                                                                                                                                                                                                                              <w:marRight w:val="0"/>
                                                                                                                                                                                                                                              <w:marTop w:val="0"/>
                                                                                                                                                                                                                                              <w:marBottom w:val="0"/>
                                                                                                                                                                                                                                              <w:divBdr>
                                                                                                                                                                                                                                                <w:top w:val="none" w:sz="0" w:space="0" w:color="auto"/>
                                                                                                                                                                                                                                                <w:left w:val="none" w:sz="0" w:space="0" w:color="auto"/>
                                                                                                                                                                                                                                                <w:bottom w:val="none" w:sz="0" w:space="0" w:color="auto"/>
                                                                                                                                                                                                                                                <w:right w:val="none" w:sz="0" w:space="0" w:color="auto"/>
                                                                                                                                                                                                                                              </w:divBdr>
                                                                                                                                                                                                                                              <w:divsChild>
                                                                                                                                                                                                                                                <w:div w:id="1496995378">
                                                                                                                                                                                                                                                  <w:marLeft w:val="0"/>
                                                                                                                                                                                                                                                  <w:marRight w:val="0"/>
                                                                                                                                                                                                                                                  <w:marTop w:val="0"/>
                                                                                                                                                                                                                                                  <w:marBottom w:val="0"/>
                                                                                                                                                                                                                                                  <w:divBdr>
                                                                                                                                                                                                                                                    <w:top w:val="none" w:sz="0" w:space="0" w:color="auto"/>
                                                                                                                                                                                                                                                    <w:left w:val="none" w:sz="0" w:space="0" w:color="auto"/>
                                                                                                                                                                                                                                                    <w:bottom w:val="none" w:sz="0" w:space="0" w:color="auto"/>
                                                                                                                                                                                                                                                    <w:right w:val="none" w:sz="0" w:space="0" w:color="auto"/>
                                                                                                                                                                                                                                                  </w:divBdr>
                                                                                                                                                                                                                                                  <w:divsChild>
                                                                                                                                                                                                                                                    <w:div w:id="501744310">
                                                                                                                                                                                                                                                      <w:marLeft w:val="0"/>
                                                                                                                                                                                                                                                      <w:marRight w:val="0"/>
                                                                                                                                                                                                                                                      <w:marTop w:val="0"/>
                                                                                                                                                                                                                                                      <w:marBottom w:val="0"/>
                                                                                                                                                                                                                                                      <w:divBdr>
                                                                                                                                                                                                                                                        <w:top w:val="none" w:sz="0" w:space="0" w:color="auto"/>
                                                                                                                                                                                                                                                        <w:left w:val="none" w:sz="0" w:space="0" w:color="auto"/>
                                                                                                                                                                                                                                                        <w:bottom w:val="none" w:sz="0" w:space="0" w:color="auto"/>
                                                                                                                                                                                                                                                        <w:right w:val="none" w:sz="0" w:space="0" w:color="auto"/>
                                                                                                                                                                                                                                                      </w:divBdr>
                                                                                                                                                                                                                                                      <w:divsChild>
                                                                                                                                                                                                                                                        <w:div w:id="253364162">
                                                                                                                                                                                                                                                          <w:marLeft w:val="0"/>
                                                                                                                                                                                                                                                          <w:marRight w:val="0"/>
                                                                                                                                                                                                                                                          <w:marTop w:val="0"/>
                                                                                                                                                                                                                                                          <w:marBottom w:val="0"/>
                                                                                                                                                                                                                                                          <w:divBdr>
                                                                                                                                                                                                                                                            <w:top w:val="none" w:sz="0" w:space="0" w:color="auto"/>
                                                                                                                                                                                                                                                            <w:left w:val="none" w:sz="0" w:space="0" w:color="auto"/>
                                                                                                                                                                                                                                                            <w:bottom w:val="none" w:sz="0" w:space="0" w:color="auto"/>
                                                                                                                                                                                                                                                            <w:right w:val="none" w:sz="0" w:space="0" w:color="auto"/>
                                                                                                                                                                                                                                                          </w:divBdr>
                                                                                                                                                                                                                                                          <w:divsChild>
                                                                                                                                                                                                                                                            <w:div w:id="1054357663">
                                                                                                                                                                                                                                                              <w:marLeft w:val="0"/>
                                                                                                                                                                                                                                                              <w:marRight w:val="0"/>
                                                                                                                                                                                                                                                              <w:marTop w:val="0"/>
                                                                                                                                                                                                                                                              <w:marBottom w:val="0"/>
                                                                                                                                                                                                                                                              <w:divBdr>
                                                                                                                                                                                                                                                                <w:top w:val="none" w:sz="0" w:space="0" w:color="auto"/>
                                                                                                                                                                                                                                                                <w:left w:val="none" w:sz="0" w:space="0" w:color="auto"/>
                                                                                                                                                                                                                                                                <w:bottom w:val="none" w:sz="0" w:space="0" w:color="auto"/>
                                                                                                                                                                                                                                                                <w:right w:val="none" w:sz="0" w:space="0" w:color="auto"/>
                                                                                                                                                                                                                                                              </w:divBdr>
                                                                                                                                                                                                                                                              <w:divsChild>
                                                                                                                                                                                                                                                                <w:div w:id="334654381">
                                                                                                                                                                                                                                                                  <w:marLeft w:val="0"/>
                                                                                                                                                                                                                                                                  <w:marRight w:val="0"/>
                                                                                                                                                                                                                                                                  <w:marTop w:val="0"/>
                                                                                                                                                                                                                                                                  <w:marBottom w:val="0"/>
                                                                                                                                                                                                                                                                  <w:divBdr>
                                                                                                                                                                                                                                                                    <w:top w:val="none" w:sz="0" w:space="0" w:color="auto"/>
                                                                                                                                                                                                                                                                    <w:left w:val="none" w:sz="0" w:space="0" w:color="auto"/>
                                                                                                                                                                                                                                                                    <w:bottom w:val="none" w:sz="0" w:space="0" w:color="auto"/>
                                                                                                                                                                                                                                                                    <w:right w:val="none" w:sz="0" w:space="0" w:color="auto"/>
                                                                                                                                                                                                                                                                  </w:divBdr>
                                                                                                                                                                                                                                                                  <w:divsChild>
                                                                                                                                                                                                                                                                    <w:div w:id="1424034310">
                                                                                                                                                                                                                                                                      <w:marLeft w:val="0"/>
                                                                                                                                                                                                                                                                      <w:marRight w:val="0"/>
                                                                                                                                                                                                                                                                      <w:marTop w:val="0"/>
                                                                                                                                                                                                                                                                      <w:marBottom w:val="0"/>
                                                                                                                                                                                                                                                                      <w:divBdr>
                                                                                                                                                                                                                                                                        <w:top w:val="none" w:sz="0" w:space="0" w:color="auto"/>
                                                                                                                                                                                                                                                                        <w:left w:val="none" w:sz="0" w:space="0" w:color="auto"/>
                                                                                                                                                                                                                                                                        <w:bottom w:val="none" w:sz="0" w:space="0" w:color="auto"/>
                                                                                                                                                                                                                                                                        <w:right w:val="none" w:sz="0" w:space="0" w:color="auto"/>
                                                                                                                                                                                                                                                                      </w:divBdr>
                                                                                                                                                                                                                                                                      <w:divsChild>
                                                                                                                                                                                                                                                                        <w:div w:id="903686379">
                                                                                                                                                                                                                                                                          <w:marLeft w:val="0"/>
                                                                                                                                                                                                                                                                          <w:marRight w:val="0"/>
                                                                                                                                                                                                                                                                          <w:marTop w:val="0"/>
                                                                                                                                                                                                                                                                          <w:marBottom w:val="0"/>
                                                                                                                                                                                                                                                                          <w:divBdr>
                                                                                                                                                                                                                                                                            <w:top w:val="none" w:sz="0" w:space="0" w:color="auto"/>
                                                                                                                                                                                                                                                                            <w:left w:val="none" w:sz="0" w:space="0" w:color="auto"/>
                                                                                                                                                                                                                                                                            <w:bottom w:val="none" w:sz="0" w:space="0" w:color="auto"/>
                                                                                                                                                                                                                                                                            <w:right w:val="none" w:sz="0" w:space="0" w:color="auto"/>
                                                                                                                                                                                                                                                                          </w:divBdr>
                                                                                                                                                                                                                                                                          <w:divsChild>
                                                                                                                                                                                                                                                                            <w:div w:id="1404445601">
                                                                                                                                                                                                                                                                              <w:marLeft w:val="0"/>
                                                                                                                                                                                                                                                                              <w:marRight w:val="0"/>
                                                                                                                                                                                                                                                                              <w:marTop w:val="0"/>
                                                                                                                                                                                                                                                                              <w:marBottom w:val="0"/>
                                                                                                                                                                                                                                                                              <w:divBdr>
                                                                                                                                                                                                                                                                                <w:top w:val="none" w:sz="0" w:space="0" w:color="auto"/>
                                                                                                                                                                                                                                                                                <w:left w:val="none" w:sz="0" w:space="0" w:color="auto"/>
                                                                                                                                                                                                                                                                                <w:bottom w:val="none" w:sz="0" w:space="0" w:color="auto"/>
                                                                                                                                                                                                                                                                                <w:right w:val="none" w:sz="0" w:space="0" w:color="auto"/>
                                                                                                                                                                                                                                                                              </w:divBdr>
                                                                                                                                                                                                                                                                              <w:divsChild>
                                                                                                                                                                                                                                                                                <w:div w:id="1536186894">
                                                                                                                                                                                                                                                                                  <w:marLeft w:val="0"/>
                                                                                                                                                                                                                                                                                  <w:marRight w:val="0"/>
                                                                                                                                                                                                                                                                                  <w:marTop w:val="0"/>
                                                                                                                                                                                                                                                                                  <w:marBottom w:val="0"/>
                                                                                                                                                                                                                                                                                  <w:divBdr>
                                                                                                                                                                                                                                                                                    <w:top w:val="none" w:sz="0" w:space="0" w:color="auto"/>
                                                                                                                                                                                                                                                                                    <w:left w:val="none" w:sz="0" w:space="0" w:color="auto"/>
                                                                                                                                                                                                                                                                                    <w:bottom w:val="none" w:sz="0" w:space="0" w:color="auto"/>
                                                                                                                                                                                                                                                                                    <w:right w:val="none" w:sz="0" w:space="0" w:color="auto"/>
                                                                                                                                                                                                                                                                                  </w:divBdr>
                                                                                                                                                                                                                                                                                  <w:divsChild>
                                                                                                                                                                                                                                                                                    <w:div w:id="1747071411">
                                                                                                                                                                                                                                                                                      <w:marLeft w:val="0"/>
                                                                                                                                                                                                                                                                                      <w:marRight w:val="0"/>
                                                                                                                                                                                                                                                                                      <w:marTop w:val="0"/>
                                                                                                                                                                                                                                                                                      <w:marBottom w:val="0"/>
                                                                                                                                                                                                                                                                                      <w:divBdr>
                                                                                                                                                                                                                                                                                        <w:top w:val="none" w:sz="0" w:space="0" w:color="auto"/>
                                                                                                                                                                                                                                                                                        <w:left w:val="none" w:sz="0" w:space="0" w:color="auto"/>
                                                                                                                                                                                                                                                                                        <w:bottom w:val="none" w:sz="0" w:space="0" w:color="auto"/>
                                                                                                                                                                                                                                                                                        <w:right w:val="none" w:sz="0" w:space="0" w:color="auto"/>
                                                                                                                                                                                                                                                                                      </w:divBdr>
                                                                                                                                                                                                                                                                                      <w:divsChild>
                                                                                                                                                                                                                                                                                        <w:div w:id="1447626171">
                                                                                                                                                                                                                                                                                          <w:marLeft w:val="0"/>
                                                                                                                                                                                                                                                                                          <w:marRight w:val="0"/>
                                                                                                                                                                                                                                                                                          <w:marTop w:val="0"/>
                                                                                                                                                                                                                                                                                          <w:marBottom w:val="0"/>
                                                                                                                                                                                                                                                                                          <w:divBdr>
                                                                                                                                                                                                                                                                                            <w:top w:val="none" w:sz="0" w:space="0" w:color="auto"/>
                                                                                                                                                                                                                                                                                            <w:left w:val="none" w:sz="0" w:space="0" w:color="auto"/>
                                                                                                                                                                                                                                                                                            <w:bottom w:val="none" w:sz="0" w:space="0" w:color="auto"/>
                                                                                                                                                                                                                                                                                            <w:right w:val="none" w:sz="0" w:space="0" w:color="auto"/>
                                                                                                                                                                                                                                                                                          </w:divBdr>
                                                                                                                                                                                                                                                                                          <w:divsChild>
                                                                                                                                                                                                                                                                                            <w:div w:id="856967340">
                                                                                                                                                                                                                                                                                              <w:marLeft w:val="0"/>
                                                                                                                                                                                                                                                                                              <w:marRight w:val="0"/>
                                                                                                                                                                                                                                                                                              <w:marTop w:val="0"/>
                                                                                                                                                                                                                                                                                              <w:marBottom w:val="0"/>
                                                                                                                                                                                                                                                                                              <w:divBdr>
                                                                                                                                                                                                                                                                                                <w:top w:val="none" w:sz="0" w:space="0" w:color="auto"/>
                                                                                                                                                                                                                                                                                                <w:left w:val="none" w:sz="0" w:space="0" w:color="auto"/>
                                                                                                                                                                                                                                                                                                <w:bottom w:val="none" w:sz="0" w:space="0" w:color="auto"/>
                                                                                                                                                                                                                                                                                                <w:right w:val="none" w:sz="0" w:space="0" w:color="auto"/>
                                                                                                                                                                                                                                                                                              </w:divBdr>
                                                                                                                                                                                                                                                                                              <w:divsChild>
                                                                                                                                                                                                                                                                                                <w:div w:id="415858137">
                                                                                                                                                                                                                                                                                                  <w:marLeft w:val="0"/>
                                                                                                                                                                                                                                                                                                  <w:marRight w:val="0"/>
                                                                                                                                                                                                                                                                                                  <w:marTop w:val="0"/>
                                                                                                                                                                                                                                                                                                  <w:marBottom w:val="0"/>
                                                                                                                                                                                                                                                                                                  <w:divBdr>
                                                                                                                                                                                                                                                                                                    <w:top w:val="none" w:sz="0" w:space="0" w:color="auto"/>
                                                                                                                                                                                                                                                                                                    <w:left w:val="none" w:sz="0" w:space="0" w:color="auto"/>
                                                                                                                                                                                                                                                                                                    <w:bottom w:val="none" w:sz="0" w:space="0" w:color="auto"/>
                                                                                                                                                                                                                                                                                                    <w:right w:val="none" w:sz="0" w:space="0" w:color="auto"/>
                                                                                                                                                                                                                                                                                                  </w:divBdr>
                                                                                                                                                                                                                                                                                                  <w:divsChild>
                                                                                                                                                                                                                                                                                                    <w:div w:id="1553925343">
                                                                                                                                                                                                                                                                                                      <w:marLeft w:val="0"/>
                                                                                                                                                                                                                                                                                                      <w:marRight w:val="0"/>
                                                                                                                                                                                                                                                                                                      <w:marTop w:val="0"/>
                                                                                                                                                                                                                                                                                                      <w:marBottom w:val="0"/>
                                                                                                                                                                                                                                                                                                      <w:divBdr>
                                                                                                                                                                                                                                                                                                        <w:top w:val="none" w:sz="0" w:space="0" w:color="auto"/>
                                                                                                                                                                                                                                                                                                        <w:left w:val="none" w:sz="0" w:space="0" w:color="auto"/>
                                                                                                                                                                                                                                                                                                        <w:bottom w:val="none" w:sz="0" w:space="0" w:color="auto"/>
                                                                                                                                                                                                                                                                                                        <w:right w:val="none" w:sz="0" w:space="0" w:color="auto"/>
                                                                                                                                                                                                                                                                                                      </w:divBdr>
                                                                                                                                                                                                                                                                                                      <w:divsChild>
                                                                                                                                                                                                                                                                                                        <w:div w:id="386804908">
                                                                                                                                                                                                                                                                                                          <w:marLeft w:val="0"/>
                                                                                                                                                                                                                                                                                                          <w:marRight w:val="0"/>
                                                                                                                                                                                                                                                                                                          <w:marTop w:val="0"/>
                                                                                                                                                                                                                                                                                                          <w:marBottom w:val="0"/>
                                                                                                                                                                                                                                                                                                          <w:divBdr>
                                                                                                                                                                                                                                                                                                            <w:top w:val="none" w:sz="0" w:space="0" w:color="auto"/>
                                                                                                                                                                                                                                                                                                            <w:left w:val="none" w:sz="0" w:space="0" w:color="auto"/>
                                                                                                                                                                                                                                                                                                            <w:bottom w:val="none" w:sz="0" w:space="0" w:color="auto"/>
                                                                                                                                                                                                                                                                                                            <w:right w:val="none" w:sz="0" w:space="0" w:color="auto"/>
                                                                                                                                                                                                                                                                                                          </w:divBdr>
                                                                                                                                                                                                                                                                                                          <w:divsChild>
                                                                                                                                                                                                                                                                                                            <w:div w:id="115948025">
                                                                                                                                                                                                                                                                                                              <w:marLeft w:val="0"/>
                                                                                                                                                                                                                                                                                                              <w:marRight w:val="0"/>
                                                                                                                                                                                                                                                                                                              <w:marTop w:val="0"/>
                                                                                                                                                                                                                                                                                                              <w:marBottom w:val="0"/>
                                                                                                                                                                                                                                                                                                              <w:divBdr>
                                                                                                                                                                                                                                                                                                                <w:top w:val="none" w:sz="0" w:space="0" w:color="auto"/>
                                                                                                                                                                                                                                                                                                                <w:left w:val="none" w:sz="0" w:space="0" w:color="auto"/>
                                                                                                                                                                                                                                                                                                                <w:bottom w:val="none" w:sz="0" w:space="0" w:color="auto"/>
                                                                                                                                                                                                                                                                                                                <w:right w:val="none" w:sz="0" w:space="0" w:color="auto"/>
                                                                                                                                                                                                                                                                                                              </w:divBdr>
                                                                                                                                                                                                                                                                                                              <w:divsChild>
                                                                                                                                                                                                                                                                                                                <w:div w:id="703797319">
                                                                                                                                                                                                                                                                                                                  <w:marLeft w:val="0"/>
                                                                                                                                                                                                                                                                                                                  <w:marRight w:val="0"/>
                                                                                                                                                                                                                                                                                                                  <w:marTop w:val="0"/>
                                                                                                                                                                                                                                                                                                                  <w:marBottom w:val="0"/>
                                                                                                                                                                                                                                                                                                                  <w:divBdr>
                                                                                                                                                                                                                                                                                                                    <w:top w:val="none" w:sz="0" w:space="0" w:color="auto"/>
                                                                                                                                                                                                                                                                                                                    <w:left w:val="none" w:sz="0" w:space="0" w:color="auto"/>
                                                                                                                                                                                                                                                                                                                    <w:bottom w:val="none" w:sz="0" w:space="0" w:color="auto"/>
                                                                                                                                                                                                                                                                                                                    <w:right w:val="none" w:sz="0" w:space="0" w:color="auto"/>
                                                                                                                                                                                                                                                                                                                  </w:divBdr>
                                                                                                                                                                                                                                                                                                                  <w:divsChild>
                                                                                                                                                                                                                                                                                                                    <w:div w:id="1159689113">
                                                                                                                                                                                                                                                                                                                      <w:marLeft w:val="0"/>
                                                                                                                                                                                                                                                                                                                      <w:marRight w:val="0"/>
                                                                                                                                                                                                                                                                                                                      <w:marTop w:val="0"/>
                                                                                                                                                                                                                                                                                                                      <w:marBottom w:val="0"/>
                                                                                                                                                                                                                                                                                                                      <w:divBdr>
                                                                                                                                                                                                                                                                                                                        <w:top w:val="none" w:sz="0" w:space="0" w:color="auto"/>
                                                                                                                                                                                                                                                                                                                        <w:left w:val="none" w:sz="0" w:space="0" w:color="auto"/>
                                                                                                                                                                                                                                                                                                                        <w:bottom w:val="none" w:sz="0" w:space="0" w:color="auto"/>
                                                                                                                                                                                                                                                                                                                        <w:right w:val="none" w:sz="0" w:space="0" w:color="auto"/>
                                                                                                                                                                                                                                                                                                                      </w:divBdr>
                                                                                                                                                                                                                                                                                                                      <w:divsChild>
                                                                                                                                                                                                                                                                                                                        <w:div w:id="1719207598">
                                                                                                                                                                                                                                                                                                                          <w:marLeft w:val="0"/>
                                                                                                                                                                                                                                                                                                                          <w:marRight w:val="0"/>
                                                                                                                                                                                                                                                                                                                          <w:marTop w:val="0"/>
                                                                                                                                                                                                                                                                                                                          <w:marBottom w:val="0"/>
                                                                                                                                                                                                                                                                                                                          <w:divBdr>
                                                                                                                                                                                                                                                                                                                            <w:top w:val="none" w:sz="0" w:space="0" w:color="auto"/>
                                                                                                                                                                                                                                                                                                                            <w:left w:val="none" w:sz="0" w:space="0" w:color="auto"/>
                                                                                                                                                                                                                                                                                                                            <w:bottom w:val="none" w:sz="0" w:space="0" w:color="auto"/>
                                                                                                                                                                                                                                                                                                                            <w:right w:val="none" w:sz="0" w:space="0" w:color="auto"/>
                                                                                                                                                                                                                                                                                                                          </w:divBdr>
                                                                                                                                                                                                                                                                                                                          <w:divsChild>
                                                                                                                                                                                                                                                                                                                            <w:div w:id="785392818">
                                                                                                                                                                                                                                                                                                                              <w:marLeft w:val="0"/>
                                                                                                                                                                                                                                                                                                                              <w:marRight w:val="0"/>
                                                                                                                                                                                                                                                                                                                              <w:marTop w:val="0"/>
                                                                                                                                                                                                                                                                                                                              <w:marBottom w:val="0"/>
                                                                                                                                                                                                                                                                                                                              <w:divBdr>
                                                                                                                                                                                                                                                                                                                                <w:top w:val="none" w:sz="0" w:space="0" w:color="auto"/>
                                                                                                                                                                                                                                                                                                                                <w:left w:val="none" w:sz="0" w:space="0" w:color="auto"/>
                                                                                                                                                                                                                                                                                                                                <w:bottom w:val="none" w:sz="0" w:space="0" w:color="auto"/>
                                                                                                                                                                                                                                                                                                                                <w:right w:val="none" w:sz="0" w:space="0" w:color="auto"/>
                                                                                                                                                                                                                                                                                                                              </w:divBdr>
                                                                                                                                                                                                                                                                                                                              <w:divsChild>
                                                                                                                                                                                                                                                                                                                                <w:div w:id="1657688018">
                                                                                                                                                                                                                                                                                                                                  <w:marLeft w:val="0"/>
                                                                                                                                                                                                                                                                                                                                  <w:marRight w:val="0"/>
                                                                                                                                                                                                                                                                                                                                  <w:marTop w:val="0"/>
                                                                                                                                                                                                                                                                                                                                  <w:marBottom w:val="0"/>
                                                                                                                                                                                                                                                                                                                                  <w:divBdr>
                                                                                                                                                                                                                                                                                                                                    <w:top w:val="none" w:sz="0" w:space="0" w:color="auto"/>
                                                                                                                                                                                                                                                                                                                                    <w:left w:val="none" w:sz="0" w:space="0" w:color="auto"/>
                                                                                                                                                                                                                                                                                                                                    <w:bottom w:val="none" w:sz="0" w:space="0" w:color="auto"/>
                                                                                                                                                                                                                                                                                                                                    <w:right w:val="none" w:sz="0" w:space="0" w:color="auto"/>
                                                                                                                                                                                                                                                                                                                                  </w:divBdr>
                                                                                                                                                                                                                                                                                                                                  <w:divsChild>
                                                                                                                                                                                                                                                                                                                                    <w:div w:id="851333120">
                                                                                                                                                                                                                                                                                                                                      <w:marLeft w:val="0"/>
                                                                                                                                                                                                                                                                                                                                      <w:marRight w:val="0"/>
                                                                                                                                                                                                                                                                                                                                      <w:marTop w:val="0"/>
                                                                                                                                                                                                                                                                                                                                      <w:marBottom w:val="0"/>
                                                                                                                                                                                                                                                                                                                                      <w:divBdr>
                                                                                                                                                                                                                                                                                                                                        <w:top w:val="none" w:sz="0" w:space="0" w:color="auto"/>
                                                                                                                                                                                                                                                                                                                                        <w:left w:val="none" w:sz="0" w:space="0" w:color="auto"/>
                                                                                                                                                                                                                                                                                                                                        <w:bottom w:val="none" w:sz="0" w:space="0" w:color="auto"/>
                                                                                                                                                                                                                                                                                                                                        <w:right w:val="none" w:sz="0" w:space="0" w:color="auto"/>
                                                                                                                                                                                                                                                                                                                                      </w:divBdr>
                                                                                                                                                                                                                                                                                                                                      <w:divsChild>
                                                                                                                                                                                                                                                                                                                                        <w:div w:id="1930887731">
                                                                                                                                                                                                                                                                                                                                          <w:marLeft w:val="0"/>
                                                                                                                                                                                                                                                                                                                                          <w:marRight w:val="0"/>
                                                                                                                                                                                                                                                                                                                                          <w:marTop w:val="0"/>
                                                                                                                                                                                                                                                                                                                                          <w:marBottom w:val="0"/>
                                                                                                                                                                                                                                                                                                                                          <w:divBdr>
                                                                                                                                                                                                                                                                                                                                            <w:top w:val="none" w:sz="0" w:space="0" w:color="auto"/>
                                                                                                                                                                                                                                                                                                                                            <w:left w:val="none" w:sz="0" w:space="0" w:color="auto"/>
                                                                                                                                                                                                                                                                                                                                            <w:bottom w:val="none" w:sz="0" w:space="0" w:color="auto"/>
                                                                                                                                                                                                                                                                                                                                            <w:right w:val="none" w:sz="0" w:space="0" w:color="auto"/>
                                                                                                                                                                                                                                                                                                                                          </w:divBdr>
                                                                                                                                                                                                                                                                                                                                          <w:divsChild>
                                                                                                                                                                                                                                                                                                                                            <w:div w:id="1304501437">
                                                                                                                                                                                                                                                                                                                                              <w:marLeft w:val="0"/>
                                                                                                                                                                                                                                                                                                                                              <w:marRight w:val="0"/>
                                                                                                                                                                                                                                                                                                                                              <w:marTop w:val="0"/>
                                                                                                                                                                                                                                                                                                                                              <w:marBottom w:val="0"/>
                                                                                                                                                                                                                                                                                                                                              <w:divBdr>
                                                                                                                                                                                                                                                                                                                                                <w:top w:val="none" w:sz="0" w:space="0" w:color="auto"/>
                                                                                                                                                                                                                                                                                                                                                <w:left w:val="none" w:sz="0" w:space="0" w:color="auto"/>
                                                                                                                                                                                                                                                                                                                                                <w:bottom w:val="none" w:sz="0" w:space="0" w:color="auto"/>
                                                                                                                                                                                                                                                                                                                                                <w:right w:val="none" w:sz="0" w:space="0" w:color="auto"/>
                                                                                                                                                                                                                                                                                                                                              </w:divBdr>
                                                                                                                                                                                                                                                                                                                                              <w:divsChild>
                                                                                                                                                                                                                                                                                                                                                <w:div w:id="1993634972">
                                                                                                                                                                                                                                                                                                                                                  <w:marLeft w:val="0"/>
                                                                                                                                                                                                                                                                                                                                                  <w:marRight w:val="0"/>
                                                                                                                                                                                                                                                                                                                                                  <w:marTop w:val="0"/>
                                                                                                                                                                                                                                                                                                                                                  <w:marBottom w:val="0"/>
                                                                                                                                                                                                                                                                                                                                                  <w:divBdr>
                                                                                                                                                                                                                                                                                                                                                    <w:top w:val="none" w:sz="0" w:space="0" w:color="auto"/>
                                                                                                                                                                                                                                                                                                                                                    <w:left w:val="none" w:sz="0" w:space="0" w:color="auto"/>
                                                                                                                                                                                                                                                                                                                                                    <w:bottom w:val="none" w:sz="0" w:space="0" w:color="auto"/>
                                                                                                                                                                                                                                                                                                                                                    <w:right w:val="none" w:sz="0" w:space="0" w:color="auto"/>
                                                                                                                                                                                                                                                                                                                                                  </w:divBdr>
                                                                                                                                                                                                                                                                                                                                                  <w:divsChild>
                                                                                                                                                                                                                                                                                                                                                    <w:div w:id="1053845719">
                                                                                                                                                                                                                                                                                                                                                      <w:marLeft w:val="0"/>
                                                                                                                                                                                                                                                                                                                                                      <w:marRight w:val="0"/>
                                                                                                                                                                                                                                                                                                                                                      <w:marTop w:val="0"/>
                                                                                                                                                                                                                                                                                                                                                      <w:marBottom w:val="0"/>
                                                                                                                                                                                                                                                                                                                                                      <w:divBdr>
                                                                                                                                                                                                                                                                                                                                                        <w:top w:val="none" w:sz="0" w:space="0" w:color="auto"/>
                                                                                                                                                                                                                                                                                                                                                        <w:left w:val="none" w:sz="0" w:space="0" w:color="auto"/>
                                                                                                                                                                                                                                                                                                                                                        <w:bottom w:val="none" w:sz="0" w:space="0" w:color="auto"/>
                                                                                                                                                                                                                                                                                                                                                        <w:right w:val="none" w:sz="0" w:space="0" w:color="auto"/>
                                                                                                                                                                                                                                                                                                                                                      </w:divBdr>
                                                                                                                                                                                                                                                                                                                                                      <w:divsChild>
                                                                                                                                                                                                                                                                                                                                                        <w:div w:id="1186820505">
                                                                                                                                                                                                                                                                                                                                                          <w:marLeft w:val="0"/>
                                                                                                                                                                                                                                                                                                                                                          <w:marRight w:val="0"/>
                                                                                                                                                                                                                                                                                                                                                          <w:marTop w:val="0"/>
                                                                                                                                                                                                                                                                                                                                                          <w:marBottom w:val="0"/>
                                                                                                                                                                                                                                                                                                                                                          <w:divBdr>
                                                                                                                                                                                                                                                                                                                                                            <w:top w:val="none" w:sz="0" w:space="0" w:color="auto"/>
                                                                                                                                                                                                                                                                                                                                                            <w:left w:val="none" w:sz="0" w:space="0" w:color="auto"/>
                                                                                                                                                                                                                                                                                                                                                            <w:bottom w:val="none" w:sz="0" w:space="0" w:color="auto"/>
                                                                                                                                                                                                                                                                                                                                                            <w:right w:val="none" w:sz="0" w:space="0" w:color="auto"/>
                                                                                                                                                                                                                                                                                                                                                          </w:divBdr>
                                                                                                                                                                                                                                                                                                                                                          <w:divsChild>
                                                                                                                                                                                                                                                                                                                                                            <w:div w:id="1091312139">
                                                                                                                                                                                                                                                                                                                                                              <w:marLeft w:val="0"/>
                                                                                                                                                                                                                                                                                                                                                              <w:marRight w:val="0"/>
                                                                                                                                                                                                                                                                                                                                                              <w:marTop w:val="0"/>
                                                                                                                                                                                                                                                                                                                                                              <w:marBottom w:val="0"/>
                                                                                                                                                                                                                                                                                                                                                              <w:divBdr>
                                                                                                                                                                                                                                                                                                                                                                <w:top w:val="none" w:sz="0" w:space="0" w:color="auto"/>
                                                                                                                                                                                                                                                                                                                                                                <w:left w:val="none" w:sz="0" w:space="0" w:color="auto"/>
                                                                                                                                                                                                                                                                                                                                                                <w:bottom w:val="none" w:sz="0" w:space="0" w:color="auto"/>
                                                                                                                                                                                                                                                                                                                                                                <w:right w:val="none" w:sz="0" w:space="0" w:color="auto"/>
                                                                                                                                                                                                                                                                                                                                                              </w:divBdr>
                                                                                                                                                                                                                                                                                                                                                              <w:divsChild>
                                                                                                                                                                                                                                                                                                                                                                <w:div w:id="1993021235">
                                                                                                                                                                                                                                                                                                                                                                  <w:marLeft w:val="0"/>
                                                                                                                                                                                                                                                                                                                                                                  <w:marRight w:val="0"/>
                                                                                                                                                                                                                                                                                                                                                                  <w:marTop w:val="0"/>
                                                                                                                                                                                                                                                                                                                                                                  <w:marBottom w:val="0"/>
                                                                                                                                                                                                                                                                                                                                                                  <w:divBdr>
                                                                                                                                                                                                                                                                                                                                                                    <w:top w:val="none" w:sz="0" w:space="0" w:color="auto"/>
                                                                                                                                                                                                                                                                                                                                                                    <w:left w:val="none" w:sz="0" w:space="0" w:color="auto"/>
                                                                                                                                                                                                                                                                                                                                                                    <w:bottom w:val="none" w:sz="0" w:space="0" w:color="auto"/>
                                                                                                                                                                                                                                                                                                                                                                    <w:right w:val="none" w:sz="0" w:space="0" w:color="auto"/>
                                                                                                                                                                                                                                                                                                                                                                  </w:divBdr>
                                                                                                                                                                                                                                                                                                                                                                  <w:divsChild>
                                                                                                                                                                                                                                                                                                                                                                    <w:div w:id="805199482">
                                                                                                                                                                                                                                                                                                                                                                      <w:marLeft w:val="0"/>
                                                                                                                                                                                                                                                                                                                                                                      <w:marRight w:val="0"/>
                                                                                                                                                                                                                                                                                                                                                                      <w:marTop w:val="0"/>
                                                                                                                                                                                                                                                                                                                                                                      <w:marBottom w:val="0"/>
                                                                                                                                                                                                                                                                                                                                                                      <w:divBdr>
                                                                                                                                                                                                                                                                                                                                                                        <w:top w:val="none" w:sz="0" w:space="0" w:color="auto"/>
                                                                                                                                                                                                                                                                                                                                                                        <w:left w:val="none" w:sz="0" w:space="0" w:color="auto"/>
                                                                                                                                                                                                                                                                                                                                                                        <w:bottom w:val="none" w:sz="0" w:space="0" w:color="auto"/>
                                                                                                                                                                                                                                                                                                                                                                        <w:right w:val="none" w:sz="0" w:space="0" w:color="auto"/>
                                                                                                                                                                                                                                                                                                                                                                      </w:divBdr>
                                                                                                                                                                                                                                                                                                                                                                      <w:divsChild>
                                                                                                                                                                                                                                                                                                                                                                        <w:div w:id="2030984224">
                                                                                                                                                                                                                                                                                                                                                                          <w:marLeft w:val="0"/>
                                                                                                                                                                                                                                                                                                                                                                          <w:marRight w:val="0"/>
                                                                                                                                                                                                                                                                                                                                                                          <w:marTop w:val="0"/>
                                                                                                                                                                                                                                                                                                                                                                          <w:marBottom w:val="0"/>
                                                                                                                                                                                                                                                                                                                                                                          <w:divBdr>
                                                                                                                                                                                                                                                                                                                                                                            <w:top w:val="none" w:sz="0" w:space="0" w:color="auto"/>
                                                                                                                                                                                                                                                                                                                                                                            <w:left w:val="none" w:sz="0" w:space="0" w:color="auto"/>
                                                                                                                                                                                                                                                                                                                                                                            <w:bottom w:val="none" w:sz="0" w:space="0" w:color="auto"/>
                                                                                                                                                                                                                                                                                                                                                                            <w:right w:val="none" w:sz="0" w:space="0" w:color="auto"/>
                                                                                                                                                                                                                                                                                                                                                                          </w:divBdr>
                                                                                                                                                                                                                                                                                                                                                                          <w:divsChild>
                                                                                                                                                                                                                                                                                                                                                                            <w:div w:id="693073198">
                                                                                                                                                                                                                                                                                                                                                                              <w:marLeft w:val="0"/>
                                                                                                                                                                                                                                                                                                                                                                              <w:marRight w:val="0"/>
                                                                                                                                                                                                                                                                                                                                                                              <w:marTop w:val="0"/>
                                                                                                                                                                                                                                                                                                                                                                              <w:marBottom w:val="0"/>
                                                                                                                                                                                                                                                                                                                                                                              <w:divBdr>
                                                                                                                                                                                                                                                                                                                                                                                <w:top w:val="none" w:sz="0" w:space="0" w:color="auto"/>
                                                                                                                                                                                                                                                                                                                                                                                <w:left w:val="none" w:sz="0" w:space="0" w:color="auto"/>
                                                                                                                                                                                                                                                                                                                                                                                <w:bottom w:val="none" w:sz="0" w:space="0" w:color="auto"/>
                                                                                                                                                                                                                                                                                                                                                                                <w:right w:val="none" w:sz="0" w:space="0" w:color="auto"/>
                                                                                                                                                                                                                                                                                                                                                                              </w:divBdr>
                                                                                                                                                                                                                                                                                                                                                                              <w:divsChild>
                                                                                                                                                                                                                                                                                                                                                                                <w:div w:id="1272275682">
                                                                                                                                                                                                                                                                                                                                                                                  <w:marLeft w:val="0"/>
                                                                                                                                                                                                                                                                                                                                                                                  <w:marRight w:val="0"/>
                                                                                                                                                                                                                                                                                                                                                                                  <w:marTop w:val="0"/>
                                                                                                                                                                                                                                                                                                                                                                                  <w:marBottom w:val="0"/>
                                                                                                                                                                                                                                                                                                                                                                                  <w:divBdr>
                                                                                                                                                                                                                                                                                                                                                                                    <w:top w:val="none" w:sz="0" w:space="0" w:color="auto"/>
                                                                                                                                                                                                                                                                                                                                                                                    <w:left w:val="none" w:sz="0" w:space="0" w:color="auto"/>
                                                                                                                                                                                                                                                                                                                                                                                    <w:bottom w:val="none" w:sz="0" w:space="0" w:color="auto"/>
                                                                                                                                                                                                                                                                                                                                                                                    <w:right w:val="none" w:sz="0" w:space="0" w:color="auto"/>
                                                                                                                                                                                                                                                                                                                                                                                  </w:divBdr>
                                                                                                                                                                                                                                                                                                                                                                                  <w:divsChild>
                                                                                                                                                                                                                                                                                                                                                                                    <w:div w:id="765267301">
                                                                                                                                                                                                                                                                                                                                                                                      <w:marLeft w:val="0"/>
                                                                                                                                                                                                                                                                                                                                                                                      <w:marRight w:val="0"/>
                                                                                                                                                                                                                                                                                                                                                                                      <w:marTop w:val="0"/>
                                                                                                                                                                                                                                                                                                                                                                                      <w:marBottom w:val="0"/>
                                                                                                                                                                                                                                                                                                                                                                                      <w:divBdr>
                                                                                                                                                                                                                                                                                                                                                                                        <w:top w:val="none" w:sz="0" w:space="0" w:color="auto"/>
                                                                                                                                                                                                                                                                                                                                                                                        <w:left w:val="none" w:sz="0" w:space="0" w:color="auto"/>
                                                                                                                                                                                                                                                                                                                                                                                        <w:bottom w:val="none" w:sz="0" w:space="0" w:color="auto"/>
                                                                                                                                                                                                                                                                                                                                                                                        <w:right w:val="none" w:sz="0" w:space="0" w:color="auto"/>
                                                                                                                                                                                                                                                                                                                                                                                      </w:divBdr>
                                                                                                                                                                                                                                                                                                                                                                                      <w:divsChild>
                                                                                                                                                                                                                                                                                                                                                                                        <w:div w:id="381055137">
                                                                                                                                                                                                                                                                                                                                                                                          <w:marLeft w:val="0"/>
                                                                                                                                                                                                                                                                                                                                                                                          <w:marRight w:val="0"/>
                                                                                                                                                                                                                                                                                                                                                                                          <w:marTop w:val="0"/>
                                                                                                                                                                                                                                                                                                                                                                                          <w:marBottom w:val="0"/>
                                                                                                                                                                                                                                                                                                                                                                                          <w:divBdr>
                                                                                                                                                                                                                                                                                                                                                                                            <w:top w:val="none" w:sz="0" w:space="0" w:color="auto"/>
                                                                                                                                                                                                                                                                                                                                                                                            <w:left w:val="none" w:sz="0" w:space="0" w:color="auto"/>
                                                                                                                                                                                                                                                                                                                                                                                            <w:bottom w:val="none" w:sz="0" w:space="0" w:color="auto"/>
                                                                                                                                                                                                                                                                                                                                                                                            <w:right w:val="none" w:sz="0" w:space="0" w:color="auto"/>
                                                                                                                                                                                                                                                                                                                                                                                          </w:divBdr>
                                                                                                                                                                                                                                                                                                                                                                                          <w:divsChild>
                                                                                                                                                                                                                                                                                                                                                                                            <w:div w:id="1914584024">
                                                                                                                                                                                                                                                                                                                                                                                              <w:marLeft w:val="0"/>
                                                                                                                                                                                                                                                                                                                                                                                              <w:marRight w:val="0"/>
                                                                                                                                                                                                                                                                                                                                                                                              <w:marTop w:val="0"/>
                                                                                                                                                                                                                                                                                                                                                                                              <w:marBottom w:val="0"/>
                                                                                                                                                                                                                                                                                                                                                                                              <w:divBdr>
                                                                                                                                                                                                                                                                                                                                                                                                <w:top w:val="none" w:sz="0" w:space="0" w:color="auto"/>
                                                                                                                                                                                                                                                                                                                                                                                                <w:left w:val="none" w:sz="0" w:space="0" w:color="auto"/>
                                                                                                                                                                                                                                                                                                                                                                                                <w:bottom w:val="none" w:sz="0" w:space="0" w:color="auto"/>
                                                                                                                                                                                                                                                                                                                                                                                                <w:right w:val="none" w:sz="0" w:space="0" w:color="auto"/>
                                                                                                                                                                                                                                                                                                                                                                                              </w:divBdr>
                                                                                                                                                                                                                                                                                                                                                                                              <w:divsChild>
                                                                                                                                                                                                                                                                                                                                                                                                <w:div w:id="1442528242">
                                                                                                                                                                                                                                                                                                                                                                                                  <w:marLeft w:val="0"/>
                                                                                                                                                                                                                                                                                                                                                                                                  <w:marRight w:val="0"/>
                                                                                                                                                                                                                                                                                                                                                                                                  <w:marTop w:val="0"/>
                                                                                                                                                                                                                                                                                                                                                                                                  <w:marBottom w:val="0"/>
                                                                                                                                                                                                                                                                                                                                                                                                  <w:divBdr>
                                                                                                                                                                                                                                                                                                                                                                                                    <w:top w:val="none" w:sz="0" w:space="0" w:color="auto"/>
                                                                                                                                                                                                                                                                                                                                                                                                    <w:left w:val="none" w:sz="0" w:space="0" w:color="auto"/>
                                                                                                                                                                                                                                                                                                                                                                                                    <w:bottom w:val="none" w:sz="0" w:space="0" w:color="auto"/>
                                                                                                                                                                                                                                                                                                                                                                                                    <w:right w:val="none" w:sz="0" w:space="0" w:color="auto"/>
                                                                                                                                                                                                                                                                                                                                                                                                  </w:divBdr>
                                                                                                                                                                                                                                                                                                                                                                                                  <w:divsChild>
                                                                                                                                                                                                                                                                                                                                                                                                    <w:div w:id="33700303">
                                                                                                                                                                                                                                                                                                                                                                                                      <w:marLeft w:val="0"/>
                                                                                                                                                                                                                                                                                                                                                                                                      <w:marRight w:val="0"/>
                                                                                                                                                                                                                                                                                                                                                                                                      <w:marTop w:val="0"/>
                                                                                                                                                                                                                                                                                                                                                                                                      <w:marBottom w:val="0"/>
                                                                                                                                                                                                                                                                                                                                                                                                      <w:divBdr>
                                                                                                                                                                                                                                                                                                                                                                                                        <w:top w:val="none" w:sz="0" w:space="0" w:color="auto"/>
                                                                                                                                                                                                                                                                                                                                                                                                        <w:left w:val="none" w:sz="0" w:space="0" w:color="auto"/>
                                                                                                                                                                                                                                                                                                                                                                                                        <w:bottom w:val="none" w:sz="0" w:space="0" w:color="auto"/>
                                                                                                                                                                                                                                                                                                                                                                                                        <w:right w:val="none" w:sz="0" w:space="0" w:color="auto"/>
                                                                                                                                                                                                                                                                                                                                                                                                      </w:divBdr>
                                                                                                                                                                                                                                                                                                                                                                                                      <w:divsChild>
                                                                                                                                                                                                                                                                                                                                                                                                        <w:div w:id="1776703947">
                                                                                                                                                                                                                                                                                                                                                                                                          <w:marLeft w:val="0"/>
                                                                                                                                                                                                                                                                                                                                                                                                          <w:marRight w:val="0"/>
                                                                                                                                                                                                                                                                                                                                                                                                          <w:marTop w:val="0"/>
                                                                                                                                                                                                                                                                                                                                                                                                          <w:marBottom w:val="0"/>
                                                                                                                                                                                                                                                                                                                                                                                                          <w:divBdr>
                                                                                                                                                                                                                                                                                                                                                                                                            <w:top w:val="none" w:sz="0" w:space="0" w:color="auto"/>
                                                                                                                                                                                                                                                                                                                                                                                                            <w:left w:val="none" w:sz="0" w:space="0" w:color="auto"/>
                                                                                                                                                                                                                                                                                                                                                                                                            <w:bottom w:val="none" w:sz="0" w:space="0" w:color="auto"/>
                                                                                                                                                                                                                                                                                                                                                                                                            <w:right w:val="none" w:sz="0" w:space="0" w:color="auto"/>
                                                                                                                                                                                                                                                                                                                                                                                                          </w:divBdr>
                                                                                                                                                                                                                                                                                                                                                                                                          <w:divsChild>
                                                                                                                                                                                                                                                                                                                                                                                                            <w:div w:id="1546408063">
                                                                                                                                                                                                                                                                                                                                                                                                              <w:marLeft w:val="0"/>
                                                                                                                                                                                                                                                                                                                                                                                                              <w:marRight w:val="0"/>
                                                                                                                                                                                                                                                                                                                                                                                                              <w:marTop w:val="0"/>
                                                                                                                                                                                                                                                                                                                                                                                                              <w:marBottom w:val="0"/>
                                                                                                                                                                                                                                                                                                                                                                                                              <w:divBdr>
                                                                                                                                                                                                                                                                                                                                                                                                                <w:top w:val="none" w:sz="0" w:space="0" w:color="auto"/>
                                                                                                                                                                                                                                                                                                                                                                                                                <w:left w:val="none" w:sz="0" w:space="0" w:color="auto"/>
                                                                                                                                                                                                                                                                                                                                                                                                                <w:bottom w:val="none" w:sz="0" w:space="0" w:color="auto"/>
                                                                                                                                                                                                                                                                                                                                                                                                                <w:right w:val="none" w:sz="0" w:space="0" w:color="auto"/>
                                                                                                                                                                                                                                                                                                                                                                                                              </w:divBdr>
                                                                                                                                                                                                                                                                                                                                                                                                              <w:divsChild>
                                                                                                                                                                                                                                                                                                                                                                                                                <w:div w:id="836653989">
                                                                                                                                                                                                                                                                                                                                                                                                                  <w:marLeft w:val="0"/>
                                                                                                                                                                                                                                                                                                                                                                                                                  <w:marRight w:val="0"/>
                                                                                                                                                                                                                                                                                                                                                                                                                  <w:marTop w:val="0"/>
                                                                                                                                                                                                                                                                                                                                                                                                                  <w:marBottom w:val="0"/>
                                                                                                                                                                                                                                                                                                                                                                                                                  <w:divBdr>
                                                                                                                                                                                                                                                                                                                                                                                                                    <w:top w:val="none" w:sz="0" w:space="0" w:color="auto"/>
                                                                                                                                                                                                                                                                                                                                                                                                                    <w:left w:val="none" w:sz="0" w:space="0" w:color="auto"/>
                                                                                                                                                                                                                                                                                                                                                                                                                    <w:bottom w:val="none" w:sz="0" w:space="0" w:color="auto"/>
                                                                                                                                                                                                                                                                                                                                                                                                                    <w:right w:val="none" w:sz="0" w:space="0" w:color="auto"/>
                                                                                                                                                                                                                                                                                                                                                                                                                  </w:divBdr>
                                                                                                                                                                                                                                                                                                                                                                                                                  <w:divsChild>
                                                                                                                                                                                                                                                                                                                                                                                                                    <w:div w:id="567225984">
                                                                                                                                                                                                                                                                                                                                                                                                                      <w:marLeft w:val="0"/>
                                                                                                                                                                                                                                                                                                                                                                                                                      <w:marRight w:val="0"/>
                                                                                                                                                                                                                                                                                                                                                                                                                      <w:marTop w:val="0"/>
                                                                                                                                                                                                                                                                                                                                                                                                                      <w:marBottom w:val="0"/>
                                                                                                                                                                                                                                                                                                                                                                                                                      <w:divBdr>
                                                                                                                                                                                                                                                                                                                                                                                                                        <w:top w:val="none" w:sz="0" w:space="0" w:color="auto"/>
                                                                                                                                                                                                                                                                                                                                                                                                                        <w:left w:val="none" w:sz="0" w:space="0" w:color="auto"/>
                                                                                                                                                                                                                                                                                                                                                                                                                        <w:bottom w:val="none" w:sz="0" w:space="0" w:color="auto"/>
                                                                                                                                                                                                                                                                                                                                                                                                                        <w:right w:val="none" w:sz="0" w:space="0" w:color="auto"/>
                                                                                                                                                                                                                                                                                                                                                                                                                      </w:divBdr>
                                                                                                                                                                                                                                                                                                                                                                                                                      <w:divsChild>
                                                                                                                                                                                                                                                                                                                                                                                                                        <w:div w:id="236525300">
                                                                                                                                                                                                                                                                                                                                                                                                                          <w:marLeft w:val="0"/>
                                                                                                                                                                                                                                                                                                                                                                                                                          <w:marRight w:val="0"/>
                                                                                                                                                                                                                                                                                                                                                                                                                          <w:marTop w:val="0"/>
                                                                                                                                                                                                                                                                                                                                                                                                                          <w:marBottom w:val="0"/>
                                                                                                                                                                                                                                                                                                                                                                                                                          <w:divBdr>
                                                                                                                                                                                                                                                                                                                                                                                                                            <w:top w:val="none" w:sz="0" w:space="0" w:color="auto"/>
                                                                                                                                                                                                                                                                                                                                                                                                                            <w:left w:val="none" w:sz="0" w:space="0" w:color="auto"/>
                                                                                                                                                                                                                                                                                                                                                                                                                            <w:bottom w:val="none" w:sz="0" w:space="0" w:color="auto"/>
                                                                                                                                                                                                                                                                                                                                                                                                                            <w:right w:val="none" w:sz="0" w:space="0" w:color="auto"/>
                                                                                                                                                                                                                                                                                                                                                                                                                          </w:divBdr>
                                                                                                                                                                                                                                                                                                                                                                                                                          <w:divsChild>
                                                                                                                                                                                                                                                                                                                                                                                                                            <w:div w:id="1860243051">
                                                                                                                                                                                                                                                                                                                                                                                                                              <w:marLeft w:val="0"/>
                                                                                                                                                                                                                                                                                                                                                                                                                              <w:marRight w:val="0"/>
                                                                                                                                                                                                                                                                                                                                                                                                                              <w:marTop w:val="0"/>
                                                                                                                                                                                                                                                                                                                                                                                                                              <w:marBottom w:val="0"/>
                                                                                                                                                                                                                                                                                                                                                                                                                              <w:divBdr>
                                                                                                                                                                                                                                                                                                                                                                                                                                <w:top w:val="none" w:sz="0" w:space="0" w:color="auto"/>
                                                                                                                                                                                                                                                                                                                                                                                                                                <w:left w:val="none" w:sz="0" w:space="0" w:color="auto"/>
                                                                                                                                                                                                                                                                                                                                                                                                                                <w:bottom w:val="none" w:sz="0" w:space="0" w:color="auto"/>
                                                                                                                                                                                                                                                                                                                                                                                                                                <w:right w:val="none" w:sz="0" w:space="0" w:color="auto"/>
                                                                                                                                                                                                                                                                                                                                                                                                                              </w:divBdr>
                                                                                                                                                                                                                                                                                                                                                                                                                              <w:divsChild>
                                                                                                                                                                                                                                                                                                                                                                                                                                <w:div w:id="2009097665">
                                                                                                                                                                                                                                                                                                                                                                                                                                  <w:marLeft w:val="0"/>
                                                                                                                                                                                                                                                                                                                                                                                                                                  <w:marRight w:val="0"/>
                                                                                                                                                                                                                                                                                                                                                                                                                                  <w:marTop w:val="0"/>
                                                                                                                                                                                                                                                                                                                                                                                                                                  <w:marBottom w:val="0"/>
                                                                                                                                                                                                                                                                                                                                                                                                                                  <w:divBdr>
                                                                                                                                                                                                                                                                                                                                                                                                                                    <w:top w:val="none" w:sz="0" w:space="0" w:color="auto"/>
                                                                                                                                                                                                                                                                                                                                                                                                                                    <w:left w:val="none" w:sz="0" w:space="0" w:color="auto"/>
                                                                                                                                                                                                                                                                                                                                                                                                                                    <w:bottom w:val="none" w:sz="0" w:space="0" w:color="auto"/>
                                                                                                                                                                                                                                                                                                                                                                                                                                    <w:right w:val="none" w:sz="0" w:space="0" w:color="auto"/>
                                                                                                                                                                                                                                                                                                                                                                                                                                  </w:divBdr>
                                                                                                                                                                                                                                                                                                                                                                                                                                  <w:divsChild>
                                                                                                                                                                                                                                                                                                                                                                                                                                    <w:div w:id="783814806">
                                                                                                                                                                                                                                                                                                                                                                                                                                      <w:marLeft w:val="0"/>
                                                                                                                                                                                                                                                                                                                                                                                                                                      <w:marRight w:val="0"/>
                                                                                                                                                                                                                                                                                                                                                                                                                                      <w:marTop w:val="0"/>
                                                                                                                                                                                                                                                                                                                                                                                                                                      <w:marBottom w:val="0"/>
                                                                                                                                                                                                                                                                                                                                                                                                                                      <w:divBdr>
                                                                                                                                                                                                                                                                                                                                                                                                                                        <w:top w:val="none" w:sz="0" w:space="0" w:color="auto"/>
                                                                                                                                                                                                                                                                                                                                                                                                                                        <w:left w:val="none" w:sz="0" w:space="0" w:color="auto"/>
                                                                                                                                                                                                                                                                                                                                                                                                                                        <w:bottom w:val="none" w:sz="0" w:space="0" w:color="auto"/>
                                                                                                                                                                                                                                                                                                                                                                                                                                        <w:right w:val="none" w:sz="0" w:space="0" w:color="auto"/>
                                                                                                                                                                                                                                                                                                                                                                                                                                      </w:divBdr>
                                                                                                                                                                                                                                                                                                                                                                                                                                      <w:divsChild>
                                                                                                                                                                                                                                                                                                                                                                                                                                        <w:div w:id="1501699198">
                                                                                                                                                                                                                                                                                                                                                                                                                                          <w:marLeft w:val="0"/>
                                                                                                                                                                                                                                                                                                                                                                                                                                          <w:marRight w:val="0"/>
                                                                                                                                                                                                                                                                                                                                                                                                                                          <w:marTop w:val="0"/>
                                                                                                                                                                                                                                                                                                                                                                                                                                          <w:marBottom w:val="0"/>
                                                                                                                                                                                                                                                                                                                                                                                                                                          <w:divBdr>
                                                                                                                                                                                                                                                                                                                                                                                                                                            <w:top w:val="none" w:sz="0" w:space="0" w:color="auto"/>
                                                                                                                                                                                                                                                                                                                                                                                                                                            <w:left w:val="none" w:sz="0" w:space="0" w:color="auto"/>
                                                                                                                                                                                                                                                                                                                                                                                                                                            <w:bottom w:val="none" w:sz="0" w:space="0" w:color="auto"/>
                                                                                                                                                                                                                                                                                                                                                                                                                                            <w:right w:val="none" w:sz="0" w:space="0" w:color="auto"/>
                                                                                                                                                                                                                                                                                                                                                                                                                                          </w:divBdr>
                                                                                                                                                                                                                                                                                                                                                                                                                                          <w:divsChild>
                                                                                                                                                                                                                                                                                                                                                                                                                                            <w:div w:id="1508901912">
                                                                                                                                                                                                                                                                                                                                                                                                                                              <w:marLeft w:val="0"/>
                                                                                                                                                                                                                                                                                                                                                                                                                                              <w:marRight w:val="0"/>
                                                                                                                                                                                                                                                                                                                                                                                                                                              <w:marTop w:val="0"/>
                                                                                                                                                                                                                                                                                                                                                                                                                                              <w:marBottom w:val="0"/>
                                                                                                                                                                                                                                                                                                                                                                                                                                              <w:divBdr>
                                                                                                                                                                                                                                                                                                                                                                                                                                                <w:top w:val="none" w:sz="0" w:space="0" w:color="auto"/>
                                                                                                                                                                                                                                                                                                                                                                                                                                                <w:left w:val="none" w:sz="0" w:space="0" w:color="auto"/>
                                                                                                                                                                                                                                                                                                                                                                                                                                                <w:bottom w:val="none" w:sz="0" w:space="0" w:color="auto"/>
                                                                                                                                                                                                                                                                                                                                                                                                                                                <w:right w:val="none" w:sz="0" w:space="0" w:color="auto"/>
                                                                                                                                                                                                                                                                                                                                                                                                                                              </w:divBdr>
                                                                                                                                                                                                                                                                                                                                                                                                                                              <w:divsChild>
                                                                                                                                                                                                                                                                                                                                                                                                                                                <w:div w:id="1477406651">
                                                                                                                                                                                                                                                                                                                                                                                                                                                  <w:marLeft w:val="0"/>
                                                                                                                                                                                                                                                                                                                                                                                                                                                  <w:marRight w:val="0"/>
                                                                                                                                                                                                                                                                                                                                                                                                                                                  <w:marTop w:val="0"/>
                                                                                                                                                                                                                                                                                                                                                                                                                                                  <w:marBottom w:val="0"/>
                                                                                                                                                                                                                                                                                                                                                                                                                                                  <w:divBdr>
                                                                                                                                                                                                                                                                                                                                                                                                                                                    <w:top w:val="none" w:sz="0" w:space="0" w:color="auto"/>
                                                                                                                                                                                                                                                                                                                                                                                                                                                    <w:left w:val="none" w:sz="0" w:space="0" w:color="auto"/>
                                                                                                                                                                                                                                                                                                                                                                                                                                                    <w:bottom w:val="none" w:sz="0" w:space="0" w:color="auto"/>
                                                                                                                                                                                                                                                                                                                                                                                                                                                    <w:right w:val="none" w:sz="0" w:space="0" w:color="auto"/>
                                                                                                                                                                                                                                                                                                                                                                                                                                                  </w:divBdr>
                                                                                                                                                                                                                                                                                                                                                                                                                                                  <w:divsChild>
                                                                                                                                                                                                                                                                                                                                                                                                                                                    <w:div w:id="1096824051">
                                                                                                                                                                                                                                                                                                                                                                                                                                                      <w:marLeft w:val="0"/>
                                                                                                                                                                                                                                                                                                                                                                                                                                                      <w:marRight w:val="0"/>
                                                                                                                                                                                                                                                                                                                                                                                                                                                      <w:marTop w:val="0"/>
                                                                                                                                                                                                                                                                                                                                                                                                                                                      <w:marBottom w:val="0"/>
                                                                                                                                                                                                                                                                                                                                                                                                                                                      <w:divBdr>
                                                                                                                                                                                                                                                                                                                                                                                                                                                        <w:top w:val="none" w:sz="0" w:space="0" w:color="auto"/>
                                                                                                                                                                                                                                                                                                                                                                                                                                                        <w:left w:val="none" w:sz="0" w:space="0" w:color="auto"/>
                                                                                                                                                                                                                                                                                                                                                                                                                                                        <w:bottom w:val="none" w:sz="0" w:space="0" w:color="auto"/>
                                                                                                                                                                                                                                                                                                                                                                                                                                                        <w:right w:val="none" w:sz="0" w:space="0" w:color="auto"/>
                                                                                                                                                                                                                                                                                                                                                                                                                                                      </w:divBdr>
                                                                                                                                                                                                                                                                                                                                                                                                                                                      <w:divsChild>
                                                                                                                                                                                                                                                                                                                                                                                                                                                        <w:div w:id="1918710370">
                                                                                                                                                                                                                                                                                                                                                                                                                                                          <w:marLeft w:val="0"/>
                                                                                                                                                                                                                                                                                                                                                                                                                                                          <w:marRight w:val="0"/>
                                                                                                                                                                                                                                                                                                                                                                                                                                                          <w:marTop w:val="0"/>
                                                                                                                                                                                                                                                                                                                                                                                                                                                          <w:marBottom w:val="0"/>
                                                                                                                                                                                                                                                                                                                                                                                                                                                          <w:divBdr>
                                                                                                                                                                                                                                                                                                                                                                                                                                                            <w:top w:val="none" w:sz="0" w:space="0" w:color="auto"/>
                                                                                                                                                                                                                                                                                                                                                                                                                                                            <w:left w:val="none" w:sz="0" w:space="0" w:color="auto"/>
                                                                                                                                                                                                                                                                                                                                                                                                                                                            <w:bottom w:val="none" w:sz="0" w:space="0" w:color="auto"/>
                                                                                                                                                                                                                                                                                                                                                                                                                                                            <w:right w:val="none" w:sz="0" w:space="0" w:color="auto"/>
                                                                                                                                                                                                                                                                                                                                                                                                                                                          </w:divBdr>
                                                                                                                                                                                                                                                                                                                                                                                                                                                          <w:divsChild>
                                                                                                                                                                                                                                                                                                                                                                                                                                                            <w:div w:id="1079016142">
                                                                                                                                                                                                                                                                                                                                                                                                                                                              <w:marLeft w:val="0"/>
                                                                                                                                                                                                                                                                                                                                                                                                                                                              <w:marRight w:val="0"/>
                                                                                                                                                                                                                                                                                                                                                                                                                                                              <w:marTop w:val="0"/>
                                                                                                                                                                                                                                                                                                                                                                                                                                                              <w:marBottom w:val="0"/>
                                                                                                                                                                                                                                                                                                                                                                                                                                                              <w:divBdr>
                                                                                                                                                                                                                                                                                                                                                                                                                                                                <w:top w:val="none" w:sz="0" w:space="0" w:color="auto"/>
                                                                                                                                                                                                                                                                                                                                                                                                                                                                <w:left w:val="none" w:sz="0" w:space="0" w:color="auto"/>
                                                                                                                                                                                                                                                                                                                                                                                                                                                                <w:bottom w:val="none" w:sz="0" w:space="0" w:color="auto"/>
                                                                                                                                                                                                                                                                                                                                                                                                                                                                <w:right w:val="none" w:sz="0" w:space="0" w:color="auto"/>
                                                                                                                                                                                                                                                                                                                                                                                                                                                              </w:divBdr>
                                                                                                                                                                                                                                                                                                                                                                                                                                                              <w:divsChild>
                                                                                                                                                                                                                                                                                                                                                                                                                                                                <w:div w:id="2131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8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031518">
      <w:bodyDiv w:val="1"/>
      <w:marLeft w:val="0"/>
      <w:marRight w:val="0"/>
      <w:marTop w:val="0"/>
      <w:marBottom w:val="0"/>
      <w:divBdr>
        <w:top w:val="none" w:sz="0" w:space="0" w:color="auto"/>
        <w:left w:val="none" w:sz="0" w:space="0" w:color="auto"/>
        <w:bottom w:val="none" w:sz="0" w:space="0" w:color="auto"/>
        <w:right w:val="none" w:sz="0" w:space="0" w:color="auto"/>
      </w:divBdr>
    </w:div>
    <w:div w:id="1723558539">
      <w:bodyDiv w:val="1"/>
      <w:marLeft w:val="0"/>
      <w:marRight w:val="0"/>
      <w:marTop w:val="0"/>
      <w:marBottom w:val="0"/>
      <w:divBdr>
        <w:top w:val="none" w:sz="0" w:space="0" w:color="auto"/>
        <w:left w:val="none" w:sz="0" w:space="0" w:color="auto"/>
        <w:bottom w:val="none" w:sz="0" w:space="0" w:color="auto"/>
        <w:right w:val="none" w:sz="0" w:space="0" w:color="auto"/>
      </w:divBdr>
    </w:div>
    <w:div w:id="1751807881">
      <w:bodyDiv w:val="1"/>
      <w:marLeft w:val="0"/>
      <w:marRight w:val="0"/>
      <w:marTop w:val="0"/>
      <w:marBottom w:val="0"/>
      <w:divBdr>
        <w:top w:val="none" w:sz="0" w:space="0" w:color="auto"/>
        <w:left w:val="none" w:sz="0" w:space="0" w:color="auto"/>
        <w:bottom w:val="none" w:sz="0" w:space="0" w:color="auto"/>
        <w:right w:val="none" w:sz="0" w:space="0" w:color="auto"/>
      </w:divBdr>
    </w:div>
    <w:div w:id="1788500381">
      <w:bodyDiv w:val="1"/>
      <w:marLeft w:val="0"/>
      <w:marRight w:val="0"/>
      <w:marTop w:val="0"/>
      <w:marBottom w:val="0"/>
      <w:divBdr>
        <w:top w:val="none" w:sz="0" w:space="0" w:color="auto"/>
        <w:left w:val="none" w:sz="0" w:space="0" w:color="auto"/>
        <w:bottom w:val="none" w:sz="0" w:space="0" w:color="auto"/>
        <w:right w:val="none" w:sz="0" w:space="0" w:color="auto"/>
      </w:divBdr>
    </w:div>
    <w:div w:id="1801026405">
      <w:bodyDiv w:val="1"/>
      <w:marLeft w:val="0"/>
      <w:marRight w:val="0"/>
      <w:marTop w:val="0"/>
      <w:marBottom w:val="0"/>
      <w:divBdr>
        <w:top w:val="none" w:sz="0" w:space="0" w:color="auto"/>
        <w:left w:val="none" w:sz="0" w:space="0" w:color="auto"/>
        <w:bottom w:val="none" w:sz="0" w:space="0" w:color="auto"/>
        <w:right w:val="none" w:sz="0" w:space="0" w:color="auto"/>
      </w:divBdr>
    </w:div>
    <w:div w:id="1804539293">
      <w:bodyDiv w:val="1"/>
      <w:marLeft w:val="0"/>
      <w:marRight w:val="0"/>
      <w:marTop w:val="0"/>
      <w:marBottom w:val="0"/>
      <w:divBdr>
        <w:top w:val="none" w:sz="0" w:space="0" w:color="auto"/>
        <w:left w:val="none" w:sz="0" w:space="0" w:color="auto"/>
        <w:bottom w:val="none" w:sz="0" w:space="0" w:color="auto"/>
        <w:right w:val="none" w:sz="0" w:space="0" w:color="auto"/>
      </w:divBdr>
    </w:div>
    <w:div w:id="1846821331">
      <w:bodyDiv w:val="1"/>
      <w:marLeft w:val="0"/>
      <w:marRight w:val="0"/>
      <w:marTop w:val="0"/>
      <w:marBottom w:val="0"/>
      <w:divBdr>
        <w:top w:val="none" w:sz="0" w:space="0" w:color="auto"/>
        <w:left w:val="none" w:sz="0" w:space="0" w:color="auto"/>
        <w:bottom w:val="none" w:sz="0" w:space="0" w:color="auto"/>
        <w:right w:val="none" w:sz="0" w:space="0" w:color="auto"/>
      </w:divBdr>
    </w:div>
    <w:div w:id="1848908265">
      <w:bodyDiv w:val="1"/>
      <w:marLeft w:val="0"/>
      <w:marRight w:val="0"/>
      <w:marTop w:val="0"/>
      <w:marBottom w:val="0"/>
      <w:divBdr>
        <w:top w:val="none" w:sz="0" w:space="0" w:color="auto"/>
        <w:left w:val="none" w:sz="0" w:space="0" w:color="auto"/>
        <w:bottom w:val="none" w:sz="0" w:space="0" w:color="auto"/>
        <w:right w:val="none" w:sz="0" w:space="0" w:color="auto"/>
      </w:divBdr>
    </w:div>
    <w:div w:id="1869173218">
      <w:bodyDiv w:val="1"/>
      <w:marLeft w:val="0"/>
      <w:marRight w:val="0"/>
      <w:marTop w:val="0"/>
      <w:marBottom w:val="0"/>
      <w:divBdr>
        <w:top w:val="none" w:sz="0" w:space="0" w:color="auto"/>
        <w:left w:val="none" w:sz="0" w:space="0" w:color="auto"/>
        <w:bottom w:val="none" w:sz="0" w:space="0" w:color="auto"/>
        <w:right w:val="none" w:sz="0" w:space="0" w:color="auto"/>
      </w:divBdr>
    </w:div>
    <w:div w:id="1878859396">
      <w:bodyDiv w:val="1"/>
      <w:marLeft w:val="0"/>
      <w:marRight w:val="0"/>
      <w:marTop w:val="0"/>
      <w:marBottom w:val="0"/>
      <w:divBdr>
        <w:top w:val="none" w:sz="0" w:space="0" w:color="auto"/>
        <w:left w:val="none" w:sz="0" w:space="0" w:color="auto"/>
        <w:bottom w:val="none" w:sz="0" w:space="0" w:color="auto"/>
        <w:right w:val="none" w:sz="0" w:space="0" w:color="auto"/>
      </w:divBdr>
    </w:div>
    <w:div w:id="1885022175">
      <w:bodyDiv w:val="1"/>
      <w:marLeft w:val="0"/>
      <w:marRight w:val="0"/>
      <w:marTop w:val="0"/>
      <w:marBottom w:val="0"/>
      <w:divBdr>
        <w:top w:val="none" w:sz="0" w:space="0" w:color="auto"/>
        <w:left w:val="none" w:sz="0" w:space="0" w:color="auto"/>
        <w:bottom w:val="none" w:sz="0" w:space="0" w:color="auto"/>
        <w:right w:val="none" w:sz="0" w:space="0" w:color="auto"/>
      </w:divBdr>
    </w:div>
    <w:div w:id="1904949101">
      <w:bodyDiv w:val="1"/>
      <w:marLeft w:val="0"/>
      <w:marRight w:val="0"/>
      <w:marTop w:val="0"/>
      <w:marBottom w:val="0"/>
      <w:divBdr>
        <w:top w:val="none" w:sz="0" w:space="0" w:color="auto"/>
        <w:left w:val="none" w:sz="0" w:space="0" w:color="auto"/>
        <w:bottom w:val="none" w:sz="0" w:space="0" w:color="auto"/>
        <w:right w:val="none" w:sz="0" w:space="0" w:color="auto"/>
      </w:divBdr>
    </w:div>
    <w:div w:id="1905524912">
      <w:bodyDiv w:val="1"/>
      <w:marLeft w:val="0"/>
      <w:marRight w:val="0"/>
      <w:marTop w:val="0"/>
      <w:marBottom w:val="0"/>
      <w:divBdr>
        <w:top w:val="none" w:sz="0" w:space="0" w:color="auto"/>
        <w:left w:val="none" w:sz="0" w:space="0" w:color="auto"/>
        <w:bottom w:val="none" w:sz="0" w:space="0" w:color="auto"/>
        <w:right w:val="none" w:sz="0" w:space="0" w:color="auto"/>
      </w:divBdr>
    </w:div>
    <w:div w:id="1918785143">
      <w:bodyDiv w:val="1"/>
      <w:marLeft w:val="0"/>
      <w:marRight w:val="0"/>
      <w:marTop w:val="0"/>
      <w:marBottom w:val="0"/>
      <w:divBdr>
        <w:top w:val="none" w:sz="0" w:space="0" w:color="auto"/>
        <w:left w:val="none" w:sz="0" w:space="0" w:color="auto"/>
        <w:bottom w:val="none" w:sz="0" w:space="0" w:color="auto"/>
        <w:right w:val="none" w:sz="0" w:space="0" w:color="auto"/>
      </w:divBdr>
    </w:div>
    <w:div w:id="1923248155">
      <w:bodyDiv w:val="1"/>
      <w:marLeft w:val="0"/>
      <w:marRight w:val="0"/>
      <w:marTop w:val="0"/>
      <w:marBottom w:val="0"/>
      <w:divBdr>
        <w:top w:val="none" w:sz="0" w:space="0" w:color="auto"/>
        <w:left w:val="none" w:sz="0" w:space="0" w:color="auto"/>
        <w:bottom w:val="none" w:sz="0" w:space="0" w:color="auto"/>
        <w:right w:val="none" w:sz="0" w:space="0" w:color="auto"/>
      </w:divBdr>
    </w:div>
    <w:div w:id="1948730507">
      <w:bodyDiv w:val="1"/>
      <w:marLeft w:val="0"/>
      <w:marRight w:val="0"/>
      <w:marTop w:val="0"/>
      <w:marBottom w:val="0"/>
      <w:divBdr>
        <w:top w:val="none" w:sz="0" w:space="0" w:color="auto"/>
        <w:left w:val="none" w:sz="0" w:space="0" w:color="auto"/>
        <w:bottom w:val="none" w:sz="0" w:space="0" w:color="auto"/>
        <w:right w:val="none" w:sz="0" w:space="0" w:color="auto"/>
      </w:divBdr>
    </w:div>
    <w:div w:id="1968849902">
      <w:bodyDiv w:val="1"/>
      <w:marLeft w:val="0"/>
      <w:marRight w:val="0"/>
      <w:marTop w:val="0"/>
      <w:marBottom w:val="0"/>
      <w:divBdr>
        <w:top w:val="none" w:sz="0" w:space="0" w:color="auto"/>
        <w:left w:val="none" w:sz="0" w:space="0" w:color="auto"/>
        <w:bottom w:val="none" w:sz="0" w:space="0" w:color="auto"/>
        <w:right w:val="none" w:sz="0" w:space="0" w:color="auto"/>
      </w:divBdr>
    </w:div>
    <w:div w:id="1969048405">
      <w:bodyDiv w:val="1"/>
      <w:marLeft w:val="0"/>
      <w:marRight w:val="0"/>
      <w:marTop w:val="0"/>
      <w:marBottom w:val="0"/>
      <w:divBdr>
        <w:top w:val="none" w:sz="0" w:space="0" w:color="auto"/>
        <w:left w:val="none" w:sz="0" w:space="0" w:color="auto"/>
        <w:bottom w:val="none" w:sz="0" w:space="0" w:color="auto"/>
        <w:right w:val="none" w:sz="0" w:space="0" w:color="auto"/>
      </w:divBdr>
    </w:div>
    <w:div w:id="1981306690">
      <w:bodyDiv w:val="1"/>
      <w:marLeft w:val="0"/>
      <w:marRight w:val="0"/>
      <w:marTop w:val="0"/>
      <w:marBottom w:val="0"/>
      <w:divBdr>
        <w:top w:val="none" w:sz="0" w:space="0" w:color="auto"/>
        <w:left w:val="none" w:sz="0" w:space="0" w:color="auto"/>
        <w:bottom w:val="none" w:sz="0" w:space="0" w:color="auto"/>
        <w:right w:val="none" w:sz="0" w:space="0" w:color="auto"/>
      </w:divBdr>
    </w:div>
    <w:div w:id="1984847177">
      <w:bodyDiv w:val="1"/>
      <w:marLeft w:val="0"/>
      <w:marRight w:val="0"/>
      <w:marTop w:val="0"/>
      <w:marBottom w:val="0"/>
      <w:divBdr>
        <w:top w:val="none" w:sz="0" w:space="0" w:color="auto"/>
        <w:left w:val="none" w:sz="0" w:space="0" w:color="auto"/>
        <w:bottom w:val="none" w:sz="0" w:space="0" w:color="auto"/>
        <w:right w:val="none" w:sz="0" w:space="0" w:color="auto"/>
      </w:divBdr>
    </w:div>
    <w:div w:id="1990669635">
      <w:bodyDiv w:val="1"/>
      <w:marLeft w:val="0"/>
      <w:marRight w:val="0"/>
      <w:marTop w:val="0"/>
      <w:marBottom w:val="0"/>
      <w:divBdr>
        <w:top w:val="none" w:sz="0" w:space="0" w:color="auto"/>
        <w:left w:val="none" w:sz="0" w:space="0" w:color="auto"/>
        <w:bottom w:val="none" w:sz="0" w:space="0" w:color="auto"/>
        <w:right w:val="none" w:sz="0" w:space="0" w:color="auto"/>
      </w:divBdr>
    </w:div>
    <w:div w:id="2010283602">
      <w:bodyDiv w:val="1"/>
      <w:marLeft w:val="0"/>
      <w:marRight w:val="0"/>
      <w:marTop w:val="0"/>
      <w:marBottom w:val="0"/>
      <w:divBdr>
        <w:top w:val="none" w:sz="0" w:space="0" w:color="auto"/>
        <w:left w:val="none" w:sz="0" w:space="0" w:color="auto"/>
        <w:bottom w:val="none" w:sz="0" w:space="0" w:color="auto"/>
        <w:right w:val="none" w:sz="0" w:space="0" w:color="auto"/>
      </w:divBdr>
    </w:div>
    <w:div w:id="2029210807">
      <w:bodyDiv w:val="1"/>
      <w:marLeft w:val="0"/>
      <w:marRight w:val="0"/>
      <w:marTop w:val="0"/>
      <w:marBottom w:val="0"/>
      <w:divBdr>
        <w:top w:val="none" w:sz="0" w:space="0" w:color="auto"/>
        <w:left w:val="none" w:sz="0" w:space="0" w:color="auto"/>
        <w:bottom w:val="none" w:sz="0" w:space="0" w:color="auto"/>
        <w:right w:val="none" w:sz="0" w:space="0" w:color="auto"/>
      </w:divBdr>
    </w:div>
    <w:div w:id="2041513185">
      <w:bodyDiv w:val="1"/>
      <w:marLeft w:val="0"/>
      <w:marRight w:val="0"/>
      <w:marTop w:val="0"/>
      <w:marBottom w:val="0"/>
      <w:divBdr>
        <w:top w:val="none" w:sz="0" w:space="0" w:color="auto"/>
        <w:left w:val="none" w:sz="0" w:space="0" w:color="auto"/>
        <w:bottom w:val="none" w:sz="0" w:space="0" w:color="auto"/>
        <w:right w:val="none" w:sz="0" w:space="0" w:color="auto"/>
      </w:divBdr>
    </w:div>
    <w:div w:id="2047635864">
      <w:bodyDiv w:val="1"/>
      <w:marLeft w:val="0"/>
      <w:marRight w:val="0"/>
      <w:marTop w:val="0"/>
      <w:marBottom w:val="0"/>
      <w:divBdr>
        <w:top w:val="none" w:sz="0" w:space="0" w:color="auto"/>
        <w:left w:val="none" w:sz="0" w:space="0" w:color="auto"/>
        <w:bottom w:val="none" w:sz="0" w:space="0" w:color="auto"/>
        <w:right w:val="none" w:sz="0" w:space="0" w:color="auto"/>
      </w:divBdr>
    </w:div>
    <w:div w:id="2048069679">
      <w:bodyDiv w:val="1"/>
      <w:marLeft w:val="0"/>
      <w:marRight w:val="0"/>
      <w:marTop w:val="0"/>
      <w:marBottom w:val="0"/>
      <w:divBdr>
        <w:top w:val="none" w:sz="0" w:space="0" w:color="auto"/>
        <w:left w:val="none" w:sz="0" w:space="0" w:color="auto"/>
        <w:bottom w:val="none" w:sz="0" w:space="0" w:color="auto"/>
        <w:right w:val="none" w:sz="0" w:space="0" w:color="auto"/>
      </w:divBdr>
    </w:div>
    <w:div w:id="2085637285">
      <w:bodyDiv w:val="1"/>
      <w:marLeft w:val="0"/>
      <w:marRight w:val="0"/>
      <w:marTop w:val="0"/>
      <w:marBottom w:val="0"/>
      <w:divBdr>
        <w:top w:val="none" w:sz="0" w:space="0" w:color="auto"/>
        <w:left w:val="none" w:sz="0" w:space="0" w:color="auto"/>
        <w:bottom w:val="none" w:sz="0" w:space="0" w:color="auto"/>
        <w:right w:val="none" w:sz="0" w:space="0" w:color="auto"/>
      </w:divBdr>
    </w:div>
    <w:div w:id="2089228064">
      <w:bodyDiv w:val="1"/>
      <w:marLeft w:val="0"/>
      <w:marRight w:val="0"/>
      <w:marTop w:val="0"/>
      <w:marBottom w:val="0"/>
      <w:divBdr>
        <w:top w:val="none" w:sz="0" w:space="0" w:color="auto"/>
        <w:left w:val="none" w:sz="0" w:space="0" w:color="auto"/>
        <w:bottom w:val="none" w:sz="0" w:space="0" w:color="auto"/>
        <w:right w:val="none" w:sz="0" w:space="0" w:color="auto"/>
      </w:divBdr>
    </w:div>
    <w:div w:id="2113432882">
      <w:bodyDiv w:val="1"/>
      <w:marLeft w:val="0"/>
      <w:marRight w:val="0"/>
      <w:marTop w:val="0"/>
      <w:marBottom w:val="0"/>
      <w:divBdr>
        <w:top w:val="none" w:sz="0" w:space="0" w:color="auto"/>
        <w:left w:val="none" w:sz="0" w:space="0" w:color="auto"/>
        <w:bottom w:val="none" w:sz="0" w:space="0" w:color="auto"/>
        <w:right w:val="none" w:sz="0" w:space="0" w:color="auto"/>
      </w:divBdr>
    </w:div>
    <w:div w:id="2139374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b:Sources xmlns:b="http://schemas.openxmlformats.org/officeDocument/2006/bibliography" xmlns="http://schemas.openxmlformats.org/officeDocument/2006/bibliography" SelectedStyle="/MLA.XSL" StyleName="MLA"/>
</file>

<file path=customXml/item3.xml><?xml version="1.0" encoding="utf-8"?>
<b:Sources xmlns:b="http://schemas.openxmlformats.org/officeDocument/2006/bibliography" xmlns="http://schemas.openxmlformats.org/officeDocument/2006/bibliography" SelectedStyle="/MLA.XSL" StyleName="MLA"/>
</file>

<file path=customXml/item4.xml><?xml version="1.0" encoding="utf-8"?>
<b:Sources xmlns:b="http://schemas.openxmlformats.org/officeDocument/2006/bibliography" xmlns="http://schemas.openxmlformats.org/officeDocument/2006/bibliography" SelectedStyle="/MLA.XSL" StyleName="MLA"/>
</file>

<file path=customXml/item5.xml><?xml version="1.0" encoding="utf-8"?>
<b:Sources xmlns:b="http://schemas.openxmlformats.org/officeDocument/2006/bibliography" xmlns="http://schemas.openxmlformats.org/officeDocument/2006/bibliography" SelectedStyle="/MLA.XSL" StyleName="MLA"/>
</file>

<file path=customXml/item6.xml><?xml version="1.0" encoding="utf-8"?>
<b:Sources xmlns:b="http://schemas.openxmlformats.org/officeDocument/2006/bibliography" xmlns="http://schemas.openxmlformats.org/officeDocument/2006/bibliography" SelectedStyle="/MLA.XSL" StyleName="MLA"/>
</file>

<file path=customXml/item7.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9548683-06B3-6B4A-BBB8-AA0BFEE47261}">
  <ds:schemaRefs>
    <ds:schemaRef ds:uri="http://schemas.openxmlformats.org/officeDocument/2006/bibliography"/>
  </ds:schemaRefs>
</ds:datastoreItem>
</file>

<file path=customXml/itemProps2.xml><?xml version="1.0" encoding="utf-8"?>
<ds:datastoreItem xmlns:ds="http://schemas.openxmlformats.org/officeDocument/2006/customXml" ds:itemID="{52498544-3238-884C-9A42-B98C6763B312}">
  <ds:schemaRefs>
    <ds:schemaRef ds:uri="http://schemas.openxmlformats.org/officeDocument/2006/bibliography"/>
  </ds:schemaRefs>
</ds:datastoreItem>
</file>

<file path=customXml/itemProps3.xml><?xml version="1.0" encoding="utf-8"?>
<ds:datastoreItem xmlns:ds="http://schemas.openxmlformats.org/officeDocument/2006/customXml" ds:itemID="{B53AC9B0-47F4-FF4D-930B-131D09DC52D0}">
  <ds:schemaRefs>
    <ds:schemaRef ds:uri="http://schemas.openxmlformats.org/officeDocument/2006/bibliography"/>
  </ds:schemaRefs>
</ds:datastoreItem>
</file>

<file path=customXml/itemProps4.xml><?xml version="1.0" encoding="utf-8"?>
<ds:datastoreItem xmlns:ds="http://schemas.openxmlformats.org/officeDocument/2006/customXml" ds:itemID="{F90139CE-CF8C-B844-B9BD-68F17A726116}">
  <ds:schemaRefs>
    <ds:schemaRef ds:uri="http://schemas.openxmlformats.org/officeDocument/2006/bibliography"/>
  </ds:schemaRefs>
</ds:datastoreItem>
</file>

<file path=customXml/itemProps5.xml><?xml version="1.0" encoding="utf-8"?>
<ds:datastoreItem xmlns:ds="http://schemas.openxmlformats.org/officeDocument/2006/customXml" ds:itemID="{B7996043-D2CF-436D-9465-4859558363F0}">
  <ds:schemaRefs>
    <ds:schemaRef ds:uri="http://schemas.openxmlformats.org/officeDocument/2006/bibliography"/>
  </ds:schemaRefs>
</ds:datastoreItem>
</file>

<file path=customXml/itemProps6.xml><?xml version="1.0" encoding="utf-8"?>
<ds:datastoreItem xmlns:ds="http://schemas.openxmlformats.org/officeDocument/2006/customXml" ds:itemID="{52A27109-BCA2-49DA-ABF2-21D403FC8FA3}">
  <ds:schemaRefs>
    <ds:schemaRef ds:uri="http://schemas.openxmlformats.org/officeDocument/2006/bibliography"/>
  </ds:schemaRefs>
</ds:datastoreItem>
</file>

<file path=customXml/itemProps7.xml><?xml version="1.0" encoding="utf-8"?>
<ds:datastoreItem xmlns:ds="http://schemas.openxmlformats.org/officeDocument/2006/customXml" ds:itemID="{B83D8145-AF73-420E-86C5-3B824826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69653</Words>
  <Characters>397028</Characters>
  <Application>Microsoft Office Word</Application>
  <DocSecurity>0</DocSecurity>
  <Lines>3308</Lines>
  <Paragraphs>931</Paragraphs>
  <ScaleCrop>false</ScaleCrop>
  <HeadingPairs>
    <vt:vector size="2" baseType="variant">
      <vt:variant>
        <vt:lpstr>Title</vt:lpstr>
      </vt:variant>
      <vt:variant>
        <vt:i4>1</vt:i4>
      </vt:variant>
    </vt:vector>
  </HeadingPairs>
  <TitlesOfParts>
    <vt:vector size="1" baseType="lpstr">
      <vt:lpstr/>
    </vt:vector>
  </TitlesOfParts>
  <Company>University of Southern California</Company>
  <LinksUpToDate>false</LinksUpToDate>
  <CharactersWithSpaces>465750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Niquelle Brown</dc:creator>
  <cp:keywords/>
  <dc:description/>
  <cp:lastModifiedBy>Cozen, Wendy</cp:lastModifiedBy>
  <cp:revision>2</cp:revision>
  <cp:lastPrinted>2016-07-12T18:05:00Z</cp:lastPrinted>
  <dcterms:created xsi:type="dcterms:W3CDTF">2019-04-26T06:19:00Z</dcterms:created>
  <dcterms:modified xsi:type="dcterms:W3CDTF">2019-04-26T06:19:00Z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http://csl.mendeley.com/styles/243337781/international-journal-of-epidemiology-vancouver</vt:lpwstr>
  </property>
  <property fmtid="{D5CDD505-2E9C-101B-9397-08002B2CF9AE}" pid="4" name="Mendeley Recent Style Id 0_1">
    <vt:lpwstr>http://www.zotero.org/styles/american-journal-of-epidemiology</vt:lpwstr>
  </property>
  <property fmtid="{D5CDD505-2E9C-101B-9397-08002B2CF9AE}" pid="5" name="Mendeley Recent Style Name 0_1">
    <vt:lpwstr>American Journal of Epidemiology</vt:lpwstr>
  </property>
  <property fmtid="{D5CDD505-2E9C-101B-9397-08002B2CF9AE}" pid="6" name="Mendeley Recent Style Id 1_1">
    <vt:lpwstr>http://www.zotero.org/styles/american-medical-association</vt:lpwstr>
  </property>
  <property fmtid="{D5CDD505-2E9C-101B-9397-08002B2CF9AE}" pid="7" name="Mendeley Recent Style Name 1_1">
    <vt:lpwstr>American Medical Association</vt:lpwstr>
  </property>
  <property fmtid="{D5CDD505-2E9C-101B-9397-08002B2CF9AE}" pid="8" name="Mendeley Recent Style Id 2_1">
    <vt:lpwstr>http://www.zotero.org/styles/american-political-science-association</vt:lpwstr>
  </property>
  <property fmtid="{D5CDD505-2E9C-101B-9397-08002B2CF9AE}" pid="9" name="Mendeley Recent Style Name 2_1">
    <vt:lpwstr>American Political Science Association</vt:lpwstr>
  </property>
  <property fmtid="{D5CDD505-2E9C-101B-9397-08002B2CF9AE}" pid="10" name="Mendeley Recent Style Id 3_1">
    <vt:lpwstr>http://www.zotero.org/styles/apa</vt:lpwstr>
  </property>
  <property fmtid="{D5CDD505-2E9C-101B-9397-08002B2CF9AE}" pid="11" name="Mendeley Recent Style Name 3_1">
    <vt:lpwstr>American Psychological Association 6th edition</vt:lpwstr>
  </property>
  <property fmtid="{D5CDD505-2E9C-101B-9397-08002B2CF9AE}" pid="12" name="Mendeley Recent Style Id 4_1">
    <vt:lpwstr>http://www.zotero.org/styles/american-sociological-association</vt:lpwstr>
  </property>
  <property fmtid="{D5CDD505-2E9C-101B-9397-08002B2CF9AE}" pid="13" name="Mendeley Recent Style Name 4_1">
    <vt:lpwstr>American Sociological Association</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17th edition (author-date)</vt:lpwstr>
  </property>
  <property fmtid="{D5CDD505-2E9C-101B-9397-08002B2CF9AE}" pid="16" name="Mendeley Recent Style Id 6_1">
    <vt:lpwstr>https://csl.mendeley.com/styles/243337781/international-journal-of-epidemiology-vancouver</vt:lpwstr>
  </property>
  <property fmtid="{D5CDD505-2E9C-101B-9397-08002B2CF9AE}" pid="17" name="Mendeley Recent Style Name 6_1">
    <vt:lpwstr>International Journal of Epidemiology - Vancouver</vt:lpwstr>
  </property>
  <property fmtid="{D5CDD505-2E9C-101B-9397-08002B2CF9AE}" pid="18" name="Mendeley Recent Style Id 7_1">
    <vt:lpwstr>http://csl.mendeley.com/styles/243337781/international-journal-of-epidemiology-vancouver</vt:lpwstr>
  </property>
  <property fmtid="{D5CDD505-2E9C-101B-9397-08002B2CF9AE}" pid="19" name="Mendeley Recent Style Name 7_1">
    <vt:lpwstr>International Journal of Epidemiology - Vancouver</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e9330fbd-d8fa-3305-8bea-1e97752e32e1</vt:lpwstr>
  </property>
</Properties>
</file>