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C0072" w14:textId="0DA09743" w:rsidR="00993BC5" w:rsidRDefault="00104B83" w:rsidP="004C5EB2">
      <w:pPr>
        <w:pStyle w:val="Heading1"/>
      </w:pPr>
      <w:r>
        <w:t xml:space="preserve">Childhood </w:t>
      </w:r>
      <w:r w:rsidR="003350F1">
        <w:t>Cancer: e</w:t>
      </w:r>
      <w:r w:rsidR="00FC478A">
        <w:t xml:space="preserve">stimating </w:t>
      </w:r>
      <w:r w:rsidR="003350F1">
        <w:t xml:space="preserve">regional and </w:t>
      </w:r>
      <w:r w:rsidR="00984A2F">
        <w:t xml:space="preserve">global incidence </w:t>
      </w:r>
    </w:p>
    <w:p w14:paraId="77E7C3FB" w14:textId="4DDA2A4D" w:rsidR="004C5EB2" w:rsidRDefault="00993BC5" w:rsidP="00B103CD">
      <w:r w:rsidRPr="00993BC5">
        <w:rPr>
          <w:sz w:val="32"/>
          <w:szCs w:val="32"/>
        </w:rPr>
        <w:tab/>
      </w:r>
      <w:r w:rsidRPr="00993BC5">
        <w:rPr>
          <w:sz w:val="32"/>
          <w:szCs w:val="32"/>
        </w:rPr>
        <w:tab/>
      </w:r>
    </w:p>
    <w:p w14:paraId="115665EE" w14:textId="0DF71451" w:rsidR="004C5EB2" w:rsidRDefault="00E13573" w:rsidP="004C5EB2">
      <w:pPr>
        <w:rPr>
          <w:highlight w:val="yellow"/>
        </w:rPr>
      </w:pPr>
      <w:r>
        <w:t>Author names and affiliations:</w:t>
      </w:r>
      <w:r w:rsidR="004C25E0">
        <w:t xml:space="preserve"> </w:t>
      </w:r>
    </w:p>
    <w:p w14:paraId="20CC3505" w14:textId="7EEF48C7" w:rsidR="008A03A6" w:rsidRPr="008A03A6" w:rsidRDefault="008A03A6" w:rsidP="004C5EB2">
      <w:pPr>
        <w:rPr>
          <w:vertAlign w:val="superscript"/>
        </w:rPr>
      </w:pPr>
      <w:r>
        <w:t>WT Johnston</w:t>
      </w:r>
      <w:r>
        <w:rPr>
          <w:vertAlign w:val="superscript"/>
        </w:rPr>
        <w:t>1, *</w:t>
      </w:r>
      <w:r>
        <w:t xml:space="preserve">, </w:t>
      </w:r>
      <w:proofErr w:type="spellStart"/>
      <w:r>
        <w:t>Friederike</w:t>
      </w:r>
      <w:proofErr w:type="spellEnd"/>
      <w:r>
        <w:t xml:space="preserve"> Erdmann</w:t>
      </w:r>
      <w:r>
        <w:rPr>
          <w:vertAlign w:val="superscript"/>
        </w:rPr>
        <w:t>2, 3</w:t>
      </w:r>
      <w:r>
        <w:t>, Robert Newton</w:t>
      </w:r>
      <w:r>
        <w:rPr>
          <w:vertAlign w:val="superscript"/>
        </w:rPr>
        <w:t>1, 4</w:t>
      </w:r>
      <w:r>
        <w:t>, Eva Steliarova-Foucher</w:t>
      </w:r>
      <w:r>
        <w:rPr>
          <w:vertAlign w:val="superscript"/>
        </w:rPr>
        <w:t>5</w:t>
      </w:r>
      <w:r>
        <w:t>,</w:t>
      </w:r>
      <w:r w:rsidRPr="008A03A6">
        <w:t xml:space="preserve"> </w:t>
      </w:r>
      <w:r>
        <w:t>Joachim Sch</w:t>
      </w:r>
      <w:r w:rsidR="0099771E">
        <w:t>ü</w:t>
      </w:r>
      <w:r>
        <w:t>z</w:t>
      </w:r>
      <w:r>
        <w:rPr>
          <w:vertAlign w:val="superscript"/>
        </w:rPr>
        <w:t>2</w:t>
      </w:r>
      <w:r>
        <w:t>,</w:t>
      </w:r>
      <w:r w:rsidRPr="008A03A6">
        <w:t xml:space="preserve"> </w:t>
      </w:r>
      <w:r>
        <w:t>Eve Roman</w:t>
      </w:r>
      <w:r>
        <w:rPr>
          <w:vertAlign w:val="superscript"/>
        </w:rPr>
        <w:t>1</w:t>
      </w:r>
    </w:p>
    <w:p w14:paraId="686FF072" w14:textId="1FAD8F4B" w:rsidR="004408CA" w:rsidRDefault="008A03A6" w:rsidP="004408CA">
      <w:pPr>
        <w:jc w:val="both"/>
      </w:pPr>
      <w:r>
        <w:rPr>
          <w:vertAlign w:val="superscript"/>
        </w:rPr>
        <w:t>1</w:t>
      </w:r>
      <w:r w:rsidR="00C146A3">
        <w:rPr>
          <w:vertAlign w:val="superscript"/>
        </w:rPr>
        <w:t xml:space="preserve"> </w:t>
      </w:r>
      <w:r w:rsidR="004C25E0">
        <w:t>Epidemiology and Cancer Statistics Group, Department of Health Sciences, University of York, York, United Kingdom</w:t>
      </w:r>
    </w:p>
    <w:p w14:paraId="4B4927A7" w14:textId="6631CDB5" w:rsidR="004C25E0" w:rsidRDefault="008A03A6" w:rsidP="004408CA">
      <w:pPr>
        <w:jc w:val="both"/>
      </w:pPr>
      <w:r>
        <w:rPr>
          <w:vertAlign w:val="superscript"/>
        </w:rPr>
        <w:t>2</w:t>
      </w:r>
      <w:r w:rsidR="00C146A3">
        <w:rPr>
          <w:vertAlign w:val="superscript"/>
        </w:rPr>
        <w:t xml:space="preserve"> </w:t>
      </w:r>
      <w:r w:rsidR="004C25E0">
        <w:t>Section of Environment and Radiation, International Agency for Research on Cancer (IARC), Lyon, France</w:t>
      </w:r>
    </w:p>
    <w:p w14:paraId="6D39F359" w14:textId="378BBF3E" w:rsidR="00993BC5" w:rsidRDefault="008A03A6" w:rsidP="004C5EB2">
      <w:pPr>
        <w:rPr>
          <w:vertAlign w:val="superscript"/>
        </w:rPr>
      </w:pPr>
      <w:r>
        <w:rPr>
          <w:vertAlign w:val="superscript"/>
        </w:rPr>
        <w:t>3</w:t>
      </w:r>
      <w:r w:rsidR="00CD4FCE" w:rsidRPr="00CD4FCE">
        <w:t xml:space="preserve"> </w:t>
      </w:r>
      <w:r w:rsidR="00CD4FCE" w:rsidRPr="00D74BC3">
        <w:t xml:space="preserve">Childhood Cancer Research Group, Danish Cancer Society Research </w:t>
      </w:r>
      <w:proofErr w:type="spellStart"/>
      <w:r w:rsidR="00CD4FCE" w:rsidRPr="00D74BC3">
        <w:t>Center</w:t>
      </w:r>
      <w:proofErr w:type="spellEnd"/>
      <w:r w:rsidR="00CD4FCE">
        <w:t>, Copenhagen, Denmark</w:t>
      </w:r>
    </w:p>
    <w:p w14:paraId="17A3036B" w14:textId="359D14C0" w:rsidR="008A03A6" w:rsidRPr="00BE396B" w:rsidRDefault="008A03A6" w:rsidP="004C5EB2">
      <w:r>
        <w:rPr>
          <w:vertAlign w:val="superscript"/>
        </w:rPr>
        <w:t>4</w:t>
      </w:r>
      <w:r w:rsidR="00C146A3">
        <w:t xml:space="preserve"> </w:t>
      </w:r>
      <w:r w:rsidR="00C146A3" w:rsidRPr="00F468CC">
        <w:rPr>
          <w:lang w:val="en-US"/>
        </w:rPr>
        <w:t>M</w:t>
      </w:r>
      <w:r w:rsidR="00C146A3">
        <w:rPr>
          <w:lang w:val="en-US"/>
        </w:rPr>
        <w:t xml:space="preserve">edical Research Council </w:t>
      </w:r>
      <w:r w:rsidR="00C146A3" w:rsidRPr="00F468CC">
        <w:rPr>
          <w:lang w:val="en-US"/>
        </w:rPr>
        <w:t>/</w:t>
      </w:r>
      <w:r w:rsidR="00C146A3">
        <w:rPr>
          <w:lang w:val="en-US"/>
        </w:rPr>
        <w:t xml:space="preserve"> </w:t>
      </w:r>
      <w:r w:rsidR="00C146A3" w:rsidRPr="00F468CC">
        <w:rPr>
          <w:lang w:val="en-US"/>
        </w:rPr>
        <w:t>U</w:t>
      </w:r>
      <w:r w:rsidR="00C146A3">
        <w:rPr>
          <w:lang w:val="en-US"/>
        </w:rPr>
        <w:t xml:space="preserve">ganda </w:t>
      </w:r>
      <w:r w:rsidR="00C146A3" w:rsidRPr="00F468CC">
        <w:rPr>
          <w:lang w:val="en-US"/>
        </w:rPr>
        <w:t>V</w:t>
      </w:r>
      <w:r w:rsidR="00C146A3">
        <w:rPr>
          <w:lang w:val="en-US"/>
        </w:rPr>
        <w:t xml:space="preserve">irus </w:t>
      </w:r>
      <w:r w:rsidR="00C146A3" w:rsidRPr="00F468CC">
        <w:rPr>
          <w:lang w:val="en-US"/>
        </w:rPr>
        <w:t>R</w:t>
      </w:r>
      <w:r w:rsidR="00C146A3">
        <w:rPr>
          <w:lang w:val="en-US"/>
        </w:rPr>
        <w:t xml:space="preserve">esearch </w:t>
      </w:r>
      <w:r w:rsidR="00C146A3" w:rsidRPr="00F468CC">
        <w:rPr>
          <w:lang w:val="en-US"/>
        </w:rPr>
        <w:t>I</w:t>
      </w:r>
      <w:r w:rsidR="00C146A3">
        <w:rPr>
          <w:lang w:val="en-US"/>
        </w:rPr>
        <w:t>nstitute (MRC/UVRI)</w:t>
      </w:r>
      <w:r w:rsidR="00C146A3" w:rsidRPr="00F468CC">
        <w:rPr>
          <w:lang w:val="en-US"/>
        </w:rPr>
        <w:t xml:space="preserve"> Research Unit on AIDS, Entebbe Uganda</w:t>
      </w:r>
    </w:p>
    <w:p w14:paraId="5339F948" w14:textId="343961CA" w:rsidR="008A03A6" w:rsidRDefault="008A03A6" w:rsidP="008A03A6">
      <w:pPr>
        <w:jc w:val="both"/>
      </w:pPr>
      <w:r>
        <w:rPr>
          <w:vertAlign w:val="superscript"/>
        </w:rPr>
        <w:t>5</w:t>
      </w:r>
      <w:r w:rsidRPr="008A03A6">
        <w:t xml:space="preserve"> </w:t>
      </w:r>
      <w:r>
        <w:t>Section of Cancer Surveillance, International Agency for Research on Cancer (IARC), Lyon, France</w:t>
      </w:r>
    </w:p>
    <w:p w14:paraId="7731EFA3" w14:textId="32540DC1" w:rsidR="008A03A6" w:rsidRPr="008A03A6" w:rsidRDefault="008A03A6" w:rsidP="004C5EB2"/>
    <w:p w14:paraId="3D6B7DEB" w14:textId="28F9BA11" w:rsidR="00E13573" w:rsidRDefault="008A03A6" w:rsidP="008A03A6">
      <w:pPr>
        <w:spacing w:after="0" w:line="240" w:lineRule="auto"/>
      </w:pPr>
      <w:r>
        <w:rPr>
          <w:vertAlign w:val="superscript"/>
        </w:rPr>
        <w:t>*</w:t>
      </w:r>
      <w:r w:rsidR="00E13573">
        <w:t>Corresponding author:</w:t>
      </w:r>
    </w:p>
    <w:p w14:paraId="5FCA68AD" w14:textId="77777777" w:rsidR="00702C48" w:rsidRDefault="00702C48" w:rsidP="008A03A6">
      <w:pPr>
        <w:spacing w:after="0" w:line="240" w:lineRule="auto"/>
      </w:pPr>
      <w:r>
        <w:t xml:space="preserve">WT Johnston </w:t>
      </w:r>
    </w:p>
    <w:p w14:paraId="731E998C" w14:textId="77777777" w:rsidR="00E13573" w:rsidRDefault="00E13573" w:rsidP="008A03A6">
      <w:pPr>
        <w:spacing w:after="0" w:line="240" w:lineRule="auto"/>
      </w:pPr>
      <w:r>
        <w:t>Present address:</w:t>
      </w:r>
    </w:p>
    <w:p w14:paraId="77F594DB" w14:textId="77777777" w:rsidR="00702C48" w:rsidRDefault="00702C48" w:rsidP="008A03A6">
      <w:pPr>
        <w:spacing w:after="0" w:line="240" w:lineRule="auto"/>
      </w:pPr>
      <w:r>
        <w:t xml:space="preserve">Epidemiology and Cancer Statistics Group, Department of Health Sciences, University of York, </w:t>
      </w:r>
      <w:proofErr w:type="spellStart"/>
      <w:r>
        <w:t>Heslington</w:t>
      </w:r>
      <w:proofErr w:type="spellEnd"/>
      <w:r>
        <w:t>, York, United Kingdom YO10 5DD</w:t>
      </w:r>
    </w:p>
    <w:p w14:paraId="235C7F49" w14:textId="77777777" w:rsidR="00702C48" w:rsidRDefault="00DA37B7" w:rsidP="008A03A6">
      <w:pPr>
        <w:spacing w:after="0" w:line="240" w:lineRule="auto"/>
      </w:pPr>
      <w:hyperlink r:id="rId8" w:history="1">
        <w:r w:rsidR="00702C48" w:rsidRPr="00D573E3">
          <w:rPr>
            <w:rStyle w:val="Hyperlink"/>
          </w:rPr>
          <w:t>tom.johnston@york.ac.uk</w:t>
        </w:r>
      </w:hyperlink>
      <w:r w:rsidR="00702C48">
        <w:t xml:space="preserve"> </w:t>
      </w:r>
    </w:p>
    <w:p w14:paraId="4512E2A7" w14:textId="77777777" w:rsidR="00E13573" w:rsidRDefault="00E13573" w:rsidP="004C5EB2"/>
    <w:p w14:paraId="008DED79" w14:textId="77777777" w:rsidR="00E13573" w:rsidRDefault="00E13573" w:rsidP="004C5EB2">
      <w:r>
        <w:t>Word count</w:t>
      </w:r>
      <w:r w:rsidR="00702C48">
        <w:t xml:space="preserve">s: </w:t>
      </w:r>
    </w:p>
    <w:p w14:paraId="5FDBF566" w14:textId="61E886C1" w:rsidR="00702C48" w:rsidRDefault="00702C48" w:rsidP="00702C48">
      <w:pPr>
        <w:ind w:firstLine="720"/>
      </w:pPr>
      <w:r>
        <w:t>Abstract:</w:t>
      </w:r>
      <w:r w:rsidR="00990E99">
        <w:t xml:space="preserve"> </w:t>
      </w:r>
      <w:r w:rsidR="00F90885">
        <w:t>3</w:t>
      </w:r>
      <w:r w:rsidR="00115462">
        <w:t>40</w:t>
      </w:r>
    </w:p>
    <w:p w14:paraId="14623DF9" w14:textId="36E4B2E8" w:rsidR="00702C48" w:rsidRDefault="00702C48" w:rsidP="00702C48">
      <w:pPr>
        <w:ind w:firstLine="720"/>
      </w:pPr>
      <w:r>
        <w:t>Total manuscript (excludes references, tables and figures):</w:t>
      </w:r>
      <w:r w:rsidR="00990E99">
        <w:t xml:space="preserve"> </w:t>
      </w:r>
      <w:r w:rsidR="0092029D">
        <w:t>3664</w:t>
      </w:r>
    </w:p>
    <w:p w14:paraId="17F03853" w14:textId="6CB54BD8" w:rsidR="00702C48" w:rsidRDefault="00702C48" w:rsidP="00702C48">
      <w:pPr>
        <w:ind w:firstLine="720"/>
      </w:pPr>
      <w:r>
        <w:t xml:space="preserve">Highlights: </w:t>
      </w:r>
    </w:p>
    <w:p w14:paraId="1DB426E9" w14:textId="4DC9C898" w:rsidR="00702C48" w:rsidRDefault="00702C48"/>
    <w:p w14:paraId="1CD50CBC" w14:textId="77777777" w:rsidR="00394AFA" w:rsidRDefault="00394AFA"/>
    <w:p w14:paraId="6E78455B" w14:textId="66ADB451" w:rsidR="00394AFA" w:rsidRDefault="00394AFA"/>
    <w:p w14:paraId="30EB7DF7" w14:textId="542579DE" w:rsidR="00394AFA" w:rsidRDefault="00394AFA"/>
    <w:p w14:paraId="57100883" w14:textId="77777777" w:rsidR="00394AFA" w:rsidRDefault="00394AFA"/>
    <w:p w14:paraId="71A662E8" w14:textId="77777777" w:rsidR="00126472" w:rsidRDefault="00126472"/>
    <w:p w14:paraId="172D55CB" w14:textId="77777777" w:rsidR="00126472" w:rsidRDefault="00126472"/>
    <w:p w14:paraId="41411BCC" w14:textId="77777777" w:rsidR="004C5EB2" w:rsidRDefault="004C5EB2">
      <w:r>
        <w:br w:type="page"/>
      </w:r>
    </w:p>
    <w:p w14:paraId="79D42CC9" w14:textId="6EABCF06" w:rsidR="004C5EB2" w:rsidRDefault="004C5EB2" w:rsidP="004C5EB2">
      <w:pPr>
        <w:pStyle w:val="Heading1"/>
      </w:pPr>
      <w:r>
        <w:lastRenderedPageBreak/>
        <w:t>Abstract</w:t>
      </w:r>
      <w:r w:rsidR="00997DE0">
        <w:t xml:space="preserve"> </w:t>
      </w:r>
    </w:p>
    <w:p w14:paraId="1D9DD87D" w14:textId="15DAD005" w:rsidR="00F1496C" w:rsidRDefault="00E13573" w:rsidP="004C5EB2">
      <w:r>
        <w:t xml:space="preserve">Background </w:t>
      </w:r>
    </w:p>
    <w:p w14:paraId="066B1E0C" w14:textId="68367DB0" w:rsidR="00F1496C" w:rsidRDefault="00067AFC" w:rsidP="004C5EB2">
      <w:r>
        <w:t>Most</w:t>
      </w:r>
      <w:r w:rsidR="000B27E4">
        <w:t xml:space="preserve"> of the world’s population </w:t>
      </w:r>
      <w:r w:rsidR="004D3E14">
        <w:t>is</w:t>
      </w:r>
      <w:r w:rsidR="000B27E4">
        <w:t xml:space="preserve"> not covered by </w:t>
      </w:r>
      <w:r w:rsidR="00CD4FCE" w:rsidRPr="00CD4FCE">
        <w:t>cancer surveillance systems</w:t>
      </w:r>
      <w:r w:rsidR="00CD4FCE">
        <w:t xml:space="preserve"> or </w:t>
      </w:r>
      <w:r w:rsidR="000B27E4">
        <w:t>vital registration</w:t>
      </w:r>
      <w:r w:rsidR="009A09AB">
        <w:t xml:space="preserve">, and worldwide/UN-regional cancer </w:t>
      </w:r>
      <w:r w:rsidR="00C7282B">
        <w:t>incidence</w:t>
      </w:r>
      <w:r w:rsidR="009A09AB">
        <w:t xml:space="preserve"> is estimated using a variety of methods. Q</w:t>
      </w:r>
      <w:r w:rsidR="000B27E4">
        <w:t xml:space="preserve">uantifying </w:t>
      </w:r>
      <w:r w:rsidR="00C7282B">
        <w:t>the c</w:t>
      </w:r>
      <w:r w:rsidR="000B27E4">
        <w:t xml:space="preserve">ancer </w:t>
      </w:r>
      <w:r w:rsidR="00C7282B">
        <w:t xml:space="preserve">burden in children </w:t>
      </w:r>
      <w:r w:rsidR="00146078">
        <w:t xml:space="preserve">(&lt;15 years) </w:t>
      </w:r>
      <w:r w:rsidR="000B27E4">
        <w:t>is more challenging than in adults</w:t>
      </w:r>
      <w:r w:rsidR="00211D26">
        <w:t>;</w:t>
      </w:r>
      <w:r w:rsidR="00E17EC2">
        <w:t xml:space="preserve"> </w:t>
      </w:r>
      <w:r w:rsidR="00211D26">
        <w:t xml:space="preserve">childhood cancer is </w:t>
      </w:r>
      <w:r w:rsidR="00E17EC2">
        <w:t>rare</w:t>
      </w:r>
      <w:r w:rsidR="00211D26">
        <w:t xml:space="preserve"> and often presents with</w:t>
      </w:r>
      <w:r w:rsidR="0029693A">
        <w:t xml:space="preserve"> non-specific</w:t>
      </w:r>
      <w:r>
        <w:t xml:space="preserve"> </w:t>
      </w:r>
      <w:r w:rsidR="00E17EC2">
        <w:t xml:space="preserve">symptoms </w:t>
      </w:r>
      <w:r w:rsidR="00211D26">
        <w:t>that mimic</w:t>
      </w:r>
      <w:r w:rsidR="00E17EC2">
        <w:t xml:space="preserve"> those of more prevalent infectio</w:t>
      </w:r>
      <w:r>
        <w:t>us</w:t>
      </w:r>
      <w:r w:rsidR="00E17EC2">
        <w:t xml:space="preserve"> and nutritional conditions.   </w:t>
      </w:r>
      <w:r w:rsidR="009A09AB">
        <w:t xml:space="preserve"> </w:t>
      </w:r>
    </w:p>
    <w:p w14:paraId="18DD98C8" w14:textId="77777777" w:rsidR="00E13573" w:rsidRDefault="00E13573" w:rsidP="004C5EB2">
      <w:r>
        <w:t>Methods</w:t>
      </w:r>
    </w:p>
    <w:p w14:paraId="083AF79E" w14:textId="63D1034E" w:rsidR="00E26AA4" w:rsidRDefault="00E17EC2" w:rsidP="00F1496C">
      <w:r>
        <w:t xml:space="preserve">A </w:t>
      </w:r>
      <w:r w:rsidR="00F1496C">
        <w:t xml:space="preserve">Baseline Model (BM) </w:t>
      </w:r>
      <w:r w:rsidR="00F023E6">
        <w:t xml:space="preserve">was constructed </w:t>
      </w:r>
      <w:r w:rsidR="00F1496C">
        <w:t>compris</w:t>
      </w:r>
      <w:r>
        <w:t>ing</w:t>
      </w:r>
      <w:r w:rsidR="00F1496C">
        <w:t xml:space="preserve"> </w:t>
      </w:r>
      <w:r w:rsidR="009F0BFA">
        <w:t xml:space="preserve">a </w:t>
      </w:r>
      <w:r w:rsidR="00A87D23">
        <w:t xml:space="preserve">set of </w:t>
      </w:r>
      <w:r w:rsidR="00146078">
        <w:t xml:space="preserve">quality assured </w:t>
      </w:r>
      <w:r>
        <w:t>sex</w:t>
      </w:r>
      <w:r w:rsidR="005F255D">
        <w:t>-</w:t>
      </w:r>
      <w:r>
        <w:t xml:space="preserve"> and </w:t>
      </w:r>
      <w:r w:rsidR="00A87D23">
        <w:t>age-specific cancer rates</w:t>
      </w:r>
      <w:r w:rsidR="00F1496C">
        <w:t xml:space="preserve"> </w:t>
      </w:r>
      <w:r w:rsidR="00E61ACA">
        <w:t xml:space="preserve">derived from the US Surveillance, Epidemiology and End Results (SEER) program, </w:t>
      </w:r>
      <w:r w:rsidR="00B4694E">
        <w:t xml:space="preserve">for diagnostic </w:t>
      </w:r>
      <w:r w:rsidR="00146078">
        <w:t>group</w:t>
      </w:r>
      <w:r w:rsidR="00B4694E">
        <w:t>s</w:t>
      </w:r>
      <w:r w:rsidR="00146078">
        <w:t xml:space="preserve"> </w:t>
      </w:r>
      <w:r w:rsidR="00B4694E">
        <w:t xml:space="preserve">of </w:t>
      </w:r>
      <w:r w:rsidR="00146078">
        <w:t>the International Classification of Childhood Cancers (ICCC-3)</w:t>
      </w:r>
      <w:r w:rsidR="00C1273E">
        <w:t xml:space="preserve"> 3</w:t>
      </w:r>
      <w:r w:rsidR="00C1273E" w:rsidRPr="00C1273E">
        <w:rPr>
          <w:vertAlign w:val="superscript"/>
        </w:rPr>
        <w:t>rd</w:t>
      </w:r>
      <w:r w:rsidR="00C1273E">
        <w:t xml:space="preserve"> edition</w:t>
      </w:r>
      <w:r w:rsidR="00E61ACA">
        <w:t>,</w:t>
      </w:r>
      <w:r w:rsidR="00146078">
        <w:t xml:space="preserve"> </w:t>
      </w:r>
      <w:r w:rsidR="00F023E6">
        <w:t xml:space="preserve">and </w:t>
      </w:r>
      <w:r w:rsidR="00A87D23">
        <w:t xml:space="preserve">information on </w:t>
      </w:r>
      <w:r w:rsidR="00450818">
        <w:t xml:space="preserve">a </w:t>
      </w:r>
      <w:r w:rsidR="00EC174F">
        <w:t>known</w:t>
      </w:r>
      <w:r w:rsidR="0087393D">
        <w:t xml:space="preserve"> </w:t>
      </w:r>
      <w:r w:rsidR="00A87D23">
        <w:t xml:space="preserve">risk factor for </w:t>
      </w:r>
      <w:r w:rsidR="009A209D">
        <w:t>endemic Burkitt lymphoma and Kaposi’s sarcoma</w:t>
      </w:r>
      <w:r w:rsidR="00146078">
        <w:t>. These rates were a</w:t>
      </w:r>
      <w:r>
        <w:t>pplied</w:t>
      </w:r>
      <w:r w:rsidR="007A49DB">
        <w:t xml:space="preserve"> to global country-level population data for 2015</w:t>
      </w:r>
      <w:r w:rsidR="000065D3" w:rsidRPr="000065D3">
        <w:t xml:space="preserve"> to estimate </w:t>
      </w:r>
      <w:r w:rsidR="000065D3">
        <w:t xml:space="preserve">the </w:t>
      </w:r>
      <w:r w:rsidR="000065D3" w:rsidRPr="000065D3">
        <w:t>global and regional incidence of childhood cancer</w:t>
      </w:r>
      <w:r w:rsidR="000065D3">
        <w:t>.</w:t>
      </w:r>
      <w:r w:rsidR="00146078">
        <w:t xml:space="preserve"> </w:t>
      </w:r>
      <w:r w:rsidR="000065D3">
        <w:t>R</w:t>
      </w:r>
      <w:r w:rsidR="007A49DB">
        <w:t xml:space="preserve">esults were compared </w:t>
      </w:r>
      <w:r w:rsidR="00063245">
        <w:t xml:space="preserve">to </w:t>
      </w:r>
      <w:r w:rsidR="0060319A">
        <w:t>GLOBOCAN 2018,</w:t>
      </w:r>
      <w:r w:rsidR="00375444">
        <w:t xml:space="preserve"> extrapolations from the International Incidence of Childhood Cancer (IICC-3) and</w:t>
      </w:r>
      <w:r w:rsidR="0060319A">
        <w:t xml:space="preserve"> </w:t>
      </w:r>
      <w:r w:rsidR="007A49DB">
        <w:t>estimates</w:t>
      </w:r>
      <w:r w:rsidR="00375444">
        <w:t xml:space="preserve"> from the Global Childhood Cancer (GCC) model</w:t>
      </w:r>
      <w:r w:rsidR="00C1273E">
        <w:t xml:space="preserve"> (based on IICC-3 data combined with information on health care systems and other parameters)</w:t>
      </w:r>
      <w:r w:rsidR="00063245">
        <w:t>.</w:t>
      </w:r>
    </w:p>
    <w:p w14:paraId="593A1C66" w14:textId="77777777" w:rsidR="00E13573" w:rsidRDefault="00E13573" w:rsidP="004C5EB2">
      <w:r>
        <w:t>Results</w:t>
      </w:r>
    </w:p>
    <w:p w14:paraId="25605125" w14:textId="130DAB3D" w:rsidR="00DB2FB8" w:rsidRDefault="009A209D" w:rsidP="004C5EB2">
      <w:r>
        <w:t xml:space="preserve">The BM </w:t>
      </w:r>
      <w:r w:rsidR="009F0BFA">
        <w:t>estimate</w:t>
      </w:r>
      <w:r>
        <w:t>d</w:t>
      </w:r>
      <w:r w:rsidR="009F0BFA">
        <w:t xml:space="preserve"> </w:t>
      </w:r>
      <w:r w:rsidR="00DB2FB8">
        <w:t>3</w:t>
      </w:r>
      <w:r w:rsidR="00964CC9">
        <w:t>60,114</w:t>
      </w:r>
      <w:r w:rsidR="00DB2FB8">
        <w:t xml:space="preserve"> </w:t>
      </w:r>
      <w:r>
        <w:t xml:space="preserve">total </w:t>
      </w:r>
      <w:r w:rsidR="000065D3">
        <w:t xml:space="preserve">childhood </w:t>
      </w:r>
      <w:r w:rsidR="00DB2FB8">
        <w:t xml:space="preserve">cancers </w:t>
      </w:r>
      <w:r w:rsidR="00707E83">
        <w:t xml:space="preserve">occurring </w:t>
      </w:r>
      <w:r w:rsidR="00DB2FB8">
        <w:t>worldwide in 2015</w:t>
      </w:r>
      <w:r w:rsidR="00707E83">
        <w:t>; 5</w:t>
      </w:r>
      <w:r w:rsidR="00CF3375">
        <w:t>4</w:t>
      </w:r>
      <w:r w:rsidR="00707E83">
        <w:t>% in Asia and 2</w:t>
      </w:r>
      <w:r w:rsidR="00CF3375">
        <w:t>8</w:t>
      </w:r>
      <w:r w:rsidR="00707E83">
        <w:t xml:space="preserve">% in Africa. </w:t>
      </w:r>
      <w:r w:rsidR="00067AFC">
        <w:t xml:space="preserve">BM </w:t>
      </w:r>
      <w:r w:rsidR="00535CA0" w:rsidRPr="00DC2159">
        <w:t xml:space="preserve">estimated </w:t>
      </w:r>
      <w:r w:rsidR="005E474D" w:rsidRPr="00DC2159">
        <w:t xml:space="preserve">standardised </w:t>
      </w:r>
      <w:r w:rsidR="00535CA0" w:rsidRPr="00DC2159">
        <w:t xml:space="preserve">rates ranged from </w:t>
      </w:r>
      <w:r w:rsidR="00067AFC" w:rsidRPr="00DC2159">
        <w:t>~</w:t>
      </w:r>
      <w:r w:rsidR="00535CA0" w:rsidRPr="00DC2159">
        <w:t>1</w:t>
      </w:r>
      <w:r w:rsidR="00964CC9" w:rsidRPr="00DC2159">
        <w:t>7</w:t>
      </w:r>
      <w:r w:rsidR="00BE6BFC" w:rsidRPr="00DC2159">
        <w:t>8</w:t>
      </w:r>
      <w:r w:rsidR="00535CA0" w:rsidRPr="00DC2159">
        <w:t xml:space="preserve"> cases per million in Europe and North America, through to </w:t>
      </w:r>
      <w:r w:rsidR="00067AFC" w:rsidRPr="00DC2159">
        <w:t>~</w:t>
      </w:r>
      <w:r w:rsidR="00535CA0" w:rsidRPr="00DC2159">
        <w:t>2</w:t>
      </w:r>
      <w:r w:rsidR="005E474D" w:rsidRPr="00DC2159">
        <w:t>18</w:t>
      </w:r>
      <w:r w:rsidR="00535CA0" w:rsidRPr="00DC2159">
        <w:t xml:space="preserve"> cases per million in West and Middle Africa.  </w:t>
      </w:r>
      <w:r w:rsidR="00665A1F" w:rsidRPr="00DC2159">
        <w:t>Total</w:t>
      </w:r>
      <w:r w:rsidR="0028646D" w:rsidRPr="00DC2159">
        <w:t>s</w:t>
      </w:r>
      <w:r w:rsidR="00665A1F" w:rsidRPr="00DC2159">
        <w:t xml:space="preserve"> </w:t>
      </w:r>
      <w:r w:rsidR="00535CA0" w:rsidRPr="00DC2159">
        <w:t xml:space="preserve">from </w:t>
      </w:r>
      <w:r w:rsidR="0059529F" w:rsidRPr="00DC2159">
        <w:t xml:space="preserve">GLOBOCAN and extrapolations from </w:t>
      </w:r>
      <w:r w:rsidR="00120C98" w:rsidRPr="00DC2159">
        <w:t xml:space="preserve">the </w:t>
      </w:r>
      <w:r w:rsidR="00C1273E" w:rsidRPr="00DC2159">
        <w:t xml:space="preserve">IICC-3 </w:t>
      </w:r>
      <w:r w:rsidR="00120C98" w:rsidRPr="00DC2159">
        <w:t>study</w:t>
      </w:r>
      <w:r w:rsidR="00120C98" w:rsidRPr="00DC2159" w:rsidDel="00535CA0">
        <w:t xml:space="preserve"> </w:t>
      </w:r>
      <w:r w:rsidR="0059529F" w:rsidRPr="00DC2159">
        <w:t>were</w:t>
      </w:r>
      <w:r w:rsidR="0059529F">
        <w:t xml:space="preserve"> </w:t>
      </w:r>
      <w:r w:rsidR="00535CA0">
        <w:t>lower (</w:t>
      </w:r>
      <w:r w:rsidR="009B720C">
        <w:t>44</w:t>
      </w:r>
      <w:r w:rsidR="00964CC9">
        <w:t>.6</w:t>
      </w:r>
      <w:r w:rsidR="009B720C">
        <w:t xml:space="preserve">% and </w:t>
      </w:r>
      <w:r w:rsidR="00964CC9">
        <w:t>34.7</w:t>
      </w:r>
      <w:r w:rsidR="009B720C">
        <w:t xml:space="preserve">% </w:t>
      </w:r>
      <w:r w:rsidR="00535CA0">
        <w:t>respectively</w:t>
      </w:r>
      <w:r w:rsidR="00665A1F">
        <w:t>), but estimates from the GCC model was 1</w:t>
      </w:r>
      <w:r w:rsidR="00964CC9">
        <w:t>0.2</w:t>
      </w:r>
      <w:r w:rsidR="00665A1F">
        <w:t>%</w:t>
      </w:r>
      <w:r w:rsidR="00067AFC">
        <w:t xml:space="preserve"> higher</w:t>
      </w:r>
      <w:r w:rsidR="00665A1F">
        <w:t xml:space="preserve">.  </w:t>
      </w:r>
      <w:r w:rsidR="00067AFC">
        <w:t xml:space="preserve">In all models, </w:t>
      </w:r>
      <w:r w:rsidR="009B720C">
        <w:t xml:space="preserve">agreement </w:t>
      </w:r>
      <w:r w:rsidR="00067AFC">
        <w:t xml:space="preserve">was good in </w:t>
      </w:r>
      <w:r w:rsidR="00271A98">
        <w:t xml:space="preserve">countries with </w:t>
      </w:r>
      <w:r w:rsidR="00067AFC">
        <w:t xml:space="preserve">very high </w:t>
      </w:r>
      <w:r w:rsidR="00D312C9">
        <w:t>h</w:t>
      </w:r>
      <w:r w:rsidR="00067AFC">
        <w:t xml:space="preserve">uman </w:t>
      </w:r>
      <w:r w:rsidR="00D312C9">
        <w:t>d</w:t>
      </w:r>
      <w:r w:rsidR="00067AFC">
        <w:t xml:space="preserve">evelopment </w:t>
      </w:r>
      <w:r w:rsidR="00D312C9">
        <w:t>i</w:t>
      </w:r>
      <w:r w:rsidR="00067AFC">
        <w:t>ndex (HDI)</w:t>
      </w:r>
      <w:r w:rsidR="00285202">
        <w:t xml:space="preserve">, but more variable </w:t>
      </w:r>
      <w:r w:rsidR="00067AFC">
        <w:t>in countries</w:t>
      </w:r>
      <w:r w:rsidR="009B720C">
        <w:t xml:space="preserve"> with medium and low</w:t>
      </w:r>
      <w:r w:rsidR="00067AFC">
        <w:t xml:space="preserve"> HDIs; </w:t>
      </w:r>
      <w:r w:rsidR="0087393D">
        <w:t xml:space="preserve">the </w:t>
      </w:r>
      <w:r w:rsidR="00067AFC">
        <w:t xml:space="preserve">discrepancies </w:t>
      </w:r>
      <w:r w:rsidR="00D84E8F">
        <w:t>correlating with</w:t>
      </w:r>
      <w:r w:rsidR="00120C98">
        <w:t xml:space="preserve"> </w:t>
      </w:r>
      <w:r w:rsidR="0060319A">
        <w:t xml:space="preserve">registration </w:t>
      </w:r>
      <w:r w:rsidR="00F023E6">
        <w:t>coverage</w:t>
      </w:r>
      <w:r w:rsidR="00067AFC">
        <w:t xml:space="preserve"> </w:t>
      </w:r>
      <w:r w:rsidR="00120C98">
        <w:t xml:space="preserve">across </w:t>
      </w:r>
      <w:r w:rsidR="00285202">
        <w:t>these settings</w:t>
      </w:r>
      <w:r w:rsidR="00067AFC">
        <w:t>.</w:t>
      </w:r>
      <w:r w:rsidR="009B720C">
        <w:t xml:space="preserve">  </w:t>
      </w:r>
    </w:p>
    <w:p w14:paraId="7B15B4FB" w14:textId="77777777" w:rsidR="00E13573" w:rsidRDefault="00E13573" w:rsidP="004C5EB2">
      <w:r>
        <w:t>Conclusion</w:t>
      </w:r>
    </w:p>
    <w:p w14:paraId="2C925F7E" w14:textId="3189928F" w:rsidR="00450818" w:rsidRDefault="00450818" w:rsidP="004C5EB2">
      <w:r>
        <w:t xml:space="preserve">Disagreements </w:t>
      </w:r>
      <w:r w:rsidR="00165A02">
        <w:t xml:space="preserve">between the BM </w:t>
      </w:r>
      <w:r w:rsidR="0028646D">
        <w:t>estimates</w:t>
      </w:r>
      <w:r w:rsidR="00AE2D0B">
        <w:t xml:space="preserve"> </w:t>
      </w:r>
      <w:r w:rsidR="00165A02">
        <w:t xml:space="preserve">and other </w:t>
      </w:r>
      <w:r w:rsidR="0028646D">
        <w:t xml:space="preserve">sources </w:t>
      </w:r>
      <w:r w:rsidR="0053381E">
        <w:t>occur</w:t>
      </w:r>
      <w:r w:rsidR="00F023E6">
        <w:t xml:space="preserve"> in</w:t>
      </w:r>
      <w:r>
        <w:t xml:space="preserve"> areas where </w:t>
      </w:r>
      <w:r w:rsidR="00055AFB">
        <w:t xml:space="preserve">health systems are insufficiently equipped to provide adequate </w:t>
      </w:r>
      <w:r w:rsidR="00CF29EB">
        <w:t xml:space="preserve">access to </w:t>
      </w:r>
      <w:r w:rsidR="00055AFB">
        <w:t>diagnos</w:t>
      </w:r>
      <w:r w:rsidR="00271A98">
        <w:t>is</w:t>
      </w:r>
      <w:r w:rsidR="0087393D">
        <w:t xml:space="preserve">, </w:t>
      </w:r>
      <w:r w:rsidR="00CF29EB">
        <w:t xml:space="preserve">treatment, </w:t>
      </w:r>
      <w:r w:rsidR="0060319A">
        <w:t xml:space="preserve">and </w:t>
      </w:r>
      <w:r w:rsidR="00CF29EB">
        <w:t>supportive care</w:t>
      </w:r>
      <w:r w:rsidR="0060319A">
        <w:t xml:space="preserve">. </w:t>
      </w:r>
      <w:r w:rsidR="0046344C">
        <w:t xml:space="preserve"> </w:t>
      </w:r>
      <w:r w:rsidR="00E324FD">
        <w:t>Incorporating aetiological evidence in</w:t>
      </w:r>
      <w:r w:rsidR="0060319A">
        <w:t>to</w:t>
      </w:r>
      <w:r w:rsidR="00E324FD">
        <w:t xml:space="preserve"> the </w:t>
      </w:r>
      <w:r w:rsidR="00271A98">
        <w:t xml:space="preserve">BM </w:t>
      </w:r>
      <w:r w:rsidR="0060319A">
        <w:t>enable</w:t>
      </w:r>
      <w:r w:rsidR="00C934B7">
        <w:t>d</w:t>
      </w:r>
      <w:r w:rsidR="0060319A">
        <w:t xml:space="preserve"> t</w:t>
      </w:r>
      <w:r w:rsidR="00C934B7">
        <w:t>he</w:t>
      </w:r>
      <w:r w:rsidR="0060319A">
        <w:t xml:space="preserve"> </w:t>
      </w:r>
      <w:r w:rsidR="00C97E2C">
        <w:t>estimat</w:t>
      </w:r>
      <w:r w:rsidR="0060319A">
        <w:t>ion</w:t>
      </w:r>
      <w:r w:rsidR="00C97E2C">
        <w:t xml:space="preserve"> of the </w:t>
      </w:r>
      <w:r w:rsidR="00B6720C">
        <w:t>additional burden of B</w:t>
      </w:r>
      <w:r w:rsidR="00C97E2C">
        <w:t>urkitt lymphoma and Kaposi sarcoma</w:t>
      </w:r>
      <w:r w:rsidR="00196158">
        <w:t>; similar adjustments</w:t>
      </w:r>
      <w:r w:rsidR="0060319A">
        <w:t xml:space="preserve"> could be applied to other cancers</w:t>
      </w:r>
      <w:r w:rsidR="00196158">
        <w:t>,</w:t>
      </w:r>
      <w:r w:rsidR="0060319A">
        <w:t xml:space="preserve"> </w:t>
      </w:r>
      <w:r w:rsidR="00C3779B">
        <w:t>as and when information becomes available</w:t>
      </w:r>
      <w:r w:rsidR="00AE2D0B">
        <w:t>.</w:t>
      </w:r>
    </w:p>
    <w:p w14:paraId="605D6C3E" w14:textId="77777777" w:rsidR="00A067B9" w:rsidRDefault="00A067B9">
      <w:r>
        <w:br w:type="page"/>
      </w:r>
    </w:p>
    <w:p w14:paraId="7B0E6142" w14:textId="2F1C6801" w:rsidR="00E13573" w:rsidRDefault="00E13573" w:rsidP="004C5EB2">
      <w:r>
        <w:lastRenderedPageBreak/>
        <w:t>Key words (max 10)</w:t>
      </w:r>
      <w:r w:rsidR="00A2620D">
        <w:t>:</w:t>
      </w:r>
      <w:r w:rsidR="00AA0799">
        <w:t xml:space="preserve"> </w:t>
      </w:r>
    </w:p>
    <w:p w14:paraId="72F2D5BA" w14:textId="1B5D2B28" w:rsidR="00DF1460" w:rsidRDefault="005149B0" w:rsidP="004C5EB2">
      <w:r>
        <w:t>Childhood cancer</w:t>
      </w:r>
      <w:r w:rsidR="008A0FAC">
        <w:t>;</w:t>
      </w:r>
      <w:r>
        <w:t xml:space="preserve"> incidence</w:t>
      </w:r>
      <w:r w:rsidR="008A0FAC">
        <w:t>;</w:t>
      </w:r>
      <w:r>
        <w:t xml:space="preserve"> </w:t>
      </w:r>
      <w:r w:rsidR="00CF29EB">
        <w:t>estimates</w:t>
      </w:r>
      <w:r w:rsidR="008A0FAC">
        <w:t>;</w:t>
      </w:r>
      <w:r w:rsidR="00CF29EB">
        <w:t xml:space="preserve"> global</w:t>
      </w:r>
      <w:r w:rsidR="008A0FAC">
        <w:t>;</w:t>
      </w:r>
      <w:r w:rsidR="00CF29EB">
        <w:t xml:space="preserve"> </w:t>
      </w:r>
      <w:r w:rsidR="00C97E2C">
        <w:t>cancer registry</w:t>
      </w:r>
      <w:r w:rsidR="008A0FAC">
        <w:t>;</w:t>
      </w:r>
      <w:r w:rsidR="00C97E2C">
        <w:t xml:space="preserve"> Burkitt lymphoma</w:t>
      </w:r>
      <w:r w:rsidR="008A0FAC">
        <w:t>;</w:t>
      </w:r>
      <w:r w:rsidR="00C97E2C">
        <w:t xml:space="preserve"> Kaposi sarcoma</w:t>
      </w:r>
      <w:r w:rsidR="008A0FAC">
        <w:t>;</w:t>
      </w:r>
      <w:r w:rsidR="00C97E2C">
        <w:t xml:space="preserve"> global estimate</w:t>
      </w:r>
      <w:r w:rsidR="00EE0DF3">
        <w:t>s</w:t>
      </w:r>
    </w:p>
    <w:p w14:paraId="76F9D728" w14:textId="77777777" w:rsidR="00D836E1" w:rsidRDefault="00D836E1" w:rsidP="004C5EB2"/>
    <w:p w14:paraId="69C017EF" w14:textId="77777777" w:rsidR="00E13573" w:rsidRDefault="00E13573" w:rsidP="004C5EB2">
      <w:r>
        <w:t>Acknowledgements</w:t>
      </w:r>
      <w:r w:rsidR="00A2620D">
        <w:t>:</w:t>
      </w:r>
    </w:p>
    <w:p w14:paraId="3BC517A2" w14:textId="77777777" w:rsidR="00103A14" w:rsidRDefault="00E13573" w:rsidP="004C5EB2">
      <w:r>
        <w:t>Funding source</w:t>
      </w:r>
      <w:r w:rsidR="00103A14">
        <w:t>s</w:t>
      </w:r>
      <w:r w:rsidR="00A42DEB">
        <w:t>:</w:t>
      </w:r>
      <w:r w:rsidR="00755B3E">
        <w:t xml:space="preserve"> </w:t>
      </w:r>
    </w:p>
    <w:p w14:paraId="10F61FCE" w14:textId="41D1214C" w:rsidR="00103A14" w:rsidRDefault="00755B3E" w:rsidP="004C5EB2">
      <w:r>
        <w:t>Federal Office for Radiation Protection (</w:t>
      </w:r>
      <w:proofErr w:type="spellStart"/>
      <w:r>
        <w:t>BfS</w:t>
      </w:r>
      <w:proofErr w:type="spellEnd"/>
      <w:r>
        <w:t>)</w:t>
      </w:r>
      <w:r w:rsidR="00F35F1A">
        <w:t>, Germany,</w:t>
      </w:r>
      <w:r>
        <w:t xml:space="preserve"> contract 3614S30041</w:t>
      </w:r>
      <w:r w:rsidR="004943BA">
        <w:t xml:space="preserve"> </w:t>
      </w:r>
    </w:p>
    <w:p w14:paraId="09631627" w14:textId="03342548" w:rsidR="00E13573" w:rsidRDefault="00B103CD" w:rsidP="004C5EB2">
      <w:proofErr w:type="spellStart"/>
      <w:r>
        <w:t>Bloodwise</w:t>
      </w:r>
      <w:proofErr w:type="spellEnd"/>
      <w:r w:rsidR="00F35F1A">
        <w:t>, United Kingdom, grant number</w:t>
      </w:r>
      <w:r>
        <w:t xml:space="preserve"> 15037</w:t>
      </w:r>
    </w:p>
    <w:p w14:paraId="415352C0" w14:textId="77777777" w:rsidR="00F66ECA" w:rsidRDefault="00F66ECA" w:rsidP="00C2040D"/>
    <w:p w14:paraId="45A25134" w14:textId="1640719D" w:rsidR="00C2040D" w:rsidRDefault="00C2040D" w:rsidP="00C2040D">
      <w:r>
        <w:t>Disclaimer:</w:t>
      </w:r>
    </w:p>
    <w:p w14:paraId="39557FFB" w14:textId="6C4E4334" w:rsidR="004C5EB2" w:rsidRDefault="00C2040D" w:rsidP="00C2040D">
      <w:r>
        <w:t>Where authors are identified as personnel of the International Agency for Research on Cancer / World Health Organization, the authors alone are responsible for the views expressed in this article and they do not necessarily represent the decisions, policy or views of the International Agency for Research on Cancer / World Health Organization.</w:t>
      </w:r>
    </w:p>
    <w:p w14:paraId="1175223F" w14:textId="5FBE1301" w:rsidR="008A0FAC" w:rsidRDefault="008A0FAC" w:rsidP="00C2040D"/>
    <w:p w14:paraId="19EBF19F" w14:textId="467BE1AF" w:rsidR="00846722" w:rsidRDefault="00846722" w:rsidP="00C2040D">
      <w:r>
        <w:t>Conflicts of interest: None</w:t>
      </w:r>
    </w:p>
    <w:p w14:paraId="2DC6EC71" w14:textId="77777777" w:rsidR="00846722" w:rsidRDefault="00846722" w:rsidP="00C2040D"/>
    <w:p w14:paraId="496FBD5F" w14:textId="706A4536" w:rsidR="008A0FAC" w:rsidRDefault="008A0FAC" w:rsidP="00C2040D">
      <w:r>
        <w:t>Authorship contribution</w:t>
      </w:r>
      <w:r w:rsidR="00846722">
        <w:t>s</w:t>
      </w:r>
      <w:r>
        <w:t>:</w:t>
      </w:r>
    </w:p>
    <w:p w14:paraId="3DF914D6" w14:textId="49229B23" w:rsidR="00846722" w:rsidRDefault="002854BA" w:rsidP="00C2040D">
      <w:r>
        <w:t>ER and JS conceived the study;</w:t>
      </w:r>
      <w:r w:rsidR="00B40287">
        <w:t xml:space="preserve"> </w:t>
      </w:r>
      <w:r w:rsidR="00846722">
        <w:t>WTJ</w:t>
      </w:r>
      <w:r>
        <w:t xml:space="preserve"> undertook the analyses;</w:t>
      </w:r>
      <w:r w:rsidR="00B40287">
        <w:t xml:space="preserve"> </w:t>
      </w:r>
      <w:r w:rsidR="003267D3">
        <w:t xml:space="preserve">WTJ and ER wrote the manuscript; </w:t>
      </w:r>
      <w:r>
        <w:t>FE, RN, ES-F and JS critiqued the analyses and manuscript</w:t>
      </w:r>
      <w:r w:rsidR="00B40287">
        <w:t xml:space="preserve">.  </w:t>
      </w:r>
      <w:r w:rsidR="00846722">
        <w:t>All authors read and approved the final manuscript.</w:t>
      </w:r>
    </w:p>
    <w:p w14:paraId="31D938AD" w14:textId="058032B6" w:rsidR="00846722" w:rsidRDefault="00846722" w:rsidP="00C2040D"/>
    <w:p w14:paraId="605A34DE" w14:textId="77777777" w:rsidR="002854BA" w:rsidRDefault="002854BA" w:rsidP="00C2040D">
      <w:bookmarkStart w:id="0" w:name="_GoBack"/>
      <w:bookmarkEnd w:id="0"/>
    </w:p>
    <w:p w14:paraId="001C3EEE" w14:textId="4BB34E61" w:rsidR="00846722" w:rsidRDefault="00846722" w:rsidP="00C2040D"/>
    <w:p w14:paraId="624E3BC2" w14:textId="77777777" w:rsidR="002854BA" w:rsidRDefault="002854BA">
      <w:r>
        <w:br w:type="page"/>
      </w:r>
    </w:p>
    <w:p w14:paraId="6D855C59" w14:textId="7FAB1B96" w:rsidR="00846722" w:rsidRDefault="00846722" w:rsidP="00846722">
      <w:r>
        <w:lastRenderedPageBreak/>
        <w:t>Abbreviations:</w:t>
      </w:r>
    </w:p>
    <w:p w14:paraId="7331B246" w14:textId="77777777" w:rsidR="00846722" w:rsidRDefault="00846722" w:rsidP="00846722">
      <w:r>
        <w:t>SEER – Surveillance, Epidemiology and End Results program</w:t>
      </w:r>
    </w:p>
    <w:p w14:paraId="54912875" w14:textId="77777777" w:rsidR="00846722" w:rsidRDefault="00846722" w:rsidP="00846722">
      <w:r>
        <w:t>IICC-3 – International incidence of childhood cancer study, 3</w:t>
      </w:r>
      <w:r w:rsidRPr="00040B78">
        <w:rPr>
          <w:vertAlign w:val="superscript"/>
        </w:rPr>
        <w:t>rd</w:t>
      </w:r>
      <w:r>
        <w:t xml:space="preserve"> volume</w:t>
      </w:r>
    </w:p>
    <w:p w14:paraId="5FC9E240" w14:textId="77777777" w:rsidR="00846722" w:rsidRDefault="00846722" w:rsidP="00846722">
      <w:r>
        <w:t>ICCC-3 – International classification of childhood cancer, 3</w:t>
      </w:r>
      <w:r w:rsidRPr="00040B78">
        <w:rPr>
          <w:vertAlign w:val="superscript"/>
        </w:rPr>
        <w:t>rd</w:t>
      </w:r>
      <w:r>
        <w:t xml:space="preserve"> edition</w:t>
      </w:r>
    </w:p>
    <w:p w14:paraId="5EF9919B" w14:textId="77777777" w:rsidR="00846722" w:rsidRDefault="00846722" w:rsidP="00846722">
      <w:r>
        <w:t>ICD-10 – International classification of diseases, 10</w:t>
      </w:r>
      <w:r w:rsidRPr="00870C6E">
        <w:rPr>
          <w:vertAlign w:val="superscript"/>
        </w:rPr>
        <w:t>th</w:t>
      </w:r>
      <w:r>
        <w:t xml:space="preserve"> Revision</w:t>
      </w:r>
    </w:p>
    <w:p w14:paraId="2753D7C7" w14:textId="77777777" w:rsidR="00846722" w:rsidRPr="00EE0DF3" w:rsidRDefault="00846722" w:rsidP="00846722">
      <w:pPr>
        <w:rPr>
          <w:lang w:val="da-DK"/>
        </w:rPr>
      </w:pPr>
      <w:r w:rsidRPr="00EE0DF3">
        <w:rPr>
          <w:lang w:val="da-DK"/>
        </w:rPr>
        <w:t>BL – Burkitt lymphoma</w:t>
      </w:r>
    </w:p>
    <w:p w14:paraId="5689B96B" w14:textId="77777777" w:rsidR="00846722" w:rsidRPr="00EE0DF3" w:rsidRDefault="00846722" w:rsidP="00846722">
      <w:pPr>
        <w:rPr>
          <w:lang w:val="da-DK"/>
        </w:rPr>
      </w:pPr>
      <w:r w:rsidRPr="00EE0DF3">
        <w:rPr>
          <w:lang w:val="da-DK"/>
        </w:rPr>
        <w:t xml:space="preserve">BM – Baseline model </w:t>
      </w:r>
    </w:p>
    <w:p w14:paraId="7C9B2CB0" w14:textId="77777777" w:rsidR="00846722" w:rsidRDefault="00846722" w:rsidP="00846722">
      <w:proofErr w:type="spellStart"/>
      <w:r>
        <w:t>eBL</w:t>
      </w:r>
      <w:proofErr w:type="spellEnd"/>
      <w:r>
        <w:t xml:space="preserve"> – endemic Burkitt lymphoma</w:t>
      </w:r>
    </w:p>
    <w:p w14:paraId="680E4E93" w14:textId="77777777" w:rsidR="00846722" w:rsidRDefault="00846722" w:rsidP="00846722">
      <w:r>
        <w:t>EBV – Epstein-Barr virus</w:t>
      </w:r>
    </w:p>
    <w:p w14:paraId="07E95A50" w14:textId="77777777" w:rsidR="00846722" w:rsidRDefault="00846722" w:rsidP="00846722">
      <w:r>
        <w:t xml:space="preserve">HDI – Human development index 2015  </w:t>
      </w:r>
    </w:p>
    <w:p w14:paraId="1E3A5AAC" w14:textId="77777777" w:rsidR="00846722" w:rsidRDefault="00846722" w:rsidP="00846722">
      <w:r>
        <w:t>KS – Kaposi sarcoma</w:t>
      </w:r>
    </w:p>
    <w:p w14:paraId="3FB54762" w14:textId="77777777" w:rsidR="00846722" w:rsidRDefault="00846722" w:rsidP="00846722">
      <w:r>
        <w:t>KSHV – Kaposi sarcoma-associated herpes virus</w:t>
      </w:r>
    </w:p>
    <w:p w14:paraId="28805EB5" w14:textId="77777777" w:rsidR="00846722" w:rsidRDefault="00846722" w:rsidP="00846722">
      <w:r>
        <w:t xml:space="preserve">GCC – Global childhood cancer microsimulation model </w:t>
      </w:r>
    </w:p>
    <w:p w14:paraId="38D2B1F6" w14:textId="550CB5BA" w:rsidR="00846722" w:rsidRDefault="00846722" w:rsidP="00C2040D"/>
    <w:p w14:paraId="63A487F8" w14:textId="77777777" w:rsidR="00846722" w:rsidRDefault="00846722" w:rsidP="00C2040D"/>
    <w:p w14:paraId="6C01F213" w14:textId="77777777" w:rsidR="00C1645C" w:rsidRDefault="00C1645C">
      <w:pPr>
        <w:rPr>
          <w:rFonts w:asciiTheme="majorHAnsi" w:eastAsiaTheme="majorEastAsia" w:hAnsiTheme="majorHAnsi" w:cstheme="majorBidi"/>
          <w:b/>
          <w:sz w:val="32"/>
          <w:szCs w:val="32"/>
        </w:rPr>
      </w:pPr>
      <w:bookmarkStart w:id="1" w:name="_Hlk15899454"/>
      <w:bookmarkStart w:id="2" w:name="_Hlk15995717"/>
      <w:r>
        <w:br w:type="page"/>
      </w:r>
    </w:p>
    <w:p w14:paraId="201B814C" w14:textId="7C3DDADB" w:rsidR="00E13573" w:rsidRPr="00E13573" w:rsidRDefault="004C5EB2" w:rsidP="00C072C2">
      <w:pPr>
        <w:pStyle w:val="Heading1"/>
        <w:numPr>
          <w:ilvl w:val="0"/>
          <w:numId w:val="23"/>
        </w:numPr>
      </w:pPr>
      <w:bookmarkStart w:id="3" w:name="_Hlk20746780"/>
      <w:bookmarkStart w:id="4" w:name="_Hlk20739461"/>
      <w:bookmarkStart w:id="5" w:name="_Hlk20900825"/>
      <w:r>
        <w:lastRenderedPageBreak/>
        <w:t>Introduction</w:t>
      </w:r>
      <w:r w:rsidR="00AA0EE0">
        <w:t xml:space="preserve"> </w:t>
      </w:r>
    </w:p>
    <w:p w14:paraId="773B8D39" w14:textId="150A5B93" w:rsidR="00BC20D0" w:rsidRDefault="005B3B13" w:rsidP="00BC20D0">
      <w:pPr>
        <w:spacing w:after="0" w:line="240" w:lineRule="auto"/>
      </w:pPr>
      <w:r>
        <w:t>W</w:t>
      </w:r>
      <w:r w:rsidR="00FC3CAE">
        <w:t xml:space="preserve">ith </w:t>
      </w:r>
      <w:r w:rsidR="00D82917">
        <w:t>a view to</w:t>
      </w:r>
      <w:r w:rsidR="00762198">
        <w:t xml:space="preserve"> </w:t>
      </w:r>
      <w:r w:rsidR="00D82917">
        <w:t xml:space="preserve">providing </w:t>
      </w:r>
      <w:r w:rsidR="00442FBB">
        <w:t xml:space="preserve">the </w:t>
      </w:r>
      <w:r w:rsidR="00762198">
        <w:t xml:space="preserve">best available </w:t>
      </w:r>
      <w:r w:rsidR="00D82917">
        <w:t xml:space="preserve">information </w:t>
      </w:r>
      <w:r w:rsidR="00982059">
        <w:t>for</w:t>
      </w:r>
      <w:r w:rsidR="00D82917">
        <w:t xml:space="preserve"> </w:t>
      </w:r>
      <w:r w:rsidR="00FC3CAE">
        <w:t xml:space="preserve">researchers and policy-makers, WHO’s International Agency for Research on Cancer (IARC) </w:t>
      </w:r>
      <w:r w:rsidR="00786424">
        <w:t>collate</w:t>
      </w:r>
      <w:r w:rsidR="00CB1DDE">
        <w:t>s</w:t>
      </w:r>
      <w:r w:rsidR="00786424">
        <w:t xml:space="preserve"> </w:t>
      </w:r>
      <w:r w:rsidR="00442FBB">
        <w:t xml:space="preserve">cancer </w:t>
      </w:r>
      <w:r w:rsidR="00FC3CAE">
        <w:t xml:space="preserve">data </w:t>
      </w:r>
      <w:r w:rsidR="00442FBB">
        <w:t>from around the world</w:t>
      </w:r>
      <w:r w:rsidR="00281563">
        <w:t xml:space="preserve">. </w:t>
      </w:r>
      <w:r w:rsidR="00B6720C">
        <w:t>Information on cancer burden observed in areas covered by population-based cancer registries is d</w:t>
      </w:r>
      <w:r w:rsidR="00B96229">
        <w:t>isseminat</w:t>
      </w:r>
      <w:r w:rsidR="00B6720C">
        <w:t>ed</w:t>
      </w:r>
      <w:r w:rsidR="00EF2523">
        <w:t xml:space="preserve"> </w:t>
      </w:r>
      <w:r w:rsidR="00B96229">
        <w:t xml:space="preserve">through </w:t>
      </w:r>
      <w:r w:rsidR="00786424">
        <w:t xml:space="preserve">the Cancer Incidence in Five Continents series </w:t>
      </w:r>
      <w:r w:rsidR="00B6720C">
        <w:t>(</w:t>
      </w:r>
      <w:hyperlink r:id="rId9" w:history="1">
        <w:r w:rsidR="00B6720C" w:rsidRPr="00BA0109">
          <w:rPr>
            <w:rStyle w:val="Hyperlink"/>
          </w:rPr>
          <w:t>http://ci5.iarc.fr</w:t>
        </w:r>
      </w:hyperlink>
      <w:r w:rsidR="00B6720C">
        <w:t>) and International Incidence of Childhood Cancer (</w:t>
      </w:r>
      <w:hyperlink r:id="rId10" w:history="1">
        <w:r w:rsidR="00CB1DDE" w:rsidRPr="002C0F80">
          <w:rPr>
            <w:rStyle w:val="Hyperlink"/>
          </w:rPr>
          <w:t>http://iicc.iarc.fr</w:t>
        </w:r>
      </w:hyperlink>
      <w:r w:rsidR="00CB1DDE">
        <w:t>)</w:t>
      </w:r>
      <w:r w:rsidR="00B6720C">
        <w:t>.</w:t>
      </w:r>
      <w:r w:rsidR="00B6720C" w:rsidRPr="00B6720C">
        <w:t xml:space="preserve"> </w:t>
      </w:r>
      <w:r w:rsidR="00B6720C">
        <w:t xml:space="preserve"> In </w:t>
      </w:r>
      <w:r w:rsidR="00B96229">
        <w:t xml:space="preserve">the </w:t>
      </w:r>
      <w:r w:rsidR="00EE043F">
        <w:t xml:space="preserve">GLOBOCAN </w:t>
      </w:r>
      <w:r w:rsidR="00B96229">
        <w:t>project</w:t>
      </w:r>
      <w:r w:rsidR="00FC3CAE">
        <w:t xml:space="preserve"> (</w:t>
      </w:r>
      <w:hyperlink r:id="rId11" w:history="1">
        <w:r w:rsidR="00FC3CAE" w:rsidRPr="006B7132">
          <w:rPr>
            <w:rStyle w:val="Hyperlink"/>
          </w:rPr>
          <w:t>http://gco.iarc.fr/</w:t>
        </w:r>
      </w:hyperlink>
      <w:r w:rsidR="00FC3CAE" w:rsidRPr="00281563">
        <w:rPr>
          <w:u w:val="single"/>
        </w:rPr>
        <w:t>)</w:t>
      </w:r>
      <w:r w:rsidR="00281563" w:rsidRPr="00281563">
        <w:t xml:space="preserve"> IARC</w:t>
      </w:r>
      <w:r w:rsidR="00281563">
        <w:t xml:space="preserve"> </w:t>
      </w:r>
      <w:r w:rsidR="006E185B">
        <w:t>uses a variety of increasingly sophisticated methods</w:t>
      </w:r>
      <w:r w:rsidR="006E185B" w:rsidRPr="00281563">
        <w:t xml:space="preserve"> </w:t>
      </w:r>
      <w:r w:rsidR="006E185B">
        <w:t xml:space="preserve">to </w:t>
      </w:r>
      <w:r w:rsidR="001534E3">
        <w:t xml:space="preserve">estimate incidence </w:t>
      </w:r>
      <w:r w:rsidR="00325060">
        <w:t xml:space="preserve">in </w:t>
      </w:r>
      <w:r w:rsidR="001534E3">
        <w:t xml:space="preserve">countries, UN regions and the world </w:t>
      </w:r>
      <w:r w:rsidR="001534E3" w:rsidRPr="00281563">
        <w:fldChar w:fldCharType="begin"/>
      </w:r>
      <w:r w:rsidR="00124231">
        <w:instrText xml:space="preserve"> ADDIN ZOTERO_ITEM CSL_CITATION {"citationID":"bRs4Oqcr","properties":{"formattedCitation":"[1,2]","plainCitation":"[1,2]","noteIndex":0},"citationItems":[{"id":11591,"uris":["http://zotero.org/groups/23637/items/5Z9F9FD2"],"uri":["http://zotero.org/groups/23637/items/5Z9F9FD2"],"itemData":{"id":11591,"type":"article-journal","abstract":"Estimates of the worldwide incidence and mortality from 36 cancers and for all cancers combined for the year 2018 are now available in the GLOBOCAN 2018 database, compiled and disseminated by the International Agency for Research on Cancer (IARC). This paper reviews the sources and methods used in compiling the cancer statistics in 185 countries. The validity of the national estimates depends upon the representativeness of the source information, and to take into account possible sources of bias, uncertainty intervals are now provided for the estimated sex- and site-specific all-ages number of new cancer cases and cancer deaths. We briefly describe the key results globally and by world region. There were an estimated 18.1 million (95% UI: 17.5–18.7 million) new cases of cancer (17 million excluding non-melanoma skin cancer) and 9.6 million (95% UI: 9.3–9.8 million) deaths from cancer (9.5 million excluding non-melanoma skin cancer) worldwide in 2018.","container-title":"International Journal of Cancer","DOI":"10.1002/ijc.31937","ISSN":"1097-0215","issue":"8","language":"en","page":"1941-1953","source":"Wiley Online Library","title":"Estimating the global cancer incidence and mortality in 2018: GLOBOCAN sources and methods","title-short":"Estimating the global cancer incidence and mortality in 2018","volume":"144","author":[{"family":"Ferlay","given":"J."},{"family":"Colombet","given":"M."},{"family":"Soerjomataram","given":"I."},{"family":"Mathers","given":"C."},{"family":"Parkin","given":"D. M."},{"family":"Piñeros","given":"M."},{"family":"Znaor","given":"A."},{"family":"Bray","given":"F."}],"issued":{"date-parts":[["2019"]]}},"label":"page"},{"id":12407,"uris":["http://zotero.org/groups/23637/items/BBAIEJHS"],"uri":["http://zotero.org/groups/23637/items/BBAIEJHS"],"itemData":{"id":12407,"type":"book","language":"English","note":"OCLC: 931908829","source":"Open WorldCat","title":"International Agency for Research on Cancer: the first 50 years, 1965-2015","title-short":"International Agency for Research on Cancer","URL":"http://www.iarc.fr/en/publications/books/iarc50/","author":[{"family":"Saracci","given":"Rodolfo"},{"family":"Wild","given":"Chris"},{"literal":"International Agency for Research on Cancer"}],"accessed":{"date-parts":[["2019",7,3]]},"issued":{"date-parts":[["2015"]]}},"label":"page"}],"schema":"https://github.com/citation-style-language/schema/raw/master/csl-citation.json"} </w:instrText>
      </w:r>
      <w:r w:rsidR="001534E3" w:rsidRPr="00281563">
        <w:fldChar w:fldCharType="separate"/>
      </w:r>
      <w:r w:rsidR="00657382" w:rsidRPr="00657382">
        <w:rPr>
          <w:rFonts w:ascii="Calibri" w:hAnsi="Calibri" w:cs="Calibri"/>
        </w:rPr>
        <w:t>[1,2]</w:t>
      </w:r>
      <w:r w:rsidR="001534E3" w:rsidRPr="00281563">
        <w:fldChar w:fldCharType="end"/>
      </w:r>
      <w:r w:rsidR="00325060">
        <w:t xml:space="preserve"> for cancer sites defined by the International Classification of Diseases (ICD-10)</w:t>
      </w:r>
      <w:r w:rsidR="00D4079C">
        <w:fldChar w:fldCharType="begin"/>
      </w:r>
      <w:r w:rsidR="00124231">
        <w:instrText xml:space="preserve"> ADDIN ZOTERO_ITEM CSL_CITATION {"citationID":"ic2a0hzK","properties":{"formattedCitation":"[3]","plainCitation":"[3]","noteIndex":0},"citationItems":[{"id":4095,"uris":["http://zotero.org/groups/23637/items/BZEX2NA8"],"uri":["http://zotero.org/groups/23637/items/BZEX2NA8"],"itemData":{"id":4095,"type":"book","edition":"Tenth Revision","event-place":"Geneva, Switzerland","publisher":"World Health Organization","publisher-place":"Geneva, Switzerland","title":"International Statistical Classification of Diseases and Related Health Problems, ICD-10.","author":[{"family":"World Health Organization","given":""}],"issued":{"date-parts":[["1992"]]}}}],"schema":"https://github.com/citation-style-language/schema/raw/master/csl-citation.json"} </w:instrText>
      </w:r>
      <w:r w:rsidR="00D4079C">
        <w:fldChar w:fldCharType="separate"/>
      </w:r>
      <w:r w:rsidR="00D4079C" w:rsidRPr="00D4079C">
        <w:rPr>
          <w:rFonts w:ascii="Calibri" w:hAnsi="Calibri" w:cs="Calibri"/>
        </w:rPr>
        <w:t>[3]</w:t>
      </w:r>
      <w:r w:rsidR="00D4079C">
        <w:fldChar w:fldCharType="end"/>
      </w:r>
      <w:r w:rsidR="001534E3">
        <w:t xml:space="preserve">. </w:t>
      </w:r>
      <w:r w:rsidR="00281563">
        <w:t xml:space="preserve"> </w:t>
      </w:r>
      <w:r w:rsidRPr="00281563">
        <w:t xml:space="preserve">Quantifying </w:t>
      </w:r>
      <w:r w:rsidR="00870C6E">
        <w:t>global and regional</w:t>
      </w:r>
      <w:r w:rsidR="00B103CD">
        <w:t xml:space="preserve"> cancer </w:t>
      </w:r>
      <w:r w:rsidR="0072040C">
        <w:t xml:space="preserve">incidence </w:t>
      </w:r>
      <w:r>
        <w:t>is, however, challenging</w:t>
      </w:r>
      <w:r w:rsidR="00B86945">
        <w:t>, since</w:t>
      </w:r>
      <w:r w:rsidR="00442FBB">
        <w:t xml:space="preserve"> </w:t>
      </w:r>
      <w:r>
        <w:t xml:space="preserve">the majority of the world’s population </w:t>
      </w:r>
      <w:r w:rsidR="00F023E6">
        <w:t>is</w:t>
      </w:r>
      <w:r>
        <w:t xml:space="preserve"> not adequately covered by vital registration</w:t>
      </w:r>
      <w:r w:rsidR="00CB1DDE">
        <w:t xml:space="preserve">, </w:t>
      </w:r>
      <w:r>
        <w:t>cancer surveillance systems</w:t>
      </w:r>
      <w:r w:rsidR="00CB1DDE">
        <w:t xml:space="preserve"> or both</w:t>
      </w:r>
      <w:r w:rsidR="006E185B">
        <w:t xml:space="preserve">; the </w:t>
      </w:r>
      <w:r>
        <w:t>e</w:t>
      </w:r>
      <w:r w:rsidR="006E185B">
        <w:t>vidence</w:t>
      </w:r>
      <w:r>
        <w:t xml:space="preserve"> suggesting that around two-thirds live in countries with incomplete death/birth notification and three-quarters in countries with no cancer registration </w:t>
      </w:r>
      <w:r>
        <w:fldChar w:fldCharType="begin"/>
      </w:r>
      <w:r w:rsidR="00124231">
        <w:instrText xml:space="preserve"> ADDIN ZOTERO_ITEM CSL_CITATION {"citationID":"ipuyGQb2","properties":{"formattedCitation":"[1,4\\uc0\\u8211{}6]","plainCitation":"[1,4–6]","noteIndex":0},"citationItems":[{"id":11748,"uris":["http://zotero.org/groups/23637/items/Y9ZC7BVD"],"uri":["http://zotero.org/groups/23637/items/Y9ZC7BVD"],"itemData":{"id":11748,"type":"article-journal","abstract":"&lt;h2&gt;Summary&lt;/h2&gt;&lt;p&gt;New momentum for civil registration and vital statistics (CRVS) is building, driven by the confluence of growing demands for accountability and results in health, improved equity, and rights-based approaches to development challenges, and by the immense potential of innovation and new technologies to accelerate CRVS improvement. Examples of country successes in strengthening of hitherto weak systems are emerging. The key to success has been to build collaborative partnerships involving local ownership by several sectors that span registration, justice, health, statistics, and civil society. Regional partners can be important to raise awareness, set regional goals and targets, foster country-to-country exchange and mutual learning, and build high-level political commitment. These regional partners continue to provide a platform through which country stakeholders, development partners, and technical experts can share experiences, develop and document good practices, and propose innovative approaches to tackle CRVS challenges. This country and regional momentum would benefit from global leadership, commitment, and support.&lt;/p&gt;","container-title":"The Lancet","DOI":"10.1016/S0140-6736(15)60173-8","ISSN":"0140-6736, 1474-547X","issue":"10001","journalAbbreviation":"The Lancet","language":"English","note":"PMID: 25971224","page":"1373-1385","source":"www.thelancet.com","title":"Civil registration and vital statistics: progress in the data revolution for counting and accountability","title-short":"Civil registration and vital statistics","volume":"386","author":[{"family":"AbouZahr","given":"Carla"},{"family":"Savigny","given":"Don","dropping-particle":"de"},{"family":"Mikkelsen","given":"Lene"},{"family":"Setel","given":"Philip W."},{"family":"Lozano","given":"Rafael"},{"family":"Nichols","given":"Erin"},{"family":"Notzon","given":"Francis"},{"family":"Lopez","given":"Alan D."}],"issued":{"date-parts":[["2015",10,3]]}},"label":"page"},{"id":11591,"uris":["http://zotero.org/groups/23637/items/5Z9F9FD2"],"uri":["http://zotero.org/groups/23637/items/5Z9F9FD2"],"itemData":{"id":11591,"type":"article-journal","abstract":"Estimates of the worldwide incidence and mortality from 36 cancers and for all cancers combined for the year 2018 are now available in the GLOBOCAN 2018 database, compiled and disseminated by the International Agency for Research on Cancer (IARC). This paper reviews the sources and methods used in compiling the cancer statistics in 185 countries. The validity of the national estimates depends upon the representativeness of the source information, and to take into account possible sources of bias, uncertainty intervals are now provided for the estimated sex- and site-specific all-ages number of new cancer cases and cancer deaths. We briefly describe the key results globally and by world region. There were an estimated 18.1 million (95% UI: 17.5–18.7 million) new cases of cancer (17 million excluding non-melanoma skin cancer) and 9.6 million (95% UI: 9.3–9.8 million) deaths from cancer (9.5 million excluding non-melanoma skin cancer) worldwide in 2018.","container-title":"International Journal of Cancer","DOI":"10.1002/ijc.31937","ISSN":"1097-0215","issue":"8","language":"en","page":"1941-1953","source":"Wiley Online Library","title":"Estimating the global cancer incidence and mortality in 2018: GLOBOCAN sources and methods","title-short":"Estimating the global cancer incidence and mortality in 2018","volume":"144","author":[{"family":"Ferlay","given":"J."},{"family":"Colombet","given":"M."},{"family":"Soerjomataram","given":"I."},{"family":"Mathers","given":"C."},{"family":"Parkin","given":"D. M."},{"family":"Piñeros","given":"M."},{"family":"Znaor","given":"A."},{"family":"Bray","given":"F."}],"issued":{"date-parts":[["2019"]]}},"label":"page"},{"id":11470,"uris":["http://zotero.org/groups/23637/items/T4LRLRGW"],"uri":["http://zotero.org/groups/23637/items/T4LRLRGW"],"itemData":{"id":11470,"type":"article-journal","abstract":"&lt;h2&gt;Summary&lt;/h2&gt;&lt;p&gt;Patterns of cancer incidence across the world have undergone substantial changes as a result of industrialisation and economic development. However, the economies of most countries remain at an early or intermediate stage of development—these stages are characterised by poverty, too few health-care providers, weak health systems, and poor access to education, modern technology, and health care because of scattered rural populations. Low-income and middle-income countries also have younger populations and therefore a larger proportion of children with cancer than high-income countries. Most of these children die from the disease. Chronic infections, which remain the most common causes of disease-related death in all except high-income countries, can also be major risk factors for childhood cancer in poorer regions. We discuss childhood cancer in relation to global development and propose strategies that could result in improved survival. Education of the public, more and better-trained health professionals, strengthened cancer services, locally relevant research, regional hospital networks, international collaboration, and health insurance are all essential components of an enhanced model of care.&lt;/p&gt;","container-title":"The Lancet Oncology","DOI":"10.1016/S1470-2045(13)70008-1","ISSN":"1470-2045, 1474-5488","issue":"3","journalAbbreviation":"The Lancet Oncology","language":"English","note":"PMID: 23434340","page":"e104-e116","source":"www.thelancet.com","title":"Paediatric cancer in low-income and middle-income countries","volume":"14","author":[{"family":"Magrath","given":"Ian"},{"family":"Steliarova-Foucher","given":"Eva"},{"family":"Epelman","given":"Sidnei"},{"family":"Ribeiro","given":"Raul C."},{"family":"Harif","given":"Mhamed"},{"family":"Li","given":"Chi-Kong"},{"family":"Kebudi","given":"Rejin"},{"family":"Macfarlane","given":"Scott D."},{"family":"Howard","given":"Scott C."}],"issued":{"date-parts":[["2013",3,1]]}},"label":"page"},{"id":11735,"uris":["http://zotero.org/groups/23637/items/XBYZ5N6W"],"uri":["http://zotero.org/groups/23637/items/XBYZ5N6W"],"itemData":{"id":11735,"type":"article-journal","abstract":"&lt;h2&gt;Summary&lt;/h2&gt;&lt;p&gt;Increasing demand for better quality data and more investment to strengthen civil registration and vital statistics (CRVS) systems will require increased emphasis on objective, comparable, cost-effective monitoring and assessment methods to measure progress. We apply a composite index (the vital statistics performance index [VSPI]) to assess the performance of CRVS systems in 148 countries or territories during 1980–2012 and classify them into five distinct performance categories, ranging from rudimentary (with scores close to zero) to satisfactory (with scores close to one), with a mean VSPI score since 2005 of 0·61 (SD 0·31). As expected, the best performing systems were mostly in the European region, the Americas, and Australasia, with only two countries from east Asia and Latin America. Most low-scoring countries were in the African or Asian regions. Globally, only modest progress has been made since 2000, with the percentage of deaths registered increasing from 36% to 38%, and the percentage of children aged under 5 years whose birth has been registered increasing from 58% to 65%. However, several individual countries have made substantial improvements to their CRVS systems in the past 30 years by capturing more deaths and improving accuracy of cause-of-death information. Future monitoring of the effects of CRVS strengthening will greatly benefit from application of a metric like the VSPI, which is objective, costless to compute, and able to identify components of the system that make the largest contributions to good or poor performance.&lt;/p&gt;","container-title":"The Lancet","DOI":"10.1016/S0140-6736(15)60171-4","ISSN":"0140-6736, 1474-547X","issue":"10001","journalAbbreviation":"The Lancet","language":"English","note":"PMID: 25971218","page":"1395-1406","source":"www.thelancet.com","title":"A global assessment of civil registration and vital statistics systems: monitoring data quality and progress","title-short":"A global assessment of civil registration and vital statistics systems","volume":"386","author":[{"family":"Mikkelsen","given":"Lene"},{"family":"Phillips","given":"David E."},{"family":"AbouZahr","given":"Carla"},{"family":"Setel","given":"Philip W."},{"family":"Savigny","given":"Don","dropping-particle":"de"},{"family":"Lozano","given":"Rafael"},{"family":"Lopez","given":"Alan D."}],"issued":{"date-parts":[["2015",10,3]]}},"label":"page"}],"schema":"https://github.com/citation-style-language/schema/raw/master/csl-citation.json"} </w:instrText>
      </w:r>
      <w:r>
        <w:fldChar w:fldCharType="separate"/>
      </w:r>
      <w:r w:rsidR="002C77B6" w:rsidRPr="002C77B6">
        <w:rPr>
          <w:rFonts w:ascii="Calibri" w:hAnsi="Calibri" w:cs="Calibri"/>
          <w:szCs w:val="24"/>
        </w:rPr>
        <w:t>[1,4–6]</w:t>
      </w:r>
      <w:r>
        <w:fldChar w:fldCharType="end"/>
      </w:r>
      <w:r>
        <w:t>.</w:t>
      </w:r>
    </w:p>
    <w:p w14:paraId="724E0C6D" w14:textId="77777777" w:rsidR="005A0E8C" w:rsidRDefault="005A0E8C" w:rsidP="00BC20D0">
      <w:pPr>
        <w:spacing w:after="0" w:line="240" w:lineRule="auto"/>
      </w:pPr>
    </w:p>
    <w:p w14:paraId="7AD223A6" w14:textId="30E612BC" w:rsidR="009679A1" w:rsidRDefault="002C77B6" w:rsidP="00A71D2B">
      <w:pPr>
        <w:spacing w:after="0" w:line="240" w:lineRule="auto"/>
      </w:pPr>
      <w:r>
        <w:t>G</w:t>
      </w:r>
      <w:r w:rsidR="005A0E8C">
        <w:t>lobally,</w:t>
      </w:r>
      <w:r w:rsidR="00BC20D0">
        <w:t xml:space="preserve"> </w:t>
      </w:r>
      <w:r w:rsidR="005A0E8C">
        <w:t xml:space="preserve">childhood cancer </w:t>
      </w:r>
      <w:r w:rsidR="00BC20D0">
        <w:t>is a</w:t>
      </w:r>
      <w:r w:rsidR="005A0E8C">
        <w:t xml:space="preserve"> </w:t>
      </w:r>
      <w:r w:rsidR="00BC20D0">
        <w:t>significant</w:t>
      </w:r>
      <w:r w:rsidR="005A0E8C">
        <w:t>, but comparatively neglected,</w:t>
      </w:r>
      <w:r w:rsidR="00BC20D0">
        <w:t xml:space="preserve"> cause of morbidity and mortality </w:t>
      </w:r>
      <w:r w:rsidR="00BC20D0">
        <w:fldChar w:fldCharType="begin"/>
      </w:r>
      <w:r w:rsidR="00124231">
        <w:instrText xml:space="preserve"> ADDIN ZOTERO_ITEM CSL_CITATION {"citationID":"jfjilZgL","properties":{"formattedCitation":"[7,8]","plainCitation":"[7,8]","noteIndex":0},"citationItems":[{"id":10874,"uris":["http://zotero.org/groups/23637/items/BU8VDH5R"],"uri":["http://zotero.org/groups/23637/items/BU8VDH5R"],"itemData":{"id":10874,"type":"article-journal","abstract":"Summary\n5-year net survival of children and adolescents diagnosed with cancer is approximately 80% in many high-income countries. This estimate is encouraging as it shows the substantial progress that has been made in the diagnosis and treatment of childhood cancer. Unfortunately, scarce data are available for low-income and middle-income countries (LMICs), where nearly 90% of children with cancer reside, suggesting that global survival estimates are substantially worse in these regions. As LMICs are undergoing a rapid epidemiological transition, with a shifting burden from infectious diseases to non-communicable diseases, cancer care for all ages has become a global focus. To improve outcomes for children and adolescents diagnosed with cancer worldwide, an accurate appraisal of the global burden of childhood cancer is a necessary first step. In this Review, we analyse four studies of the global cancer burden that included data for children and adolescents. Each study used various overlapping and non-overlapping statistical approaches and outcome metrics. Moreover, to provide guidance on improving future estimates of the childhood global cancer burden, we propose several recommendations to strengthen data collection and standardise analyses. Ultimately, these data could help stakeholders to develop plans for national and institutional cancer programmes, with the overall aim of helping to reduce the global burden of cancer in children and adolescents.","container-title":"The Lancet Oncology","DOI":"10.1016/S1470-2045(18)30761-7","ISSN":"1470-2045","issue":"1","journalAbbreviation":"The Lancet Oncology","page":"e42-e53","source":"ScienceDirect","title":"Childhood cancer burden: a review of global estimates","title-short":"Childhood cancer burden","volume":"20","author":[{"family":"Bhakta","given":"Nickhill"},{"family":"Force","given":"Lisa M"},{"family":"Allemani","given":"Claudia"},{"family":"Atun","given":"Rifat"},{"family":"Bray","given":"Freddie"},{"family":"Coleman","given":"Michel P"},{"family":"Steliarova-Foucher","given":"Eva"},{"family":"Frazier","given":"A Lindsay"},{"family":"Robison","given":"Leslie L"},{"family":"Rodriguez-Galindo","given":"Carlos"},{"family":"Fitzmaurice","given":"Christina"}],"issued":{"date-parts":[["2019",1,1]]}}},{"id":11466,"uris":["http://zotero.org/groups/23637/items/6XFJR4DR"],"uri":["http://zotero.org/groups/23637/items/6XFJR4DR"],"itemData":{"id":11466,"type":"article-journal","abstract":"&lt;h2&gt;Summary&lt;/h2&gt;&lt;p&gt;Cancer in children and adolescents is rare and biologically very different from cancer in adults. It accounts for 1·4% of all cancers worldwide, although this proportion ranges from 0·5% in Europe to 4·8% in Africa, largely because of differences in age composition and life expectancy. In high-income countries, survival from childhood cancer has reached 80% through a continuous focus on the integration of clinical research into front-line care for nearly all children affected by malignant disease. However, further improvement must entail new biology-driven approaches, since optimisation of conventional treatments has in many cases reached its limits. In many instances, such approaches can only be achieved through international collaborative research, since rare cancers are being subdivided into increasingly smaller subgroups on the basis of their molecular characteristics. The long-term effect of anticancer treatment on quality of life must also be taken into account because more than one in 1000 adults in high-income countries are thought to be survivors of cancer in childhood or adolescence. The introduction of drugs that are less toxic and more targeted than those currently used necessitates a partnership between clinical and translational researchers, the pharmaceutical industry, drug regulators, and patients and their families. This therapeutic alliance will ensure that efforts are focused on the unmet clinical needs of young people with cancer. Most children with cancer live in low-income and middle-income countries, and these countries account for 94% of all deaths from cancer in people aged 0–14 years. The immediate priority for these children is to improve access to an affordable, best standard of care in each country. Every country should have a national cancer plan that recognises the unique demographic characteristics and care needs of young people with cancer. Centralisation of the complex components of treatment of these rare diseases is essential to improve survival, accelerate research, and train the future specialist workforce. Referral routes and care pathways must take account of the large geographical distances between many patients' homes and treatment centres, and the economic, cultural, and linguistic diversity of the populations served.&lt;/p&gt;","container-title":"The Lancet Oncology","DOI":"10.1016/S1470-2045(13)70010-X","ISSN":"1470-2045, 1474-5488","issue":"3","journalAbbreviation":"The Lancet Oncology","language":"English","note":"PMID: 23434338","page":"e95-e103","source":"www.thelancet.com","title":"Sustaining innovation and improvement in the treatment of childhood cancer: lessons from high-income countries","title-short":"Sustaining innovation and improvement in the treatment of childhood cancer","volume":"14","author":[{"family":"Pritchard-Jones","given":"Kathy"},{"family":"Pieters","given":"Rob"},{"family":"Reaman","given":"Gregory H."},{"family":"Hjorth","given":"Lars"},{"family":"Downie","given":"Peter"},{"family":"Calaminus","given":"Gabriele"},{"family":"Naafs-Wilstra","given":"Marianne C."},{"family":"Steliarova-Foucher","given":"Eva"}],"issued":{"date-parts":[["2013",3,1]]}}}],"schema":"https://github.com/citation-style-language/schema/raw/master/csl-citation.json"} </w:instrText>
      </w:r>
      <w:r w:rsidR="00BC20D0">
        <w:fldChar w:fldCharType="separate"/>
      </w:r>
      <w:r w:rsidRPr="002C77B6">
        <w:rPr>
          <w:rFonts w:ascii="Calibri" w:hAnsi="Calibri" w:cs="Calibri"/>
        </w:rPr>
        <w:t>[7,8]</w:t>
      </w:r>
      <w:r w:rsidR="00BC20D0">
        <w:fldChar w:fldCharType="end"/>
      </w:r>
      <w:r w:rsidR="00BC20D0">
        <w:t xml:space="preserve">. </w:t>
      </w:r>
      <w:r w:rsidR="00922B88">
        <w:t xml:space="preserve"> </w:t>
      </w:r>
      <w:r w:rsidR="00372506">
        <w:t xml:space="preserve">In many regions with inadequate coverage of registration systems, </w:t>
      </w:r>
      <w:r>
        <w:t>morbidity from non-cancer causes is often very high</w:t>
      </w:r>
      <w:r w:rsidR="009E607D">
        <w:t xml:space="preserve"> </w:t>
      </w:r>
      <w:r w:rsidR="003477B0">
        <w:fldChar w:fldCharType="begin"/>
      </w:r>
      <w:r w:rsidR="00124231">
        <w:instrText xml:space="preserve"> ADDIN ZOTERO_ITEM CSL_CITATION {"citationID":"Fsuo8PHk","properties":{"formattedCitation":"[9,10]","plainCitation":"[9,10]","noteIndex":0},"citationItems":[{"id":12832,"uris":["http://zotero.org/groups/23637/items/SM79NY6J"],"uri":["http://zotero.org/groups/23637/items/SM79NY6J"],"itemData":{"id":12832,"type":"article-journal","abstract":"&lt;h2&gt;Summary&lt;/h2&gt;&lt;p&gt;Vital statistics generated through civil registration systems are the major source of continuous monitoring of births and deaths over time. The usefulness of vital statistics depends on their quality. In the second paper in this Series we propose a comprehensive and practical framework for assessment of the quality of vital statistics. With use of routine reports to the UN and cause-of-death data reported to WHO, we review the present situation and past trends of vital statistics in the world and note little improvement in worldwide availability of general vital statistics or cause-of-death statistics. Only a few developing countries have been able to improve their civil registration and vital statistics systems in the past 50 years. International efforts to improve comparability of vital statistics seem to be effective, and there is reasonable progress in collection and publication of data. However, worldwide efforts to improve data have been limited to sporadic and short-term measures. We conclude that countries and developmental partners have not recognised that civil registration systems are a priority.&lt;/p&gt;","container-title":"The Lancet","DOI":"10.1016/S0140-6736(07)61308-7","ISSN":"0140-6736, 1474-547X","issue":"9599","journalAbbreviation":"The Lancet","language":"English","note":"PMID: 18029006","page":"1653-1663","source":"www.thelancet.com","title":"Civil registration systems and vital statistics: successes and missed opportunities","title-short":"Civil registration systems and vital statistics","volume":"370","author":[{"family":"Mahapatra","given":"Prasanta"},{"family":"Shibuya","given":"Kenji"},{"family":"Lopez","given":"Alan D."},{"family":"Coullare","given":"Francesca"},{"family":"Notzon","given":"Francis C."},{"family":"Rao","given":"Chalapati"},{"family":"Szreter","given":"Simon"}],"issued":{"date-parts":[["2007",11,10]]}}},{"id":12816,"uris":["http://zotero.org/groups/23637/items/RR98KT9Y"],"uri":["http://zotero.org/groups/23637/items/RR98KT9Y"],"itemData":{"id":12816,"type":"webpage","container-title":"UNICEF DATA","language":"en-US","title":"Levels and Trends in Child Mortality","URL":"https://data.unicef.org/resources/levels-and-trends-in-child-mortality/","accessed":{"date-parts":[["2019",9,11]]},"issued":{"date-parts":[["2018",9,17]]}}}],"schema":"https://github.com/citation-style-language/schema/raw/master/csl-citation.json"} </w:instrText>
      </w:r>
      <w:r w:rsidR="003477B0">
        <w:fldChar w:fldCharType="separate"/>
      </w:r>
      <w:r w:rsidR="003477B0" w:rsidRPr="003477B0">
        <w:rPr>
          <w:rFonts w:ascii="Calibri" w:hAnsi="Calibri" w:cs="Calibri"/>
        </w:rPr>
        <w:t>[9,10]</w:t>
      </w:r>
      <w:r w:rsidR="003477B0">
        <w:fldChar w:fldCharType="end"/>
      </w:r>
      <w:r w:rsidR="00372506">
        <w:t xml:space="preserve"> and the comparative rarity of childhood cancer increases the difficulty in accurately quantifying incidence.  An additional complication is that t</w:t>
      </w:r>
      <w:r w:rsidR="006E185B">
        <w:t xml:space="preserve">he </w:t>
      </w:r>
      <w:r w:rsidR="00205B25">
        <w:t xml:space="preserve">types of </w:t>
      </w:r>
      <w:r w:rsidR="00BC20D0">
        <w:t xml:space="preserve">cancers </w:t>
      </w:r>
      <w:r w:rsidR="006E185B">
        <w:t xml:space="preserve">that develop in children </w:t>
      </w:r>
      <w:r w:rsidR="005B3B13">
        <w:t xml:space="preserve">differ from </w:t>
      </w:r>
      <w:r w:rsidR="006E185B">
        <w:t xml:space="preserve">those </w:t>
      </w:r>
      <w:r w:rsidR="005B3B13">
        <w:t>diagnosed at older ages</w:t>
      </w:r>
      <w:r w:rsidR="00205B25">
        <w:t xml:space="preserve"> with respect to their</w:t>
      </w:r>
      <w:r w:rsidR="005B3B13">
        <w:t xml:space="preserve"> </w:t>
      </w:r>
      <w:r w:rsidR="006E185B">
        <w:t>biology</w:t>
      </w:r>
      <w:r w:rsidR="00205B25">
        <w:t>,</w:t>
      </w:r>
      <w:r w:rsidR="006E185B">
        <w:t xml:space="preserve"> </w:t>
      </w:r>
      <w:r w:rsidR="00BC20D0">
        <w:t xml:space="preserve">behaviour, </w:t>
      </w:r>
      <w:r w:rsidR="005B3B13">
        <w:t>symptom</w:t>
      </w:r>
      <w:r w:rsidR="00BC20D0">
        <w:t>s</w:t>
      </w:r>
      <w:r w:rsidR="005B3B13">
        <w:t xml:space="preserve">, modes of presentation, treatment options, and outcomes </w:t>
      </w:r>
      <w:r w:rsidR="005B3B13">
        <w:fldChar w:fldCharType="begin"/>
      </w:r>
      <w:r w:rsidR="00124231">
        <w:instrText xml:space="preserve"> ADDIN ZOTERO_ITEM CSL_CITATION {"citationID":"OnfXdKZh","properties":{"formattedCitation":"[5]","plainCitation":"[5]","noteIndex":0},"citationItems":[{"id":11470,"uris":["http://zotero.org/groups/23637/items/T4LRLRGW"],"uri":["http://zotero.org/groups/23637/items/T4LRLRGW"],"itemData":{"id":11470,"type":"article-journal","abstract":"&lt;h2&gt;Summary&lt;/h2&gt;&lt;p&gt;Patterns of cancer incidence across the world have undergone substantial changes as a result of industrialisation and economic development. However, the economies of most countries remain at an early or intermediate stage of development—these stages are characterised by poverty, too few health-care providers, weak health systems, and poor access to education, modern technology, and health care because of scattered rural populations. Low-income and middle-income countries also have younger populations and therefore a larger proportion of children with cancer than high-income countries. Most of these children die from the disease. Chronic infections, which remain the most common causes of disease-related death in all except high-income countries, can also be major risk factors for childhood cancer in poorer regions. We discuss childhood cancer in relation to global development and propose strategies that could result in improved survival. Education of the public, more and better-trained health professionals, strengthened cancer services, locally relevant research, regional hospital networks, international collaboration, and health insurance are all essential components of an enhanced model of care.&lt;/p&gt;","container-title":"The Lancet Oncology","DOI":"10.1016/S1470-2045(13)70008-1","ISSN":"1470-2045, 1474-5488","issue":"3","journalAbbreviation":"The Lancet Oncology","language":"English","note":"PMID: 23434340","page":"e104-e116","source":"www.thelancet.com","title":"Paediatric cancer in low-income and middle-income countries","volume":"14","author":[{"family":"Magrath","given":"Ian"},{"family":"Steliarova-Foucher","given":"Eva"},{"family":"Epelman","given":"Sidnei"},{"family":"Ribeiro","given":"Raul C."},{"family":"Harif","given":"Mhamed"},{"family":"Li","given":"Chi-Kong"},{"family":"Kebudi","given":"Rejin"},{"family":"Macfarlane","given":"Scott D."},{"family":"Howard","given":"Scott C."}],"issued":{"date-parts":[["2013",3,1]]}}}],"schema":"https://github.com/citation-style-language/schema/raw/master/csl-citation.json"} </w:instrText>
      </w:r>
      <w:r w:rsidR="005B3B13">
        <w:fldChar w:fldCharType="separate"/>
      </w:r>
      <w:r w:rsidR="00D4079C" w:rsidRPr="00D4079C">
        <w:rPr>
          <w:rFonts w:ascii="Calibri" w:hAnsi="Calibri" w:cs="Calibri"/>
        </w:rPr>
        <w:t>[5]</w:t>
      </w:r>
      <w:r w:rsidR="005B3B13">
        <w:fldChar w:fldCharType="end"/>
      </w:r>
      <w:r w:rsidR="005B3B13">
        <w:t xml:space="preserve">. </w:t>
      </w:r>
      <w:r w:rsidR="00CC54A5">
        <w:t xml:space="preserve"> </w:t>
      </w:r>
      <w:r w:rsidR="00325060">
        <w:t>Notably</w:t>
      </w:r>
      <w:r w:rsidR="002B203A">
        <w:t xml:space="preserve">, childhood cancers comprise a heterogeneous cancer group within which </w:t>
      </w:r>
      <w:r w:rsidR="0073112E">
        <w:t>a</w:t>
      </w:r>
      <w:r w:rsidR="00CC54A5">
        <w:t>dult-type carcinomas</w:t>
      </w:r>
      <w:r w:rsidR="00B7008C">
        <w:t>,</w:t>
      </w:r>
      <w:r w:rsidR="00CC54A5">
        <w:t xml:space="preserve"> which underpin </w:t>
      </w:r>
      <w:r w:rsidR="00B7008C">
        <w:t xml:space="preserve">definition of the </w:t>
      </w:r>
      <w:r w:rsidR="00CC54A5">
        <w:t>ICD-10</w:t>
      </w:r>
      <w:r w:rsidR="00D91196">
        <w:t xml:space="preserve"> </w:t>
      </w:r>
      <w:r w:rsidR="00B7008C">
        <w:t>cod</w:t>
      </w:r>
      <w:r w:rsidR="00D91196">
        <w:t>ing system</w:t>
      </w:r>
      <w:r w:rsidR="00B7008C">
        <w:t>,</w:t>
      </w:r>
      <w:r w:rsidR="00CC54A5">
        <w:t xml:space="preserve"> are rare</w:t>
      </w:r>
      <w:r w:rsidR="002B203A">
        <w:t xml:space="preserve"> </w:t>
      </w:r>
      <w:r w:rsidR="002B203A">
        <w:fldChar w:fldCharType="begin"/>
      </w:r>
      <w:r w:rsidR="00124231">
        <w:instrText xml:space="preserve"> ADDIN ZOTERO_ITEM CSL_CITATION {"citationID":"DsAoT6AY","properties":{"formattedCitation":"[11]","plainCitation":"[11]","noteIndex":0},"citationItems":[{"id":12403,"uris":["http://zotero.org/groups/23637/items/TFCIB4R9"],"uri":["http://zotero.org/groups/23637/items/TFCIB4R9"],"itemData":{"id":12403,"type":"article-journal","abstract":"BACKGROUND: The third edition of the International Classification of Diseases for Oncology (ICD-O-3), which was published in 2000, introduced major changes in coding and classification of neoplasms, notably for leukemias and lymphomas, which are important groups of cancer types that occur in childhood. This necessitated a third revision of the 1996 International Classification of Childhood Cancer (ICCC-3).\nMETHODS: The tumor categories for the ICCC-3 were designed to respect several principles: agreement with current international standards, integration of the entities defined by newly developed diagnostic techniques, continuity with previous childhood classifications, and exhaustiveness.\nRESULTS: The ICCC-3 classifies tumors coded according to the ICD-O-3 into 12 main groups, which are split further into 47 subgroups. These 2 levels of the ICCC-3 allow standardized comparisons of the broad categories of childhood neoplasms in continuity with the previous classifications. The 16 most heterogeneous subgroups are broken down further into 2-11 divisions to allow study of important entities or homogeneous collections of tumors characterized at the cytogenetic or molecular level. Some divisions may be combined across the higher-level categories, such as the B-cell neoplasms within leukemias and lymphomas.\nCONCLUSIONS: The ICCC-3 respects currently existing international standards and was designed for use in international, population-based, epidemiological studies and cancer registries. The use of an international classification system is especially important in the field of pediatric oncology, in which the low frequency of cases requires rigorous procedures to ensure data comparability.","container-title":"Cancer","DOI":"10.1002/cncr.20910","ISSN":"0008-543X","issue":"7","journalAbbreviation":"Cancer","language":"eng","note":"PMID: 15712273","page":"1457-1467","source":"PubMed","title":"International Classification of Childhood Cancer, third edition","volume":"103","author":[{"family":"Steliarova-Foucher","given":"Eva"},{"family":"Stiller","given":"Charles"},{"family":"Lacour","given":"Brigitte"},{"family":"Kaatsch","given":"Peter"}],"issued":{"date-parts":[["2005",4,1]]}}}],"schema":"https://github.com/citation-style-language/schema/raw/master/csl-citation.json"} </w:instrText>
      </w:r>
      <w:r w:rsidR="002B203A">
        <w:fldChar w:fldCharType="separate"/>
      </w:r>
      <w:r w:rsidR="003477B0" w:rsidRPr="003477B0">
        <w:rPr>
          <w:rFonts w:ascii="Calibri" w:hAnsi="Calibri" w:cs="Calibri"/>
        </w:rPr>
        <w:t>[11]</w:t>
      </w:r>
      <w:r w:rsidR="002B203A">
        <w:fldChar w:fldCharType="end"/>
      </w:r>
      <w:r w:rsidR="002B203A">
        <w:t>.  Accordingly, c</w:t>
      </w:r>
      <w:r w:rsidR="0073112E">
        <w:t xml:space="preserve">hildhood </w:t>
      </w:r>
      <w:r w:rsidR="00CC54A5">
        <w:t>cancers</w:t>
      </w:r>
      <w:r w:rsidR="008469CD">
        <w:t xml:space="preserve"> </w:t>
      </w:r>
      <w:r w:rsidR="0073112E">
        <w:t>are cl</w:t>
      </w:r>
      <w:r w:rsidR="00CC54A5">
        <w:t>assified by morphology (histology) and topography (site)</w:t>
      </w:r>
      <w:r w:rsidR="004A6729">
        <w:t>;</w:t>
      </w:r>
      <w:r w:rsidR="001B2588">
        <w:t xml:space="preserve"> the </w:t>
      </w:r>
      <w:r w:rsidR="007C54DD">
        <w:t>I</w:t>
      </w:r>
      <w:r w:rsidR="008469CD">
        <w:t>nternational</w:t>
      </w:r>
      <w:r w:rsidR="007C54DD">
        <w:t xml:space="preserve"> C</w:t>
      </w:r>
      <w:r w:rsidR="008469CD">
        <w:t>lassification</w:t>
      </w:r>
      <w:r w:rsidR="007C54DD">
        <w:t xml:space="preserve"> of Childhood Cancers</w:t>
      </w:r>
      <w:r w:rsidR="00205B25">
        <w:t>, currently in its third edition</w:t>
      </w:r>
      <w:r w:rsidR="00B7008C">
        <w:t xml:space="preserve"> (ICCC-3)</w:t>
      </w:r>
      <w:r w:rsidR="00372506">
        <w:fldChar w:fldCharType="begin"/>
      </w:r>
      <w:r w:rsidR="00124231">
        <w:instrText xml:space="preserve"> ADDIN ZOTERO_ITEM CSL_CITATION {"citationID":"mDIELWEM","properties":{"formattedCitation":"[11]","plainCitation":"[11]","noteIndex":0},"citationItems":[{"id":12403,"uris":["http://zotero.org/groups/23637/items/TFCIB4R9"],"uri":["http://zotero.org/groups/23637/items/TFCIB4R9"],"itemData":{"id":12403,"type":"article-journal","abstract":"BACKGROUND: The third edition of the International Classification of Diseases for Oncology (ICD-O-3), which was published in 2000, introduced major changes in coding and classification of neoplasms, notably for leukemias and lymphomas, which are important groups of cancer types that occur in childhood. This necessitated a third revision of the 1996 International Classification of Childhood Cancer (ICCC-3).\nMETHODS: The tumor categories for the ICCC-3 were designed to respect several principles: agreement with current international standards, integration of the entities defined by newly developed diagnostic techniques, continuity with previous childhood classifications, and exhaustiveness.\nRESULTS: The ICCC-3 classifies tumors coded according to the ICD-O-3 into 12 main groups, which are split further into 47 subgroups. These 2 levels of the ICCC-3 allow standardized comparisons of the broad categories of childhood neoplasms in continuity with the previous classifications. The 16 most heterogeneous subgroups are broken down further into 2-11 divisions to allow study of important entities or homogeneous collections of tumors characterized at the cytogenetic or molecular level. Some divisions may be combined across the higher-level categories, such as the B-cell neoplasms within leukemias and lymphomas.\nCONCLUSIONS: The ICCC-3 respects currently existing international standards and was designed for use in international, population-based, epidemiological studies and cancer registries. The use of an international classification system is especially important in the field of pediatric oncology, in which the low frequency of cases requires rigorous procedures to ensure data comparability.","container-title":"Cancer","DOI":"10.1002/cncr.20910","ISSN":"0008-543X","issue":"7","journalAbbreviation":"Cancer","language":"eng","note":"PMID: 15712273","page":"1457-1467","source":"PubMed","title":"International Classification of Childhood Cancer, third edition","volume":"103","author":[{"family":"Steliarova-Foucher","given":"Eva"},{"family":"Stiller","given":"Charles"},{"family":"Lacour","given":"Brigitte"},{"family":"Kaatsch","given":"Peter"}],"issued":{"date-parts":[["2005",4,1]]}}}],"schema":"https://github.com/citation-style-language/schema/raw/master/csl-citation.json"} </w:instrText>
      </w:r>
      <w:r w:rsidR="00372506">
        <w:fldChar w:fldCharType="separate"/>
      </w:r>
      <w:r w:rsidR="003477B0" w:rsidRPr="003477B0">
        <w:rPr>
          <w:rFonts w:ascii="Calibri" w:hAnsi="Calibri" w:cs="Calibri"/>
        </w:rPr>
        <w:t>[11]</w:t>
      </w:r>
      <w:r w:rsidR="00372506">
        <w:fldChar w:fldCharType="end"/>
      </w:r>
      <w:r w:rsidR="007E2470">
        <w:t>,</w:t>
      </w:r>
      <w:r w:rsidR="00205B25">
        <w:t xml:space="preserve"> </w:t>
      </w:r>
      <w:r w:rsidR="00B7008C">
        <w:t>groups cancers coded to</w:t>
      </w:r>
      <w:r w:rsidR="008469CD">
        <w:t xml:space="preserve"> WHO’s </w:t>
      </w:r>
      <w:r w:rsidR="00205B25">
        <w:t>third revision of the International Classification of Diseases</w:t>
      </w:r>
      <w:r w:rsidR="009679A1">
        <w:t xml:space="preserve"> </w:t>
      </w:r>
      <w:r w:rsidR="00205B25">
        <w:t>for Oncology (</w:t>
      </w:r>
      <w:r w:rsidR="009679A1">
        <w:t>ICD-O3</w:t>
      </w:r>
      <w:r w:rsidR="00205B25">
        <w:t>)</w:t>
      </w:r>
      <w:r w:rsidR="00372506">
        <w:fldChar w:fldCharType="begin"/>
      </w:r>
      <w:r w:rsidR="00124231">
        <w:instrText xml:space="preserve"> ADDIN ZOTERO_ITEM CSL_CITATION {"citationID":"ccwSXqXw","properties":{"formattedCitation":"[12]","plainCitation":"[12]","noteIndex":0},"citationItems":[{"id":812,"uris":["http://zotero.org/groups/23637/items/GP3MTIG8"],"uri":["http://zotero.org/groups/23637/items/GP3MTIG8"],"itemData":{"id":812,"type":"book","edition":"3rd ed.","event-place":"Geneva","ISBN":"978-92-4-154534-1","publisher":"World Health Organization","publisher-place":"Geneva","source":"Open WorldCat","title":"International classification of diseases for oncology : ICD-O","title-short":"International classification of diseases for oncology","author":[{"family":"Fritz","given":"April"}],"issued":{"date-parts":[["2000"]]}}}],"schema":"https://github.com/citation-style-language/schema/raw/master/csl-citation.json"} </w:instrText>
      </w:r>
      <w:r w:rsidR="00372506">
        <w:fldChar w:fldCharType="separate"/>
      </w:r>
      <w:r w:rsidR="003477B0" w:rsidRPr="003477B0">
        <w:rPr>
          <w:rFonts w:ascii="Calibri" w:hAnsi="Calibri" w:cs="Calibri"/>
        </w:rPr>
        <w:t>[12]</w:t>
      </w:r>
      <w:r w:rsidR="00372506">
        <w:fldChar w:fldCharType="end"/>
      </w:r>
      <w:r w:rsidR="00372506">
        <w:t xml:space="preserve"> </w:t>
      </w:r>
      <w:r w:rsidR="00B7008C">
        <w:t>in</w:t>
      </w:r>
      <w:r w:rsidR="007E2470">
        <w:t>to</w:t>
      </w:r>
      <w:r w:rsidR="00B7008C">
        <w:t xml:space="preserve"> twelve main diagnostic groups, which reflect the cancer types </w:t>
      </w:r>
      <w:r w:rsidR="007E2470">
        <w:t xml:space="preserve">occurring </w:t>
      </w:r>
      <w:r w:rsidR="00B7008C">
        <w:t>in children</w:t>
      </w:r>
      <w:r w:rsidR="002B203A">
        <w:t>.</w:t>
      </w:r>
      <w:r w:rsidR="009679A1">
        <w:t xml:space="preserve">  In practice this means that, aside from providing an estimate of </w:t>
      </w:r>
      <w:r w:rsidR="00193BE5">
        <w:t xml:space="preserve">the </w:t>
      </w:r>
      <w:r w:rsidR="009679A1">
        <w:t>totality</w:t>
      </w:r>
      <w:r w:rsidR="001A680E">
        <w:t xml:space="preserve"> of childhood cancer</w:t>
      </w:r>
      <w:r w:rsidR="009679A1">
        <w:t xml:space="preserve">, GLOBOCAN’s </w:t>
      </w:r>
      <w:r w:rsidR="00205B25">
        <w:t xml:space="preserve">estimates for </w:t>
      </w:r>
      <w:r w:rsidR="009679A1">
        <w:t xml:space="preserve">ICD-10 </w:t>
      </w:r>
      <w:r w:rsidR="00205B25">
        <w:t>categories</w:t>
      </w:r>
      <w:r w:rsidR="004A6729">
        <w:t xml:space="preserve"> </w:t>
      </w:r>
      <w:r w:rsidR="009679A1">
        <w:t xml:space="preserve">cannot be used to characterise </w:t>
      </w:r>
      <w:r w:rsidR="00F023E6">
        <w:t xml:space="preserve">all </w:t>
      </w:r>
      <w:r w:rsidR="009679A1">
        <w:t xml:space="preserve">clinically meaningful </w:t>
      </w:r>
      <w:r w:rsidR="008469CD">
        <w:t>subtypes</w:t>
      </w:r>
      <w:r w:rsidR="0099771E">
        <w:t xml:space="preserve"> in children</w:t>
      </w:r>
      <w:r w:rsidR="009679A1">
        <w:t xml:space="preserve">. </w:t>
      </w:r>
      <w:r w:rsidR="008469CD">
        <w:t xml:space="preserve"> </w:t>
      </w:r>
    </w:p>
    <w:p w14:paraId="58028D83" w14:textId="74FBAF55" w:rsidR="00FD2C38" w:rsidRDefault="00FD2C38" w:rsidP="00A71D2B">
      <w:pPr>
        <w:spacing w:after="0" w:line="240" w:lineRule="auto"/>
      </w:pPr>
    </w:p>
    <w:p w14:paraId="7D084CD3" w14:textId="3C80F7D0" w:rsidR="00FD2C38" w:rsidRDefault="00FD2C38" w:rsidP="00FD2C38">
      <w:pPr>
        <w:spacing w:after="0" w:line="240" w:lineRule="auto"/>
      </w:pPr>
      <w:r>
        <w:t xml:space="preserve">While some childhood cancers (e.g. Burkitt’s lymphoma and retinoblastoma) have symptoms and signs that are relatively easy to recognize, others (e.g. acute leukaemia and astrocytoma) tend to present with non-specific symptoms, indicative of other more common conditions and therefore require access to more sophisticated technologies to make a precise diagnosis. However, this access is missing or limited in many </w:t>
      </w:r>
      <w:r w:rsidR="00C934B7">
        <w:t>countries</w:t>
      </w:r>
      <w:r>
        <w:t xml:space="preserve"> </w:t>
      </w:r>
      <w:r>
        <w:fldChar w:fldCharType="begin"/>
      </w:r>
      <w:r w:rsidR="00124231">
        <w:instrText xml:space="preserve"> ADDIN ZOTERO_ITEM CSL_CITATION {"citationID":"NTwfBmiU","properties":{"formattedCitation":"[5]","plainCitation":"[5]","noteIndex":0},"citationItems":[{"id":11470,"uris":["http://zotero.org/groups/23637/items/T4LRLRGW"],"uri":["http://zotero.org/groups/23637/items/T4LRLRGW"],"itemData":{"id":11470,"type":"article-journal","abstract":"&lt;h2&gt;Summary&lt;/h2&gt;&lt;p&gt;Patterns of cancer incidence across the world have undergone substantial changes as a result of industrialisation and economic development. However, the economies of most countries remain at an early or intermediate stage of development—these stages are characterised by poverty, too few health-care providers, weak health systems, and poor access to education, modern technology, and health care because of scattered rural populations. Low-income and middle-income countries also have younger populations and therefore a larger proportion of children with cancer than high-income countries. Most of these children die from the disease. Chronic infections, which remain the most common causes of disease-related death in all except high-income countries, can also be major risk factors for childhood cancer in poorer regions. We discuss childhood cancer in relation to global development and propose strategies that could result in improved survival. Education of the public, more and better-trained health professionals, strengthened cancer services, locally relevant research, regional hospital networks, international collaboration, and health insurance are all essential components of an enhanced model of care.&lt;/p&gt;","container-title":"The Lancet Oncology","DOI":"10.1016/S1470-2045(13)70008-1","ISSN":"1470-2045, 1474-5488","issue":"3","journalAbbreviation":"The Lancet Oncology","language":"English","note":"PMID: 23434340","page":"e104-e116","source":"www.thelancet.com","title":"Paediatric cancer in low-income and middle-income countries","volume":"14","author":[{"family":"Magrath","given":"Ian"},{"family":"Steliarova-Foucher","given":"Eva"},{"family":"Epelman","given":"Sidnei"},{"family":"Ribeiro","given":"Raul C."},{"family":"Harif","given":"Mhamed"},{"family":"Li","given":"Chi-Kong"},{"family":"Kebudi","given":"Rejin"},{"family":"Macfarlane","given":"Scott D."},{"family":"Howard","given":"Scott C."}],"issued":{"date-parts":[["2013",3,1]]}}}],"schema":"https://github.com/citation-style-language/schema/raw/master/csl-citation.json"} </w:instrText>
      </w:r>
      <w:r>
        <w:fldChar w:fldCharType="separate"/>
      </w:r>
      <w:r w:rsidRPr="002C77B6">
        <w:rPr>
          <w:rFonts w:ascii="Calibri" w:hAnsi="Calibri" w:cs="Calibri"/>
        </w:rPr>
        <w:t>[5]</w:t>
      </w:r>
      <w:r>
        <w:fldChar w:fldCharType="end"/>
      </w:r>
      <w:r>
        <w:t>, notably those where childhood morbidity and mortality from infectious and parasitic diseases is a major public health issue</w:t>
      </w:r>
      <w:r w:rsidR="0050368D">
        <w:t xml:space="preserve"> </w:t>
      </w:r>
      <w:r w:rsidR="0050368D">
        <w:fldChar w:fldCharType="begin"/>
      </w:r>
      <w:r w:rsidR="00124231">
        <w:instrText xml:space="preserve"> ADDIN ZOTERO_ITEM CSL_CITATION {"citationID":"GLfJ9kpM","properties":{"formattedCitation":"[13,14]","plainCitation":"[13,14]","noteIndex":0},"citationItems":[{"id":12836,"uris":["http://zotero.org/groups/23637/items/3RXUHKXP"],"uri":["http://zotero.org/groups/23637/items/3RXUHKXP"],"itemData":{"id":12836,"type":"article-journal","abstract":"BACKGROUND: Despite remarkable progress in the improvement of child survival between 1990 and 2015, the Millennium Development Goal (MDG) 4 target of a two-thirds reduction of under-5 mortality rate (U5MR) was not achieved globally. In this paper, we updated our annual estimates of child mortality by cause to 2000-15 to reflect on progress toward the MDG 4 and consider implications for the Sustainable Development Goals (SDG) target for child survival.\nMETHODS: We increased the estimation input data for causes of deaths by 43% among neonates and 23% among 1-59-month-olds, respectively. We used adequate vital registration (VR) data where available, and modelled cause-specific mortality fractions applying multinomial logistic regressions using adequate VR for low U5MR countries and verbal autopsy data for high U5MR countries. We updated the estimation to use Plasmodium falciparum parasite rate in place of malaria index in the modelling of malaria deaths; to use adjusted empirical estimates instead of modelled estimates for China; and to consider the effects of pneumococcal conjugate vaccine and rotavirus vaccine in the estimation.\nFINDINGS: In 2015, among the 5·9 million under-5 deaths, 2·7 million occurred in the neonatal period. The leading under-5 causes were preterm birth complications (1·055 million [95% uncertainty range (UR) 0·935-1·179]), pneumonia (0·921 million [0·812 -1·117]), and intrapartum-related events (0·691 million [0·598 -0·778]). In the two MDG regions with the most under-5 deaths, the leading cause was pneumonia in sub-Saharan Africa and preterm birth complications in southern Asia. Reductions in mortality rates for pneumonia, diarrhoea, neonatal intrapartum-related events, malaria, and measles were responsible for 61% of the total reduction of 35 per 1000 livebirths in U5MR in 2000-15. Stratified by U5MR, pneumonia was the leading cause in countries with very high U5MR. Preterm birth complications and pneumonia were both important in high, medium high, and medium child mortality countries; whereas congenital abnormalities was the most important cause in countries with low and very low U5MR.\nINTERPRETATION: In the SDG era, countries are advised to prioritise child survival policy and programmes based on their child cause-of-death composition. Continued and enhanced efforts to scale up proven life-saving interventions are needed to achieve the SDG child survival target.\nFUNDING: Bill &amp; Melinda Gates Foundation, WHO.","container-title":"Lancet (London, England)","DOI":"10.1016/S0140-6736(16)31593-8","ISSN":"1474-547X","issue":"10063","journalAbbreviation":"Lancet","language":"eng","note":"PMID: 27839855\nPMCID: PMC5161777","page":"3027-3035","source":"PubMed","title":"Global, regional, and national causes of under-5 mortality in 2000-15: an updated systematic analysis with implications for the Sustainable Development Goals","title-short":"Global, regional, and national causes of under-5 mortality in 2000-15","volume":"388","author":[{"family":"Liu","given":"Li"},{"family":"Oza","given":"Shefali"},{"family":"Hogan","given":"Dan"},{"family":"Chu","given":"Yue"},{"family":"Perin","given":"Jamie"},{"family":"Zhu","given":"Jun"},{"family":"Lawn","given":"Joy E."},{"family":"Cousens","given":"Simon"},{"family":"Mathers","given":"Colin"},{"family":"Black","given":"Robert E."}],"issued":{"date-parts":[["2016"]],"season":"17"}}},{"id":12867,"uris":["http://zotero.org/groups/23637/items/FSMHXATG"],"uri":["http://zotero.org/groups/23637/items/FSMHXATG"],"itemData":{"id":12867,"type":"article-journal","abstract":"&lt;h2&gt;Summary&lt;/h2&gt;&lt;h3&gt;Background&lt;/h3&gt;&lt;p&gt;Global development goals increasingly rely on country-specific estimates for benchmarking a nation's progress. To meet this need, the Global Burden of Diseases, Injuries, and Risk Factors Study (GBD) 2016 estimated global, regional, national, and, for selected locations, subnational cause-specific mortality beginning in the year 1980. Here we report an update to that study, making use of newly available data and improved methods. GBD 2017 provides a comprehensive assessment of cause-specific mortality for 282 causes in 195 countries and territories from 1980 to 2017.&lt;/p&gt;&lt;h3&gt;Methods&lt;/h3&gt;&lt;p&gt;The causes of death database is composed of vital registration (VR), verbal autopsy (VA), registry, survey, police, and surveillance data. GBD 2017 added ten VA studies, 127 country-years of VR data, 502 cancer-registry country-years, and an additional surveillance country-year. Expansions of the GBD cause of death hierarchy resulted in 18 additional causes estimated for GBD 2017. Newly available data led to subnational estimates for five additional countries—Ethiopia, Iran, New Zealand, Norway, and Russia. Deaths assigned International Classification of Diseases (ICD) codes for non-specific, implausible, or intermediate causes of death were reassigned to underlying causes by redistribution algorithms that were incorporated into uncertainty estimation. We used statistical modelling tools developed for GBD, including the Cause of Death Ensemble model (CODEm), to generate cause fractions and cause-specific death rates for each location, year, age, and sex. Instead of using UN estimates as in previous versions, GBD 2017 independently estimated population size and fertility rate for all locations. Years of life lost (YLLs) were then calculated as the sum of each death multiplied by the standard life expectancy at each age. All rates reported here are age-standardised.&lt;/p&gt;&lt;h3&gt;Findings&lt;/h3&gt;&lt;p&gt;At the broadest grouping of causes of death (Level 1), non-communicable diseases (NCDs) comprised the greatest fraction of deaths, contributing to 73·4% (95% uncertainty interval [UI] 72·5–74·1) of total deaths in 2017, while communicable, maternal, neonatal, and nutritional (CMNN) causes accounted for 18·6% (17·9–19·6), and injuries 8·0% (7·7–8·2). Total numbers of deaths from NCD causes increased from 2007 to 2017 by 22·7% (21·5–23·9), representing an additional 7·61 million (7·20–8·01) deaths estimated in 2017 versus 2007. The death rate from NCDs decreased globally by 7·9% (7·0–8·8). The number of deaths for CMNN causes decreased by 22·2% (20·0–24·0) and the death rate by 31·8% (30·1–33·3). Total deaths from injuries increased by 2·3% (0·5–4·0) between 2007 and 2017, and the death rate from injuries decreased by 13·7% (12·2–15·1) to 57·9 deaths (55·9–59·2) per 100 000 in 2017. Deaths from substance use disorders also increased, rising from 284 000 deaths (268 000–289 000) globally in 2007 to 352 000 (334 000–363 000) in 2017. Between 2007 and 2017, total deaths from conflict and terrorism increased by 118·0% (88·8–148·6). A greater reduction in total deaths and death rates was observed for some CMNN causes among children younger than 5 years than for older adults, such as a 36·4% (32·2–40·6) reduction in deaths from lower respiratory infections for children younger than 5 years compared with a 33·6% (31·2–36·1) increase in adults older than 70 years. Globally, the number of deaths was greater for men than for women at most ages in 2017, except at ages older than 85 years. Trends in global YLLs reflect an epidemiological transition, with decreases in total YLLs from enteric infections, respiratory infections and tuberculosis, and maternal and neonatal disorders between 1990 and 2017; these were generally greater in magnitude at the lowest levels of the Socio-demographic Index (SDI). At the same time, there were large increases in YLLs from neoplasms and cardiovascular diseases. YLL rates decreased across the five leading Level 2 causes in all SDI quintiles. The leading causes of YLLs in 1990—neonatal disorders, lower respiratory infections, and diarrhoeal diseases—were ranked second, fourth, and fifth, in 2017. Meanwhile, estimated YLLs increased for ischaemic heart disease (ranked first in 2017) and stroke (ranked third), even though YLL rates decreased. Population growth contributed to increased total deaths across the 20 leading Level 2 causes of mortality between 2007 and 2017. Decreases in the cause-specific mortality rate reduced the effect of population growth for all but three causes: substance use disorders, neurological disorders, and skin and subcutaneous diseases.&lt;/p&gt;&lt;h3&gt;Interpretation&lt;/h3&gt;&lt;p&gt;Improvements in global health have been unevenly distributed among populations. Deaths due to injuries, substance use disorders, armed conflict and terrorism, neoplasms, and cardiovascular disease are expanding threats to global health. For causes of death such as lower respiratory and enteric infections, more rapid progress occurred for children than for the oldest adults, and there is continuing disparity in mortality rates by sex across age groups. Reductions in the death rate of some common diseases are themselves slowing or have ceased, primarily for NCDs, and the death rate for selected causes has increased in the past decade.&lt;/p&gt;&lt;h3&gt;Funding&lt;/h3&gt;&lt;p&gt;Bill &amp; Melinda Gates Foundation.&lt;/p&gt;","container-title":"The Lancet","DOI":"10.1016/S0140-6736(18)32203-7","ISSN":"0140-6736, 1474-547X","issue":"10159","journalAbbreviation":"The Lancet","language":"English","note":"PMID: 30496103","page":"1736-1788","source":"www.thelancet.com","title":"Global, regional, and national age-sex-specific mortality for 282 causes of death in 195 countries and territories, 1980–2017: a systematic analysis for the Global Burden of Disease Study 2017","title-short":"Global, regional, and national age-sex-specific mortality for 282 causes of death in 195 countries and territories, 1980–2017","volume":"392","author":[{"family":"Roth","given":"Gregory A."},{"family":"Abate","given":"Degu"},{"family":"Abate","given":"Kalkidan Hassen"},{"family":"Abay","given":"Solomon M."},{"family":"Abbafati","given":"Cristiana"},{"family":"Abbasi","given":"Nooshin"},{"family":"Abbastabar","given":"Hedayat"},{"family":"Abd-Allah","given":"Foad"},{"family":"Abdela","given":"Jemal"},{"family":"Abdelalim","given":"Ahmed"},{"family":"Abdollahpour","given":"Ibrahim"},{"family":"Abdulkader","given":"Rizwan Suliankatchi"},{"family":"Abebe","given":"Haftom Temesgen"},{"family":"Abebe","given":"Molla"},{"family":"Abebe","given":"Zegeye"},{"family":"Abejie","given":"Ayenew Negesse"},{"family":"Abera","given":"Semaw F."},{"family":"Abil","given":"Olifan Zewdie"},{"family":"Abraha","given":"Haftom Niguse"},{"family":"Abrham","given":"Aklilu Roba"},{"family":"Abu-Raddad","given":"Laith Jamal"},{"family":"Accrombessi","given":"Manfred Mario Kokou"},{"family":"Acharya","given":"Dilaram"},{"family":"Adamu","given":"Abdu A."},{"family":"Adebayo","given":"Oladimeji M."},{"family":"Adedoyin","given":"Rufus Adesoji"},{"family":"Adekanmbi","given":"Victor"},{"family":"Adetokunboh","given":"Olatunji O."},{"family":"Adhena","given":"Beyene Meressa"},{"family":"Adib","given":"Mina G."},{"family":"Admasie","given":"Amha"},{"family":"Afshin","given":"Ashkan"},{"family":"Agarwal","given":"Gina"},{"family":"Agesa","given":"Kareha M."},{"family":"Agrawal","given":"Anurag"},{"family":"Agrawal","given":"Sutapa"},{"family":"Ahmadi","given":"Alireza"},{"family":"Ahmadi","given":"Mehdi"},{"family":"Ahmed","given":"Muktar Beshir"},{"family":"Ahmed","given":"Sayem"},{"family":"Aichour","given":"Amani Nidhal"},{"family":"Aichour","given":"Ibtihel"},{"family":"Aichour","given":"Miloud Taki Eddine"},{"family":"Akbari","given":"Mohammad Esmaeil"},{"family":"Akinyemi","given":"Rufus Olusola"},{"family":"Akseer","given":"Nadia"},{"family":"Al-Aly","given":"Ziyad"},{"family":"Al-Eyadhy","given":"Ayman"},{"family":"Al-Raddadi","given":"Rajaa M."},{"family":"Alahdab","given":"Fares"},{"family":"Alam","given":"Khurshid"},{"family":"Alam","given":"Tahiya"},{"family":"Alebel","given":"Animut"},{"family":"Alene","given":"Kefyalew Addis"},{"family":"Alijanzadeh","given":"Mehran"},{"family":"Alizadeh-Navaei","given":"Reza"},{"family":"Aljunid","given":"Syed Mohamed"},{"family":"Alkerwi","given":"Ala'a"},{"family":"Alla","given":"François"},{"family":"Allebeck","given":"Peter"},{"family":"Alonso","given":"Jordi"},{"family":"Altirkawi","given":"Khalid"},{"family":"Alvis-Guzman","given":"Nelson"},{"family":"Amare","given":"Azmeraw T."},{"family":"Aminde","given":"Leopold N."},{"family":"Amini","given":"Erfan"},{"family":"Ammar","given":"Walid"},{"family":"Amoako","given":"Yaw Ampem"},{"family":"Anber","given":"Nahla Hamed"},{"family":"Andrei","given":"Catalina Liliana"},{"family":"Androudi","given":"Sofia"},{"family":"Animut","given":"Megbaru Debalkie"},{"family":"Anjomshoa","given":"Mina"},{"family":"Ansari","given":"Hossein"},{"family":"Ansha","given":"Mustafa Geleto"},{"family":"Antonio","given":"Carl Abelardo T."},{"family":"Anwari","given":"Palwasha"},{"family":"Aremu","given":"Olatunde"},{"family":"Ärnlöv","given":"Johan"},{"family":"Arora","given":"Amit"},{"family":"Arora","given":"Monika"},{"family":"Artaman","given":"Al"},{"family":"Aryal","given":"Krishna K."},{"family":"Asayesh","given":"Hamid"},{"family":"Asfaw","given":"Ephrem Tsegay"},{"family":"Ataro","given":"Zerihun"},{"family":"Atique","given":"Suleman"},{"family":"Atre","given":"Sachin R."},{"family":"Ausloos","given":"Marcel"},{"family":"Avokpaho","given":"Euripide F. G. A."},{"family":"Awasthi","given":"Ashish"},{"family":"Quintanilla","given":"Beatriz Paulina Ayala"},{"family":"Ayele","given":"Yohanes"},{"family":"Ayer","given":"Rakesh"},{"family":"Azzopardi","given":"Peter S."},{"family":"Babazadeh","given":"Arefeh"},{"family":"Bacha","given":"Umar"},{"family":"Badali","given":"Hamid"},{"family":"Badawi","given":"Alaa"},{"family":"Bali","given":"Ayele Geleto"},{"family":"Ballesteros","given":"Katherine E."},{"family":"Banach","given":"Maciej"},{"family":"Banerjee","given":"Kajori"},{"family":"Bannick","given":"Marlena S."},{"family":"Banoub","given":"Joseph Adel Mattar"},{"family":"Barboza","given":"Miguel A."},{"family":"Barker-Collo","given":"Suzanne Lyn"},{"family":"Bärnighausen","given":"Till Winfried"},{"family":"Barquera","given":"Simon"},{"family":"Barrero","given":"Lope H."},{"family":"Bassat","given":"Quique"},{"family":"Basu","given":"Sanjay"},{"family":"Baune","given":"Bernhard T."},{"family":"Baynes","given":"Habtamu Wondifraw"},{"family":"Bazargan-Hejazi","given":"Shahrzad"},{"family":"Bedi","given":"Neeraj"},{"family":"Beghi","given":"Ettore"},{"family":"Behzadifar","given":"Masoud"},{"family":"Behzadifar","given":"Meysam"},{"family":"Béjot","given":"Yannick"},{"family":"Bekele","given":"Bayu Begashaw"},{"family":"Belachew","given":"Abate Bekele"},{"family":"Belay","given":"Ezra"},{"family":"Belay","given":"Yihalem Abebe"},{"family":"Bell","given":"Michelle L."},{"family":"Bello","given":"Aminu K."},{"family":"Bennett","given":"Derrick A."},{"family":"Bensenor","given":"Isabela M."},{"family":"Berman","given":"Adam E."},{"family":"Bernabe","given":"Eduardo"},{"family":"Bernstein","given":"Robert S."},{"family":"Bertolacci","given":"Gregory J."},{"family":"Beuran","given":"Mircea"},{"family":"Beyranvand","given":"Tina"},{"family":"Bhalla","given":"Ashish"},{"family":"Bhattarai","given":"Suraj"},{"family":"Bhaumik","given":"Soumyadeeep"},{"family":"Bhutta","given":"Zulfiqar A."},{"family":"Biadgo","given":"Belete"},{"family":"Biehl","given":"Molly H."},{"family":"Bijani","given":"Ali"},{"family":"Bikbov","given":"Boris"},{"family":"Bilano","given":"Ver"},{"family":"Bililign","given":"Nigus"},{"family":"Sayeed","given":"Muhammad Shahdaat Bin"},{"family":"Bisanzio","given":"Donal"},{"family":"Biswas","given":"Tuhin"},{"family":"Blacker","given":"Brigette F."},{"family":"Basara","given":"Berrak Bora"},{"family":"Borschmann","given":"Rohan"},{"family":"Bosetti","given":"Cristina"},{"family":"Bozorgmehr","given":"Kayvan"},{"family":"Brady","given":"Oliver J."},{"family":"Brant","given":"Luisa C."},{"family":"Brayne","given":"Carol"},{"family":"Brazinova","given":"Alexandra"},{"family":"Breitborde","given":"Nicholas J. K."},{"family":"Brenner","given":"Hermann"},{"family":"Briant","given":"Paul Svitil"},{"family":"Britton","given":"Gabrielle"},{"family":"Brugha","given":"Traolach"},{"family":"Busse","given":"Reinhard"},{"family":"Butt","given":"Zahid A."},{"family":"Callender","given":"Charlton S. K. H."},{"family":"Campos-Nonato","given":"Ismael R."},{"family":"Rincon","given":"Julio Cesar Campuzano"},{"family":"Cano","given":"Jorge"},{"family":"Car","given":"Mate"},{"family":"Cárdenas","given":"Rosario"},{"family":"Carreras","given":"Giulia"},{"family":"Carrero","given":"Juan J."},{"family":"Carter","given":"Austin"},{"family":"Carvalho","given":"Félix"},{"family":"Castañeda-Orjuela","given":"Carlos A."},{"family":"Rivas","given":"Jacqueline Castillo"},{"family":"Castle","given":"Chris D."},{"family":"Castro","given":"Clara"},{"family":"Castro","given":"Franz"},{"family":"Catalá-López","given":"Ferrán"},{"family":"Cerin","given":"Ester"},{"family":"Chaiah","given":"Yazan"},{"family":"Chang","given":"Jung-Chen"},{"family":"Charlson","given":"Fiona J."},{"family":"Chaturvedi","given":"Pankaj"},{"family":"Chiang","given":"Peggy Pei-Chia"},{"family":"Chimed-Ochir","given":"Odgerel"},{"family":"Chisumpa","given":"Vesper Hichilombwe"},{"family":"Chitheer","given":"Abdulaal"},{"family":"Chowdhury","given":"Rajiv"},{"family":"Christensen","given":"Hanne"},{"family":"Christopher","given":"Devasahayam J."},{"family":"Chung","given":"Sheng-Chia"},{"family":"Cicuttini","given":"Flavia M."},{"family":"Ciobanu","given":"Liliana G."},{"family":"Cirillo","given":"Massimo"},{"family":"Cohen","given":"Aaron J."},{"family":"Cooper","given":"Leslie Trumbull"},{"family":"Cortesi","given":"Paolo Angelo"},{"family":"Cortinovis","given":"Monica"},{"family":"Cousin","given":"Ewerton"},{"family":"Cowie","given":"Benjamin C."},{"family":"Criqui","given":"Michael H."},{"family":"Cromwell","given":"Elizabeth A."},{"family":"Crowe","given":"Christopher Stephen"},{"family":"Crump","given":"John A."},{"family":"Cunningham","given":"Matthew"},{"family":"Daba","given":"Alemneh Kabeta"},{"family":"Dadi","given":"Abel Fekadu"},{"family":"Dandona","given":"Lalit"},{"family":"Dandona","given":"Rakhi"},{"family":"Dang","given":"Anh Kim"},{"family":"Dargan","given":"Paul I."},{"family":"Daryani","given":"Ahmad"},{"family":"Das","given":"Siddharth K."},{"family":"Gupta","given":"Rajat Das"},{"family":"Neves","given":"José Das"},{"family":"Dasa","given":"Tamirat Tesfaye"},{"family":"Dash","given":"Aditya Prasad"},{"family":"Davis","given":"Adrian C."},{"family":"Weaver","given":"Nicole Davis"},{"family":"Davitoiu","given":"Dragos Virgil"},{"family":"Davletov","given":"Kairat"},{"family":"Hoz","given":"Fernando Pio De La"},{"family":"Neve","given":"Jan-Walter De"},{"family":"Degefa","given":"Meaza Girma"},{"family":"Degenhardt","given":"Louisa"},{"family":"Degfie","given":"Tizta T."},{"family":"Deiparine","given":"Selina"},{"family":"Demoz","given":"Gebre Teklemariam"},{"family":"Demtsu","given":"Balem Betsu"},{"family":"Denova-Gutiérrez","given":"Edgar"},{"family":"Deribe","given":"Kebede"},{"family":"Dervenis","given":"Nikolaos"},{"family":"Jarlais","given":"Don C. Des"},{"family":"Dessie","given":"Getenet Ayalew"},{"family":"Dey","given":"Subhojit"},{"family":"Dharmaratne","given":"Samath D."},{"family":"Dicker","given":"Daniel"},{"family":"Dinberu","given":"Mesfin Tadese"},{"family":"Ding","given":"Eric L."},{"family":"Dirac","given":"M. Ashworth"},{"family":"Djalalinia","given":"Shirin"},{"family":"Dokova","given":"Klara"},{"family":"Doku","given":"David Teye"},{"family":"Donnelly","given":"Christl A."},{"family":"Dorsey","given":"E. Ray"},{"family":"Doshi","given":"Pratik P."},{"family":"Douwes-Schultz","given":"Dirk"},{"family":"Doyle","given":"Kerrie E."},{"family":"Driscoll","given":"Tim R."},{"family":"Dubey","given":"Manisha"},{"family":"Dubljanin","given":"Eleonora"},{"family":"Duken","given":"Eyasu Ejeta"},{"family":"Duncan","given":"Bruce B."},{"family":"Duraes","given":"Andre R."},{"family":"Ebrahimi","given":"Hedyeh"},{"family":"Ebrahimpour","given":"Soheil"},{"family":"Edessa","given":"Dumessa"},{"family":"Edvardsson","given":"David"},{"family":"Eggen","given":"Anne Elise"},{"family":"Bcheraoui","given":"Charbel El"},{"family":"Zaki","given":"Maysaa El Sayed"},{"family":"El-Khatib","given":"Ziad"},{"family":"Elkout","given":"Hajer"},{"family":"Ellingsen","given":"Christian Lycke"},{"family":"Endres","given":"Matthias"},{"family":"Endries","given":"Aman Yesuf"},{"family":"Er","given":"Benjamin"},{"family":"Erskine","given":"Holly E."},{"family":"Eshrati","given":"Babak"},{"family":"Eskandarieh","given":"Sharareh"},{"family":"Esmaeili","given":"Reza"},{"family":"Esteghamati","given":"Alireza"},{"family":"Fakhar","given":"Mahdi"},{"family":"Fakhim","given":"Hamed"},{"family":"Faramarzi","given":"Mahbobeh"},{"family":"Fareed","given":"Mohammad"},{"family":"Farhadi","given":"Farzaneh"},{"family":"Farinha","given":"Carla Sofia E.","dropping-particle":"sá"},{"family":"Faro","given":"Andre"},{"family":"Farvid","given":"Maryam S."},{"family":"Farzadfar","given":"Farshad"},{"family":"Farzaei","given":"Mohammad Hosein"},{"family":"Feigin","given":"Valery L."},{"family":"Feigl","given":"Andrea B."},{"family":"Fentahun","given":"Netsanet"},{"family":"Fereshtehnejad","given":"Seyed-Mohammad"},{"family":"Fernandes","given":"Eduarda"},{"family":"Fernandes","given":"Joao C."},{"family":"Ferrari","given":"Alize J."},{"family":"Feyissa","given":"Garumma Tolu"},{"family":"Filip","given":"Irina"},{"family":"Finegold","given":"Samuel"},{"family":"Fischer","given":"Florian"},{"family":"Fitzmaurice","given":"Christina"},{"family":"Foigt","given":"Nataliya A."},{"family":"Foreman","given":"Kyle J."},{"family":"Fornari","given":"Carla"},{"family":"Frank","given":"Tahvi D."},{"family":"Fukumoto","given":"Takeshi"},{"family":"Fuller","given":"John E."},{"family":"Fullman","given":"Nancy"},{"family":"Fürst","given":"Thomas"},{"family":"Furtado","given":"João M."},{"family":"Futran","given":"Neal D."},{"family":"Gallus","given":"Silvano"},{"family":"Garcia-Basteiro","given":"Alberto L."},{"family":"Garcia-Gordillo","given":"Miguel A."},{"family":"Gardner","given":"William M."},{"family":"Gebre","given":"Abadi Kahsu"},{"family":"Gebrehiwot","given":"Tsegaye Tewelde"},{"family":"Gebremedhin","given":"Amanuel Tesfay"},{"family":"Gebremichael","given":"Bereket"},{"family":"Gebremichael","given":"Teklu Gebrehiwo"},{"family":"Gelano","given":"Tilayie Feto"},{"family":"Geleijnse","given":"Johanna M."},{"family":"Genova-Maleras","given":"Ricard"},{"family":"Geramo","given":"Yilma Chisha Dea"},{"family":"Gething","given":"Peter W."},{"family":"Gezae","given":"Kebede Embaye"},{"family":"Ghadami","given":"Mohammad Rasoul"},{"family":"Ghadimi","given":"Reza"},{"family":"Falavarjani","given":"Khalil Ghasemi"},{"family":"Ghasemi-Kasman","given":"Maryam"},{"family":"Ghimire","given":"Mamata"},{"family":"Gibney","given":"Katherine B."},{"family":"Gill","given":"Paramjit Singh"},{"family":"Gill","given":"Tiffany K."},{"family":"Gillum","given":"Richard F."},{"family":"Ginawi","given":"Ibrahim Abdelmageed"},{"family":"Giroud","given":"Maurice"},{"family":"Giussani","given":"Giorgia"},{"family":"Goenka","given":"Shifalika"},{"family":"Goldberg","given":"Ellen M."},{"family":"Goli","given":"Srinivas"},{"family":"Gómez-Dantés","given":"Hector"},{"family":"Gona","given":"Philimon N."},{"family":"Gopalani","given":"Sameer Vali"},{"family":"Gorman","given":"Taren M."},{"family":"Goto","given":"Atsushi"},{"family":"Goulart","given":"Alessandra C."},{"family":"Gnedovskaya","given":"Elena V."},{"family":"Grada","given":"Ayman"},{"family":"Grosso","given":"Giuseppe"},{"family":"Gugnani","given":"Harish Chander"},{"family":"Guimaraes","given":"Andre Luiz Sena"},{"family":"Guo","given":"Yuming"},{"family":"Gupta","given":"Prakash C."},{"family":"Gupta","given":"Rahul"},{"family":"Gupta","given":"Rajeev"},{"family":"Gupta","given":"Tanush"},{"family":"Gutiérrez","given":"Reyna Alma"},{"family":"Gyawali","given":"Bishal"},{"family":"Haagsma","given":"Juanita A."},{"family":"Hafezi-Nejad","given":"Nima"},{"family":"Hagos","given":"Tekleberhan B."},{"family":"Hailegiyorgis","given":"Tewodros Tesfa"},{"family":"Hailu","given":"Gessessew Bugssa"},{"family":"Haj-Mirzaian","given":"Arvin"},{"family":"Haj-Mirzaian","given":"Arya"},{"family":"Hamadeh","given":"Randah R."},{"family":"Hamidi","given":"Samer"},{"family":"Handal","given":"Alexis J."},{"family":"Hankey","given":"Graeme J."},{"family":"Harb","given":"Hilda L."},{"family":"Harikrishnan","given":"Sivadasanpillai"},{"family":"Haro","given":"Josep Maria"},{"family":"Hasan","given":"Mehedi"},{"family":"Hassankhani","given":"Hadi"},{"family":"Hassen","given":"Hamid Yimam"},{"family":"Havmoeller","given":"Rasmus"},{"family":"Hay","given":"Roderick J."},{"family":"Hay","given":"Simon I."},{"family":"He","given":"Yihua"},{"family":"Hedayatizadeh-Omran","given":"Akbar"},{"family":"Hegazy","given":"Mohamed I."},{"family":"Heibati","given":"Behzad"},{"family":"Heidari","given":"Mohsen"},{"family":"Hendrie","given":"Delia"},{"family":"Henok","given":"Andualem"},{"family":"Henry","given":"Nathaniel J."},{"family":"Herteliu","given":"Claudiu"},{"family":"Heydarpour","given":"Fatemeh"},{"family":"Heydarpour","given":"Pouria"},{"family":"Heydarpour","given":"Sousan"},{"family":"Hibstu","given":"Desalegn Tsegaw"},{"family":"Hoek","given":"Hans W."},{"family":"Hole","given":"Michael K."},{"family":"Rad","given":"Enayatollah Homaie"},{"family":"Hoogar","given":"Praveen"},{"family":"Hosgood","given":"H. Dean"},{"family":"Hosseini","given":"Seyed Mostafa"},{"family":"Hosseinzadeh","given":"Mehdi"},{"family":"Hostiuc","given":"Mihaela"},{"family":"Hostiuc","given":"Sorin"},{"family":"Hotez","given":"Peter J."},{"family":"Hoy","given":"Damian G."},{"family":"Hsiao","given":"Thomas"},{"family":"Hu","given":"Guoqing"},{"family":"Huang","given":"John J."},{"family":"Husseini","given":"Abdullatif"},{"family":"Hussen","given":"Mohammedaman Mama"},{"family":"Hutfless","given":"Susan"},{"family":"Idrisov","given":"Bulat"},{"family":"Ilesanmi","given":"Olayinka Stephen"},{"family":"Iqbal","given":"Usman"},{"family":"Irvani","given":"Seyed Sina Naghibi"},{"family":"Irvine","given":"Caleb Mackay Salpeter"},{"family":"Islam","given":"Nazrul"},{"family":"Islam","given":"Sheikh Mohammed Shariful"},{"family":"Islami","given":"Farhad"},{"family":"Jacobsen","given":"Kathryn H."},{"family":"Jahangiry","given":"Leila"},{"family":"Jahanmehr","given":"Nader"},{"family":"Jain","given":"Sudhir Kumar"},{"family":"Jakovljevic","given":"Mihajlo"},{"family":"Jalu","given":"Moti Tolera"},{"family":"James","given":"Spencer L."},{"family":"Javanbakht","given":"Mehdi"},{"family":"Jayatilleke","given":"Achala Upendra"},{"family":"Jeemon","given":"Panniyammakal"},{"family":"Jenkins","given":"Kathy J."},{"family":"Jha","given":"Ravi Prakash"},{"family":"Jha","given":"Vivekanand"},{"family":"Johnson","given":"Catherine O."},{"family":"Johnson","given":"Sarah C."},{"family":"Jonas","given":"Jost B."},{"family":"Joshi","given":"Ankur"},{"family":"Jozwiak","given":"Jacek Jerzy"},{"family":"Jungari","given":"Suresh Banayya"},{"family":"Jürisson","given":"Mikk"},{"family":"Kabir","given":"Zubair"},{"family":"Kadel","given":"Rajendra"},{"family":"Kahsay","given":"Amaha"},{"family":"Kalani","given":"Rizwan"},{"family":"Karami","given":"Manoochehr"},{"family":"Matin","given":"Behzad Karami"},{"family":"Karch","given":"André"},{"family":"Karema","given":"Corine"},{"family":"Karimi-Sari","given":"Hamidreza"},{"family":"Kasaeian","given":"Amir"},{"family":"Kassa","given":"Dessalegn H."},{"family":"Kassa","given":"Getachew Mullu"},{"family":"Kassa","given":"Tesfaye Dessale"},{"family":"Kassebaum","given":"Nicholas J."},{"family":"Katikireddi","given":"Srinivasa Vittal"},{"family":"Kaul","given":"Anil"},{"family":"Kazemi","given":"Zhila"},{"family":"Karyani","given":"Ali Kazemi"},{"family":"Kazi","given":"Dhruv Satish"},{"family":"Kefale","given":"Adane Teshome"},{"family":"Keiyoro","given":"Peter Njenga"},{"family":"Kemp","given":"Grant Rodgers"},{"family":"Kengne","given":"Andre Pascal"},{"family":"Keren","given":"Andre"},{"family":"Kesavachandran","given":"Chandrasekharan Nair"},{"family":"Khader","given":"Yousef Saleh"},{"family":"Khafaei","given":"Behzad"},{"family":"Khafaie","given":"Morteza Abdullatif"},{"family":"Khajavi","given":"Alireza"},{"family":"Khalid","given":"Nauman"},{"family":"Khalil","given":"Ibrahim A."},{"family":"Khan","given":"Ejaz Ahmad"},{"family":"Khan","given":"Muhammad Shahzeb"},{"family":"Khan","given":"Muhammad Ali"},{"family":"Khang","given":"Young-Ho"},{"family":"Khater","given":"Mona M."},{"family":"Khoja","given":"Abdullah T."},{"family":"Khosravi","given":"Ardeshir"},{"family":"Khosravi","given":"Mohammad Hossein"},{"family":"Khubchandani","given":"Jagdish"},{"family":"Kiadaliri","given":"Aliasghar A."},{"family":"Kibret","given":"Getiye D."},{"family":"Kidanemariam","given":"Zelalem Teklemariam"},{"family":"Kiirithio","given":"Daniel N."},{"family":"Kim","given":"Daniel"},{"family":"Kim","given":"Young-Eun"},{"family":"Kim","given":"Yun Jin"},{"family":"Kimokoti","given":"Ruth W."},{"family":"Kinfu","given":"Yohannes"},{"family":"Kisa","given":"Adnan"},{"family":"Kissimova-Skarbek","given":"Katarzyna"},{"family":"Kivimäki","given":"Mika"},{"family":"Knudsen","given":"Ann Kristin Skrindo"},{"family":"Kocarnik","given":"Jonathan M."},{"family":"Kochhar","given":"Sonali"},{"family":"Kokubo","given":"Yoshihiro"},{"family":"Kolola","given":"Tufa"},{"family":"Kopec","given":"Jacek A."},{"family":"Koul","given":"Parvaiz A."},{"family":"Koyanagi","given":"Ai"},{"family":"Kravchenko","given":"Michael A."},{"family":"Krishan","given":"Kewal"},{"family":"Defo","given":"Barthelemy Kuate"},{"family":"Bicer","given":"Burcu Kucuk"},{"family":"Kumar","given":"G. Anil"},{"family":"Kumar","given":"Manasi"},{"family":"Kumar","given":"Pushpendra"},{"family":"Kutz","given":"Michael J."},{"family":"Kuzin","given":"Igor"},{"family":"Kyu","given":"Hmwe Hmwe"},{"family":"Lad","given":"Deepesh P."},{"family":"Lad","given":"Sheetal D."},{"family":"Lafranconi","given":"Alessandra"},{"family":"Lal","given":"Dharmesh Kumar"},{"family":"Lalloo","given":"Ratilal"},{"family":"Lallukka","given":"Tea"},{"family":"Lam","given":"Jennifer O."},{"family":"Lami","given":"Faris Hasan"},{"family":"Lansingh","given":"Van C."},{"family":"Lansky","given":"Sonia"},{"family":"Larson","given":"Heidi J."},{"family":"Latifi","given":"Arman"},{"family":"Lau","given":"Kathryn Mei-Ming"},{"family":"Lazarus","given":"Jeffrey V."},{"family":"Lebedev","given":"Georgy"},{"family":"Lee","given":"Paul H."},{"family":"Leigh","given":"James"},{"family":"Leili","given":"Mostafa"},{"family":"Leshargie","given":"Cheru Tesema"},{"family":"Li","given":"Shanshan"},{"family":"Li","given":"Yichong"},{"family":"Liang","given":"Juan"},{"family":"Lim","given":"Lee-Ling"},{"family":"Lim","given":"Stephen S."},{"family":"Limenih","given":"Miteku Andualem"},{"family":"Linn","given":"Shai"},{"family":"Liu","given":"Shiwei"},{"family":"Liu","given":"Yang"},{"family":"Lodha","given":"Rakesh"},{"family":"Lonsdale","given":"Chris"},{"family":"Lopez","given":"Alan D."},{"family":"Lorkowski","given":"Stefan"},{"family":"Lotufo","given":"Paulo A."},{"family":"Lozano","given":"Rafael"},{"family":"Lunevicius","given":"Raimundas"},{"family":"Ma","given":"Stefan"},{"family":"Macarayan","given":"Erlyn Rachelle King"},{"family":"Mackay","given":"Mark T."},{"family":"MacLachlan","given":"Jennifer H."},{"family":"Maddison","given":"Emilie R."},{"family":"Madotto","given":"Fabiana"},{"family":"Razek","given":"Hassan Magdy Abd El"},{"family":"Razek","given":"Muhammed Magdy Abd El"},{"family":"Maghavani","given":"Dhaval P."},{"family":"Majdan","given":"Marek"},{"family":"Majdzadeh","given":"Reza"},{"family":"Majeed","given":"Azeem"},{"family":"Malekzadeh","given":"Reza"},{"family":"Malta","given":"Deborah Carvalho"},{"family":"Manda","given":"Ana-Laura"},{"family":"Mandarano-Filho","given":"Luiz Garcia"},{"family":"Manguerra","given":"Helena"},{"family":"Mansournia","given":"Mohammad Ali"},{"family":"Mapoma","given":"Chabila Christopher"},{"family":"Marami","given":"Dadi"},{"family":"Maravilla","given":"Joemer C."},{"family":"Marcenes","given":"Wagner"},{"family":"Marczak","given":"Laurie"},{"family":"Marks","given":"Ashley"},{"family":"Marks","given":"Guy B."},{"family":"Martinez","given":"Gabriel"},{"family":"Martins-Melo","given":"Francisco Rogerlândio"},{"family":"Martopullo","given":"Ira"},{"family":"März","given":"Winfried"},{"family":"Marzan","given":"Melvin B."},{"family":"Masci","given":"Joseph R."},{"family":"Massenburg","given":"Benjamin Ballard"},{"family":"Mathur","given":"Manu Raj"},{"family":"Mathur","given":"Prashant"},{"family":"Matzopoulos","given":"Richard"},{"family":"Maulik","given":"Pallab K."},{"family":"Mazidi","given":"Mohsen"},{"family":"McAlinden","given":"Colm"},{"family":"McGrath","given":"John J."},{"family":"McKee","given":"Martin"},{"family":"McMahon","given":"Brian J."},{"family":"Mehata","given":"Suresh"},{"family":"Mehndiratta","given":"Man Mohan"},{"family":"Mehrotra","given":"Ravi"},{"family":"Mehta","given":"Kala M."},{"family":"Mehta","given":"Varshil"},{"family":"Mekonnen","given":"Tefera C."},{"family":"Melese","given":"Addisu"},{"family":"Melku","given":"Mulugeta"},{"family":"Memiah","given":"Peter T. N."},{"family":"Memish","given":"Ziad A."},{"family":"Mendoza","given":"Walter"},{"family":"Mengistu","given":"Desalegn Tadese"},{"family":"Mengistu","given":"Getnet"},{"family":"Mensah","given":"George A."},{"family":"Mereta","given":"Seid Tiku"},{"family":"Meretoja","given":"Atte"},{"family":"Meretoja","given":"Tuomo J."},{"family":"Mestrovic","given":"Tomislav"},{"family":"Mezgebe","given":"Haftay Berhane"},{"family":"Miazgowski","given":"Bartosz"},{"family":"Miazgowski","given":"Tomasz"},{"family":"Millear","given":"Anoushka I."},{"family":"Miller","given":"Ted R."},{"family":"Miller-Petrie","given":"Molly Katherine"},{"family":"Mini","given":"G. K."},{"family":"Mirabi","given":"Parvaneh"},{"family":"Mirarefin","given":"Mojde"},{"family":"Mirica","given":"Andreea"},{"family":"Mirrakhimov","given":"Erkin M."},{"family":"Misganaw","given":"Awoke Temesgen"},{"family":"Mitiku","given":"Habtamu"},{"family":"Moazen","given":"Babak"},{"family":"Mohammad","given":"Karzan Abdulmuhsin"},{"family":"Mohammadi","given":"Moslem"},{"family":"Mohammadifard","given":"Noushin"},{"family":"Mohammed","given":"Mohammed A."},{"family":"Mohammed","given":"Shafiu"},{"family":"Mohan","given":"Viswanathan"},{"family":"Mokdad","given":"Ali H."},{"family":"Molokhia","given":"Mariam"},{"family":"Monasta","given":"Lorenzo"},{"family":"Moradi","given":"Ghobad"},{"family":"Moradi-Lakeh","given":"Maziar"},{"family":"Moradinazar","given":"Mehdi"},{"family":"Moraga","given":"Paula"},{"family":"Morawska","given":"Lidia"},{"family":"Velásquez","given":"Ilais Moreno"},{"family":"Morgado-Da-Costa","given":"Joana"},{"family":"Morrison","given":"Shane Douglas"},{"family":"Moschos","given":"Marilita M."},{"family":"Mouodi","given":"Simin"},{"family":"Mousavi","given":"Seyyed Meysam"},{"family":"Muchie","given":"Kindie Fentahun"},{"family":"Mueller","given":"Ulrich Otto"},{"family":"Mukhopadhyay","given":"Satinath"},{"family":"Muller","given":"Kate"},{"family":"Mumford","given":"John Everett"},{"family":"Musa","given":"Jonah"},{"family":"Musa","given":"Kamarul Imran"},{"family":"Mustafa","given":"Ghulam"},{"family":"Muthupandian","given":"Saravanan"},{"family":"Nachega","given":"Jean B."},{"family":"Nagel","given":"Gabriele"},{"family":"Naheed","given":"Aliya"},{"family":"Nahvijou","given":"Azin"},{"family":"Naik","given":"Gurudatta"},{"family":"Nair","given":"Sanjeev"},{"family":"Najafi","given":"Farid"},{"family":"Naldi","given":"Luigi"},{"family":"Nam","given":"Hae Sung"},{"family":"Nangia","given":"Vinay"},{"family":"Nansseu","given":"Jobert Richie"},{"family":"Nascimento","given":"Bruno Ramos"},{"family":"Natarajan","given":"Gopalakrishnan"},{"family":"Neamati","given":"Nahid"},{"family":"Negoi","given":"Ionut"},{"family":"Negoi","given":"Ruxandra Irina"},{"family":"Neupane","given":"Subas"},{"family":"Newton","given":"Charles R. J."},{"family":"Ngalesoni","given":"Frida N."},{"family":"Ngunjiri","given":"Josephine W."},{"family":"Nguyen","given":"Anh Quynh"},{"family":"Nguyen","given":"Grant"},{"family":"Nguyen","given":"Ha Thu"},{"family":"Nguyen","given":"Huong Thanh"},{"family":"Nguyen","given":"Long Hoang"},{"family":"Nguyen","given":"Minh"},{"family":"Nguyen","given":"Trang Huyen"},{"family":"Nichols","given":"Emma"},{"family":"Ningrum","given":"Dina Nur Anggraini"},{"family":"Nirayo","given":"Yirga Legesse"},{"family":"Nixon","given":"Molly R."},{"family":"Nolutshungu","given":"Nomonde"},{"family":"Nomura","given":"Shuhei"},{"family":"Norheim","given":"Ole F."},{"family":"Noroozi","given":"Mehdi"},{"family":"Norrving","given":"Bo"},{"family":"Noubiap","given":"Jean Jacques"},{"family":"Nouri","given":"Hamid Reza"},{"family":"Shiadeh","given":"Malihe Nourollahpour"},{"family":"Nowroozi","given":"Mohammad Reza"},{"family":"Nyasulu","given":"Peter S."},{"family":"Odell","given":"Christopher M."},{"family":"Ofori-Asenso","given":"Richard"},{"family":"Ogbo","given":"Felix Akpojene"},{"family":"Oh","given":"In-Hwan"},{"family":"Oladimeji","given":"Olanrewaju"},{"family":"Olagunju","given":"Andrew T."},{"family":"Olivares","given":"Pedro R."},{"family":"Olsen","given":"Helen Elizabeth"},{"family":"Olusanya","given":"Bolajoko Olubukunola"},{"family":"Olusanya","given":"Jacob Olusegun"},{"family":"Ong","given":"Kanyin L."},{"family":"Ong","given":"Sok King Sk"},{"family":"Oren","given":"Eyal"},{"family":"Orpana","given":"Heather M."},{"family":"Ortiz","given":"Alberto"},{"family":"Ortiz","given":"Justin R."},{"family":"Otstavnov","given":"Stanislav S."},{"family":"Øverland","given":"Simon"},{"family":"Owolabi","given":"Mayowa Ojo"},{"family":"Özdemir","given":"Raziye"},{"family":"A","given":"Mahesh P."},{"family":"Pacella","given":"Rosana"},{"family":"Pakhale","given":"Smita"},{"family":"Pakhare","given":"Abhijit P."},{"family":"Pakpour","given":"Amir H."},{"family":"Pana","given":"Adrian"},{"family":"Panda-Jonas","given":"Songhomitra"},{"family":"Pandian","given":"Jeyaraj Durai"},{"family":"Parisi","given":"Andrea"},{"family":"Park","given":"Eun-Kee"},{"family":"Parry","given":"Charles D. H."},{"family":"Parsian","given":"Hadi"},{"family":"Patel","given":"Shanti"},{"family":"Pati","given":"Sanghamitra"},{"family":"Patton","given":"George C."},{"family":"Paturi","given":"Vishnupriya Rao"},{"family":"Paulson","given":"Katherine R."},{"family":"Pereira","given":"Alexandre"},{"family":"Pereira","given":"David M."},{"family":"Perico","given":"Norberto"},{"family":"Pesudovs","given":"Konrad"},{"family":"Petzold","given":"Max"},{"family":"Phillips","given":"Michael R."},{"family":"Piel","given":"Frédéric B."},{"family":"Pigott","given":"David M."},{"family":"Pillay","given":"Julian David"},{"family":"Pirsaheb","given":"Meghdad"},{"family":"Pishgar","given":"Farhad"},{"family":"Polinder","given":"Suzanne"},{"family":"Postma","given":"Maarten J."},{"family":"Pourshams","given":"Akram"},{"family":"Poustchi","given":"Hossein"},{"family":"Pujar","given":"Ashwini"},{"family":"Prakash","given":"Swayam"},{"family":"Prasad","given":"Narayan"},{"family":"Purcell","given":"Caroline A."},{"family":"Qorbani","given":"Mostafa"},{"family":"Quintana","given":"Hedley"},{"family":"Quistberg","given":"D. Alex"},{"family":"Rade","given":"Kirankumar Waman"},{"family":"Radfar","given":"Amir"},{"family":"Rafay","given":"Anwar"},{"family":"Rafiei","given":"Alireza"},{"family":"Rahim","given":"Fakher"},{"family":"Rahimi","given":"Kazem"},{"family":"Rahimi-Movaghar","given":"Afarin"},{"family":"Rahman","given":"Mahfuzar"},{"family":"Rahman","given":"Mohammad Hifz Ur"},{"family":"Rahman","given":"Muhammad Aziz"},{"family":"Rai","given":"Rajesh Kumar"},{"family":"Rajsic","given":"Sasa"},{"family":"Ram","given":"Usha"},{"family":"Ranabhat","given":"Chhabi Lal"},{"family":"Ranjan","given":"Prabhat"},{"family":"Rao","given":"Puja C."},{"family":"Rawaf","given":"David Laith"},{"family":"Rawaf","given":"Salman"},{"family":"Razo-García","given":"Christian"},{"family":"Reddy","given":"K. Srinath"},{"family":"Reiner","given":"Robert C."},{"family":"Reitsma","given":"Marissa B."},{"family":"Remuzzi","given":"Giuseppe"},{"family":"Renzaho","given":"Andre M. N."},{"family":"Resnikoff","given":"Serge"},{"family":"Rezaei","given":"Satar"},{"family":"Rezaeian","given":"Shahab"},{"family":"Rezai","given":"Mohammad Sadegh"},{"family":"Riahi","given":"Seyed Mohammad"},{"family":"Ribeiro","given":"Antonio Luiz P."},{"family":"Rios-Blancas","given":"Maria Jesus"},{"family":"Roba","given":"Kedir Teji"},{"family":"Roberts","given":"Nicholas L. S."},{"family":"Robinson","given":"Stephen R."},{"family":"Roever","given":"Leonardo"},{"family":"Ronfani","given":"Luca"},{"family":"Roshandel","given":"Gholamreza"},{"family":"Rostami","given":"Ali"},{"family":"Rothenbacher","given":"Dietrich"},{"family":"Roy","given":"Ambuj"},{"family":"Rubagotti","given":"Enrico"},{"family":"Sachdev","given":"Perminder S."},{"family":"Saddik","given":"Basema"},{"family":"Sadeghi","given":"Ehsan"},{"family":"Safari","given":"Hosein"},{"family":"Safdarian","given":"Mahdi"},{"family":"Safi","given":"Sare"},{"family":"Safiri","given":"Saeid"},{"family":"Sagar","given":"Rajesh"},{"family":"Sahebkar","given":"Amirhossein"},{"family":"Sahraian","given":"Mohammad Ali"},{"family":"Salam","given":"Nasir"},{"family":"Salama","given":"Joseph S."},{"family":"Salamati","given":"Payman"},{"family":"Saldanha","given":"Raphael De Freitas"},{"family":"Saleem","given":"Zikria"},{"family":"Salimi","given":"Yahya"},{"family":"Salvi","given":"Sundeep Santosh"},{"family":"Salz","given":"Inbal"},{"family":"Sambala","given":"Evanson Zondani"},{"family":"Samy","given":"Abdallah M."},{"family":"Sanabria","given":"Juan"},{"family":"Sanchez-Niño","given":"Maria Dolores"},{"family":"Santomauro","given":"Damian Francesco"},{"family":"Santos","given":"Itamar S."},{"family":"Santos","given":"João Vasco"},{"family":"Milicevic","given":"Milena M. Santric"},{"family":"Jose","given":"Bruno Piassi Sao"},{"family":"Sarker","given":"Abdur Razzaque"},{"family":"Sarmiento-Suárez","given":"Rodrigo"},{"family":"Sarrafzadegan","given":"Nizal"},{"family":"Sartorius","given":"Benn"},{"family":"Sarvi","given":"Shahabeddin"},{"family":"Sathian","given":"Brijesh"},{"family":"Satpathy","given":"Maheswar"},{"family":"Sawant","given":"Arundhati R."},{"family":"Sawhney","given":"Monika"},{"family":"Saxena","given":"Sonia"},{"family":"Sayyah","given":"Mehdi"},{"family":"Schaeffner","given":"Elke"},{"family":"Schmidt","given":"Maria Inês"},{"family":"Schneider","given":"Ione J. C."},{"family":"Schöttker","given":"Ben"},{"family":"Schutte","given":"Aletta Elisabeth"},{"family":"Schwebel","given":"David C."},{"family":"Schwendicke","given":"Falk"},{"family":"Scott","given":"James G."},{"family":"Sekerija","given":"Mario"},{"family":"Sepanlou","given":"Sadaf G."},{"family":"Serván-Mori","given":"Edson"},{"family":"Seyedmousavi","given":"Seyedmojtaba"},{"family":"Shabaninejad","given":"Hosein"},{"family":"Shackelford","given":"Katya Anne"},{"family":"Shafieesabet","given":"Azadeh"},{"family":"Shahbazi","given":"Mehdi"},{"family":"Shaheen","given":"Amira A."},{"family":"Shaikh","given":"Masood Ali"},{"family":"Shams-Beyranvand","given":"Mehran"},{"family":"Shamsi","given":"Mohammadbagher"},{"family":"Shamsizadeh","given":"Morteza"},{"family":"Sharafi","given":"Kiomars"},{"family":"Sharif","given":"Mehdi"},{"family":"Sharif-Alhoseini","given":"Mahdi"},{"family":"Sharma","given":"Rajesh"},{"family":"She","given":"Jun"},{"family":"Sheikh","given":"Aziz"},{"family":"Shi","given":"Peilin"},{"family":"Shiferaw","given":"Mekonnen Sisay"},{"family":"Shigematsu","given":"Mika"},{"family":"Shiri","given":"Rahman"},{"family":"Shirkoohi","given":"Reza"},{"family":"Shiue","given":"Ivy"},{"family":"Shokraneh","given":"Farhad"},{"family":"Shrime","given":"Mark G."},{"family":"Si","given":"Si"},{"family":"Siabani","given":"Soraya"},{"family":"Siddiqi","given":"Tariq J."},{"family":"Sigfusdottir","given":"Inga Dora"},{"family":"Sigurvinsdottir","given":"Rannveig"},{"family":"Silberberg","given":"Donald H."},{"family":"Silva","given":"Diego Augusto Santos"},{"family":"Silva","given":"João Pedro"},{"family":"Silva","given":"Natacha Torres Da"},{"family":"Silveira","given":"Dayane Gabriele Alves"},{"family":"Singh","given":"Jasvinder A."},{"family":"Singh","given":"Narinder Pal"},{"family":"Singh","given":"Prashant Kumar"},{"family":"Singh","given":"Virendra"},{"family":"Sinha","given":"Dhirendra Narain"},{"family":"Sliwa","given":"Karen"},{"family":"Smith","given":"Mari"},{"family":"Sobaih","given":"Badr Hasan"},{"family":"Sobhani","given":"Soheila"},{"family":"Sobngwi","given":"Eugène"},{"family":"Soneji","given":"Samir S."},{"family":"Soofi","given":"Moslem"},{"family":"Sorensen","given":"Reed J. D."},{"family":"Soriano","given":"Joan B."},{"family":"Soyiri","given":"Ireneous N."},{"family":"Sposato","given":"Luciano A."},{"family":"Sreeramareddy","given":"Chandrashekhar T."},{"family":"Srinivasan","given":"Vinay"},{"family":"Stanaway","given":"Jeffrey D."},{"family":"Starodubov","given":"Vladimir I."},{"family":"Stathopoulou","given":"Vasiliki"},{"family":"Stein","given":"Dan J."},{"family":"Steiner","given":"Caitlyn"},{"family":"Stewart","given":"Leo G."},{"family":"Stokes","given":"Mark A."},{"family":"Subart","given":"Michelle L."},{"family":"Sudaryanto","given":"Agus"},{"family":"Sufiyan","given":"Mu'awiyyah Babale"},{"family":"Sur","given":"Patrick John"},{"family":"Sutradhar","given":"Ipsita"},{"family":"Sykes","given":"Bryan L."},{"family":"Sylaja","given":"P. N."},{"family":"Sylte","given":"Dillon O."},{"family":"Szoeke","given":"Cassandra E. I."},{"family":"Tabarés-Seisdedos","given":"Rafael"},{"family":"Tabuchi","given":"Takahiro"},{"family":"Tadakamadla","given":"Santosh Kumar"},{"family":"Takahashi","given":"Ken"},{"family":"Tandon","given":"Nikhil"},{"family":"Tassew","given":"Segen Gebremeskel"},{"family":"Taveira","given":"Nuno"},{"family":"Tehrani-Banihashemi","given":"Arash"},{"family":"Tekalign","given":"Tigist Gashaw"},{"family":"Tekle","given":"Merhawi Gebremedhin"},{"family":"Temsah","given":"Mohamad-Hani"},{"family":"Temsah","given":"Omar"},{"family":"Terkawi","given":"Abdullah Sulieman"},{"family":"Teshale","given":"Manaye Yihune"},{"family":"Tessema","given":"Belay"},{"family":"Tessema","given":"Gizachew Assefa"},{"family":"Thankappan","given":"Kavumpurathu Raman"},{"family":"Thirunavukkarasu","given":"Sathish"},{"family":"Thomas","given":"Nihal"},{"family":"Thrift","given":"Amanda G."},{"family":"Thurston","given":"George D."},{"family":"Tilahun","given":"Binyam"},{"family":"To","given":"Quyen G."},{"family":"Tobe-Gai","given":"Ruoyan"},{"family":"Tonelli","given":"Marcello"},{"family":"Topor-Madry","given":"Roman"},{"family":"Torre","given":"Anna E."},{"family":"Tortajada-Girbés","given":"Miguel"},{"family":"Touvier","given":"Mathilde"},{"family":"Tovani-Palone","given":"Marcos Roberto"},{"family":"Tran","given":"Bach Xuan"},{"family":"Tran","given":"Khanh Bao"},{"family":"Tripathi","given":"Suryakant"},{"family":"Troeger","given":"Christopher E."},{"family":"Truelsen","given":"Thomas Clement"},{"family":"Truong","given":"Nu Thi"},{"family":"Tsadik","given":"Afewerki Gebremeskel"},{"family":"Tsoi","given":"Derrick"},{"family":"Car","given":"Lorainne Tudor"},{"family":"Tuzcu","given":"E. Murat"},{"family":"Tyrovolas","given":"Stefanos"},{"family":"Ukwaja","given":"Kingsley N."},{"family":"Ullah","given":"Irfan"},{"family":"Undurraga","given":"Eduardo A."},{"family":"Updike","given":"Rachel L."},{"family":"Usman","given":"Muhammad Shariq"},{"family":"Uthman","given":"Olalekan A."},{"family":"Uzun","given":"Selen Begüm"},{"family":"Vaduganathan","given":"Muthiah"},{"family":"Vaezi","given":"Afsane"},{"family":"Vaidya","given":"Gaurang"},{"family":"Valdez","given":"Pascual R."},{"family":"Varavikova","given":"Elena"},{"family":"Vasankari","given":"Tommi Juhani"},{"family":"Venketasubramanian","given":"Narayanaswamy"},{"family":"Villafaina","given":"Santos"},{"family":"Violante","given":"Francesco S."},{"family":"Vladimirov","given":"Sergey Konstantinovitch"},{"family":"Vlassov","given":"Vasily"},{"family":"Vollset","given":"Stein Emil"},{"family":"Vos","given":"Theo"},{"family":"Wagner","given":"Gregory R."},{"family":"Wagnew","given":"Fasil Shiferaw"},{"family":"Waheed","given":"Yasir"},{"family":"Wallin","given":"Mitchell Taylor"},{"family":"Walson","given":"Judd L."},{"family":"Wang","given":"Yanping"},{"family":"Wang","given":"Yuan-Pang"},{"family":"Wassie","given":"Molla Mesele"},{"family":"Weiderpass","given":"Elisabete"},{"family":"Weintraub","given":"Robert G."},{"family":"Weldegebreal","given":"Fitsum"},{"family":"Weldegwergs","given":"Kidu Gidey"},{"family":"Werdecker","given":"Andrea"},{"family":"Werkneh","given":"Adhena Ayaliew"},{"family":"West","given":"T. Eoin"},{"family":"Westerman","given":"Ronny"},{"family":"Whiteford","given":"Harvey A."},{"family":"Widecka","given":"Justyna"},{"family":"Wilner","given":"Lauren B."},{"family":"Wilson","given":"Shadrach"},{"family":"Winkler","given":"Andrea Sylvia"},{"family":"Wiysonge","given":"Charles Shey"},{"family":"Wolfe","given":"Charles D. A."},{"family":"Wu","given":"Shouling"},{"family":"Wu","given":"Yun-Chun"},{"family":"Wyper","given":"Grant M. A."},{"family":"Xavier","given":"Denis"},{"family":"Xu","given":"Gelin"},{"family":"Yadgir","given":"Simon"},{"family":"Yadollahpour","given":"Ali"},{"family":"Jabbari","given":"Seyed Hossein Yahyazadeh"},{"family":"Yakob","given":"Bereket"},{"family":"Yan","given":"Lijing L."},{"family":"Yano","given":"Yuichiro"},{"family":"Yaseri","given":"Mehdi"},{"family":"Yasin","given":"Yasin Jemal"},{"family":"Yentür","given":"Gökalp Kadri"},{"family":"Yeshaneh","given":"Alex"},{"family":"Yimer","given":"Ebrahim M."},{"family":"Yip","given":"Paul"},{"family":"Yirsaw","given":"Biruck Desalegn"},{"family":"Yisma","given":"Engida"},{"family":"Yonemoto","given":"Naohiro"},{"family":"Yonga","given":"Gerald"},{"family":"Yoon","given":"Seok-Jun"},{"family":"Yotebieng","given":"Marcel"},{"family":"Younis","given":"Mustafa Z."},{"family":"Yousefifard","given":"Mahmoud"},{"family":"Yu","given":"Chuanhua"},{"family":"Zadnik","given":"Vesna"},{"family":"Zaidi","given":"Zoubida"},{"family":"Zaman","given":"Sojib Bin"},{"family":"Zamani","given":"Mohammad"},{"family":"Zare","given":"Zohreh"},{"family":"Zeleke","given":"Ayalew Jejaw"},{"family":"Zenebe","given":"Zerihun Menlkalew"},{"family":"Zhang","given":"Anthony Lin"},{"family":"Zhang","given":"Kai"},{"family":"Zhou","given":"Maigeng"},{"family":"Zodpey","given":"Sanjay"},{"family":"Zuhlke","given":"Liesl Joanna"},{"family":"Naghavi","given":"Mohsen"},{"family":"Murray","given":"Christopher J. L."}],"issued":{"date-parts":[["2018",11,10]]}}}],"schema":"https://github.com/citation-style-language/schema/raw/master/csl-citation.json"} </w:instrText>
      </w:r>
      <w:r w:rsidR="0050368D">
        <w:fldChar w:fldCharType="separate"/>
      </w:r>
      <w:r w:rsidR="0050368D" w:rsidRPr="0050368D">
        <w:rPr>
          <w:rFonts w:ascii="Calibri" w:hAnsi="Calibri" w:cs="Calibri"/>
        </w:rPr>
        <w:t>[13,14]</w:t>
      </w:r>
      <w:r w:rsidR="0050368D">
        <w:fldChar w:fldCharType="end"/>
      </w:r>
      <w:r>
        <w:t xml:space="preserve">. </w:t>
      </w:r>
      <w:r w:rsidR="00E8125E">
        <w:t xml:space="preserve">In such settings the opportunity to miss cases of childhood cancer presenting with symptoms of infection such as fever (e.g. leukaemia), or vomiting and weight loss (e.g. brain tumours), is compounded by the extreme rarity of cancer in this age group and the barriers affecting utilisation of services; </w:t>
      </w:r>
      <w:r w:rsidR="00593DFC">
        <w:t xml:space="preserve">including accessibility </w:t>
      </w:r>
      <w:r w:rsidR="00E8125E">
        <w:t>to</w:t>
      </w:r>
      <w:r w:rsidR="00593DFC">
        <w:t xml:space="preserve"> health care, </w:t>
      </w:r>
      <w:r>
        <w:t>cultural</w:t>
      </w:r>
      <w:r w:rsidR="00593DFC">
        <w:t xml:space="preserve"> factors</w:t>
      </w:r>
      <w:r>
        <w:t>,</w:t>
      </w:r>
      <w:r w:rsidR="00593DFC">
        <w:t xml:space="preserve"> </w:t>
      </w:r>
      <w:r w:rsidR="00202297">
        <w:t>disease</w:t>
      </w:r>
      <w:r>
        <w:t xml:space="preserve"> awareness</w:t>
      </w:r>
      <w:r w:rsidR="00593DFC">
        <w:t xml:space="preserve"> and financial circumstances</w:t>
      </w:r>
      <w:r>
        <w:t xml:space="preserve"> </w:t>
      </w:r>
      <w:r>
        <w:fldChar w:fldCharType="begin"/>
      </w:r>
      <w:r w:rsidR="00124231">
        <w:instrText xml:space="preserve"> ADDIN ZOTERO_ITEM CSL_CITATION {"citationID":"feIqe5hF","properties":{"formattedCitation":"[15\\uc0\\u8211{}17]","plainCitation":"[15–17]","noteIndex":0},"citationItems":[{"id":12811,"uris":["http://zotero.org/groups/23637/items/RVK4LLS7"],"uri":["http://zotero.org/groups/23637/items/RVK4LLS7"],"itemData":{"id":12811,"type":"article-journal","abstract":"There is an increasing burden of chronic illness in low and middle income countries, driven by TB/HIV, as well as non-communicable diseases. Few health systems are organized to meet the needs of chronically ill patients, and patients' perspectives on the difficulties of accessing care need to be better understood, particularly in poor resourced settings, to achieve this end. This paper describes the experience of poor households attempting to access chronic care in a rural area of South Africa.","container-title":"BMC Health Services Research","DOI":"10.1186/1472-6963-9-75","ISSN":"1472-6963","issue":"1","journalAbbreviation":"BMC Health Services Research","page":"75","source":"BioMed Central","title":"Affordability, availability and acceptability barriers to health care for the chronically ill: Longitudinal case studies from South Africa","title-short":"Affordability, availability and acceptability barriers to health care for the chronically ill","volume":"9","author":[{"family":"Goudge","given":"Jane"},{"family":"Gilson","given":"Lucy"},{"family":"Russell","given":"Steven"},{"family":"Gumede","given":"Tebogo"},{"family":"Mills","given":"Anne"}],"issued":{"date-parts":[["2009",5,9]]}}},{"id":12814,"uris":["http://zotero.org/groups/23637/items/3I4PRU7G"],"uri":["http://zotero.org/groups/23637/items/3I4PRU7G"],"itemData":{"id":12814,"type":"article-journal","abstract":"An estimated 9.7 million children under the age of five die every year worldwide, approximately 41% of them in sub-Saharan Africa (SSA). Access to adequate health care is among the factors suggested to be associated with child mortality; improved access holds great potential for a significant reduction in under-five death in developing countries. Theory and corresponding frameworks indicate a wide range of factors affecting access to health care, such as traditionally measured variables (distance to a health provider and cost of obtaining health care) and additional variables (social support, time availability and caregiver autonomy). Few analytical studies of traditional variables have been conducted in SSA, and they have significant limitations and inconclusive results. The importance of additional factors has been suggested by qualitative and recent quantitative studies. We propose that access to health care is multidimensional; factors other than distance and cost need to be considered by those planning health care provision if child mortality rates are to be reduced through improved access. Analytical studies that comprehensively evaluate both traditional and additional variables in developing countries are required.","container-title":"Tropical Medicine &amp; International Health","DOI":"10.1111/j.1365-3156.2010.02497.x","ISSN":"1365-3156","issue":"5","language":"en","page":"508-519","source":"Wiley Online Library","title":"How access to health care relates to under-five mortality in sub-Saharan Africa: systematic review","title-short":"How access to health care relates to under-five mortality in sub-Saharan Africa","volume":"15","author":[{"family":"Rutherford","given":"Merrin E."},{"family":"Mulholland","given":"Kim"},{"family":"Hill","given":"Philip C."}],"issued":{"date-parts":[["2010"]]}}},{"id":11732,"uris":["http://zotero.org/groups/23637/items/NQVJ2MSS"],"uri":["http://zotero.org/groups/23637/items/NQVJ2MSS"],"itemData":{"id":11732,"type":"article-journal","abstract":"Inequalities in health according to social conditions are regarded as unnecessary and unjust. There is a large body of evidence on inequalities in adult cancer, observable throughout the societies on a national level as well as on a global scale. Socioeconomic influences on health matter at all ages including childhood, for which childhood cancer is one of the most dreaded diseases. Substantial differences in the reported incidence of childhood cancers have been observed globally by socioeconomic development of a population. This is reflected in the higher incidence rates reported for high-income countries (HICs), particularly for acute lymphoblastic leukemia, and for cancer in infants (below 1 year), compared to low- and middle-income countries (LMICs). Considerable inequalities between populations and degree of socioeconomic development are also noted for survival from childhood cancer, with substantially lower survival rates seen in most LMICs compared to HICs. With respect to inequalities by socioeconomic position (SEP) within countries, findings of an association between SEP and childhood cancer risk are diverse and limited to studies from HICs. On the contrary, observations on social inequalities in survival within countries are accumulating and indicate that survival inequalities do not only concern resource-poor countries but also high-income populations including European countries. In turn, a childhood cancer diagnosis in itself may have implications on the parents´ socioeconomic situation as well as on the later socioeconomic life after having survived the disease. The underlying mechanisms and causal pathways of these empirically demonstrated social inequalities are poorly understood, although it is of significant public health relevance for any actions or strategies to reduce childhood cancer-related inequity. We propose a conceptual framework on potential underlying mechanism and pathways specifically addressing social inequalities in childhood cancer and after childhood cancer to i) illustrate potential pathways by which social determinants may create health inequities at different points of the childhood cancer continuum; ii) illustrate potential pathways by which a childhood cancer diagnosis may impact the socioeconomic situation of the concerned family or the later life of a childhood survivor; and iii) point out how major determinants may relate to each other.","container-title":"Frontiers in Public Health","DOI":"10.3389/fpubh.2019.00084","ISSN":"2296-2565","journalAbbreviation":"Front. Public Health","language":"English","source":"Frontiers","title":"Social Inequalities Along the Childhood Cancer Continuum: An Overview of Evidence and a Conceptual Framework to Identify Underlying Mechanisms and Pathways","title-short":"Social Inequalities Along the Childhood Cancer Continuum","URL":"https://www.frontiersin.org/articles/10.3389/fpubh.2019.00084/full?utm_source=F-AAE&amp;utm_medium=EMLF&amp;utm_campaign=MRK_976839_70_Public_20190430_arts_A","volume":"7","author":[{"family":"Erdmann","given":"Friederike"},{"family":"Feychting","given":"Maria"},{"family":"Mogensen","given":"Hanna"},{"family":"Schmiegelow","given":"Kjeld"},{"family":"Zeeb","given":"Hajo"}],"accessed":{"date-parts":[["2019",4,30]]},"issued":{"date-parts":[["2019"]]}}}],"schema":"https://github.com/citation-style-language/schema/raw/master/csl-citation.json"} </w:instrText>
      </w:r>
      <w:r>
        <w:fldChar w:fldCharType="separate"/>
      </w:r>
      <w:r w:rsidR="0050368D" w:rsidRPr="0050368D">
        <w:rPr>
          <w:rFonts w:ascii="Calibri" w:hAnsi="Calibri" w:cs="Calibri"/>
          <w:szCs w:val="24"/>
        </w:rPr>
        <w:t>[15–17]</w:t>
      </w:r>
      <w:r>
        <w:fldChar w:fldCharType="end"/>
      </w:r>
      <w:r w:rsidR="0050368D">
        <w:t>.</w:t>
      </w:r>
      <w:r>
        <w:t xml:space="preserve"> </w:t>
      </w:r>
    </w:p>
    <w:p w14:paraId="0482AEE9" w14:textId="247CCA4F" w:rsidR="008469CD" w:rsidRDefault="008469CD" w:rsidP="00A71D2B">
      <w:pPr>
        <w:spacing w:after="0" w:line="240" w:lineRule="auto"/>
      </w:pPr>
    </w:p>
    <w:p w14:paraId="297C9EA1" w14:textId="3608C37F" w:rsidR="00A71D2B" w:rsidRDefault="00B448D6" w:rsidP="00A71D2B">
      <w:pPr>
        <w:spacing w:after="0" w:line="240" w:lineRule="auto"/>
      </w:pPr>
      <w:r>
        <w:t>C</w:t>
      </w:r>
      <w:r w:rsidR="004A7F84">
        <w:t>urrently, t</w:t>
      </w:r>
      <w:r w:rsidR="0033099D">
        <w:t xml:space="preserve">he most comprehensive </w:t>
      </w:r>
      <w:r w:rsidR="001F313F">
        <w:t xml:space="preserve">data </w:t>
      </w:r>
      <w:r w:rsidR="00205B25">
        <w:t xml:space="preserve">compendium </w:t>
      </w:r>
      <w:r w:rsidR="007F2BB3">
        <w:t xml:space="preserve">is </w:t>
      </w:r>
      <w:r w:rsidR="0033099D">
        <w:t>the International Incidence of Childhood Cancer study, volume 3</w:t>
      </w:r>
      <w:r w:rsidR="00AC07C4">
        <w:t xml:space="preserve"> (I</w:t>
      </w:r>
      <w:r w:rsidR="00E35F34">
        <w:t>I</w:t>
      </w:r>
      <w:r w:rsidR="003A2602">
        <w:t>CC-3)</w:t>
      </w:r>
      <w:r w:rsidR="0033099D">
        <w:t xml:space="preserve"> </w:t>
      </w:r>
      <w:r w:rsidR="0033099D">
        <w:fldChar w:fldCharType="begin"/>
      </w:r>
      <w:r w:rsidR="00124231">
        <w:instrText xml:space="preserve"> ADDIN ZOTERO_ITEM CSL_CITATION {"citationID":"oYKQdJk2","properties":{"formattedCitation":"[18]","plainCitation":"[18]","noteIndex":0},"citationItems":[{"id":12398,"uris":["http://zotero.org/groups/23637/items/WRLY76WZ"],"uri":["http://zotero.org/groups/23637/items/WRLY76WZ"],"itemData":{"id":12398,"type":"article-journal","abstract":"Summary\nBackground\nCancer is a major cause of death in children worldwide, and the recorded incidence tends to increase with time. Internationally comparable data on childhood cancer incidence in the past two decades are scarce. This study aimed to provide internationally comparable local data on the incidence of childhood cancer to promote research of causes and implementation of childhood cancer control.\nMethods\nThis population-based registry study, devised by the International Agency for Research on Cancer in collaboration with the International Association of Cancer Registries, collected data on all malignancies and non-malignant neoplasms of the CNS diagnosed before age 20 years in populations covered by high-quality cancer registries with complete data for 2001–10. Incidence rates per million person-years for the 0–14 years and 0–19 years age groups were age-adjusted using the world standard population to provide age-standardised incidence rates (WSRs), using the age-specific incidence rates (ASR) for individual age groups (0–4 years, 5–9 years, 10–14 years, and 15–19 years). All rates were reported for 19 geographical areas or ethnicities by sex, age group, and cancer type. The regional WSRs for children aged 0–14 years were compared with comparable data obtained in the 1980s.\nFindings\nOf 532 invited cancer registries, 153 registries from 62 countries, departments, and territories met quality standards, and contributed data for the entire decade of 2001–10. 385 509 incident cases in children aged 0–19 years occurring in 2·64 billion person-years were included. The overall WSR was 140·6 per million person-years in children aged 0–14 years (based on 284 649 cases), and the most common cancers were leukaemia (WSR 46·4), followed by CNS tumours (WSR 28·2), and lymphomas (WSR 15·2). In children aged 15–19 years (based on 100 860 cases), the ASR was 185·3 per million person-years, the most common being lymphomas (ASR 41·8) and the group of epithelial tumours and melanoma (ASR 39·5). Incidence varied considerably between and within the described regions, and by cancer type, sex, age, and racial and ethnic group. Since the 1980s, the global WSR of registered cancers in children aged 0–14 years has increased from 124·0 (95% CI 123·3–124·7) to 140·6 (140·1–141·1) per million person-years.\nInterpretation\nThis unique global source of childhood cancer incidence will be used for aetiological research and to inform public health policy, potentially contributing towards attaining several targets of the Sustainable Development Goals. The observed geographical, racial and ethnic, age, sex, and temporal variations require constant monitoring and research.\nFunding\nInternational Agency for Research on Cancer and the Union for International Cancer Control.","container-title":"The Lancet Oncology","DOI":"10.1016/S1470-2045(17)30186-9","ISSN":"1470-2045","issue":"6","journalAbbreviation":"The Lancet Oncology","page":"719-731","source":"ScienceDirect","title":"International incidence of childhood cancer, 2001–10: a population-based registry study","title-short":"International incidence of childhood cancer, 2001–10","volume":"18","author":[{"family":"Steliarova-Foucher","given":"Eva"},{"family":"Colombet","given":"Murielle"},{"family":"Ries","given":"Lynn A G"},{"family":"Moreno","given":"Florencia"},{"family":"Dolya","given":"Anastasia"},{"family":"Bray","given":"Freddie"},{"family":"Hesseling","given":"Peter"},{"family":"Shin","given":"Hee Young"},{"family":"Stiller","given":"Charles A"},{"family":"Bouzbid","given":"S"},{"family":"Hamdi-Cherif","given":"M"},{"family":"Hablas","given":"A"},{"family":"Chirpaz","given":"E"},{"family":"Buziba","given":"N"},{"family":"Chesumbai","given":"GC"},{"family":"Manraj","given":"SS"},{"family":"Reynders","given":"D"},{"family":"Wabinga","given":"HR"},{"family":"Chokunonga","given":"E"},{"family":"Moreno","given":"F"},{"family":"Lima","given":"CA"},{"family":"Asturian Laporte","given":"C"},{"family":"Oliveira","given":"JC","non-dropping-particle":"de"},{"family":"Aquino","given":"JA Pontes","non-dropping-particle":"de"},{"family":"Gallagher","given":"SM Vargas"},{"family":"Uribe","given":"CJ"},{"family":"Bravo","given":"LE"},{"family":"Yepez Chamorro","given":"MC"},{"family":"Torres Alvarado","given":"G"},{"family":"Galán Alvarez","given":"YH"},{"family":"Martinez Reyes","given":"FC"},{"family":"Castillo Calvas","given":"JC"},{"family":"Mendoza Alava","given":"M"},{"family":"Cueva Ayala","given":"P"},{"family":"Hanchard","given":"B"},{"family":"Fajardo-Gutiérrez","given":"A"},{"family":"Zavala Zegarra","given":"DE"},{"family":"Barrios","given":"E"},{"family":"Nikiforuk","given":"C"},{"family":"Woods","given":"R"},{"family":"Turner","given":"D"},{"family":"MacIntyre","given":"M"},{"family":"Corriveau","given":"A"},{"family":"Navaneelan","given":"T"},{"family":"Bertrand","given":"C"},{"family":"Stuart-Panko","given":"H"},{"family":"Wilson","given":"RJ"},{"family":"Kosary","given":"C"},{"family":"Shen","given":"X"},{"family":"Brockhouse","given":"J"},{"family":"Yee","given":"GA"},{"family":"Mitchell","given":"TC"},{"family":"Snipes","given":"K"},{"family":"West","given":"D"},{"family":"Rao","given":"C"},{"family":"Bolick","given":"S"},{"family":"Rycroft","given":"RK"},{"family":"Mueller","given":"L"},{"family":"Zheng","given":"Y"},{"family":"Dosch","given":"K"},{"family":"Brown","given":"H"},{"family":"Vargas","given":"A"},{"family":"Levin","given":"GM"},{"family":"Bayakly","given":"R"},{"family":"Johnson","given":"C"},{"family":"Shen","given":"T"},{"family":"Ruppert","given":"L"},{"family":"Lynch","given":"CF"},{"family":"Lai","given":"SM"},{"family":"Tucker","given":"TC"},{"family":"Wu","given":"XC"},{"family":"Schwenn","given":"M"},{"family":"Stern","given":"K"},{"family":"Gershman","given":"S"},{"family":"Copeland","given":"G"},{"family":"Bushhouse","given":"S"},{"family":"Rogers","given":"DB"},{"family":"Jackson Thompson","given":"J"},{"family":"Lemons","given":"D"},{"family":"Frederick","given":"S"},{"family":"Harris","given":"JA"},{"family":"Riddle","given":"B"},{"family":"Stroup","given":"A"},{"family":"Wiggins","given":"C"},{"family":"Schymura","given":"MJ"},{"family":"Giljahn","given":"LK"},{"family":"Sheikh","given":"A"},{"family":"Schubert","given":"S"},{"family":"Aldinger","given":"W"},{"family":"Fulton","given":"JP"},{"family":"Whiteside","given":"M"},{"family":"Nogueira","given":"L"},{"family":"Sweeney","given":"C"},{"family":"Johnson","given":"A"},{"family":"Martin","given":"J"},{"family":"Farley","given":"S"},{"family":"Harrelson","given":"D"},{"family":"Malicki","given":"R"},{"family":"Espinoza","given":"JR"},{"family":"Hernandez","given":"BY"},{"family":"Abulfateh","given":"N"},{"family":"Wang","given":"N"},{"family":"Ngan","given":"RKC"},{"family":"Lingegowda","given":"KB"},{"family":"Swaminathan","given":"R"},{"family":"Koyande","given":"SS"},{"family":"Silverman","given":"B"},{"family":"Ozasa","given":"K"},{"family":"Kanemura","given":"S"},{"family":"Soda","given":"M"},{"family":"Miyashiro","given":"I"},{"family":"Shibata","given":"A"},{"family":"Nimri","given":"O"},{"family":"Won","given":"YJ"},{"family":"Kim","given":"CH"},{"family":"Hong","given":"NS"},{"family":"Nam","given":"HS"},{"family":"Kweon","given":"S"},{"family":"Kim","given":"WC"},{"family":"Huh","given":"JS"},{"family":"Jung","given":"KW"},{"family":"Yoo","given":"CI"},{"family":"Elbasmy","given":"A"},{"family":"Laudico","given":"AV"},{"family":"Lumague","given":"MR"},{"family":"AlMutlag","given":"H"},{"family":"Buasom","given":"R"},{"family":"Srisukho","given":"S"},{"family":"Tanabodee","given":"J"},{"family":"Wiangnon","given":"S"},{"family":"Pongnikorn","given":"D"},{"family":"Sriplung","given":"H"},{"family":"Dirican","given":"O"},{"family":"Eser","given":"S"},{"family":"Le Hoang","given":"M"},{"family":"Hackl","given":"M"},{"family":"Zborovskaya","given":"A"},{"family":"Dimitrova","given":"N"},{"family":"Valerianova","given":"Z"},{"family":"Sekerija","given":"M"},{"family":"Pavlou","given":"P"},{"family":"Dušek","given":"M"},{"family":"Mägi","given":"M"},{"family":"Clavel","given":"J"},{"family":"Lacour","given":"B"},{"family":"Guizard","given":"AV"},{"family":"Bouvier","given":"V"},{"family":"Troussard","given":"X"},{"family":"Woronoff","given":"AS"},{"family":"Tretarre","given":"B"},{"family":"Colonna","given":"M"},{"family":"Molinié","given":"F"},{"family":"Bara","given":"S"},{"family":"Velten","given":"M"},{"family":"Marrer","given":"E"},{"family":"Ganry","given":"O"},{"family":"Grosclaude","given":"P"},{"family":"Kaatsch","given":"P"},{"family":"Zeissig","given":"SR"},{"family":"Holleczek","given":"B"},{"family":"Katalinic","given":"A"},{"family":"Jakab","given":"Z"},{"family":"Birgisson","given":"H"},{"family":"Walsh","given":"PM"},{"family":"Mangone","given":"L"},{"family":"Merletti","given":"F"},{"family":"Magoni","given":"M"},{"family":"Mangone","given":"L"},{"family":"Ferretti","given":"S"},{"family":"Serraino","given":"D"},{"family":"Spagnoli","given":"G"},{"family":"Fusco","given":"M"},{"family":"Michiara","given":"M"},{"family":"Tumino","given":"R"},{"family":"Falcini","given":"F"},{"family":"Sensi","given":"F"},{"family":"Tisano","given":"F"},{"family":"Piffer","given":"S"},{"family":"Stracci","given":"F"},{"family":"Tagliabue","given":"G"},{"family":"Smailyte","given":"G"},{"family":"Agius","given":"D"},{"family":"Visser","given":"O"},{"family":"Ursin","given":"G"},{"family":"Didkowska","given":"J"},{"family":"Trojanowski","given":"M"},{"family":"Wojciechowska","given":"U"},{"family":"Forjaz de Lacerda","given":"G"},{"family":"Silva","given":"MA"},{"family":"Laranja Pontes","given":"J"},{"family":"Costa Miranda","given":"A","non-dropping-particle":"da"},{"family":"Kaiserova","given":"E"},{"family":"Primic Žakelj","given":"M"},{"family":"Peris-Bonet","given":"R"},{"family":"Vicente Raneda","given":"ML"},{"family":"Almar Marqués","given":"E"},{"family":"Quirós Garcia","given":"JR"},{"family":"Ramos Monserrat","given":"M"},{"family":"Errezola Saizar","given":"M"},{"family":"Alemán Herrera","given":"A"},{"family":"Díaz García","given":"JM"},{"family":"Marcos-Gragera","given":"R"},{"family":"Sanchez-Perez","given":"MJ"},{"family":"Ardanaz Aicua","given":"E"},{"family":"Galceran","given":"J"},{"family":"Klint","given":"A"},{"family":"Kuehni","given":"CE"},{"family":"Bouchardy","given":"C"},{"family":"Levi","given":"F"},{"family":"Bordoni","given":"A"},{"family":"Konzelmann","given":"I"},{"family":"Rohrmann","given":"S"},{"family":"Stiller","given":"CA"},{"family":"Gavin","given":"AT"},{"family":"Brewster","given":"DH"},{"family":"Phung","given":"H"},{"family":"Rushton","given":"S"},{"family":"Guthridge","given":"S"},{"family":"Aitken","given":"J"},{"family":"D'Onise","given":"K"},{"family":"Venn","given":"A"},{"family":"Farrugian","given":"H"},{"family":"Threlfall","given":"TJ"},{"family":"Laumond","given":"S"},{"family":"Yen Kai Sun","given":"L"},{"family":"Hendrix","given":"J"},{"family":"Ballantine","given":"K"},{"family":"Colombet","given":"M"},{"family":"Dolya","given":"A"},{"family":"Masuyer","given":"E"},{"family":"Steliarova-Foucher","given":"E"}],"issued":{"date-parts":[["2017",6,1]]}}}],"schema":"https://github.com/citation-style-language/schema/raw/master/csl-citation.json"} </w:instrText>
      </w:r>
      <w:r w:rsidR="0033099D">
        <w:fldChar w:fldCharType="separate"/>
      </w:r>
      <w:r w:rsidR="004D24B7" w:rsidRPr="004D24B7">
        <w:rPr>
          <w:rFonts w:ascii="Calibri" w:hAnsi="Calibri" w:cs="Calibri"/>
        </w:rPr>
        <w:t>[18]</w:t>
      </w:r>
      <w:r w:rsidR="0033099D">
        <w:fldChar w:fldCharType="end"/>
      </w:r>
      <w:r w:rsidR="004A7F84">
        <w:t xml:space="preserve">, which </w:t>
      </w:r>
      <w:r w:rsidR="0033099D">
        <w:t>summarises</w:t>
      </w:r>
      <w:r w:rsidR="001F313F">
        <w:t xml:space="preserve"> </w:t>
      </w:r>
      <w:r w:rsidR="007F2BB3">
        <w:t>ICCC-3</w:t>
      </w:r>
      <w:r w:rsidR="001F313F">
        <w:t xml:space="preserve"> coded registrations </w:t>
      </w:r>
      <w:r w:rsidR="007F2BB3">
        <w:t xml:space="preserve"> </w:t>
      </w:r>
      <w:r w:rsidR="007F2BB3">
        <w:fldChar w:fldCharType="begin"/>
      </w:r>
      <w:r w:rsidR="00124231">
        <w:instrText xml:space="preserve"> ADDIN ZOTERO_ITEM CSL_CITATION {"citationID":"YfSvzriL","properties":{"formattedCitation":"[11]","plainCitation":"[11]","noteIndex":0},"citationItems":[{"id":12403,"uris":["http://zotero.org/groups/23637/items/TFCIB4R9"],"uri":["http://zotero.org/groups/23637/items/TFCIB4R9"],"itemData":{"id":12403,"type":"article-journal","abstract":"BACKGROUND: The third edition of the International Classification of Diseases for Oncology (ICD-O-3), which was published in 2000, introduced major changes in coding and classification of neoplasms, notably for leukemias and lymphomas, which are important groups of cancer types that occur in childhood. This necessitated a third revision of the 1996 International Classification of Childhood Cancer (ICCC-3).\nMETHODS: The tumor categories for the ICCC-3 were designed to respect several principles: agreement with current international standards, integration of the entities defined by newly developed diagnostic techniques, continuity with previous childhood classifications, and exhaustiveness.\nRESULTS: The ICCC-3 classifies tumors coded according to the ICD-O-3 into 12 main groups, which are split further into 47 subgroups. These 2 levels of the ICCC-3 allow standardized comparisons of the broad categories of childhood neoplasms in continuity with the previous classifications. The 16 most heterogeneous subgroups are broken down further into 2-11 divisions to allow study of important entities or homogeneous collections of tumors characterized at the cytogenetic or molecular level. Some divisions may be combined across the higher-level categories, such as the B-cell neoplasms within leukemias and lymphomas.\nCONCLUSIONS: The ICCC-3 respects currently existing international standards and was designed for use in international, population-based, epidemiological studies and cancer registries. The use of an international classification system is especially important in the field of pediatric oncology, in which the low frequency of cases requires rigorous procedures to ensure data comparability.","container-title":"Cancer","DOI":"10.1002/cncr.20910","ISSN":"0008-543X","issue":"7","journalAbbreviation":"Cancer","language":"eng","note":"PMID: 15712273","page":"1457-1467","source":"PubMed","title":"International Classification of Childhood Cancer, third edition","volume":"103","author":[{"family":"Steliarova-Foucher","given":"Eva"},{"family":"Stiller","given":"Charles"},{"family":"Lacour","given":"Brigitte"},{"family":"Kaatsch","given":"Peter"}],"issued":{"date-parts":[["2005",4,1]]}}}],"schema":"https://github.com/citation-style-language/schema/raw/master/csl-citation.json"} </w:instrText>
      </w:r>
      <w:r w:rsidR="007F2BB3">
        <w:fldChar w:fldCharType="separate"/>
      </w:r>
      <w:r w:rsidR="003477B0" w:rsidRPr="003477B0">
        <w:rPr>
          <w:rFonts w:ascii="Calibri" w:hAnsi="Calibri" w:cs="Calibri"/>
        </w:rPr>
        <w:t>[11]</w:t>
      </w:r>
      <w:r w:rsidR="007F2BB3">
        <w:fldChar w:fldCharType="end"/>
      </w:r>
      <w:r w:rsidR="007F2BB3">
        <w:t xml:space="preserve"> </w:t>
      </w:r>
      <w:r w:rsidR="00BE2C61">
        <w:t xml:space="preserve">from </w:t>
      </w:r>
      <w:r w:rsidR="007F2BB3">
        <w:t xml:space="preserve">more than 500 </w:t>
      </w:r>
      <w:r w:rsidR="00534F3D">
        <w:t xml:space="preserve">quality assured registries </w:t>
      </w:r>
      <w:r w:rsidR="007F2BB3" w:rsidRPr="00BF2315">
        <w:t xml:space="preserve">in </w:t>
      </w:r>
      <w:r w:rsidR="00BF2315" w:rsidRPr="00BF2315">
        <w:t>81</w:t>
      </w:r>
      <w:r w:rsidR="007F2BB3" w:rsidRPr="00BF2315">
        <w:t xml:space="preserve"> countries</w:t>
      </w:r>
      <w:r w:rsidR="007F2BB3">
        <w:t xml:space="preserve"> and territories</w:t>
      </w:r>
      <w:r w:rsidR="00E5167B">
        <w:t xml:space="preserve">.  </w:t>
      </w:r>
      <w:r w:rsidR="00FD3A7F">
        <w:t>Among t</w:t>
      </w:r>
      <w:r w:rsidR="00B7008C">
        <w:t xml:space="preserve">he </w:t>
      </w:r>
      <w:r w:rsidR="0033099D">
        <w:t xml:space="preserve">contributing </w:t>
      </w:r>
      <w:r w:rsidR="00717A33">
        <w:t>registries</w:t>
      </w:r>
      <w:r w:rsidR="007372E9">
        <w:t xml:space="preserve"> </w:t>
      </w:r>
      <w:r w:rsidR="00B7008C">
        <w:t>covering</w:t>
      </w:r>
      <w:r w:rsidR="007F2BB3">
        <w:t xml:space="preserve"> local, regional or </w:t>
      </w:r>
      <w:r w:rsidR="00717A33">
        <w:t xml:space="preserve">national </w:t>
      </w:r>
      <w:r w:rsidR="00B7008C">
        <w:t>populations</w:t>
      </w:r>
      <w:r w:rsidR="00534F3D">
        <w:t>, more affluent regions of the world</w:t>
      </w:r>
      <w:r w:rsidR="007F2BB3">
        <w:t xml:space="preserve"> are far better represented</w:t>
      </w:r>
      <w:r w:rsidR="00F947C8">
        <w:t>;</w:t>
      </w:r>
      <w:r w:rsidR="001F313F">
        <w:t xml:space="preserve"> the </w:t>
      </w:r>
      <w:r w:rsidR="00717A33">
        <w:t xml:space="preserve">disparity </w:t>
      </w:r>
      <w:r w:rsidR="00BE1E47">
        <w:t>is</w:t>
      </w:r>
      <w:r w:rsidR="00534F3D">
        <w:t xml:space="preserve"> </w:t>
      </w:r>
      <w:r w:rsidR="00717A33">
        <w:t xml:space="preserve">illustrated </w:t>
      </w:r>
      <w:r w:rsidR="008F515D">
        <w:t>in Figure</w:t>
      </w:r>
      <w:r w:rsidR="003A2602">
        <w:t>s</w:t>
      </w:r>
      <w:r w:rsidR="008F515D">
        <w:t xml:space="preserve"> 1</w:t>
      </w:r>
      <w:r w:rsidR="003A2602">
        <w:t xml:space="preserve"> and 2</w:t>
      </w:r>
      <w:r w:rsidR="008F515D">
        <w:t xml:space="preserve">, where </w:t>
      </w:r>
      <w:r w:rsidR="007F2BB3">
        <w:t xml:space="preserve">the </w:t>
      </w:r>
      <w:r w:rsidR="000947E0">
        <w:t>populations</w:t>
      </w:r>
      <w:r w:rsidR="007F2BB3">
        <w:t xml:space="preserve"> covered in </w:t>
      </w:r>
      <w:r w:rsidR="00A71D2B">
        <w:t>IICC-3 and</w:t>
      </w:r>
      <w:r w:rsidR="00F947C8">
        <w:t xml:space="preserve"> the </w:t>
      </w:r>
      <w:r w:rsidR="00A4008D">
        <w:t xml:space="preserve">UN </w:t>
      </w:r>
      <w:r w:rsidR="008F515D">
        <w:t>world estimates</w:t>
      </w:r>
      <w:r w:rsidR="00435FFA">
        <w:t xml:space="preserve"> for </w:t>
      </w:r>
      <w:r w:rsidR="00A4008D">
        <w:t xml:space="preserve">2015 </w:t>
      </w:r>
      <w:r w:rsidR="008F515D">
        <w:fldChar w:fldCharType="begin"/>
      </w:r>
      <w:r w:rsidR="00124231">
        <w:instrText xml:space="preserve"> ADDIN ZOTERO_ITEM CSL_CITATION {"citationID":"LdMl434b","properties":{"formattedCitation":"[19]","plainCitation":"[19]","noteIndex":0},"citationItems":[{"id":10827,"uris":["http://zotero.org/groups/23637/items/FIWQ6E3H"],"uri":["http://zotero.org/groups/23637/items/FIWQ6E3H"],"itemData":{"id":10827,"type":"webpage","container-title":"World Population Prospects 2017","note":"Data downloaded 25 Sep 2017\n\nMedium Variant projections of popultaion in 5-year age groups for males, females and total\n\nWPP2017_PopulationByAgeSex_Medium.csv","title":"World Population Prospects 2017","URL":"https://population.un.org/wpp/Download/Standard/CSV/","author":[{"literal":"United Nations DESA / Population Division"}],"accessed":{"date-parts":[["2017",9,25]]},"issued":{"date-parts":[["2017"]]}}}],"schema":"https://github.com/citation-style-language/schema/raw/master/csl-citation.json"} </w:instrText>
      </w:r>
      <w:r w:rsidR="008F515D">
        <w:fldChar w:fldCharType="separate"/>
      </w:r>
      <w:r w:rsidR="0050368D" w:rsidRPr="0050368D">
        <w:rPr>
          <w:rFonts w:ascii="Calibri" w:hAnsi="Calibri" w:cs="Calibri"/>
        </w:rPr>
        <w:t>[19]</w:t>
      </w:r>
      <w:r w:rsidR="008F515D">
        <w:fldChar w:fldCharType="end"/>
      </w:r>
      <w:r w:rsidR="008F515D">
        <w:t xml:space="preserve"> are </w:t>
      </w:r>
      <w:r w:rsidR="007F2BB3">
        <w:t>categorised</w:t>
      </w:r>
      <w:r w:rsidR="00A71D2B">
        <w:t xml:space="preserve"> by WHO R</w:t>
      </w:r>
      <w:r w:rsidR="003A2602">
        <w:t>egion</w:t>
      </w:r>
      <w:r w:rsidR="00534F3D">
        <w:t xml:space="preserve"> </w:t>
      </w:r>
      <w:r w:rsidR="00A71D2B">
        <w:t xml:space="preserve">and </w:t>
      </w:r>
      <w:r w:rsidR="00D312C9">
        <w:t>h</w:t>
      </w:r>
      <w:r w:rsidR="00A4008D">
        <w:t xml:space="preserve">uman </w:t>
      </w:r>
      <w:r w:rsidR="00D312C9">
        <w:t>d</w:t>
      </w:r>
      <w:r w:rsidR="00A4008D">
        <w:t xml:space="preserve">evelopment </w:t>
      </w:r>
      <w:r w:rsidR="00D312C9">
        <w:t>i</w:t>
      </w:r>
      <w:r w:rsidR="00A4008D">
        <w:t>ndex</w:t>
      </w:r>
      <w:r w:rsidR="00A71D2B">
        <w:t xml:space="preserve"> (</w:t>
      </w:r>
      <w:r w:rsidR="0036469B">
        <w:t>HDI</w:t>
      </w:r>
      <w:r w:rsidR="00A71D2B">
        <w:t>)</w:t>
      </w:r>
      <w:r w:rsidR="00A4008D">
        <w:t xml:space="preserve">.  </w:t>
      </w:r>
      <w:r w:rsidR="00F947C8">
        <w:t>W</w:t>
      </w:r>
      <w:r w:rsidR="00A71D2B">
        <w:t xml:space="preserve">ith large parts of Africa, Asia and Latin America </w:t>
      </w:r>
      <w:r w:rsidR="00F947C8">
        <w:t xml:space="preserve">missing, countries outside the very </w:t>
      </w:r>
      <w:r w:rsidR="00653443">
        <w:t xml:space="preserve">high </w:t>
      </w:r>
      <w:r w:rsidR="00F947C8">
        <w:t xml:space="preserve">HDI </w:t>
      </w:r>
      <w:r w:rsidR="00F023E6">
        <w:t>category</w:t>
      </w:r>
      <w:r w:rsidR="00F947C8">
        <w:t xml:space="preserve"> are poorly represented</w:t>
      </w:r>
      <w:r w:rsidR="00A71D2B">
        <w:t xml:space="preserve">. </w:t>
      </w:r>
      <w:r w:rsidR="009A5397">
        <w:t>One exception is the UN region of</w:t>
      </w:r>
      <w:r w:rsidR="00520D7B">
        <w:t xml:space="preserve"> </w:t>
      </w:r>
      <w:r w:rsidR="00A71D2B">
        <w:t>Southern Africa</w:t>
      </w:r>
      <w:r w:rsidR="009A5397">
        <w:t>, where two countries (Botswana and South Africa) provided data from cancer registries</w:t>
      </w:r>
      <w:r w:rsidR="00BE1E47">
        <w:t xml:space="preserve"> </w:t>
      </w:r>
      <w:r w:rsidR="00F947C8">
        <w:t xml:space="preserve">estimating </w:t>
      </w:r>
      <w:r w:rsidR="000947E0">
        <w:t xml:space="preserve">a </w:t>
      </w:r>
      <w:r w:rsidR="000947E0">
        <w:lastRenderedPageBreak/>
        <w:t xml:space="preserve">regional coverage of 80%, </w:t>
      </w:r>
      <w:r w:rsidR="00F947C8">
        <w:t xml:space="preserve">the </w:t>
      </w:r>
      <w:r w:rsidR="000947E0">
        <w:t>third highest globally.</w:t>
      </w:r>
      <w:r w:rsidR="00A71D2B">
        <w:t xml:space="preserve"> </w:t>
      </w:r>
      <w:r w:rsidR="009A5397">
        <w:t>T</w:t>
      </w:r>
      <w:r w:rsidR="0036469B">
        <w:t xml:space="preserve">he </w:t>
      </w:r>
      <w:r w:rsidR="00520D7B">
        <w:t xml:space="preserve">lowest </w:t>
      </w:r>
      <w:r w:rsidR="00C356E6">
        <w:t xml:space="preserve">estimated </w:t>
      </w:r>
      <w:r w:rsidR="00520D7B">
        <w:t xml:space="preserve">coverage </w:t>
      </w:r>
      <w:r w:rsidR="009A5397">
        <w:t xml:space="preserve">is noted for </w:t>
      </w:r>
      <w:r w:rsidR="00520D7B">
        <w:t>Eastern</w:t>
      </w:r>
      <w:r w:rsidR="0036469B">
        <w:t xml:space="preserve"> </w:t>
      </w:r>
      <w:r w:rsidR="00C356E6" w:rsidRPr="00A969D2">
        <w:t xml:space="preserve">Africa </w:t>
      </w:r>
      <w:r w:rsidR="0036469B" w:rsidRPr="00A969D2">
        <w:t>(</w:t>
      </w:r>
      <w:r w:rsidR="00D774FA" w:rsidRPr="00A969D2">
        <w:t>1.5</w:t>
      </w:r>
      <w:r w:rsidR="0036469B" w:rsidRPr="00A969D2">
        <w:t>%)</w:t>
      </w:r>
      <w:r w:rsidR="00520D7B" w:rsidRPr="00A969D2">
        <w:t>, Middle</w:t>
      </w:r>
      <w:r w:rsidR="0036469B" w:rsidRPr="00A969D2">
        <w:t xml:space="preserve"> </w:t>
      </w:r>
      <w:r w:rsidR="00C356E6" w:rsidRPr="00A969D2">
        <w:t xml:space="preserve">Africa </w:t>
      </w:r>
      <w:r w:rsidR="0036469B" w:rsidRPr="00A969D2">
        <w:t>(</w:t>
      </w:r>
      <w:r w:rsidR="00D774FA" w:rsidRPr="00A969D2">
        <w:t>1.1</w:t>
      </w:r>
      <w:r w:rsidR="0036469B" w:rsidRPr="00A969D2">
        <w:t>%)</w:t>
      </w:r>
      <w:r w:rsidR="00520D7B" w:rsidRPr="00A969D2">
        <w:t>, and Western Africa</w:t>
      </w:r>
      <w:r w:rsidR="0036469B" w:rsidRPr="00A969D2">
        <w:t xml:space="preserve"> (</w:t>
      </w:r>
      <w:r w:rsidR="00D774FA" w:rsidRPr="00A969D2">
        <w:t>0.5</w:t>
      </w:r>
      <w:r w:rsidR="0036469B" w:rsidRPr="00A969D2">
        <w:t>%)</w:t>
      </w:r>
      <w:r w:rsidR="00520D7B">
        <w:t xml:space="preserve">. </w:t>
      </w:r>
    </w:p>
    <w:p w14:paraId="28033D00" w14:textId="647541D3" w:rsidR="0044087A" w:rsidRDefault="0044087A">
      <w:pPr>
        <w:spacing w:after="0" w:line="240" w:lineRule="auto"/>
      </w:pPr>
    </w:p>
    <w:p w14:paraId="2794461A" w14:textId="2ED2005F" w:rsidR="00337929" w:rsidRDefault="00FD2C38" w:rsidP="008F3498">
      <w:r>
        <w:t xml:space="preserve">Current estimates of the global burden of cancer </w:t>
      </w:r>
      <w:r>
        <w:fldChar w:fldCharType="begin"/>
      </w:r>
      <w:r w:rsidR="00124231">
        <w:instrText xml:space="preserve"> ADDIN ZOTERO_ITEM CSL_CITATION {"citationID":"NL5igPyn","properties":{"formattedCitation":"[1,20,21]","plainCitation":"[1,20,21]","noteIndex":0},"citationItems":[{"id":11591,"uris":["http://zotero.org/groups/23637/items/5Z9F9FD2"],"uri":["http://zotero.org/groups/23637/items/5Z9F9FD2"],"itemData":{"id":11591,"type":"article-journal","abstract":"Estimates of the worldwide incidence and mortality from 36 cancers and for all cancers combined for the year 2018 are now available in the GLOBOCAN 2018 database, compiled and disseminated by the International Agency for Research on Cancer (IARC). This paper reviews the sources and methods used in compiling the cancer statistics in 185 countries. The validity of the national estimates depends upon the representativeness of the source information, and to take into account possible sources of bias, uncertainty intervals are now provided for the estimated sex- and site-specific all-ages number of new cancer cases and cancer deaths. We briefly describe the key results globally and by world region. There were an estimated 18.1 million (95% UI: 17.5–18.7 million) new cases of cancer (17 million excluding non-melanoma skin cancer) and 9.6 million (95% UI: 9.3–9.8 million) deaths from cancer (9.5 million excluding non-melanoma skin cancer) worldwide in 2018.","container-title":"International Journal of Cancer","DOI":"10.1002/ijc.31937","ISSN":"1097-0215","issue":"8","language":"en","page":"1941-1953","source":"Wiley Online Library","title":"Estimating the global cancer incidence and mortality in 2018: GLOBOCAN sources and methods","title-short":"Estimating the global cancer incidence and mortality in 2018","volume":"144","author":[{"family":"Ferlay","given":"J."},{"family":"Colombet","given":"M."},{"family":"Soerjomataram","given":"I."},{"family":"Mathers","given":"C."},{"family":"Parkin","given":"D. M."},{"family":"Piñeros","given":"M."},{"family":"Znaor","given":"A."},{"family":"Bray","given":"F."}],"issued":{"date-parts":[["2019"]]}}},{"id":10969,"uris":["http://zotero.org/groups/23637/items/B5BT8UXL"],"uri":["http://zotero.org/groups/23637/items/B5BT8UXL"],"itemData":{"id":10969,"type":"article-journal","abstrac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 2018 American Cancer Society.","container-title":"CA: a cancer journal for clinicians","DOI":"10.3322/caac.21492","ISSN":"1542-4863","issue":"6","journalAbbreviation":"CA Cancer J Clin","language":"eng","note":"PMID: 30207593","page":"394-424","source":"PubMed","title":"Global cancer statistics 2018: GLOBOCAN estimates of incidence and mortality worldwide for 36 cancers in 185 countries","title-short":"Global cancer statistics 2018","volume":"68","author":[{"family":"Bray","given":"Freddie"},{"family":"Ferlay","given":"Jacques"},{"family":"Soerjomataram","given":"Isabelle"},{"family":"Siegel","given":"Rebecca L."},{"family":"Torre","given":"Lindsey A."},{"family":"Jemal","given":"Ahmedin"}],"issued":{"date-parts":[["2018",11]]}}},{"id":10792,"uris":["http://zotero.org/groups/23637/items/XB5PECNM"],"uri":["http://zotero.org/groups/23637/items/XB5PECNM"],"itemData":{"id":10792,"type":"article-journal","container-title":"JAMA Oncology","DOI":"10.1001/jamaoncol.2016.5688","ISSN":"2374-2437","issue":"4","language":"en","page":"524","source":"Crossref","title":"Global, Regional, and National Cancer Incidence, Mortality, Years of Life Lost, Years Lived With Disability, and Disability-Adjusted Life-years for 32 Cancer Groups, 1990 to 2015: A Systematic Analysis for the Global Burden of Disease Study","title-short":"Global, Regional, and National Cancer Incidence, Mortality, Years of Life Lost, Years Lived With Disability, and Disability-Adjusted Life-years for 32 Cancer Groups, 1990 to 2015","volume":"3","author":[{"literal":"Global Burden of Disease Cancer Collaboration"},{"family":"Fitzmaurice","given":"Christina"},{"family":"Allen","given":"Christine"},{"family":"Barber","given":"Ryan M."},{"family":"Barregard","given":"Lars"},{"family":"Bhutta","given":"Zulfiqar A."},{"family":"Brenner","given":"Hermann"},{"family":"Dicker","given":"Daniel J."},{"family":"Chimed-Orchir","given":"Odgerel"},{"family":"Dandona","given":"Rakhi"},{"family":"Dandona","given":"Lalit"},{"family":"Fleming","given":"Tom"},{"family":"Forouzanfar","given":"Mohammad H."},{"family":"Hancock","given":"Jamie"},{"family":"Hay","given":"Roderick J."},{"family":"Hunter-Merrill","given":"Rachel"},{"family":"Huynh","given":"Chantal"},{"family":"Hosgood","given":"H. Dean"},{"family":"Johnson","given":"Catherine O."},{"family":"Jonas","given":"Jost B."},{"family":"Khubchandani","given":"Jagdish"},{"family":"Kumar","given":"G. Anil"},{"family":"Kutz","given":"Michael"},{"family":"Lan","given":"Qing"},{"family":"Larson","given":"Heidi J."},{"family":"Liang","given":"Xiaofeng"},{"family":"Lim","given":"Stephen S."},{"family":"Lopez","given":"Alan D."},{"family":"MacIntyre","given":"Michael F."},{"family":"Marczak","given":"Laurie"},{"family":"Marquez","given":"Neal"},{"family":"Mokdad","given":"Ali H."},{"family":"Pinho","given":"Christine"},{"family":"Pourmalek","given":"Farshad"},{"family":"Salomon","given":"Joshua A."},{"family":"Sanabria","given":"Juan Ramon"},{"family":"Sandar","given":"Logan"},{"family":"Sartorius","given":"Benn"},{"family":"Schwartz","given":"Stephen M."},{"family":"Shackelford","given":"Katya A."},{"family":"Shibuya","given":"Kenji"},{"family":"Stanaway","given":"Jeff"},{"family":"Steiner","given":"Caitlyn"},{"family":"Sun","given":"Jiandong"},{"family":"Takahashi","given":"Ken"},{"family":"Vollset","given":"Stein Emil"},{"family":"Vos","given":"Theo"},{"family":"Wagner","given":"Joseph A."},{"family":"Wang","given":"Haidong"},{"family":"Westerman","given":"Ronny"},{"family":"Zeeb","given":"Hajo"},{"family":"Zoeckler","given":"Leo"},{"family":"Abd-Allah","given":"Foad"},{"family":"Ahmed","given":"Muktar Beshir"},{"family":"Alabed","given":"Samer"},{"family":"Alam","given":"Noore K."},{"family":"Aldhahri","given":"Saleh Fahed"},{"family":"Alem","given":"Girma"},{"family":"Alemayohu","given":"Mulubirhan Assefa"},{"family":"Ali","given":"Raghib"},{"family":"Al-Raddadi","given":"Rajaa"},{"family":"Amare","given":"Azmeraw"},{"family":"Amoako","given":"Yaw"},{"family":"Artaman","given":"Al"},{"family":"Asayesh","given":"Hamid"},{"family":"Atnafu","given":"Niguse"},{"family":"Awasthi","given":"Ashish"},{"family":"Saleem","given":"Huda Ba"},{"family":"Barac","given":"Aleksandra"},{"family":"Bedi","given":"Neeraj"},{"family":"Bensenor","given":"Isabela"},{"family":"Berhane","given":"Adugnaw"},{"family":"Bernabé","given":"Eduardo"},{"family":"Betsu","given":"Balem"},{"family":"Binagwaho","given":"Agnes"},{"family":"Boneya","given":"Dube"},{"family":"Campos-Nonato","given":"Ismael"},{"family":"Castañeda-Orjuela","given":"Carlos"},{"family":"Catalá-López","given":"Ferrán"},{"family":"Chiang","given":"Peggy"},{"family":"Chibueze","given":"Chioma"},{"family":"Chitheer","given":"Abdulaal"},{"family":"Choi","given":"Jee-Young"},{"family":"Cowie","given":"Benjamin"},{"family":"Damtew","given":"Solomon"},{"family":"Neves","given":"José","non-dropping-particle":"das"},{"family":"Dey","given":"Suhojit"},{"family":"Dharmaratne","given":"Samath"},{"family":"Dhillon","given":"Preet"},{"family":"Ding","given":"Eric"},{"family":"Driscoll","given":"Tim"},{"family":"Ekwueme","given":"Donatus"},{"family":"Endries","given":"Aman Yesuf"},{"family":"Farvid","given":"Maryam"},{"family":"Farzadfar","given":"Farshad"},{"family":"Fernandes","given":"Joao"},{"family":"Fischer","given":"Florian"},{"family":"G/hiwot","given":"Tsegaye Tewelde"},{"family":"Gebru","given":"Alemseged"},{"family":"Gopalani","given":"Sameer"},{"family":"Hailu","given":"Alemayehu"},{"family":"Horino","given":"Masako"},{"family":"Horita","given":"Nobuyuki"},{"family":"Husseini","given":"Abdullatif"},{"family":"Huybrechts","given":"Inge"},{"family":"Inoue","given":"Manami"},{"family":"Islami","given":"Farhad"},{"family":"Jakovljevic","given":"Mihajlo"},{"family":"James","given":"Spencer"},{"family":"Javanbakht","given":"Mehdi"},{"family":"Jee","given":"Sun Ha"},{"family":"Kasaeian","given":"Amir"},{"family":"Kedir","given":"Muktar Sano"},{"family":"Khader","given":"Yousef S."},{"family":"Khang","given":"Young-Ho"},{"family":"Kim","given":"Daniel"},{"family":"Leigh","given":"James"},{"family":"Linn","given":"Shai"},{"family":"Lunevicius","given":"Raimundas"},{"family":"El Razek","given":"Hassan Magdy Abd"},{"family":"Malekzadeh","given":"Reza"},{"family":"Malta","given":"Deborah Carvalho"},{"family":"Marcenes","given":"Wagner"},{"family":"Markos","given":"Desalegn"},{"family":"Melaku","given":"Yohannes A."},{"family":"Meles","given":"Kidanu G"},{"family":"Mendoza","given":"Walter"},{"family":"Mengiste","given":"Desalegn Tadese"},{"family":"Meretoja","given":"Tuomo J."},{"family":"Miller","given":"Ted R."},{"family":"Mohammad","given":"Karzan Abdulmuhsin"},{"family":"Mohammadi","given":"Alireza"},{"family":"Mohammed","given":"Shafiu"},{"family":"Moradi-Lakeh","given":"Maziar"},{"family":"Nagel","given":"Gabriele"},{"family":"Nand","given":"Devina"},{"family":"Le Nguyen","given":"Quyen"},{"family":"Nolte","given":"Sandra"},{"family":"Ogbo","given":"Felix A."},{"family":"Oladimeji","given":"Kelechi E."},{"family":"Oren","given":"Eyal"},{"family":"Pa","given":"Mahesh"},{"family":"Park","given":"Eun-Kee"},{"family":"Pereira","given":"David M"},{"family":"Plass","given":"Dietrich"},{"family":"Qorbani","given":"Mostafa"},{"family":"Radfar","given":"Amir"},{"family":"Rafay","given":"Anwar"},{"family":"Rahman","given":"Mahfuzar"},{"family":"Rana","given":"Saleem M."},{"family":"Søreide","given":"Kjetil"},{"family":"Satpathy","given":"Maheswar"},{"family":"Sawhney","given":"Monika"},{"family":"Sepanlou","given":"Sadaf G."},{"family":"Shaikh","given":"Masood Ali"},{"family":"She","given":"Jun"},{"family":"Shiue","given":"Ivy"},{"family":"Shore","given":"Hirbo Roba"},{"family":"Shrime","given":"Mark G."},{"family":"So","given":"Samuel"},{"family":"Soneji","given":"Samir"},{"family":"Stathopoulou","given":"Vasiliki"},{"family":"Stroumpoulis","given":"Konstantinos"},{"family":"Sufiyan","given":"Muawiyyah Babale"},{"family":"Sykes","given":"Bryan L."},{"family":"Tabarés-Seisdedos","given":"Rafael"},{"family":"Tadese","given":"Fentaw"},{"family":"Tedla","given":"Bemnet Amare"},{"family":"Tessema","given":"Gizachew Assefa"},{"family":"Thakur","given":"J. S."},{"family":"Tran","given":"Bach Xuan"},{"family":"Ukwaja","given":"Kingsley Nnanna"},{"family":"Uzochukwu","given":"Benjamin S. Chudi"},{"family":"Vlassov","given":"Vasiliy Victorovich"},{"family":"Weiderpass","given":"Elisabete"},{"family":"Wubshet Terefe","given":"Mamo"},{"family":"Yebyo","given":"Henock Gebremedhin"},{"family":"Yimam","given":"Hassen Hamid"},{"family":"Yonemoto","given":"Naohiro"},{"family":"Younis","given":"Mustafa Z."},{"family":"Yu","given":"Chuanhua"},{"family":"Zaidi","given":"Zoubida"},{"family":"Zaki","given":"Maysaa El Sayed"},{"family":"Zenebe","given":"Zerihun Menlkalew"},{"family":"Murray","given":"Christopher J. L."},{"family":"Naghavi","given":"Mohsen"}],"issued":{"date-parts":[["2017",4,1]]}}}],"schema":"https://github.com/citation-style-language/schema/raw/master/csl-citation.json"} </w:instrText>
      </w:r>
      <w:r>
        <w:fldChar w:fldCharType="separate"/>
      </w:r>
      <w:r w:rsidR="0050368D" w:rsidRPr="0050368D">
        <w:rPr>
          <w:rFonts w:ascii="Calibri" w:hAnsi="Calibri" w:cs="Calibri"/>
        </w:rPr>
        <w:t>[1,20,21]</w:t>
      </w:r>
      <w:r>
        <w:fldChar w:fldCharType="end"/>
      </w:r>
      <w:r>
        <w:t xml:space="preserve"> </w:t>
      </w:r>
      <w:r w:rsidR="008F3498">
        <w:t>suggest</w:t>
      </w:r>
      <w:r>
        <w:t xml:space="preserve"> broad scale geographic variations in the incidence of childhood cancer.  </w:t>
      </w:r>
      <w:r w:rsidR="008F3498">
        <w:t>I</w:t>
      </w:r>
      <w:r>
        <w:t xml:space="preserve">n reality, </w:t>
      </w:r>
      <w:r w:rsidR="00737F20">
        <w:t xml:space="preserve">however, </w:t>
      </w:r>
      <w:r>
        <w:t xml:space="preserve">it is unclear what the relative contributions of genuine differences in the risk of childhood cancer and variations in reporting </w:t>
      </w:r>
      <w:r w:rsidR="00F177E2">
        <w:t xml:space="preserve">standards and under-diagnosis </w:t>
      </w:r>
      <w:r>
        <w:t xml:space="preserve">of childhood cancer </w:t>
      </w:r>
      <w:r w:rsidR="00F177E2">
        <w:t xml:space="preserve">cases </w:t>
      </w:r>
      <w:r>
        <w:t xml:space="preserve">in different settings </w:t>
      </w:r>
      <w:r w:rsidR="00737F20">
        <w:t xml:space="preserve">make </w:t>
      </w:r>
      <w:r>
        <w:t xml:space="preserve">to the </w:t>
      </w:r>
      <w:r w:rsidR="00737F20">
        <w:t xml:space="preserve">registration </w:t>
      </w:r>
      <w:r>
        <w:t xml:space="preserve">patterns observed </w:t>
      </w:r>
      <w:r>
        <w:fldChar w:fldCharType="begin"/>
      </w:r>
      <w:r w:rsidR="00124231">
        <w:instrText xml:space="preserve"> ADDIN ZOTERO_ITEM CSL_CITATION {"citationID":"ywJRZ0cu","properties":{"formattedCitation":"[5,22]","plainCitation":"[5,22]","noteIndex":0},"citationItems":[{"id":11597,"uris":["http://zotero.org/groups/23637/items/Q5NQFCCX"],"uri":["http://zotero.org/groups/23637/items/Q5NQFCCX"],"itemData":{"id":11597,"type":"article-journal","abstract":"Global studies of childhood cancer provide clues to cancer etiology, facilitate prevention and early diagnosis, identify biologic differences, improve survival rates in low-income countries (LIC) by facilitating quality improvement initiatives, and improve outcomes in high-income countries (HIC) through studies of tumor biology and collaborative clinical trials. Incidence rates of cancer differ between various ethnic groups within a single country and between various countries with similar ethnic compositions. Such differences may be the result of genetic predisposition, early or delayed exposure to infectious diseases, and other environmental factors. The reported incidence of childhood leukemia is lower in LIC than in more prosperous countries. Registration of childhood leukemia requires recognition of symptoms, rapid access to primary and tertiary medical care (a pediatric cancer unit), a correct diagnosis, and a data management infrastructure. In LIC, where these services are lacking, some children with leukemia may die before diagnosis and registration. In this environment, epidemiologic studies would seem to be an unaffordable luxury, but in reality represent a key element for progress. Hospital-based registries are both feasible and essential in LIC, and can be developed using available training programs for data managers and the free online Pediatric Oncology Networked Data Base (www.POND4kids.org), which allows collection, analysis, and sharing of data.","container-title":"Cancer","DOI":"10.1002/cncr.23205","ISSN":"0008-543X","issue":"3","journalAbbreviation":"Cancer","language":"eng","note":"PMID: 18072274","page":"461-472","source":"PubMed","title":"Childhood cancer epidemiology in low-income countries","volume":"112","author":[{"family":"Howard","given":"Scott C."},{"family":"Metzger","given":"Monika L."},{"family":"Wilimas","given":"Judith A."},{"family":"Quintana","given":"Yuri"},{"family":"Pui","given":"Ching-Hon"},{"family":"Robison","given":"Leslie L."},{"family":"Ribeiro","given":"Raul C."}],"issued":{"date-parts":[["2008",2,1]]}}},{"id":11470,"uris":["http://zotero.org/groups/23637/items/T4LRLRGW"],"uri":["http://zotero.org/groups/23637/items/T4LRLRGW"],"itemData":{"id":11470,"type":"article-journal","abstract":"&lt;h2&gt;Summary&lt;/h2&gt;&lt;p&gt;Patterns of cancer incidence across the world have undergone substantial changes as a result of industrialisation and economic development. However, the economies of most countries remain at an early or intermediate stage of development—these stages are characterised by poverty, too few health-care providers, weak health systems, and poor access to education, modern technology, and health care because of scattered rural populations. Low-income and middle-income countries also have younger populations and therefore a larger proportion of children with cancer than high-income countries. Most of these children die from the disease. Chronic infections, which remain the most common causes of disease-related death in all except high-income countries, can also be major risk factors for childhood cancer in poorer regions. We discuss childhood cancer in relation to global development and propose strategies that could result in improved survival. Education of the public, more and better-trained health professionals, strengthened cancer services, locally relevant research, regional hospital networks, international collaboration, and health insurance are all essential components of an enhanced model of care.&lt;/p&gt;","container-title":"The Lancet Oncology","DOI":"10.1016/S1470-2045(13)70008-1","ISSN":"1470-2045, 1474-5488","issue":"3","journalAbbreviation":"The Lancet Oncology","language":"English","note":"PMID: 23434340","page":"e104-e116","source":"www.thelancet.com","title":"Paediatric cancer in low-income and middle-income countries","volume":"14","author":[{"family":"Magrath","given":"Ian"},{"family":"Steliarova-Foucher","given":"Eva"},{"family":"Epelman","given":"Sidnei"},{"family":"Ribeiro","given":"Raul C."},{"family":"Harif","given":"Mhamed"},{"family":"Li","given":"Chi-Kong"},{"family":"Kebudi","given":"Rejin"},{"family":"Macfarlane","given":"Scott D."},{"family":"Howard","given":"Scott C."}],"issued":{"date-parts":[["2013",3,1]]}}}],"schema":"https://github.com/citation-style-language/schema/raw/master/csl-citation.json"} </w:instrText>
      </w:r>
      <w:r>
        <w:fldChar w:fldCharType="separate"/>
      </w:r>
      <w:r w:rsidR="0050368D" w:rsidRPr="0050368D">
        <w:rPr>
          <w:rFonts w:ascii="Calibri" w:hAnsi="Calibri" w:cs="Calibri"/>
        </w:rPr>
        <w:t>[5,22]</w:t>
      </w:r>
      <w:r>
        <w:fldChar w:fldCharType="end"/>
      </w:r>
      <w:r>
        <w:t xml:space="preserve">.    </w:t>
      </w:r>
    </w:p>
    <w:p w14:paraId="51B70ED3" w14:textId="7AF9A770" w:rsidR="00DE027D" w:rsidRDefault="004A6729" w:rsidP="00DE027D">
      <w:pPr>
        <w:spacing w:after="0" w:line="240" w:lineRule="auto"/>
      </w:pPr>
      <w:r>
        <w:t>W</w:t>
      </w:r>
      <w:r w:rsidR="00BC07EB">
        <w:t xml:space="preserve">ith </w:t>
      </w:r>
      <w:r>
        <w:t xml:space="preserve">the aim of </w:t>
      </w:r>
      <w:r w:rsidR="00B95996">
        <w:t xml:space="preserve">correcting for </w:t>
      </w:r>
      <w:r w:rsidR="003511D4">
        <w:t>possible</w:t>
      </w:r>
      <w:r w:rsidR="00B95996">
        <w:t xml:space="preserve"> underdiagnosis, </w:t>
      </w:r>
      <w:r w:rsidR="00590CA3">
        <w:t xml:space="preserve">Ward </w:t>
      </w:r>
      <w:r w:rsidR="00E5167B">
        <w:t>and colleagues</w:t>
      </w:r>
      <w:r w:rsidR="00590CA3">
        <w:t xml:space="preserve"> </w:t>
      </w:r>
      <w:r w:rsidR="00BC7AD6">
        <w:t xml:space="preserve">developed a Global Childhood Cancer (GCC) model </w:t>
      </w:r>
      <w:r w:rsidR="00421C85">
        <w:t xml:space="preserve">in which they </w:t>
      </w:r>
      <w:r w:rsidR="00DA5315">
        <w:t>extrapolat</w:t>
      </w:r>
      <w:r w:rsidR="003511D4">
        <w:t>ed</w:t>
      </w:r>
      <w:r w:rsidR="00DA5315">
        <w:t xml:space="preserve"> both the available cancer incidence data and health system measures across regions and within groups of countries with similar levels of development</w:t>
      </w:r>
      <w:r w:rsidR="00E5167B">
        <w:t xml:space="preserve"> </w:t>
      </w:r>
      <w:r w:rsidR="00E5167B">
        <w:fldChar w:fldCharType="begin"/>
      </w:r>
      <w:r w:rsidR="00124231">
        <w:instrText xml:space="preserve"> ADDIN ZOTERO_ITEM CSL_CITATION {"citationID":"DfccZzes","properties":{"formattedCitation":"[23]","plainCitation":"[23]","noteIndex":0},"citationItems":[{"id":12402,"uris":["http://zotero.org/groups/23637/items/5BJ5RHP6"],"uri":["http://zotero.org/groups/23637/items/5BJ5RHP6"],"itemData":{"id":12402,"type":"article-journal","abstract":"BACKGROUND: Accurate estimates of childhood cancer incidence are important for policy makers to inform priority setting and planning decisions. However, many countries do not have cancer registries that quantify the incidence of childhood cancer. Moreover, even when registries do exist, they might substantially underestimate the true incidence, since children with cancer might not be diagnosed. We therefore aimed to provide estimates of total childhood cancer incidence accounting for underdiagnosis.\nMETHODS: We developed a microsimulation model to simulate childhood cancer incidence for 200 countries and territories worldwide, taking into account trends in population growth and urbanicity, geographical variation in cancer incidence, and health system barriers to access and referral that contribute to underdiagnosis. To ensure model results were consistent with epidemiological data, we calibrated the model to publicly available cancer registry data using a Bayesian approach in which the observed data are fixed and the model parameters (cancer incidence and probabilities of health system access and referral) are random variables. We estimated the total incidence of childhood cancer (diagnosed and undiagnosed) in each country in 2015 and projected the number of cases from 2015 to 2030.\nFINDINGS: Our model estimated that there were 397 000 (95% uncertainty interval [UI] 377 000-426 000) incident cases of childhood cancer worldwide in 2015, of which only 224 000 (95% UI 216 000-237 000) were diagnosed. This finding suggests that 43% (172 000 of 397 000) of childhood cancer cases were undiagnosed globally, with substantial variation by region, ranging from 3% in western Europe (120 of 4300) and North America (300 of 10 900) to 57% (43 000 of 76 000) in western Africa. In south Asia (including southeastern Asia and south-central Asia), the overall proportion of undiagnosed cases was estimated to be 49% (67 000 of 137 000). Taking into account population projections, we estimated that there will be 6·7 million (95% UI 6·3-7·2) cases of childhood cancer worldwide from 2015 to 2030. At current levels of health system performance, we estimated that 2·9 million (95% UI 2·7-3·3) cases of childhood cancer will be missed between 2015 and 2030.\nINTERPRETATION: Childhood cancer is substantially underdiagnosed, especially in south Asia and sub-Saharan Africa (including western, eastern, and southern Africa). In addition to improving treatment for childhood cancer, health systems must be strengthened to accurately diagnose and effectively care for all children with cancer. As countries expand universal health coverage, these estimates of total incidence will hopefully help guide efforts to appropriately increase health system capacity to ensure access to effective childhood cancer care.\nFUNDING: Boston Children's Hospital, Dana-Farber Cancer Institute, Harvard T H Chan School of Public Health, Harvard Medical School, National Cancer Institute, SickKids, St Jude Children's Research Hospital, and Union for International Cancer Control.","container-title":"The Lancet. Oncology","DOI":"10.1016/S1470-2045(18)30909-4","ISSN":"1474-5488","issue":"4","journalAbbreviation":"Lancet Oncol.","language":"eng","note":"PMID: 30824204","page":"483-493","source":"PubMed","title":"Estimating the total incidence of global childhood cancer: a simulation-based analysis","title-short":"Estimating the total incidence of global childhood cancer","volume":"20","author":[{"family":"Ward","given":"Zachary J."},{"family":"Yeh","given":"Jennifer M."},{"family":"Bhakta","given":"Nickhill"},{"family":"Frazier","given":"A. Lindsay"},{"family":"Atun","given":"Rifat"}],"issued":{"date-parts":[["2019",4]]}},"suppress-author":true}],"schema":"https://github.com/citation-style-language/schema/raw/master/csl-citation.json"} </w:instrText>
      </w:r>
      <w:r w:rsidR="00E5167B">
        <w:fldChar w:fldCharType="separate"/>
      </w:r>
      <w:r w:rsidR="0050368D" w:rsidRPr="0050368D">
        <w:rPr>
          <w:rFonts w:ascii="Calibri" w:hAnsi="Calibri" w:cs="Calibri"/>
        </w:rPr>
        <w:t>[23]</w:t>
      </w:r>
      <w:r w:rsidR="00E5167B">
        <w:fldChar w:fldCharType="end"/>
      </w:r>
      <w:r w:rsidR="00DC5038">
        <w:t xml:space="preserve">.  With this model, they </w:t>
      </w:r>
      <w:r w:rsidR="00590CA3">
        <w:t>estimat</w:t>
      </w:r>
      <w:r w:rsidR="00DA5315">
        <w:t>e</w:t>
      </w:r>
      <w:r w:rsidR="00DC5038">
        <w:t>d</w:t>
      </w:r>
      <w:r w:rsidR="00590CA3">
        <w:t xml:space="preserve"> the total observed and unobserved worldwide childhood cancer </w:t>
      </w:r>
      <w:r w:rsidR="00E05E88" w:rsidRPr="00E05E88">
        <w:t>incidence</w:t>
      </w:r>
      <w:r w:rsidR="003511D4">
        <w:t xml:space="preserve"> and</w:t>
      </w:r>
      <w:r w:rsidR="00DA5315">
        <w:t xml:space="preserve"> describ</w:t>
      </w:r>
      <w:r w:rsidR="003511D4">
        <w:t>e</w:t>
      </w:r>
      <w:r w:rsidR="00DC5038">
        <w:t>d</w:t>
      </w:r>
      <w:r w:rsidR="00DA5315">
        <w:t xml:space="preserve"> regional variations in the underlying risk of childhood cancer </w:t>
      </w:r>
      <w:r w:rsidR="0023251C">
        <w:t xml:space="preserve">and </w:t>
      </w:r>
      <w:r w:rsidR="00DA5315">
        <w:t>levels of underdiagnosi</w:t>
      </w:r>
      <w:r w:rsidR="0023251C">
        <w:t>s</w:t>
      </w:r>
      <w:r w:rsidR="00DA5315">
        <w:t xml:space="preserve">.  </w:t>
      </w:r>
      <w:r w:rsidR="00BB64C6">
        <w:t>However, a</w:t>
      </w:r>
      <w:r w:rsidR="0023251C">
        <w:t xml:space="preserve">lthough </w:t>
      </w:r>
      <w:r w:rsidR="00265191">
        <w:t>this approach acknowledges</w:t>
      </w:r>
      <w:r w:rsidR="00B32976">
        <w:t>,</w:t>
      </w:r>
      <w:r w:rsidR="00265191">
        <w:t xml:space="preserve"> and attempts to account for variation in the </w:t>
      </w:r>
      <w:r w:rsidR="00421C85">
        <w:t xml:space="preserve">availability and accessibility </w:t>
      </w:r>
      <w:r w:rsidR="00265191">
        <w:t xml:space="preserve">of healthcare, it </w:t>
      </w:r>
      <w:r w:rsidR="00B95996">
        <w:t xml:space="preserve">remains </w:t>
      </w:r>
      <w:r w:rsidR="00265191">
        <w:t xml:space="preserve">susceptible to </w:t>
      </w:r>
      <w:r w:rsidR="00421C85">
        <w:t xml:space="preserve">sparsity of </w:t>
      </w:r>
      <w:r w:rsidR="00265191">
        <w:t>data</w:t>
      </w:r>
      <w:r w:rsidR="00421C85">
        <w:t xml:space="preserve"> (Figure 1).</w:t>
      </w:r>
      <w:r w:rsidR="00265191">
        <w:t xml:space="preserve"> </w:t>
      </w:r>
      <w:r w:rsidR="00421C85">
        <w:t>F</w:t>
      </w:r>
      <w:r w:rsidR="00BE2C61">
        <w:t>or example</w:t>
      </w:r>
      <w:r w:rsidR="00421C85">
        <w:t>,</w:t>
      </w:r>
      <w:r w:rsidR="00BE2C61">
        <w:t xml:space="preserve"> </w:t>
      </w:r>
      <w:r w:rsidR="00421C85">
        <w:t xml:space="preserve">estimates for </w:t>
      </w:r>
      <w:r w:rsidR="00E5167B">
        <w:t xml:space="preserve">populous </w:t>
      </w:r>
      <w:r w:rsidR="00BE2C61">
        <w:t xml:space="preserve">Western Africa </w:t>
      </w:r>
      <w:r w:rsidR="00421C85">
        <w:t>are</w:t>
      </w:r>
      <w:r w:rsidR="00BE2C61">
        <w:t xml:space="preserve"> heavily reliant </w:t>
      </w:r>
      <w:r w:rsidR="00E5167B">
        <w:t xml:space="preserve">on </w:t>
      </w:r>
      <w:r w:rsidR="00421C85">
        <w:t xml:space="preserve">just </w:t>
      </w:r>
      <w:r w:rsidR="00194964">
        <w:t xml:space="preserve">one </w:t>
      </w:r>
      <w:r w:rsidR="00E5167B">
        <w:t>registry</w:t>
      </w:r>
      <w:r w:rsidR="00194964">
        <w:t xml:space="preserve"> in Mali</w:t>
      </w:r>
      <w:r w:rsidR="00E5167B">
        <w:t>.</w:t>
      </w:r>
      <w:r w:rsidR="00265191">
        <w:t xml:space="preserve"> </w:t>
      </w:r>
      <w:r w:rsidR="00DE027D">
        <w:t xml:space="preserve"> </w:t>
      </w:r>
    </w:p>
    <w:p w14:paraId="541BC9F6" w14:textId="77777777" w:rsidR="00DE027D" w:rsidRDefault="00DE027D" w:rsidP="00DE027D">
      <w:pPr>
        <w:spacing w:after="0" w:line="240" w:lineRule="auto"/>
      </w:pPr>
    </w:p>
    <w:p w14:paraId="3B08611F" w14:textId="7CF185EF" w:rsidR="00BE2C61" w:rsidRDefault="00C96F0D" w:rsidP="00C96F0D">
      <w:pPr>
        <w:spacing w:after="0" w:line="240" w:lineRule="auto"/>
      </w:pPr>
      <w:r>
        <w:t xml:space="preserve">In this paper we present </w:t>
      </w:r>
      <w:r w:rsidR="00782FC5">
        <w:t xml:space="preserve">regional and global childhood cancer incidence estimates derived from </w:t>
      </w:r>
      <w:r w:rsidR="006F5308">
        <w:t>a</w:t>
      </w:r>
      <w:r>
        <w:t xml:space="preserve"> </w:t>
      </w:r>
      <w:r w:rsidR="003511D4">
        <w:t xml:space="preserve">baseline model </w:t>
      </w:r>
      <w:r>
        <w:t>(BM)</w:t>
      </w:r>
      <w:r w:rsidR="00782FC5">
        <w:t>;</w:t>
      </w:r>
      <w:r>
        <w:t xml:space="preserve"> which wa</w:t>
      </w:r>
      <w:r w:rsidR="003511D4">
        <w:t xml:space="preserve">s </w:t>
      </w:r>
      <w:r w:rsidR="006F5308">
        <w:t xml:space="preserve">specifically </w:t>
      </w:r>
      <w:r w:rsidR="003511D4">
        <w:t xml:space="preserve">developed to integrate </w:t>
      </w:r>
      <w:r w:rsidR="00AE01FD">
        <w:t>established</w:t>
      </w:r>
      <w:r w:rsidR="003511D4">
        <w:t xml:space="preserve"> aetiological information into estimates of childhood cancer incidence</w:t>
      </w:r>
      <w:r>
        <w:t xml:space="preserve">. </w:t>
      </w:r>
      <w:r w:rsidR="00F023E6">
        <w:t xml:space="preserve">To develop the BM we used </w:t>
      </w:r>
      <w:r>
        <w:t xml:space="preserve">rates from the Surveillance, Epidemiology and End Results (SEER) program </w:t>
      </w:r>
      <w:r>
        <w:fldChar w:fldCharType="begin"/>
      </w:r>
      <w:r w:rsidR="00124231">
        <w:instrText xml:space="preserve"> ADDIN ZOTERO_ITEM CSL_CITATION {"citationID":"b727sLmh","properties":{"formattedCitation":"[24]","plainCitation":"[24]","noteIndex":0},"citationItems":[{"id":11604,"uris":["http://zotero.org/groups/23637/items/2686ALE2"],"uri":["http://zotero.org/groups/23637/items/2686ALE2"],"itemData":{"id":11604,"type":"article-journal","collection-title":"Working with the SEER data: Opportunities and Cautions","container-title":"Current Problems in Cancer","DOI":"10.1016/j.currproblcancer.2012.03.007","ISSN":"0147-0272","issue":"4","journalAbbreviation":"Current Problems in Cancer","page":"183-190","source":"ScienceDirect","title":"Overview of the Surveillance, Epidemiology, and End Results Database: Evolution, Data Variables, and Quality Assurance","title-short":"Overview of the Surveillance, Epidemiology, and End Results Database","volume":"36","author":[{"family":"Park","given":"Henry S."},{"family":"Lloyd","given":"Shane"},{"family":"Decker","given":"Roy H."},{"family":"Wilson","given":"Lynn D."},{"family":"Yu","given":"James B."}],"issued":{"date-parts":[["2012",7,1]]}}}],"schema":"https://github.com/citation-style-language/schema/raw/master/csl-citation.json"} </w:instrText>
      </w:r>
      <w:r>
        <w:fldChar w:fldCharType="separate"/>
      </w:r>
      <w:r w:rsidR="0050368D" w:rsidRPr="0050368D">
        <w:rPr>
          <w:rFonts w:ascii="Calibri" w:hAnsi="Calibri" w:cs="Calibri"/>
        </w:rPr>
        <w:t>[24]</w:t>
      </w:r>
      <w:r>
        <w:fldChar w:fldCharType="end"/>
      </w:r>
      <w:r>
        <w:t xml:space="preserve"> </w:t>
      </w:r>
      <w:r w:rsidR="00F023E6">
        <w:t xml:space="preserve">and </w:t>
      </w:r>
      <w:r>
        <w:t xml:space="preserve">augmented </w:t>
      </w:r>
      <w:r w:rsidR="00F023E6">
        <w:t xml:space="preserve">them </w:t>
      </w:r>
      <w:r>
        <w:t xml:space="preserve">with data from other sources to take account of </w:t>
      </w:r>
      <w:r w:rsidR="00F35F1A">
        <w:t xml:space="preserve">the </w:t>
      </w:r>
      <w:r>
        <w:t>aetiological association</w:t>
      </w:r>
      <w:r w:rsidR="00F35F1A">
        <w:t>s</w:t>
      </w:r>
      <w:r>
        <w:t xml:space="preserve"> of </w:t>
      </w:r>
      <w:r w:rsidRPr="00047884">
        <w:rPr>
          <w:i/>
        </w:rPr>
        <w:t>P.</w:t>
      </w:r>
      <w:r w:rsidR="00047884">
        <w:rPr>
          <w:i/>
        </w:rPr>
        <w:t xml:space="preserve"> </w:t>
      </w:r>
      <w:r w:rsidRPr="00047884">
        <w:rPr>
          <w:i/>
        </w:rPr>
        <w:t>falciparum</w:t>
      </w:r>
      <w:r>
        <w:t xml:space="preserve"> with endemic (African) Burkitt’s lymphoma (</w:t>
      </w:r>
      <w:proofErr w:type="spellStart"/>
      <w:r>
        <w:t>eBL</w:t>
      </w:r>
      <w:proofErr w:type="spellEnd"/>
      <w:r>
        <w:t xml:space="preserve">) </w:t>
      </w:r>
      <w:r>
        <w:fldChar w:fldCharType="begin"/>
      </w:r>
      <w:r w:rsidR="00124231">
        <w:instrText xml:space="preserve"> ADDIN ZOTERO_ITEM CSL_CITATION {"citationID":"W2AiTCfC","properties":{"formattedCitation":"[25\\uc0\\u8211{}28]","plainCitation":"[25–28]","noteIndex":0},"citationItems":[{"id":10957,"uris":["http://zotero.org/groups/23637/items/IAKRS878"],"uri":["http://zotero.org/groups/23637/items/IAKRS878"],"itemData":{"id":10957,"type":"article-journal","abstract":"Burkitt lymphoma, a childhood tumor common in parts of sub-Saharan Africa, has been directly associated with Epstein-Barr virus (EBV) and indirectly with prevalence of malaria. We studied antibodies to both EBV and malaria in children diagnosed with this cancer in Uganda. We performed a case-control study of HIV-seronegative children (≤15 years) admitted to hospital. Cases were diagnosed with Burkitt lymphoma and controls with non-malignant conditions or non-lymphatic cancers. Interviews were conducted and serological samples collected and, when possible, tested for both EBV and malaria. Adjusted odds ratios (ORs) for Burkitt lymphoma were estimated using unconditional logistic regression adjusting for sex, age, residential district, household income and tribe. The mean age of cases was 7 years and 61% were male. Compared to controls, cases were more likely to be reported having received more frequent treatment for malaria in the past year (OR = 2.0; p = 0.001) and less likely to be living in a home where insecticides were used (OR = 0.2; p &lt; 0.0001). Odds ratios for Burkitt lymphoma in children increased with increasing antibody levels against EBV (p &lt; 0.0001) and malaria (p = 0.05). Findings were similar for children residing in districts close to the capital city and in remote areas. Cases were 5 times more likely than controls to have raised levels of both EBV and malaria antibodies (OR = 5.0; p = 0.003). Our findings suggest that EBV and malaria may act synergistically in the pathogenesis of childhood Burkitt lymphoma. Malaria prevention measures may also prevent this childhood cancer. © 2007 Wiley-Liss, Inc.","container-title":"International Journal of Cancer","DOI":"10.1002/ijc.23254","ISSN":"1097-0215","issue":"6","language":"en","page":"1319-1323","source":"Wiley Online Library","title":"Antibodies against malaria and Epstein-Barr virus in childhood Burkitt lymphoma: A case-control study in Uganda","title-short":"Antibodies against malaria and Epstein-Barr virus in childhood Burkitt lymphoma","volume":"122","author":[{"family":"Carpenter","given":"Lucy M."},{"family":"Newton","given":"Robert"},{"family":"Casabonne","given":"Delphine"},{"family":"Ziegler","given":"John"},{"family":"Mbulaiteye","given":"Sam"},{"family":"Mbidde","given":"Edward"},{"family":"Wabinga","given":"Henry"},{"family":"Jaffe","given":"Harold"},{"family":"Beral","given":"Valerie"}],"issued":{"date-parts":[["2008"]]}}},{"id":11609,"uris":["http://zotero.org/groups/23637/items/98EAKTF9"],"uri":["http://zotero.org/groups/23637/items/98EAKTF9"],"itemData":{"id":11609,"type":"article-journal","abstract":"Burkitt lymphoma has provided a model for the understanding of the epidemiology, the molecular abnormalities that induce tumours, and the treatment of other lymphomas. It is important to remember that the early phases of this work were conducted in Africa where today, unfortunately, the disease usually results in death because of limited resources, even though most children in more developed countries are cured. This must be changed. In addition, it is time to re-explore, with modern techniques, some of the questions that were raised some 50 years ago shortly after Burkitt’s first description, as well as new questions that can be asked only in the light of modern understanding of the immune system and the molecular basis of tumor development. The African lymphoma has taught us much, but there is a great deal still to be learned.","container-title":"ecancermedicalscience","DOI":"10.3332/ecancer.2009.159","ISSN":"1754-6605","journalAbbreviation":"Ecancermedicalscience","note":"PMID: 22276020\nPMCID: PMC3224008","source":"PubMed Central","title":"Denis Burkitt and the African lymphoma","URL":"https://www.ncbi.nlm.nih.gov/pmc/articles/PMC3224008/","volume":"3","author":[{"family":"Magrath","given":"I"}],"accessed":{"date-parts":[["2019",3,18]]},"issued":{"date-parts":[["2009",9,30]]}}},{"id":11455,"uris":["http://zotero.org/groups/23637/items/GNU5Q4UJ"],"uri":["http://zotero.org/groups/23637/items/GNU5Q4UJ"],"itemData":{"id":11455,"type":"article-journal","abstract":"Background The risk factors and co-factors for sporadic childhood BL are unknown. We investigated demographic and age-specific characteristics of childhood BL (0–14 years) in the U.S. Procedure BL age-standardized incidence rates (2000 U.S. standard population), were calculated using data obtained from 12 registries in the NCI's Surveillance, Epidemiology, and End Results program for cases diagnosed from 1992 to 2005. Incidence rate ratios and 95% confidence intervals (95% CI) were calculated by gender, age-group, race, ethnicity, calendar-year period, and registry. Results Of 296 cases identified, 56% were diagnosed in lymph nodes, 21% in abdominal organs, not including retroperitoneal lymph nodes, 14% were Burkitt cell leukemia, and 9% on face/head structures. The male-to-female case ratio was highest for facial/head tumors (25:1) and lowest for Burkitt cell leukemia (1.6:1). BL incidence rate was 2.5 (95% CI 2.3–2.8) cases per million person-years and was higher among boys than girls (3.9 vs. 1.1, P &lt; 0.001) and higher among Whites and Asians/Pacific Islanders than among Blacks (2.8 and 2.9 vs. 1.2, respectively, P &lt; 0.001). By ethnicity, BL incidence was higher among non-Hispanic Whites than Hispanic Whites (3.2 vs. 2.0, P = 0.002). Age-specific incidence rate for BL peaked by age 3–5 years (3.4 cases per million), then stabilized or declined with increasing age, but it did not vary with calendar-year or registry area. Conclusions Our results indicate that early childhood exposures, male-sex, and White race may be risk factors for sporadic childhood BL in the United States. Pediatr Blood Cancer 2009;53:366–370. Published 2009 Wiley-Liss, Inc.","container-title":"Pediatric Blood &amp; Cancer","DOI":"10.1002/pbc.22047","ISSN":"1545-5017","issue":"3","language":"en","page":"366-370","source":"Wiley Online Library","title":"Sporadic childhood Burkitt lymphoma incidence in the United States during 1992–2005","volume":"53","author":[{"family":"Mbulaiteye","given":"Sam M."},{"family":"Biggar","given":"Robert J."},{"family":"Bhatia","given":"Kishor"},{"family":"Linet","given":"Martha S."},{"family":"Devesa","given":"Susan S."}],"issued":{"date-parts":[["2009"]]}}},{"id":1214,"uris":["http://zotero.org/groups/23637/items/BDRZ2US4"],"uri":["http://zotero.org/groups/23637/items/BDRZ2US4"],"itemData":{"id":1214,"type":"article-journal","abstract":"Burkitt's lymphoma (BL) was first described in Eastern Africa, initially thought to be a sarcoma of the jaw. Shortly it became well known that this was a distinct form of Non Hodgkin's lymphoma. The disease has given insight in all aspects of cancer research and care. Its peculiar epidemiology has led to the discovery of Epstein Barr virus (EBV) and its importance in the cause of several viral illnesses and malignancies. The highest incidence and mortality rates of BL are seen in Eastern Africa. BL affects mainly children, and boys are more susceptible than girls. Evidence for a causal relationship between EBV and BL in the endemic form is fairly strong. Frequency of association between EBV and BL varies between different patient groups and different parts of the world. EBV may play a role in the pathogenesis of BL by deregulation of the oncogene c-MYC by chromosomal translocation. Although several studies suggest an association between malaria and BL, there has never been a conclusive population study in support of a direct role of malaria in causation of BL. The emergence of HIV and a distinct subtype of BL in HIV infected have brought a new dimension to the disease particularly in areas where both HIV and BL are endemic. BL has been reported as a common neoplasmin HIV infected patients, but not in other forms of immuno-depression, and the occurrence of BL seems to be higher amongst HIV positive adults, while the evidence of an association amongst children is still disputed. The role of other possible risk factors such as low socio-economical status, exposure to a plant species common in Africa called Euphorbiaceae, exposure to pesticies and to other infections such as schistosomiasis and arbovirus (an RNA virus transmitted by insect vectors) remain to be elucidated.","container-title":"African Health Sciences","DOI":"10.5555/afhs.2007.7.3.166","ISSN":"1729-0503","issue":"3","journalAbbreviation":"Afr Health Sci","note":"PMID: 18052871","page":"166-175","source":"NCBI PubMed","title":"Burkitt's lymphoma in Africa, a review of the epidemiology and etiology","volume":"7","author":[{"family":"Orem","given":"Jackson"},{"family":"Mbidde","given":"Edward Katongole"},{"family":"Lambert","given":"Bo"},{"family":"Sanjose","given":"Silvia","non-dropping-particle":"de"},{"family":"Weiderpass","given":"Elisabete"}],"issued":{"date-parts":[["2007",9]]}}}],"schema":"https://github.com/citation-style-language/schema/raw/master/csl-citation.json"} </w:instrText>
      </w:r>
      <w:r>
        <w:fldChar w:fldCharType="separate"/>
      </w:r>
      <w:r w:rsidR="0050368D" w:rsidRPr="0050368D">
        <w:rPr>
          <w:rFonts w:ascii="Calibri" w:hAnsi="Calibri" w:cs="Calibri"/>
          <w:szCs w:val="24"/>
        </w:rPr>
        <w:t>[25–28]</w:t>
      </w:r>
      <w:r>
        <w:fldChar w:fldCharType="end"/>
      </w:r>
      <w:r w:rsidRPr="00FC4D13">
        <w:t xml:space="preserve"> and Kaposi Sarcoma</w:t>
      </w:r>
      <w:r>
        <w:t xml:space="preserve"> (KS) </w:t>
      </w:r>
      <w:r>
        <w:fldChar w:fldCharType="begin"/>
      </w:r>
      <w:r w:rsidR="00124231">
        <w:instrText xml:space="preserve"> ADDIN ZOTERO_ITEM CSL_CITATION {"citationID":"Y2NFAIWh","properties":{"formattedCitation":"[29,30]","plainCitation":"[29,30]","noteIndex":0},"citationItems":[{"id":10937,"uris":["http://zotero.org/groups/23637/items/NZHV433P"],"uri":["http://zotero.org/groups/23637/items/NZHV433P"],"itemData":{"id":10937,"type":"article-journal","abstract":"&lt;h3&gt;Background:&lt;/h3&gt;&lt;p&gt;Endemic Kaposi's sarcoma (KS) is a clinically and epidemiologically distinct human immunodeficiency virus negative form of KS occurring in Africa. Kaposi's sarcoma is now the most frequently reported cancer in some areas of Africa.&lt;/p&gt;&lt;h3&gt;Objective:&lt;/h3&gt;&lt;p&gt;To determine if a KS-associated herpes-virus (KSHV) is present in both endemic HIV-seronegative and HIV-seropositive KS lesions from African patients.&lt;/p&gt;&lt;h3&gt;Methods:&lt;/h3&gt;&lt;p&gt;Paraffin-embedded tissue specimens from Ugandan patients with KS and non-KS tumor control patients attending a university-based oncology clinic were examined in a blinded case-control study. Tissue DNA specimens were examined for detectable KSHV genome by nested polymerase chain reaction performed at two independent laboratories.&lt;/p&gt;&lt;h3&gt;Results:&lt;/h3&gt;&lt;p&gt;We identified KSHV in 17 (85%) of 20 KS tissue specimens from HIV-seronegative patients and 22 (92%) of 24 KS tissue specimens from HIV-infected persons. Kaposi's sarcoma lesions from four HIV-infected persons and four HIV-seronegative persons were positive for KSHV. Unlike previous studies in North America and Europe, three (14%) of 22 non-KS cancer control patients' tissue specimens were also positive for KSHV that resulted in an overall odds ratio of 49.2 (95% confidence interval, 9.1 to 335) for detecting KSHV in KS lesions from patients in Uganda.&lt;/p&gt;&lt;h3&gt;Conclusion:&lt;/h3&gt;&lt;p&gt;As in North America and Europe, KSHV infection is strongly associated with both HIV-seropositive and HIV-seronegative KS in Africa. However, it is likely that infection with this virus is more highly prevalent in Uganda.&lt;/p&gt;&lt;p&gt;(Arch Intern Med. 1996;156:202-204)&lt;/p&gt;","container-title":"Archives of Internal Medicine","DOI":"10.1001/archinte.1996.00440020112014","ISSN":"0003-9926","issue":"2","journalAbbreviation":"Arch Intern Med","language":"en","page":"202-204","source":"jamanetwork.com","title":"Kaposi's sarcoma-associated herpesvirus and Kaposi's sarcoma in Africa","volume":"156","author":[{"family":"Chang","given":"Yuan"},{"family":"Ziegler","given":"John"},{"family":"Wabinga","given":"Henry"},{"family":"Katangole-Mbidde","given":"Edward"},{"family":"Boshoff","given":"Chris"},{"family":"Schulz","given":"Thomas"},{"family":"Whitby","given":"Denise"},{"family":"Maddalena","given":"Dawn"},{"family":"Jaffe","given":"Harold W."},{"family":"Weiss","given":"Robin A."},{"family":"Moore","given":"Patrick S."}],"issued":{"date-parts":[["1996",1,22]]}}},{"id":10935,"uris":["http://zotero.org/groups/23637/items/DWVY6HMM"],"uri":["http://zotero.org/groups/23637/items/DWVY6HMM"],"itemData":{"id":10935,"type":"article-journal","container-title":"British Journal of Cancer","DOI":"10.1038/sj.bjc.6600745","ISSN":"0007-0920","issue":"1","journalAbbreviation":"Br J Cancer","note":"PMID: 12556950\nPMCID: PMC2376771","page":"1-3","source":"PubMed Central","title":"Review of the distribution of Kaposi's sarcoma-associated herpesvirus (KSHV) in Africa in relation to the incidence of Kaposi's sarcoma","volume":"88","author":[{"family":"Dedicoat","given":"M"},{"family":"Newton","given":"R"}],"issued":{"date-parts":[["2003",1,13]]}}}],"schema":"https://github.com/citation-style-language/schema/raw/master/csl-citation.json"} </w:instrText>
      </w:r>
      <w:r>
        <w:fldChar w:fldCharType="separate"/>
      </w:r>
      <w:r w:rsidR="0050368D" w:rsidRPr="0050368D">
        <w:rPr>
          <w:rFonts w:ascii="Calibri" w:hAnsi="Calibri" w:cs="Calibri"/>
        </w:rPr>
        <w:t>[29,30]</w:t>
      </w:r>
      <w:r>
        <w:fldChar w:fldCharType="end"/>
      </w:r>
      <w:r>
        <w:t xml:space="preserve">.  In addition, we have assessed </w:t>
      </w:r>
      <w:r w:rsidR="00DE027D">
        <w:t>th</w:t>
      </w:r>
      <w:r w:rsidR="0030335A">
        <w:t xml:space="preserve">e strengths and weaknesses </w:t>
      </w:r>
      <w:r>
        <w:t xml:space="preserve">of the BM model by comparing it to </w:t>
      </w:r>
      <w:r w:rsidR="00AE7D5F">
        <w:t xml:space="preserve">national extrapolations of the registry data presented in the IICC-3 study for the 81 participating countries </w:t>
      </w:r>
      <w:r w:rsidR="00AE7D5F">
        <w:fldChar w:fldCharType="begin"/>
      </w:r>
      <w:r w:rsidR="00124231">
        <w:instrText xml:space="preserve"> ADDIN ZOTERO_ITEM CSL_CITATION {"citationID":"CRaTfPlq","properties":{"formattedCitation":"[18]","plainCitation":"[18]","noteIndex":0},"citationItems":[{"id":12398,"uris":["http://zotero.org/groups/23637/items/WRLY76WZ"],"uri":["http://zotero.org/groups/23637/items/WRLY76WZ"],"itemData":{"id":12398,"type":"article-journal","abstract":"Summary\nBackground\nCancer is a major cause of death in children worldwide, and the recorded incidence tends to increase with time. Internationally comparable data on childhood cancer incidence in the past two decades are scarce. This study aimed to provide internationally comparable local data on the incidence of childhood cancer to promote research of causes and implementation of childhood cancer control.\nMethods\nThis population-based registry study, devised by the International Agency for Research on Cancer in collaboration with the International Association of Cancer Registries, collected data on all malignancies and non-malignant neoplasms of the CNS diagnosed before age 20 years in populations covered by high-quality cancer registries with complete data for 2001–10. Incidence rates per million person-years for the 0–14 years and 0–19 years age groups were age-adjusted using the world standard population to provide age-standardised incidence rates (WSRs), using the age-specific incidence rates (ASR) for individual age groups (0–4 years, 5–9 years, 10–14 years, and 15–19 years). All rates were reported for 19 geographical areas or ethnicities by sex, age group, and cancer type. The regional WSRs for children aged 0–14 years were compared with comparable data obtained in the 1980s.\nFindings\nOf 532 invited cancer registries, 153 registries from 62 countries, departments, and territories met quality standards, and contributed data for the entire decade of 2001–10. 385 509 incident cases in children aged 0–19 years occurring in 2·64 billion person-years were included. The overall WSR was 140·6 per million person-years in children aged 0–14 years (based on 284 649 cases), and the most common cancers were leukaemia (WSR 46·4), followed by CNS tumours (WSR 28·2), and lymphomas (WSR 15·2). In children aged 15–19 years (based on 100 860 cases), the ASR was 185·3 per million person-years, the most common being lymphomas (ASR 41·8) and the group of epithelial tumours and melanoma (ASR 39·5). Incidence varied considerably between and within the described regions, and by cancer type, sex, age, and racial and ethnic group. Since the 1980s, the global WSR of registered cancers in children aged 0–14 years has increased from 124·0 (95% CI 123·3–124·7) to 140·6 (140·1–141·1) per million person-years.\nInterpretation\nThis unique global source of childhood cancer incidence will be used for aetiological research and to inform public health policy, potentially contributing towards attaining several targets of the Sustainable Development Goals. The observed geographical, racial and ethnic, age, sex, and temporal variations require constant monitoring and research.\nFunding\nInternational Agency for Research on Cancer and the Union for International Cancer Control.","container-title":"The Lancet Oncology","DOI":"10.1016/S1470-2045(17)30186-9","ISSN":"1470-2045","issue":"6","journalAbbreviation":"The Lancet Oncology","page":"719-731","source":"ScienceDirect","title":"International incidence of childhood cancer, 2001–10: a population-based registry study","title-short":"International incidence of childhood cancer, 2001–10","volume":"18","author":[{"family":"Steliarova-Foucher","given":"Eva"},{"family":"Colombet","given":"Murielle"},{"family":"Ries","given":"Lynn A G"},{"family":"Moreno","given":"Florencia"},{"family":"Dolya","given":"Anastasia"},{"family":"Bray","given":"Freddie"},{"family":"Hesseling","given":"Peter"},{"family":"Shin","given":"Hee Young"},{"family":"Stiller","given":"Charles A"},{"family":"Bouzbid","given":"S"},{"family":"Hamdi-Cherif","given":"M"},{"family":"Hablas","given":"A"},{"family":"Chirpaz","given":"E"},{"family":"Buziba","given":"N"},{"family":"Chesumbai","given":"GC"},{"family":"Manraj","given":"SS"},{"family":"Reynders","given":"D"},{"family":"Wabinga","given":"HR"},{"family":"Chokunonga","given":"E"},{"family":"Moreno","given":"F"},{"family":"Lima","given":"CA"},{"family":"Asturian Laporte","given":"C"},{"family":"Oliveira","given":"JC","non-dropping-particle":"de"},{"family":"Aquino","given":"JA Pontes","non-dropping-particle":"de"},{"family":"Gallagher","given":"SM Vargas"},{"family":"Uribe","given":"CJ"},{"family":"Bravo","given":"LE"},{"family":"Yepez Chamorro","given":"MC"},{"family":"Torres Alvarado","given":"G"},{"family":"Galán Alvarez","given":"YH"},{"family":"Martinez Reyes","given":"FC"},{"family":"Castillo Calvas","given":"JC"},{"family":"Mendoza Alava","given":"M"},{"family":"Cueva Ayala","given":"P"},{"family":"Hanchard","given":"B"},{"family":"Fajardo-Gutiérrez","given":"A"},{"family":"Zavala Zegarra","given":"DE"},{"family":"Barrios","given":"E"},{"family":"Nikiforuk","given":"C"},{"family":"Woods","given":"R"},{"family":"Turner","given":"D"},{"family":"MacIntyre","given":"M"},{"family":"Corriveau","given":"A"},{"family":"Navaneelan","given":"T"},{"family":"Bertrand","given":"C"},{"family":"Stuart-Panko","given":"H"},{"family":"Wilson","given":"RJ"},{"family":"Kosary","given":"C"},{"family":"Shen","given":"X"},{"family":"Brockhouse","given":"J"},{"family":"Yee","given":"GA"},{"family":"Mitchell","given":"TC"},{"family":"Snipes","given":"K"},{"family":"West","given":"D"},{"family":"Rao","given":"C"},{"family":"Bolick","given":"S"},{"family":"Rycroft","given":"RK"},{"family":"Mueller","given":"L"},{"family":"Zheng","given":"Y"},{"family":"Dosch","given":"K"},{"family":"Brown","given":"H"},{"family":"Vargas","given":"A"},{"family":"Levin","given":"GM"},{"family":"Bayakly","given":"R"},{"family":"Johnson","given":"C"},{"family":"Shen","given":"T"},{"family":"Ruppert","given":"L"},{"family":"Lynch","given":"CF"},{"family":"Lai","given":"SM"},{"family":"Tucker","given":"TC"},{"family":"Wu","given":"XC"},{"family":"Schwenn","given":"M"},{"family":"Stern","given":"K"},{"family":"Gershman","given":"S"},{"family":"Copeland","given":"G"},{"family":"Bushhouse","given":"S"},{"family":"Rogers","given":"DB"},{"family":"Jackson Thompson","given":"J"},{"family":"Lemons","given":"D"},{"family":"Frederick","given":"S"},{"family":"Harris","given":"JA"},{"family":"Riddle","given":"B"},{"family":"Stroup","given":"A"},{"family":"Wiggins","given":"C"},{"family":"Schymura","given":"MJ"},{"family":"Giljahn","given":"LK"},{"family":"Sheikh","given":"A"},{"family":"Schubert","given":"S"},{"family":"Aldinger","given":"W"},{"family":"Fulton","given":"JP"},{"family":"Whiteside","given":"M"},{"family":"Nogueira","given":"L"},{"family":"Sweeney","given":"C"},{"family":"Johnson","given":"A"},{"family":"Martin","given":"J"},{"family":"Farley","given":"S"},{"family":"Harrelson","given":"D"},{"family":"Malicki","given":"R"},{"family":"Espinoza","given":"JR"},{"family":"Hernandez","given":"BY"},{"family":"Abulfateh","given":"N"},{"family":"Wang","given":"N"},{"family":"Ngan","given":"RKC"},{"family":"Lingegowda","given":"KB"},{"family":"Swaminathan","given":"R"},{"family":"Koyande","given":"SS"},{"family":"Silverman","given":"B"},{"family":"Ozasa","given":"K"},{"family":"Kanemura","given":"S"},{"family":"Soda","given":"M"},{"family":"Miyashiro","given":"I"},{"family":"Shibata","given":"A"},{"family":"Nimri","given":"O"},{"family":"Won","given":"YJ"},{"family":"Kim","given":"CH"},{"family":"Hong","given":"NS"},{"family":"Nam","given":"HS"},{"family":"Kweon","given":"S"},{"family":"Kim","given":"WC"},{"family":"Huh","given":"JS"},{"family":"Jung","given":"KW"},{"family":"Yoo","given":"CI"},{"family":"Elbasmy","given":"A"},{"family":"Laudico","given":"AV"},{"family":"Lumague","given":"MR"},{"family":"AlMutlag","given":"H"},{"family":"Buasom","given":"R"},{"family":"Srisukho","given":"S"},{"family":"Tanabodee","given":"J"},{"family":"Wiangnon","given":"S"},{"family":"Pongnikorn","given":"D"},{"family":"Sriplung","given":"H"},{"family":"Dirican","given":"O"},{"family":"Eser","given":"S"},{"family":"Le Hoang","given":"M"},{"family":"Hackl","given":"M"},{"family":"Zborovskaya","given":"A"},{"family":"Dimitrova","given":"N"},{"family":"Valerianova","given":"Z"},{"family":"Sekerija","given":"M"},{"family":"Pavlou","given":"P"},{"family":"Dušek","given":"M"},{"family":"Mägi","given":"M"},{"family":"Clavel","given":"J"},{"family":"Lacour","given":"B"},{"family":"Guizard","given":"AV"},{"family":"Bouvier","given":"V"},{"family":"Troussard","given":"X"},{"family":"Woronoff","given":"AS"},{"family":"Tretarre","given":"B"},{"family":"Colonna","given":"M"},{"family":"Molinié","given":"F"},{"family":"Bara","given":"S"},{"family":"Velten","given":"M"},{"family":"Marrer","given":"E"},{"family":"Ganry","given":"O"},{"family":"Grosclaude","given":"P"},{"family":"Kaatsch","given":"P"},{"family":"Zeissig","given":"SR"},{"family":"Holleczek","given":"B"},{"family":"Katalinic","given":"A"},{"family":"Jakab","given":"Z"},{"family":"Birgisson","given":"H"},{"family":"Walsh","given":"PM"},{"family":"Mangone","given":"L"},{"family":"Merletti","given":"F"},{"family":"Magoni","given":"M"},{"family":"Mangone","given":"L"},{"family":"Ferretti","given":"S"},{"family":"Serraino","given":"D"},{"family":"Spagnoli","given":"G"},{"family":"Fusco","given":"M"},{"family":"Michiara","given":"M"},{"family":"Tumino","given":"R"},{"family":"Falcini","given":"F"},{"family":"Sensi","given":"F"},{"family":"Tisano","given":"F"},{"family":"Piffer","given":"S"},{"family":"Stracci","given":"F"},{"family":"Tagliabue","given":"G"},{"family":"Smailyte","given":"G"},{"family":"Agius","given":"D"},{"family":"Visser","given":"O"},{"family":"Ursin","given":"G"},{"family":"Didkowska","given":"J"},{"family":"Trojanowski","given":"M"},{"family":"Wojciechowska","given":"U"},{"family":"Forjaz de Lacerda","given":"G"},{"family":"Silva","given":"MA"},{"family":"Laranja Pontes","given":"J"},{"family":"Costa Miranda","given":"A","non-dropping-particle":"da"},{"family":"Kaiserova","given":"E"},{"family":"Primic Žakelj","given":"M"},{"family":"Peris-Bonet","given":"R"},{"family":"Vicente Raneda","given":"ML"},{"family":"Almar Marqués","given":"E"},{"family":"Quirós Garcia","given":"JR"},{"family":"Ramos Monserrat","given":"M"},{"family":"Errezola Saizar","given":"M"},{"family":"Alemán Herrera","given":"A"},{"family":"Díaz García","given":"JM"},{"family":"Marcos-Gragera","given":"R"},{"family":"Sanchez-Perez","given":"MJ"},{"family":"Ardanaz Aicua","given":"E"},{"family":"Galceran","given":"J"},{"family":"Klint","given":"A"},{"family":"Kuehni","given":"CE"},{"family":"Bouchardy","given":"C"},{"family":"Levi","given":"F"},{"family":"Bordoni","given":"A"},{"family":"Konzelmann","given":"I"},{"family":"Rohrmann","given":"S"},{"family":"Stiller","given":"CA"},{"family":"Gavin","given":"AT"},{"family":"Brewster","given":"DH"},{"family":"Phung","given":"H"},{"family":"Rushton","given":"S"},{"family":"Guthridge","given":"S"},{"family":"Aitken","given":"J"},{"family":"D'Onise","given":"K"},{"family":"Venn","given":"A"},{"family":"Farrugian","given":"H"},{"family":"Threlfall","given":"TJ"},{"family":"Laumond","given":"S"},{"family":"Yen Kai Sun","given":"L"},{"family":"Hendrix","given":"J"},{"family":"Ballantine","given":"K"},{"family":"Colombet","given":"M"},{"family":"Dolya","given":"A"},{"family":"Masuyer","given":"E"},{"family":"Steliarova-Foucher","given":"E"}],"issued":{"date-parts":[["2017",6,1]]}}}],"schema":"https://github.com/citation-style-language/schema/raw/master/csl-citation.json"} </w:instrText>
      </w:r>
      <w:r w:rsidR="00AE7D5F">
        <w:fldChar w:fldCharType="separate"/>
      </w:r>
      <w:r w:rsidR="00AE7D5F" w:rsidRPr="004D24B7">
        <w:rPr>
          <w:rFonts w:ascii="Calibri" w:hAnsi="Calibri" w:cs="Calibri"/>
        </w:rPr>
        <w:t>[18]</w:t>
      </w:r>
      <w:r w:rsidR="00AE7D5F">
        <w:fldChar w:fldCharType="end"/>
      </w:r>
      <w:r w:rsidR="00AE7D5F">
        <w:t xml:space="preserve">, </w:t>
      </w:r>
      <w:r w:rsidR="0030335A">
        <w:t>the</w:t>
      </w:r>
      <w:r w:rsidR="00AE7D5F">
        <w:t xml:space="preserve"> </w:t>
      </w:r>
      <w:r>
        <w:t xml:space="preserve">estimates </w:t>
      </w:r>
      <w:r w:rsidR="00AE7D5F">
        <w:t xml:space="preserve">based on the data available </w:t>
      </w:r>
      <w:r w:rsidR="00FC4DCE">
        <w:t xml:space="preserve">worldwide </w:t>
      </w:r>
      <w:r w:rsidR="00AE7D5F">
        <w:t xml:space="preserve">from cancer registries and vital statistics published by </w:t>
      </w:r>
      <w:r w:rsidR="00F777A9">
        <w:t xml:space="preserve">GLOBOCAN </w:t>
      </w:r>
      <w:r w:rsidR="00F777A9">
        <w:fldChar w:fldCharType="begin"/>
      </w:r>
      <w:r w:rsidR="00124231">
        <w:instrText xml:space="preserve"> ADDIN ZOTERO_ITEM CSL_CITATION {"citationID":"Gt923wum","properties":{"formattedCitation":"[31]","plainCitation":"[31]","noteIndex":0},"citationItems":[{"id":10822,"uris":["http://zotero.org/groups/23637/items/5P32ZVWU"],"uri":["http://zotero.org/groups/23637/items/5P32ZVWU"],"itemData":{"id":10822,"type":"webpage","abstract":"CANCER TODAY provides data visualization tools that present current national estimates of the incidence, mortality, and prevalence of 36 cancer types in 185 countries, by sex and age group.\n\npermalink to the data:\nhttp://gco.iarc.fr/today/online-analysis-table?v=2018&amp;mode=population&amp;mode_population=countries&amp;population=900&amp;populations=900&amp;key=asr&amp;sex=0&amp;cancer=39&amp;type=0&amp;statistic=5&amp;prevalence=0&amp;population_group=0&amp;ages_group%5B%5D=0&amp;ages_group%5B%5D=2&amp;nb_items=5&amp;group_cancer=1&amp;include_nmsc=1&amp;include_nmsc_other=1\n\n\nFerlay J, Ervik M, Lam F, Colombet M, Mery L, Piñeros M, Znaor A, Soerjomataram I, Bray F (2018). Global Cancer Observatory: Cancer Today. Lyon, France: International Agency for Research on Cancer. Available from: https://gco.iarc.fr/today, accessed [DD Month YYYY].","container-title":"Cancer Today","language":"en","note":"Lyon, France:\nInternational Agency for Research on Cancer","title":"Global Cancer Observatory: Cancer today","title-short":"Globocan 2018","URL":"http://gco.iarc.fr/today","author":[{"family":"Ferlay","given":"J"},{"family":"Ervik","given":"M"},{"family":"Lam","given":"F"},{"family":"Colombet","given":"M"},{"family":"Mery","given":"L"},{"family":"Pineros","given":"M"},{"family":"Znaor","given":"A"},{"family":"Soerjomataram","given":"I"},{"family":"Bray","given":"F"}],"accessed":{"date-parts":[["2018",10,18]]},"issued":{"date-parts":[["2018"]]}},"label":"page"}],"schema":"https://github.com/citation-style-language/schema/raw/master/csl-citation.json"} </w:instrText>
      </w:r>
      <w:r w:rsidR="00F777A9">
        <w:fldChar w:fldCharType="separate"/>
      </w:r>
      <w:r w:rsidR="0050368D" w:rsidRPr="0050368D">
        <w:rPr>
          <w:rFonts w:ascii="Calibri" w:hAnsi="Calibri" w:cs="Calibri"/>
        </w:rPr>
        <w:t>[31]</w:t>
      </w:r>
      <w:r w:rsidR="00F777A9">
        <w:fldChar w:fldCharType="end"/>
      </w:r>
      <w:r w:rsidR="00F777A9">
        <w:t xml:space="preserve">, and </w:t>
      </w:r>
      <w:r w:rsidR="00AE7D5F">
        <w:t xml:space="preserve">finally, to </w:t>
      </w:r>
      <w:r w:rsidR="00AC3460">
        <w:t>the GCC</w:t>
      </w:r>
      <w:r w:rsidR="00F777A9">
        <w:t xml:space="preserve"> </w:t>
      </w:r>
      <w:r>
        <w:t xml:space="preserve">model </w:t>
      </w:r>
      <w:r w:rsidR="00F777A9">
        <w:fldChar w:fldCharType="begin"/>
      </w:r>
      <w:r w:rsidR="00124231">
        <w:instrText xml:space="preserve"> ADDIN ZOTERO_ITEM CSL_CITATION {"citationID":"2o1CB2D1","properties":{"formattedCitation":"[23]","plainCitation":"[23]","noteIndex":0},"citationItems":[{"id":12402,"uris":["http://zotero.org/groups/23637/items/5BJ5RHP6"],"uri":["http://zotero.org/groups/23637/items/5BJ5RHP6"],"itemData":{"id":12402,"type":"article-journal","abstract":"BACKGROUND: Accurate estimates of childhood cancer incidence are important for policy makers to inform priority setting and planning decisions. However, many countries do not have cancer registries that quantify the incidence of childhood cancer. Moreover, even when registries do exist, they might substantially underestimate the true incidence, since children with cancer might not be diagnosed. We therefore aimed to provide estimates of total childhood cancer incidence accounting for underdiagnosis.\nMETHODS: We developed a microsimulation model to simulate childhood cancer incidence for 200 countries and territories worldwide, taking into account trends in population growth and urbanicity, geographical variation in cancer incidence, and health system barriers to access and referral that contribute to underdiagnosis. To ensure model results were consistent with epidemiological data, we calibrated the model to publicly available cancer registry data using a Bayesian approach in which the observed data are fixed and the model parameters (cancer incidence and probabilities of health system access and referral) are random variables. We estimated the total incidence of childhood cancer (diagnosed and undiagnosed) in each country in 2015 and projected the number of cases from 2015 to 2030.\nFINDINGS: Our model estimated that there were 397 000 (95% uncertainty interval [UI] 377 000-426 000) incident cases of childhood cancer worldwide in 2015, of which only 224 000 (95% UI 216 000-237 000) were diagnosed. This finding suggests that 43% (172 000 of 397 000) of childhood cancer cases were undiagnosed globally, with substantial variation by region, ranging from 3% in western Europe (120 of 4300) and North America (300 of 10 900) to 57% (43 000 of 76 000) in western Africa. In south Asia (including southeastern Asia and south-central Asia), the overall proportion of undiagnosed cases was estimated to be 49% (67 000 of 137 000). Taking into account population projections, we estimated that there will be 6·7 million (95% UI 6·3-7·2) cases of childhood cancer worldwide from 2015 to 2030. At current levels of health system performance, we estimated that 2·9 million (95% UI 2·7-3·3) cases of childhood cancer will be missed between 2015 and 2030.\nINTERPRETATION: Childhood cancer is substantially underdiagnosed, especially in south Asia and sub-Saharan Africa (including western, eastern, and southern Africa). In addition to improving treatment for childhood cancer, health systems must be strengthened to accurately diagnose and effectively care for all children with cancer. As countries expand universal health coverage, these estimates of total incidence will hopefully help guide efforts to appropriately increase health system capacity to ensure access to effective childhood cancer care.\nFUNDING: Boston Children's Hospital, Dana-Farber Cancer Institute, Harvard T H Chan School of Public Health, Harvard Medical School, National Cancer Institute, SickKids, St Jude Children's Research Hospital, and Union for International Cancer Control.","container-title":"The Lancet. Oncology","DOI":"10.1016/S1470-2045(18)30909-4","ISSN":"1474-5488","issue":"4","journalAbbreviation":"Lancet Oncol.","language":"eng","note":"PMID: 30824204","page":"483-493","source":"PubMed","title":"Estimating the total incidence of global childhood cancer: a simulation-based analysis","title-short":"Estimating the total incidence of global childhood cancer","volume":"20","author":[{"family":"Ward","given":"Zachary J."},{"family":"Yeh","given":"Jennifer M."},{"family":"Bhakta","given":"Nickhill"},{"family":"Frazier","given":"A. Lindsay"},{"family":"Atun","given":"Rifat"}],"issued":{"date-parts":[["2019",4]]}}}],"schema":"https://github.com/citation-style-language/schema/raw/master/csl-citation.json"} </w:instrText>
      </w:r>
      <w:r w:rsidR="00F777A9">
        <w:fldChar w:fldCharType="separate"/>
      </w:r>
      <w:r w:rsidR="0050368D" w:rsidRPr="0050368D">
        <w:rPr>
          <w:rFonts w:ascii="Calibri" w:hAnsi="Calibri" w:cs="Calibri"/>
        </w:rPr>
        <w:t>[23]</w:t>
      </w:r>
      <w:r w:rsidR="00F777A9">
        <w:fldChar w:fldCharType="end"/>
      </w:r>
      <w:r w:rsidR="00AC3460">
        <w:t xml:space="preserve">.  </w:t>
      </w:r>
    </w:p>
    <w:p w14:paraId="56B5844E" w14:textId="77777777" w:rsidR="00F63CC9" w:rsidRDefault="00F63CC9" w:rsidP="0023251C"/>
    <w:p w14:paraId="48024A68" w14:textId="6E731B58" w:rsidR="005F5FD1" w:rsidRDefault="00BE3B19" w:rsidP="0059408F">
      <w:pPr>
        <w:jc w:val="center"/>
      </w:pPr>
      <w:r>
        <w:rPr>
          <w:noProof/>
          <w:lang w:val="en-US"/>
        </w:rPr>
        <w:lastRenderedPageBreak/>
        <w:drawing>
          <wp:inline distT="0" distB="0" distL="0" distR="0" wp14:anchorId="50ECF727" wp14:editId="62C15136">
            <wp:extent cx="5731510" cy="50152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 - IICC3 coverage by reg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015230"/>
                    </a:xfrm>
                    <a:prstGeom prst="rect">
                      <a:avLst/>
                    </a:prstGeom>
                  </pic:spPr>
                </pic:pic>
              </a:graphicData>
            </a:graphic>
          </wp:inline>
        </w:drawing>
      </w:r>
    </w:p>
    <w:p w14:paraId="2320E1BE" w14:textId="18A77FC8" w:rsidR="005F5FD1" w:rsidRDefault="005F5FD1" w:rsidP="00ED4236">
      <w:pPr>
        <w:spacing w:after="0" w:line="240" w:lineRule="auto"/>
      </w:pPr>
      <w:r w:rsidRPr="006675C5">
        <w:rPr>
          <w:b/>
          <w:bCs/>
        </w:rPr>
        <w:t xml:space="preserve">Figure </w:t>
      </w:r>
      <w:r>
        <w:rPr>
          <w:b/>
          <w:bCs/>
        </w:rPr>
        <w:t>1</w:t>
      </w:r>
      <w:r w:rsidRPr="006675C5">
        <w:rPr>
          <w:b/>
          <w:bCs/>
        </w:rPr>
        <w:t xml:space="preserve"> </w:t>
      </w:r>
      <w:r w:rsidRPr="006675C5">
        <w:rPr>
          <w:bCs/>
        </w:rPr>
        <w:t xml:space="preserve">– </w:t>
      </w:r>
      <w:r>
        <w:rPr>
          <w:bCs/>
        </w:rPr>
        <w:t>A)</w:t>
      </w:r>
      <w:r w:rsidR="00895B7F">
        <w:rPr>
          <w:bCs/>
        </w:rPr>
        <w:t xml:space="preserve"> </w:t>
      </w:r>
      <w:r w:rsidR="00BA42D6">
        <w:rPr>
          <w:bCs/>
        </w:rPr>
        <w:t>Estimated coverage of regional childhood populations in 2015 by population-based cancer registries contributing to IICC-3.  Red line denotes coverage as a percentage and stacked columns depict e</w:t>
      </w:r>
      <w:r>
        <w:rPr>
          <w:bCs/>
        </w:rPr>
        <w:t xml:space="preserve">stimated </w:t>
      </w:r>
      <w:r w:rsidR="00BA42D6">
        <w:rPr>
          <w:bCs/>
        </w:rPr>
        <w:t xml:space="preserve">regional </w:t>
      </w:r>
      <w:r w:rsidR="001D633E">
        <w:rPr>
          <w:bCs/>
        </w:rPr>
        <w:t>population</w:t>
      </w:r>
      <w:r w:rsidR="00BA42D6">
        <w:rPr>
          <w:bCs/>
        </w:rPr>
        <w:t>s</w:t>
      </w:r>
      <w:r w:rsidR="001D633E">
        <w:rPr>
          <w:bCs/>
        </w:rPr>
        <w:t xml:space="preserve"> of children aged &lt;15 years (millions) in 2015</w:t>
      </w:r>
      <w:r w:rsidR="00BF2315">
        <w:rPr>
          <w:bCs/>
        </w:rPr>
        <w:t xml:space="preserve"> </w:t>
      </w:r>
      <w:r w:rsidR="00BF2315">
        <w:rPr>
          <w:bCs/>
        </w:rPr>
        <w:fldChar w:fldCharType="begin"/>
      </w:r>
      <w:r w:rsidR="00124231">
        <w:rPr>
          <w:bCs/>
        </w:rPr>
        <w:instrText xml:space="preserve"> ADDIN ZOTERO_ITEM CSL_CITATION {"citationID":"6KrZN7jo","properties":{"formattedCitation":"[19]","plainCitation":"[19]","noteIndex":0},"citationItems":[{"id":10827,"uris":["http://zotero.org/groups/23637/items/FIWQ6E3H"],"uri":["http://zotero.org/groups/23637/items/FIWQ6E3H"],"itemData":{"id":10827,"type":"webpage","container-title":"World Population Prospects 2017","note":"Data downloaded 25 Sep 2017\n\nMedium Variant projections of popultaion in 5-year age groups for males, females and total\n\nWPP2017_PopulationByAgeSex_Medium.csv","title":"World Population Prospects 2017","URL":"https://population.un.org/wpp/Download/Standard/CSV/","author":[{"literal":"United Nations DESA / Population Division"}],"accessed":{"date-parts":[["2017",9,25]]},"issued":{"date-parts":[["2017"]]}}}],"schema":"https://github.com/citation-style-language/schema/raw/master/csl-citation.json"} </w:instrText>
      </w:r>
      <w:r w:rsidR="00BF2315">
        <w:rPr>
          <w:bCs/>
        </w:rPr>
        <w:fldChar w:fldCharType="separate"/>
      </w:r>
      <w:r w:rsidR="0050368D" w:rsidRPr="0050368D">
        <w:rPr>
          <w:rFonts w:ascii="Calibri" w:hAnsi="Calibri" w:cs="Calibri"/>
        </w:rPr>
        <w:t>[19]</w:t>
      </w:r>
      <w:r w:rsidR="00BF2315">
        <w:rPr>
          <w:bCs/>
        </w:rPr>
        <w:fldChar w:fldCharType="end"/>
      </w:r>
      <w:r w:rsidR="001D633E">
        <w:rPr>
          <w:bCs/>
        </w:rPr>
        <w:t xml:space="preserve"> </w:t>
      </w:r>
      <w:r w:rsidR="00BA42D6">
        <w:rPr>
          <w:bCs/>
        </w:rPr>
        <w:t xml:space="preserve">(filled) and estimated population coverage of registries contributing to IICC-3 (open) </w:t>
      </w:r>
      <w:r>
        <w:rPr>
          <w:bCs/>
        </w:rPr>
        <w:fldChar w:fldCharType="begin"/>
      </w:r>
      <w:r w:rsidR="00124231">
        <w:rPr>
          <w:bCs/>
        </w:rPr>
        <w:instrText xml:space="preserve"> ADDIN ZOTERO_ITEM CSL_CITATION {"citationID":"J0kRnIcR","properties":{"formattedCitation":"[32]","plainCitation":"[32]","noteIndex":0},"citationItems":[{"id":10829,"uris":["http://zotero.org/groups/23637/items/GWPJWBM6"],"uri":["http://zotero.org/groups/23637/items/GWPJWBM6"],"itemData":{"id":10829,"type":"book","event-place":"Lyon, France","publisher":"International Agency for Research on Cancer","publisher-place":"Lyon, France","title":"International Incidence of Childhood Cancer Volume III (electronic version)","title-short":"IICC-3","URL":"http://iicc.iarc.fr/results/index.php","author":[{"literal":"Steliarova-Foucher, E"},{"literal":"Colombet, M"},{"literal":"Ries, LAG"},{"literal":"Hesseling, P"},{"literal":"Moreno, F"},{"literal":"Shin, HY"},{"literal":"Stiller, CA"},{"literal":"editors"}],"accessed":{"date-parts":[["2017",9,11]]},"issued":{"date-parts":[["2017"]]}}}],"schema":"https://github.com/citation-style-language/schema/raw/master/csl-citation.json"} </w:instrText>
      </w:r>
      <w:r>
        <w:rPr>
          <w:bCs/>
        </w:rPr>
        <w:fldChar w:fldCharType="separate"/>
      </w:r>
      <w:r w:rsidR="004D24B7" w:rsidRPr="004D24B7">
        <w:rPr>
          <w:rFonts w:ascii="Calibri" w:hAnsi="Calibri" w:cs="Calibri"/>
        </w:rPr>
        <w:t>[32]</w:t>
      </w:r>
      <w:r>
        <w:rPr>
          <w:bCs/>
        </w:rPr>
        <w:fldChar w:fldCharType="end"/>
      </w:r>
      <w:r>
        <w:t>.</w:t>
      </w:r>
      <w:r w:rsidR="00895B7F">
        <w:t xml:space="preserve"> B) </w:t>
      </w:r>
      <w:r w:rsidR="00895B7F">
        <w:rPr>
          <w:bCs/>
        </w:rPr>
        <w:t>United Nations world regions</w:t>
      </w:r>
      <w:r w:rsidR="00895B7F">
        <w:rPr>
          <w:bCs/>
        </w:rPr>
        <w:fldChar w:fldCharType="begin"/>
      </w:r>
      <w:r w:rsidR="0050368D">
        <w:rPr>
          <w:bCs/>
        </w:rPr>
        <w:instrText xml:space="preserve"> ADDIN ZOTERO_ITEM CSL_CITATION {"citationID":"wSlky297","properties":{"formattedCitation":"[33]","plainCitation":"[33]","noteIndex":0},"citationItems":[{"id":12387,"uris":["http://zotero.org/groups/23637/items/J6IVN7J9"],"uri":["http://zotero.org/groups/23637/items/J6IVN7J9"],"itemData":{"id":12387,"type":"webpage","title":"UNSD — Methodology","URL":"https://unstats.un.org/unsd/methodology/m49/","accessed":{"date-parts":[["2019",6,25]]}}}],"schema":"https://github.com/citation-style-language/schema/raw/master/csl-citation.json"} </w:instrText>
      </w:r>
      <w:r w:rsidR="00895B7F">
        <w:rPr>
          <w:bCs/>
        </w:rPr>
        <w:fldChar w:fldCharType="separate"/>
      </w:r>
      <w:r w:rsidR="0050368D" w:rsidRPr="0050368D">
        <w:rPr>
          <w:rFonts w:ascii="Calibri" w:hAnsi="Calibri" w:cs="Calibri"/>
        </w:rPr>
        <w:t>[33]</w:t>
      </w:r>
      <w:r w:rsidR="00895B7F">
        <w:rPr>
          <w:bCs/>
        </w:rPr>
        <w:fldChar w:fldCharType="end"/>
      </w:r>
      <w:r w:rsidR="00BA42D6">
        <w:rPr>
          <w:bCs/>
        </w:rPr>
        <w:t>.</w:t>
      </w:r>
    </w:p>
    <w:p w14:paraId="5B76FE8A" w14:textId="723B5648" w:rsidR="004C5EB2" w:rsidRDefault="004C5EB2" w:rsidP="00ED4236">
      <w:pPr>
        <w:spacing w:after="0" w:line="240" w:lineRule="auto"/>
      </w:pPr>
    </w:p>
    <w:p w14:paraId="4B1F6695" w14:textId="111919EC" w:rsidR="000A17D1" w:rsidRDefault="00A50A93">
      <w:r>
        <w:rPr>
          <w:noProof/>
          <w:lang w:val="en-US"/>
        </w:rPr>
        <w:lastRenderedPageBreak/>
        <w:drawing>
          <wp:inline distT="0" distB="0" distL="0" distR="0" wp14:anchorId="0B0430B4" wp14:editId="5BCD0271">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 - IICC3 coverage by human developm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B39B82F" w14:textId="01B9D3A0" w:rsidR="00BA42D6" w:rsidRDefault="005F5FD1" w:rsidP="00ED4236">
      <w:pPr>
        <w:spacing w:after="0" w:line="240" w:lineRule="auto"/>
      </w:pPr>
      <w:r w:rsidRPr="006675C5">
        <w:rPr>
          <w:b/>
          <w:bCs/>
        </w:rPr>
        <w:t xml:space="preserve">Figure </w:t>
      </w:r>
      <w:r>
        <w:rPr>
          <w:b/>
          <w:bCs/>
        </w:rPr>
        <w:t>2</w:t>
      </w:r>
      <w:r w:rsidRPr="006675C5">
        <w:rPr>
          <w:b/>
          <w:bCs/>
        </w:rPr>
        <w:t xml:space="preserve"> </w:t>
      </w:r>
      <w:r w:rsidRPr="006675C5">
        <w:rPr>
          <w:bCs/>
        </w:rPr>
        <w:t xml:space="preserve">– </w:t>
      </w:r>
      <w:r w:rsidR="00BA42D6">
        <w:rPr>
          <w:bCs/>
        </w:rPr>
        <w:t xml:space="preserve">A) Estimated coverage of childhood populations by </w:t>
      </w:r>
      <w:r w:rsidR="00F35F1A">
        <w:rPr>
          <w:bCs/>
        </w:rPr>
        <w:t>h</w:t>
      </w:r>
      <w:r w:rsidR="00BA42D6">
        <w:rPr>
          <w:bCs/>
        </w:rPr>
        <w:t xml:space="preserve">uman development index (HDI) in 2015 by population-based cancer registries contributing to IICC-3.  Red line denotes coverage as a percentage and stacked columns depict estimated populations of children aged &lt;15 years (millions) in 2015 </w:t>
      </w:r>
      <w:r w:rsidR="00BF2315">
        <w:fldChar w:fldCharType="begin"/>
      </w:r>
      <w:r w:rsidR="00124231">
        <w:instrText xml:space="preserve"> ADDIN ZOTERO_ITEM CSL_CITATION {"citationID":"52Vr1zwr","properties":{"formattedCitation":"[19]","plainCitation":"[19]","noteIndex":0},"citationItems":[{"id":10827,"uris":["http://zotero.org/groups/23637/items/FIWQ6E3H"],"uri":["http://zotero.org/groups/23637/items/FIWQ6E3H"],"itemData":{"id":10827,"type":"webpage","container-title":"World Population Prospects 2017","note":"Data downloaded 25 Sep 2017\n\nMedium Variant projections of popultaion in 5-year age groups for males, females and total\n\nWPP2017_PopulationByAgeSex_Medium.csv","title":"World Population Prospects 2017","URL":"https://population.un.org/wpp/Download/Standard/CSV/","author":[{"literal":"United Nations DESA / Population Division"}],"accessed":{"date-parts":[["2017",9,25]]},"issued":{"date-parts":[["2017"]]}}}],"schema":"https://github.com/citation-style-language/schema/raw/master/csl-citation.json"} </w:instrText>
      </w:r>
      <w:r w:rsidR="00BF2315">
        <w:fldChar w:fldCharType="separate"/>
      </w:r>
      <w:r w:rsidR="0050368D" w:rsidRPr="0050368D">
        <w:rPr>
          <w:rFonts w:ascii="Calibri" w:hAnsi="Calibri" w:cs="Calibri"/>
        </w:rPr>
        <w:t>[19]</w:t>
      </w:r>
      <w:r w:rsidR="00BF2315">
        <w:fldChar w:fldCharType="end"/>
      </w:r>
      <w:r w:rsidR="00BF2315">
        <w:t xml:space="preserve"> </w:t>
      </w:r>
      <w:r w:rsidR="00BA42D6">
        <w:rPr>
          <w:bCs/>
        </w:rPr>
        <w:t xml:space="preserve">by HDI group (filled) and estimated population coverage of registries contributing to IICC-3 (open) </w:t>
      </w:r>
      <w:r w:rsidR="00BA42D6">
        <w:rPr>
          <w:bCs/>
        </w:rPr>
        <w:fldChar w:fldCharType="begin"/>
      </w:r>
      <w:r w:rsidR="00124231">
        <w:rPr>
          <w:bCs/>
        </w:rPr>
        <w:instrText xml:space="preserve"> ADDIN ZOTERO_ITEM CSL_CITATION {"citationID":"BN96zA02","properties":{"formattedCitation":"[32]","plainCitation":"[32]","noteIndex":0},"citationItems":[{"id":10829,"uris":["http://zotero.org/groups/23637/items/GWPJWBM6"],"uri":["http://zotero.org/groups/23637/items/GWPJWBM6"],"itemData":{"id":10829,"type":"book","event-place":"Lyon, France","publisher":"International Agency for Research on Cancer","publisher-place":"Lyon, France","title":"International Incidence of Childhood Cancer Volume III (electronic version)","title-short":"IICC-3","URL":"http://iicc.iarc.fr/results/index.php","author":[{"literal":"Steliarova-Foucher, E"},{"literal":"Colombet, M"},{"literal":"Ries, LAG"},{"literal":"Hesseling, P"},{"literal":"Moreno, F"},{"literal":"Shin, HY"},{"literal":"Stiller, CA"},{"literal":"editors"}],"accessed":{"date-parts":[["2017",9,11]]},"issued":{"date-parts":[["2017"]]}}}],"schema":"https://github.com/citation-style-language/schema/raw/master/csl-citation.json"} </w:instrText>
      </w:r>
      <w:r w:rsidR="00BA42D6">
        <w:rPr>
          <w:bCs/>
        </w:rPr>
        <w:fldChar w:fldCharType="separate"/>
      </w:r>
      <w:r w:rsidR="004D24B7" w:rsidRPr="004D24B7">
        <w:rPr>
          <w:rFonts w:ascii="Calibri" w:hAnsi="Calibri" w:cs="Calibri"/>
        </w:rPr>
        <w:t>[32]</w:t>
      </w:r>
      <w:r w:rsidR="00BA42D6">
        <w:rPr>
          <w:bCs/>
        </w:rPr>
        <w:fldChar w:fldCharType="end"/>
      </w:r>
      <w:r w:rsidR="00BA42D6">
        <w:t xml:space="preserve">. B) Countries categorised by </w:t>
      </w:r>
      <w:r w:rsidR="00BA42D6">
        <w:rPr>
          <w:bCs/>
        </w:rPr>
        <w:t>HDI in 2015</w:t>
      </w:r>
      <w:r w:rsidR="00BA42D6">
        <w:rPr>
          <w:bCs/>
        </w:rPr>
        <w:fldChar w:fldCharType="begin"/>
      </w:r>
      <w:r w:rsidR="00124231">
        <w:rPr>
          <w:bCs/>
        </w:rPr>
        <w:instrText xml:space="preserve"> ADDIN ZOTERO_ITEM CSL_CITATION {"citationID":"3Gos8OZT","properties":{"formattedCitation":"[34]","plainCitation":"[34]","noteIndex":0},"citationItems":[{"id":11156,"uris":["http://zotero.org/groups/23637/items/2SHNQ7K8"],"uri":["http://zotero.org/groups/23637/items/2SHNQ7K8"],"itemData":{"id":11156,"type":"book","ISBN":"978-92-1-060036-1","language":"en","note":"DOI: 10.18356/b6186701-en","publisher":"UN","source":"Crossref","title":"Human Development Report 2016: Human Development for Everyone","title-short":"Human Development Report 2016","URL":"https://www.un-ilibrary.org/economic-and-social-development/human-development-report-2016_b6186701-en","author":[{"literal":"United Nations Development Programme"}],"accessed":{"date-parts":[["2019",1,23]]},"issued":{"date-parts":[["2017",3,21]]}}}],"schema":"https://github.com/citation-style-language/schema/raw/master/csl-citation.json"} </w:instrText>
      </w:r>
      <w:r w:rsidR="00BA42D6">
        <w:rPr>
          <w:bCs/>
        </w:rPr>
        <w:fldChar w:fldCharType="separate"/>
      </w:r>
      <w:r w:rsidR="0050368D" w:rsidRPr="0050368D">
        <w:rPr>
          <w:rFonts w:ascii="Calibri" w:hAnsi="Calibri" w:cs="Calibri"/>
        </w:rPr>
        <w:t>[34]</w:t>
      </w:r>
      <w:r w:rsidR="00BA42D6">
        <w:rPr>
          <w:bCs/>
        </w:rPr>
        <w:fldChar w:fldCharType="end"/>
      </w:r>
      <w:r w:rsidR="00BA42D6">
        <w:rPr>
          <w:bCs/>
        </w:rPr>
        <w:t>.</w:t>
      </w:r>
    </w:p>
    <w:p w14:paraId="4D4AEEA0" w14:textId="77777777" w:rsidR="002D2629" w:rsidRPr="00606F03" w:rsidRDefault="002D2629" w:rsidP="00ED4236">
      <w:pPr>
        <w:spacing w:after="0" w:line="240" w:lineRule="auto"/>
        <w:rPr>
          <w:bCs/>
        </w:rPr>
      </w:pPr>
    </w:p>
    <w:p w14:paraId="22D07908" w14:textId="489761E5" w:rsidR="000A17D1" w:rsidRDefault="000A17D1" w:rsidP="00ED4236">
      <w:pPr>
        <w:spacing w:after="0" w:line="240" w:lineRule="auto"/>
      </w:pPr>
    </w:p>
    <w:p w14:paraId="0A2138CA" w14:textId="1DF6F14F" w:rsidR="006B211A" w:rsidRDefault="00E44EE5" w:rsidP="00C072C2">
      <w:pPr>
        <w:pStyle w:val="Heading1"/>
        <w:numPr>
          <w:ilvl w:val="0"/>
          <w:numId w:val="23"/>
        </w:numPr>
        <w:spacing w:before="0" w:line="240" w:lineRule="auto"/>
      </w:pPr>
      <w:r>
        <w:t>Methods</w:t>
      </w:r>
    </w:p>
    <w:p w14:paraId="5F8D5DB4" w14:textId="5936D8B9" w:rsidR="00C24739" w:rsidRDefault="00152E31" w:rsidP="00C31DDA">
      <w:r>
        <w:t xml:space="preserve">Population data for 2015 were downloaded from the UN World Population Prospects dataset </w:t>
      </w:r>
      <w:r>
        <w:fldChar w:fldCharType="begin"/>
      </w:r>
      <w:r w:rsidR="00124231">
        <w:instrText xml:space="preserve"> ADDIN ZOTERO_ITEM CSL_CITATION {"citationID":"aVPn8Qkq","properties":{"formattedCitation":"[19]","plainCitation":"[19]","noteIndex":0},"citationItems":[{"id":10827,"uris":["http://zotero.org/groups/23637/items/FIWQ6E3H"],"uri":["http://zotero.org/groups/23637/items/FIWQ6E3H"],"itemData":{"id":10827,"type":"webpage","container-title":"World Population Prospects 2017","note":"Data downloaded 25 Sep 2017\n\nMedium Variant projections of popultaion in 5-year age groups for males, females and total\n\nWPP2017_PopulationByAgeSex_Medium.csv","title":"World Population Prospects 2017","URL":"https://population.un.org/wpp/Download/Standard/CSV/","author":[{"literal":"United Nations DESA / Population Division"}],"accessed":{"date-parts":[["2017",9,25]]},"issued":{"date-parts":[["2017"]]}}}],"schema":"https://github.com/citation-style-language/schema/raw/master/csl-citation.json"} </w:instrText>
      </w:r>
      <w:r>
        <w:fldChar w:fldCharType="separate"/>
      </w:r>
      <w:r w:rsidR="0050368D" w:rsidRPr="0050368D">
        <w:rPr>
          <w:rFonts w:ascii="Calibri" w:hAnsi="Calibri" w:cs="Calibri"/>
        </w:rPr>
        <w:t>[19]</w:t>
      </w:r>
      <w:r>
        <w:fldChar w:fldCharType="end"/>
      </w:r>
      <w:r>
        <w:t xml:space="preserve"> </w:t>
      </w:r>
      <w:r w:rsidR="002B5A6C">
        <w:t>(</w:t>
      </w:r>
      <w:hyperlink r:id="rId14" w:history="1">
        <w:r w:rsidRPr="00EC367C">
          <w:rPr>
            <w:rStyle w:val="Hyperlink"/>
          </w:rPr>
          <w:t>https://esa.un.org/unpd/wpp/)</w:t>
        </w:r>
      </w:hyperlink>
      <w:r w:rsidR="001A6ED9">
        <w:t xml:space="preserve"> and population density estimates </w:t>
      </w:r>
      <w:r w:rsidR="00BB64C6">
        <w:t xml:space="preserve">from </w:t>
      </w:r>
      <w:r w:rsidR="001A6ED9">
        <w:rPr>
          <w:lang w:val="en-US"/>
        </w:rPr>
        <w:t xml:space="preserve">the European Commission’s Global Human Settlement Layer </w:t>
      </w:r>
      <w:r w:rsidR="001A6ED9">
        <w:rPr>
          <w:lang w:val="en-US"/>
        </w:rPr>
        <w:fldChar w:fldCharType="begin"/>
      </w:r>
      <w:r w:rsidR="00124231">
        <w:rPr>
          <w:lang w:val="en-US"/>
        </w:rPr>
        <w:instrText xml:space="preserve"> ADDIN ZOTERO_ITEM CSL_CITATION {"citationID":"SlkMaAee","properties":{"formattedCitation":"[; 28]","plainCitation":"[; 28]","dontUpdate":true,"noteIndex":0},"citationItems":[{"id":10845,"uris":["http://zotero.org/groups/23637/items/RCAB2IC4"],"uri":["http://zotero.org/groups/23637/items/RCAB2IC4"],"itemData":{"id":10845,"type":"article","note":"European Commission, Joint Research Centre (JRC); Columbia University, Center for International Earth Science Information Network - CIESIN (2015):  GHS population grid, derived from GPW4, multitemporal (1975, 1990, 2000, 2015). European Commission, Joint Research Centre (JRC) [Dataset] PID: http://data.europa.eu/89h/jrc-ghsl-ghs_pop_gpw4_globe_r2015a","title":"GHS population grid, derived from GPW4, multitemporal (1975, 1990, 2000, 2015)","URL":"http://data.europa.eu/89h/jrc-ghsl-ghs_pop_gpw4_globe_r2015a","author":[{"literal":"European Commission, Joint Research Centre (JRC)"},{"family":"Columbia University, Center for International Earth Science Information Network - CIESIN","given":""}],"accessed":{"date-parts":[["2018",3,21]]},"issued":{"date-parts":[["2015"]]}},"suppress-author":true,"prefix":"; "}],"schema":"https://github.com/citation-style-language/schema/raw/master/csl-citation.json"} </w:instrText>
      </w:r>
      <w:r w:rsidR="001A6ED9">
        <w:rPr>
          <w:lang w:val="en-US"/>
        </w:rPr>
        <w:fldChar w:fldCharType="separate"/>
      </w:r>
      <w:r w:rsidR="001A6ED9" w:rsidRPr="00C34434">
        <w:rPr>
          <w:rFonts w:ascii="Calibri" w:hAnsi="Calibri" w:cs="Calibri"/>
        </w:rPr>
        <w:t>[28]</w:t>
      </w:r>
      <w:r w:rsidR="001A6ED9">
        <w:rPr>
          <w:lang w:val="en-US"/>
        </w:rPr>
        <w:fldChar w:fldCharType="end"/>
      </w:r>
      <w:r w:rsidR="001A6ED9">
        <w:rPr>
          <w:lang w:val="en-US"/>
        </w:rPr>
        <w:t xml:space="preserve"> (</w:t>
      </w:r>
      <w:hyperlink r:id="rId15" w:history="1">
        <w:r w:rsidR="001A6ED9" w:rsidRPr="00943965">
          <w:rPr>
            <w:rStyle w:val="Hyperlink"/>
            <w:lang w:val="en-US"/>
          </w:rPr>
          <w:t>https://ghsl.jrc.ec.europa.eu/index.php</w:t>
        </w:r>
      </w:hyperlink>
      <w:r w:rsidR="001A6ED9">
        <w:rPr>
          <w:rStyle w:val="Hyperlink"/>
          <w:lang w:val="en-US"/>
        </w:rPr>
        <w:t>)</w:t>
      </w:r>
      <w:r w:rsidR="001A6ED9">
        <w:rPr>
          <w:lang w:val="en-US"/>
        </w:rPr>
        <w:t xml:space="preserve">. </w:t>
      </w:r>
      <w:r>
        <w:t xml:space="preserve"> Cancer incidence data were obtained from </w:t>
      </w:r>
      <w:r w:rsidR="00E51B35">
        <w:t>four</w:t>
      </w:r>
      <w:r>
        <w:t xml:space="preserve"> source</w:t>
      </w:r>
      <w:r w:rsidR="00FF6753">
        <w:t>s</w:t>
      </w:r>
      <w:r>
        <w:t>: SEER</w:t>
      </w:r>
      <w:r w:rsidR="00F35567">
        <w:fldChar w:fldCharType="begin"/>
      </w:r>
      <w:r w:rsidR="00124231">
        <w:instrText xml:space="preserve"> ADDIN ZOTERO_ITEM CSL_CITATION {"citationID":"jDggWtVQ","properties":{"formattedCitation":"[36]","plainCitation":"[36]","noteIndex":0},"citationItems":[{"id":10832,"uris":["http://zotero.org/groups/23637/items/KRG6R7AS"],"uri":["http://zotero.org/groups/23637/items/KRG6R7AS"],"itemData":{"id":10832,"type":"article","note":"Surveillance, Epidemiology, and End Results (SEER) Program (www.seer.cancer.gov) SEER*Stat Database: Incidence - SEER 18 Regs Research Data + Hurricane Katrina Impacted Louisiana Cases, Nov 2016 Sub (2000-2014) &lt;Katrina/Rita Population Adjustment&gt; - Linked To County Attributes - Total U.S., 1969-2015 Counties, National Cancer Institute, DCCPS, Surveillance Research Program, released April 2017, based on the November 2016 submission.","title":"SEER*Stat Database: Incidence - SEER 18 Regs Research Data + Hurricane Katrina Impacted Louisiana Cases, Nov 2016 Sub (2000-2014) &lt;Katrina/Rita Population Adjustment&gt; - Linked To County Attributes - Total U.S., 1969-2015 Counties, National Cancer Institute, DCCPS, Surveillance Research Program, released April 2017, based on the November 2016 submission.","author":[{"literal":"Surveillance, Epidemiology, and End Results (SEER) Program"}],"accessed":{"date-parts":[["2017",9,11]]},"issued":{"date-parts":[["2017"]]}}}],"schema":"https://github.com/citation-style-language/schema/raw/master/csl-citation.json"} </w:instrText>
      </w:r>
      <w:r w:rsidR="00F35567">
        <w:fldChar w:fldCharType="separate"/>
      </w:r>
      <w:r w:rsidR="0050368D" w:rsidRPr="0050368D">
        <w:rPr>
          <w:rFonts w:ascii="Calibri" w:hAnsi="Calibri" w:cs="Calibri"/>
        </w:rPr>
        <w:t>[36]</w:t>
      </w:r>
      <w:r w:rsidR="00F35567">
        <w:fldChar w:fldCharType="end"/>
      </w:r>
      <w:r w:rsidR="00F35567">
        <w:t xml:space="preserve"> </w:t>
      </w:r>
      <w:r>
        <w:t xml:space="preserve">using SEER*Stat software version 8.3.5 </w:t>
      </w:r>
      <w:r>
        <w:fldChar w:fldCharType="begin"/>
      </w:r>
      <w:r w:rsidR="00124231">
        <w:instrText xml:space="preserve"> ADDIN ZOTERO_ITEM CSL_CITATION {"citationID":"e3ykzUQd","properties":{"formattedCitation":"[37]","plainCitation":"[37]","noteIndex":0},"citationItems":[{"id":10831,"uris":["http://zotero.org/groups/23637/items/62DENS83"],"uri":["http://zotero.org/groups/23637/items/62DENS83"],"itemData":{"id":10831,"type":"book","event-place":"National Cancer Institute","publisher-place":"National Cancer Institute","title":"SEER*Stat Software","URL":"seer.cancer.gov/seerstat","version":"8.3.5","author":[{"literal":"Surveillance Research Program"}],"issued":{"date-parts":[["2018",3,6]]}}}],"schema":"https://github.com/citation-style-language/schema/raw/master/csl-citation.json"} </w:instrText>
      </w:r>
      <w:r>
        <w:fldChar w:fldCharType="separate"/>
      </w:r>
      <w:r w:rsidR="0050368D" w:rsidRPr="0050368D">
        <w:rPr>
          <w:rFonts w:ascii="Calibri" w:hAnsi="Calibri" w:cs="Calibri"/>
        </w:rPr>
        <w:t>[37]</w:t>
      </w:r>
      <w:r>
        <w:fldChar w:fldCharType="end"/>
      </w:r>
      <w:r>
        <w:t xml:space="preserve">; IICC-3 </w:t>
      </w:r>
      <w:r>
        <w:fldChar w:fldCharType="begin"/>
      </w:r>
      <w:r w:rsidR="00124231">
        <w:instrText xml:space="preserve"> ADDIN ZOTERO_ITEM CSL_CITATION {"citationID":"jBCOBFo3","properties":{"formattedCitation":"[32]","plainCitation":"[32]","noteIndex":0},"citationItems":[{"id":10829,"uris":["http://zotero.org/groups/23637/items/GWPJWBM6"],"uri":["http://zotero.org/groups/23637/items/GWPJWBM6"],"itemData":{"id":10829,"type":"book","event-place":"Lyon, France","publisher":"International Agency for Research on Cancer","publisher-place":"Lyon, France","title":"International Incidence of Childhood Cancer Volume III (electronic version)","title-short":"IICC-3","URL":"http://iicc.iarc.fr/results/index.php","author":[{"literal":"Steliarova-Foucher, E"},{"literal":"Colombet, M"},{"literal":"Ries, LAG"},{"literal":"Hesseling, P"},{"literal":"Moreno, F"},{"literal":"Shin, HY"},{"literal":"Stiller, CA"},{"literal":"editors"}],"accessed":{"date-parts":[["2017",9,11]]},"issued":{"date-parts":[["2017"]]}},"label":"page"}],"schema":"https://github.com/citation-style-language/schema/raw/master/csl-citation.json"} </w:instrText>
      </w:r>
      <w:r>
        <w:fldChar w:fldCharType="separate"/>
      </w:r>
      <w:r w:rsidR="004D24B7" w:rsidRPr="004D24B7">
        <w:rPr>
          <w:rFonts w:ascii="Calibri" w:hAnsi="Calibri" w:cs="Calibri"/>
        </w:rPr>
        <w:t>[32]</w:t>
      </w:r>
      <w:r>
        <w:fldChar w:fldCharType="end"/>
      </w:r>
      <w:r>
        <w:t xml:space="preserve"> (</w:t>
      </w:r>
      <w:hyperlink r:id="rId16" w:history="1">
        <w:r w:rsidR="0038737B" w:rsidRPr="00036396">
          <w:rPr>
            <w:rStyle w:val="Hyperlink"/>
          </w:rPr>
          <w:t>http://iicc.iarc.fr/results</w:t>
        </w:r>
      </w:hyperlink>
      <w:r>
        <w:t>); supplementary information</w:t>
      </w:r>
      <w:r w:rsidR="00D11A2B">
        <w:t xml:space="preserve"> published by Ward and colleagues </w:t>
      </w:r>
      <w:r w:rsidR="00D11A2B">
        <w:fldChar w:fldCharType="begin"/>
      </w:r>
      <w:r w:rsidR="00124231">
        <w:instrText xml:space="preserve"> ADDIN ZOTERO_ITEM CSL_CITATION {"citationID":"9J5C0Fvi","properties":{"formattedCitation":"[23]","plainCitation":"[23]","noteIndex":0},"citationItems":[{"id":12402,"uris":["http://zotero.org/groups/23637/items/5BJ5RHP6"],"uri":["http://zotero.org/groups/23637/items/5BJ5RHP6"],"itemData":{"id":12402,"type":"article-journal","abstract":"BACKGROUND: Accurate estimates of childhood cancer incidence are important for policy makers to inform priority setting and planning decisions. However, many countries do not have cancer registries that quantify the incidence of childhood cancer. Moreover, even when registries do exist, they might substantially underestimate the true incidence, since children with cancer might not be diagnosed. We therefore aimed to provide estimates of total childhood cancer incidence accounting for underdiagnosis.\nMETHODS: We developed a microsimulation model to simulate childhood cancer incidence for 200 countries and territories worldwide, taking into account trends in population growth and urbanicity, geographical variation in cancer incidence, and health system barriers to access and referral that contribute to underdiagnosis. To ensure model results were consistent with epidemiological data, we calibrated the model to publicly available cancer registry data using a Bayesian approach in which the observed data are fixed and the model parameters (cancer incidence and probabilities of health system access and referral) are random variables. We estimated the total incidence of childhood cancer (diagnosed and undiagnosed) in each country in 2015 and projected the number of cases from 2015 to 2030.\nFINDINGS: Our model estimated that there were 397 000 (95% uncertainty interval [UI] 377 000-426 000) incident cases of childhood cancer worldwide in 2015, of which only 224 000 (95% UI 216 000-237 000) were diagnosed. This finding suggests that 43% (172 000 of 397 000) of childhood cancer cases were undiagnosed globally, with substantial variation by region, ranging from 3% in western Europe (120 of 4300) and North America (300 of 10 900) to 57% (43 000 of 76 000) in western Africa. In south Asia (including southeastern Asia and south-central Asia), the overall proportion of undiagnosed cases was estimated to be 49% (67 000 of 137 000). Taking into account population projections, we estimated that there will be 6·7 million (95% UI 6·3-7·2) cases of childhood cancer worldwide from 2015 to 2030. At current levels of health system performance, we estimated that 2·9 million (95% UI 2·7-3·3) cases of childhood cancer will be missed between 2015 and 2030.\nINTERPRETATION: Childhood cancer is substantially underdiagnosed, especially in south Asia and sub-Saharan Africa (including western, eastern, and southern Africa). In addition to improving treatment for childhood cancer, health systems must be strengthened to accurately diagnose and effectively care for all children with cancer. As countries expand universal health coverage, these estimates of total incidence will hopefully help guide efforts to appropriately increase health system capacity to ensure access to effective childhood cancer care.\nFUNDING: Boston Children's Hospital, Dana-Farber Cancer Institute, Harvard T H Chan School of Public Health, Harvard Medical School, National Cancer Institute, SickKids, St Jude Children's Research Hospital, and Union for International Cancer Control.","container-title":"The Lancet. Oncology","DOI":"10.1016/S1470-2045(18)30909-4","ISSN":"1474-5488","issue":"4","journalAbbreviation":"Lancet Oncol.","language":"eng","note":"PMID: 30824204","page":"483-493","source":"PubMed","title":"Estimating the total incidence of global childhood cancer: a simulation-based analysis","title-short":"Estimating the total incidence of global childhood cancer","volume":"20","author":[{"family":"Ward","given":"Zachary J."},{"family":"Yeh","given":"Jennifer M."},{"family":"Bhakta","given":"Nickhill"},{"family":"Frazier","given":"A. Lindsay"},{"family":"Atun","given":"Rifat"}],"issued":{"date-parts":[["2019",4]]}}}],"schema":"https://github.com/citation-style-language/schema/raw/master/csl-citation.json"} </w:instrText>
      </w:r>
      <w:r w:rsidR="00D11A2B">
        <w:fldChar w:fldCharType="separate"/>
      </w:r>
      <w:r w:rsidR="0050368D" w:rsidRPr="0050368D">
        <w:rPr>
          <w:rFonts w:ascii="Calibri" w:hAnsi="Calibri" w:cs="Calibri"/>
        </w:rPr>
        <w:t>[23]</w:t>
      </w:r>
      <w:r w:rsidR="00D11A2B">
        <w:fldChar w:fldCharType="end"/>
      </w:r>
      <w:r w:rsidR="00E51B35">
        <w:t>; and</w:t>
      </w:r>
      <w:r w:rsidR="00C31DDA">
        <w:t xml:space="preserve"> GLOBOCAN </w:t>
      </w:r>
      <w:r w:rsidR="002E1532">
        <w:t xml:space="preserve">2018 </w:t>
      </w:r>
      <w:r w:rsidR="00C31DDA">
        <w:fldChar w:fldCharType="begin"/>
      </w:r>
      <w:r w:rsidR="00124231">
        <w:instrText xml:space="preserve"> ADDIN ZOTERO_ITEM CSL_CITATION {"citationID":"MZJe3ZF4","properties":{"formattedCitation":"[31]","plainCitation":"[31]","noteIndex":0},"citationItems":[{"id":10822,"uris":["http://zotero.org/groups/23637/items/5P32ZVWU"],"uri":["http://zotero.org/groups/23637/items/5P32ZVWU"],"itemData":{"id":10822,"type":"webpage","abstract":"CANCER TODAY provides data visualization tools that present current national estimates of the incidence, mortality, and prevalence of 36 cancer types in 185 countries, by sex and age group.\n\npermalink to the data:\nhttp://gco.iarc.fr/today/online-analysis-table?v=2018&amp;mode=population&amp;mode_population=countries&amp;population=900&amp;populations=900&amp;key=asr&amp;sex=0&amp;cancer=39&amp;type=0&amp;statistic=5&amp;prevalence=0&amp;population_group=0&amp;ages_group%5B%5D=0&amp;ages_group%5B%5D=2&amp;nb_items=5&amp;group_cancer=1&amp;include_nmsc=1&amp;include_nmsc_other=1\n\n\nFerlay J, Ervik M, Lam F, Colombet M, Mery L, Piñeros M, Znaor A, Soerjomataram I, Bray F (2018). Global Cancer Observatory: Cancer Today. Lyon, France: International Agency for Research on Cancer. Available from: https://gco.iarc.fr/today, accessed [DD Month YYYY].","container-title":"Cancer Today","language":"en","note":"Lyon, France:\nInternational Agency for Research on Cancer","title":"Global Cancer Observatory: Cancer today","title-short":"Globocan 2018","URL":"http://gco.iarc.fr/today","author":[{"family":"Ferlay","given":"J"},{"family":"Ervik","given":"M"},{"family":"Lam","given":"F"},{"family":"Colombet","given":"M"},{"family":"Mery","given":"L"},{"family":"Pineros","given":"M"},{"family":"Znaor","given":"A"},{"family":"Soerjomataram","given":"I"},{"family":"Bray","given":"F"}],"accessed":{"date-parts":[["2018",10,18]]},"issued":{"date-parts":[["2018"]]}}}],"schema":"https://github.com/citation-style-language/schema/raw/master/csl-citation.json"} </w:instrText>
      </w:r>
      <w:r w:rsidR="00C31DDA">
        <w:fldChar w:fldCharType="separate"/>
      </w:r>
      <w:r w:rsidR="0050368D" w:rsidRPr="0050368D">
        <w:rPr>
          <w:rFonts w:ascii="Calibri" w:hAnsi="Calibri" w:cs="Calibri"/>
        </w:rPr>
        <w:t>[31]</w:t>
      </w:r>
      <w:r w:rsidR="00C31DDA">
        <w:fldChar w:fldCharType="end"/>
      </w:r>
      <w:r w:rsidR="00C31DDA">
        <w:t xml:space="preserve"> (</w:t>
      </w:r>
      <w:hyperlink r:id="rId17" w:history="1">
        <w:r w:rsidR="00C31DDA" w:rsidRPr="00E92330">
          <w:rPr>
            <w:rStyle w:val="Hyperlink"/>
          </w:rPr>
          <w:t>http://gco.iarc.fr/today</w:t>
        </w:r>
      </w:hyperlink>
      <w:r w:rsidR="00C31DDA">
        <w:t xml:space="preserve">). </w:t>
      </w:r>
    </w:p>
    <w:p w14:paraId="3F0C442E" w14:textId="6322F001" w:rsidR="0038737B" w:rsidRDefault="007103BD" w:rsidP="00C31DDA">
      <w:r>
        <w:t>M</w:t>
      </w:r>
      <w:r w:rsidR="00C24739">
        <w:t xml:space="preserve">alaria arising from infection with </w:t>
      </w:r>
      <w:r w:rsidR="00C24739">
        <w:rPr>
          <w:i/>
        </w:rPr>
        <w:t>Plasmodium</w:t>
      </w:r>
      <w:r w:rsidR="00C24739">
        <w:t xml:space="preserve"> </w:t>
      </w:r>
      <w:r w:rsidR="00C24739">
        <w:rPr>
          <w:i/>
        </w:rPr>
        <w:t>falciparum</w:t>
      </w:r>
      <w:r w:rsidR="00C24739">
        <w:t xml:space="preserve"> is </w:t>
      </w:r>
      <w:r w:rsidR="00BB64C6">
        <w:t xml:space="preserve">strongly </w:t>
      </w:r>
      <w:r w:rsidR="00C24739">
        <w:t>associated with</w:t>
      </w:r>
      <w:r>
        <w:t xml:space="preserve"> the distribution of</w:t>
      </w:r>
      <w:r w:rsidR="00C24739">
        <w:t xml:space="preserve"> </w:t>
      </w:r>
      <w:r w:rsidR="00BB64C6">
        <w:t xml:space="preserve">endemic </w:t>
      </w:r>
      <w:r w:rsidR="00C24739">
        <w:t xml:space="preserve">Burkitt </w:t>
      </w:r>
      <w:r w:rsidR="00BB64C6">
        <w:t>l</w:t>
      </w:r>
      <w:r w:rsidR="00C24739">
        <w:t>ymphoma</w:t>
      </w:r>
      <w:r w:rsidR="00BB64C6">
        <w:t xml:space="preserve"> (</w:t>
      </w:r>
      <w:proofErr w:type="spellStart"/>
      <w:r w:rsidR="00BB64C6">
        <w:t>eBL</w:t>
      </w:r>
      <w:proofErr w:type="spellEnd"/>
      <w:r w:rsidR="00BB64C6">
        <w:t>)</w:t>
      </w:r>
      <w:r>
        <w:t xml:space="preserve"> </w:t>
      </w:r>
      <w:r>
        <w:fldChar w:fldCharType="begin"/>
      </w:r>
      <w:r w:rsidR="00124231">
        <w:instrText xml:space="preserve"> ADDIN ZOTERO_ITEM CSL_CITATION {"citationID":"46YPsY6I","properties":{"formattedCitation":"[38]","plainCitation":"[38]","noteIndex":0},"citationItems":[{"id":10918,"uris":["http://zotero.org/groups/23637/items/Y37DJL9A"],"uri":["http://zotero.org/groups/23637/items/Y37DJL9A"],"itemData":{"id":10918,"type":"book","collection-number":"104","collection-title":"IARC monographs on the evaluation of carcinogenic risks to humans","event-place":"Lyon, France","ISBN":"978-92-832-1327-7","language":"eng","note":"OCLC: 871533804","publisher":"IARC Press","publisher-place":"Lyon, France","source":"Gemeinsamer Bibliotheksverbund ISBN","title":"IARC monographs on the evaluation of carcinogenic risks to humans: Malaria and some polyomaviruses (SV40, BK, JC, and Merkel cell viruses)","editor":[{"family":"IARC Working Group on the Evaluation of Carcinogenic Risks to Humans","given":""},{"family":"World Health Organization","given":""},{"family":"International Agency for Research on Cancer","given":""}],"issued":{"date-parts":[["2014"]]}}}],"schema":"https://github.com/citation-style-language/schema/raw/master/csl-citation.json"} </w:instrText>
      </w:r>
      <w:r>
        <w:fldChar w:fldCharType="separate"/>
      </w:r>
      <w:r w:rsidR="0050368D" w:rsidRPr="0050368D">
        <w:rPr>
          <w:rFonts w:ascii="Calibri" w:hAnsi="Calibri" w:cs="Calibri"/>
        </w:rPr>
        <w:t>[38]</w:t>
      </w:r>
      <w:r>
        <w:fldChar w:fldCharType="end"/>
      </w:r>
      <w:r>
        <w:t xml:space="preserve"> </w:t>
      </w:r>
      <w:r w:rsidR="00C24739">
        <w:t>and</w:t>
      </w:r>
      <w:r w:rsidR="002B2F61">
        <w:t>, to a lesser degree,</w:t>
      </w:r>
      <w:r w:rsidR="00C24739">
        <w:t xml:space="preserve"> Kaposi </w:t>
      </w:r>
      <w:r w:rsidR="00BB64C6">
        <w:t>s</w:t>
      </w:r>
      <w:r w:rsidR="00C24739">
        <w:t>arcoma</w:t>
      </w:r>
      <w:r w:rsidR="00BB64C6">
        <w:t xml:space="preserve"> (KS) </w:t>
      </w:r>
      <w:r>
        <w:t xml:space="preserve"> </w:t>
      </w:r>
      <w:r>
        <w:fldChar w:fldCharType="begin"/>
      </w:r>
      <w:r w:rsidR="00124231">
        <w:instrText xml:space="preserve"> ADDIN ZOTERO_ITEM CSL_CITATION {"citationID":"ETFDOeRG","properties":{"formattedCitation":"[39\\uc0\\u8211{}43]","plainCitation":"[39–43]","noteIndex":0},"citationItems":[{"id":10966,"uris":["http://zotero.org/groups/23637/items/CG2P6TMM"],"uri":["http://zotero.org/groups/23637/items/CG2P6TMM"],"itemData":{"id":10966,"type":"article-journal","abstract":"KSHV seroprevalence is very high in rural Uganda. Malaria infection and anemia are the risk factors associated with KSHV seroprevalence and antibody levels in t","container-title":"The Journal of Infectious Diseases","DOI":"10.1093/infdis/jiy274","ISSN":"0022-1899","issue":"7","journalAbbreviation":"J Infect Dis","language":"en","page":"1061-1065","source":"academic.oup.com","title":"Relationship between anemia, malaria coinfection, and Kaposi sarcoma-associated herpesvirus seropositivity in a population-based study in rural Uganda","volume":"218","author":[{"family":"Nalwoga","given":"Angela"},{"family":"Cose","given":"Stephen"},{"family":"Nash","given":"Stephen"},{"family":"Miley","given":"Wendell"},{"family":"Asiki","given":"Gershim"},{"family":"Kusemererwa","given":"Sylvia"},{"family":"Yarchoan","given":"Robert"},{"family":"Labo","given":"Nazzarena"},{"family":"Whitby","given":"Denise"},{"family":"Newton","given":"Robert"}],"issued":{"date-parts":[["2018",8,24]]}}},{"id":8611,"uris":["http://zotero.org/groups/23637/items/WIFF5B3Y"],"uri":["http://zotero.org/groups/23637/items/WIFF5B3Y"],"itemData":{"id":8611,"type":"article-journal","container-title":"Tropical Medicine &amp; International Health","DOI":"10.1111/tmi.12464","ISSN":"13602276","issue":"5","language":"en","page":"665-672","source":"CrossRef","title":"Association between malaria exposure and Kaposi's sarcoma-associated herpes virus seropositivity in Uganda","volume":"20","author":[{"family":"Nalwoga","given":"Angela"},{"family":"Cose","given":"Stephen"},{"family":"Wakeham","given":"Katie"},{"family":"Miley","given":"Wendell"},{"family":"Ndibazza","given":"Juliet"},{"family":"Drakeley","given":"Christopher"},{"family":"Elliott","given":"Alison"},{"family":"Whitby","given":"Denise"},{"family":"Newton","given":"Robert"}],"issued":{"date-parts":[["2015",5]]}}},{"id":10963,"uris":["http://zotero.org/groups/23637/items/KUVQFK3M"],"uri":["http://zotero.org/groups/23637/items/KUVQFK3M"],"itemData":{"id":10963,"type":"article-journal","abstract":"Among Ugandan mother-child pairs, Epstein-Barr virus was more likely to be shed in saliva than Kaposi sarcoma–associated virus. Child’s sex and parasitic infect","container-title":"The Journal of Infectious Diseases","DOI":"10.1093/infdis/jiy262","ISSN":"0022-1899","issue":"6","journalAbbreviation":"J Infect Dis","language":"en","page":"892-900","source":"academic.oup.com","title":"Determinants of gammaherpesvirus shedding in saliva among Ugandan children and their mothers","volume":"218","author":[{"family":"Newton","given":"Robert"},{"family":"Labo","given":"Nazzarena"},{"family":"Wakeham","given":"Katie"},{"family":"Marshall","given":"Vickie"},{"family":"Roshan","given":"Romin"},{"family":"Nalwoga","given":"Angela"},{"family":"Sebina","given":"Ismail"},{"family":"Muhangi","given":"Lawrence"},{"family":"Webb","given":"Emily L."},{"family":"Miley","given":"Wendell"},{"family":"Rochford","given":"Rosemary"},{"family":"Elliott","given":"Alison M."},{"family":"Whitby","given":"Denise"}],"issued":{"date-parts":[["2018",8,14]]}}},{"id":10906,"uris":["http://zotero.org/groups/23637/items/P43959BD"],"uri":["http://zotero.org/groups/23637/items/P43959BD"],"itemData":{"id":10906,"type":"article-journal","abstract":"BACKGROUND: Determinants of Kaposi sarcoma-associated herpesvirus (KSHV) seropositivity among children living in sub-Saharan African populations where infection is endemic are not well understood. Local environmental factors, including other infectious agents, may be key.\nMETHODS: Within the context of a well-characterized birth cohort, we examined associations between various factors and antibodies against KSHV, measured in stored plasma samples from 1823 mother-child pairs in Entebbe, Uganda.\nRESULTS: Seroprevalence increased with increasing age of the child (P = 0.0003) and was higher among those with KSHV seropositive mothers than in those without (12% vs 9%; odds ratio: 1.4, 95% confidence interval: 1.1 to 2.0). It was also higher among children with HIV infection (29% vs 10%; odds ratio: 3.1, 95% confidence interval: 1.2 to 8.3) or malaria parasitemia (30% vs 10%; odds ratio: 4.1, 95% confidence interval: 2.4 to 7.0) than in children without. These associations were not explained by socioeconomic status.\nCONCLUSIONS: The finding that KSHV serostatus is associated with malaria parasitemia in children is novel. In a country endemic for KSHV, malaria may be a cofactor for KSHV infection or reactivation among children.","container-title":"Journal of Acquired Immune Deficiency Syndromes (1999)","DOI":"10.1097/QAI.0b013e31828a7056","ISSN":"1944-7884","issue":"2","journalAbbreviation":"J. Acquir. Immune Defic. Syndr.","language":"eng","note":"PMID: 23403859\nPMCID: PMC3707567","page":"228-233","source":"PubMed","title":"Risk factors for seropositivity to Kaposi sarcoma-associated herpesvirus among children in Uganda","volume":"63","author":[{"family":"Wakeham","given":"Katie"},{"family":"Webb","given":"Emily L."},{"family":"Sebina","given":"Ismail"},{"family":"Nalwoga","given":"Angela"},{"family":"Muhangi","given":"Lawrence"},{"family":"Miley","given":"Wendell"},{"family":"Johnston","given":"W. Thomas"},{"family":"Ndibazza","given":"Juliet"},{"family":"Whitby","given":"Denise"},{"family":"Newton","given":"Robert"},{"family":"Elliott","given":"Alison M."}],"issued":{"date-parts":[["2013",6,1]]}}},{"id":10955,"uris":["http://zotero.org/groups/23637/items/2CDZENW8"],"uri":["http://zotero.org/groups/23637/items/2CDZENW8"],"itemData":{"id":10955,"type":"article-journal","abstract":"Immune modulation by parasites may influence susceptibility to bacteria and viruses. We examined the association between current parasite infections, HIV and syphilis (measured in blood or stool samples using standard methods) and antibodies against Kaposi's sarcoma herpesvirus (KSHV), measured by ELISA, in 1915 stored plasma samples from pregnant women in Entebbe, Uganda.","container-title":"Infectious Agents and Cancer","DOI":"10.1186/1750-9378-6-15","ISSN":"1750-9378","issue":"1","journalAbbreviation":"Infectious Agents and Cancer","page":"15","source":"BioMed Central","title":"Parasite infection is associated with Kaposi's sarcoma associated herpesvirus (KSHV) in Ugandan women","volume":"6","author":[{"family":"Wakeham","given":"Katie"},{"family":"Webb","given":"Emily L."},{"family":"Sebina","given":"Ismail"},{"family":"Muhangi","given":"Lawrence"},{"family":"Miley","given":"Wendell"},{"family":"Johnson","given":"W. Thomas"},{"family":"Ndibazza","given":"Juliet"},{"family":"Elliott","given":"Alison M."},{"family":"Whitby","given":"Denise"},{"family":"Newton","given":"Robert"}],"issued":{"date-parts":[["2011",9,30]]}}}],"schema":"https://github.com/citation-style-language/schema/raw/master/csl-citation.json"} </w:instrText>
      </w:r>
      <w:r>
        <w:fldChar w:fldCharType="separate"/>
      </w:r>
      <w:r w:rsidR="0050368D" w:rsidRPr="0050368D">
        <w:rPr>
          <w:rFonts w:ascii="Calibri" w:hAnsi="Calibri" w:cs="Calibri"/>
          <w:szCs w:val="24"/>
        </w:rPr>
        <w:t>[39–43]</w:t>
      </w:r>
      <w:r>
        <w:fldChar w:fldCharType="end"/>
      </w:r>
      <w:r>
        <w:t xml:space="preserve">.  </w:t>
      </w:r>
      <w:r w:rsidR="00AF70E0">
        <w:t xml:space="preserve">To quantify the relationship between the incidence of </w:t>
      </w:r>
      <w:r w:rsidR="00BB64C6">
        <w:t xml:space="preserve">these cancers </w:t>
      </w:r>
      <w:r w:rsidR="00AF70E0">
        <w:t xml:space="preserve">and the proportion of the population at a high risk of </w:t>
      </w:r>
      <w:r w:rsidR="00AF70E0">
        <w:rPr>
          <w:i/>
        </w:rPr>
        <w:t>P. falciparum</w:t>
      </w:r>
      <w:r w:rsidR="00AF70E0">
        <w:t xml:space="preserve"> infection, cancer incidence data</w:t>
      </w:r>
      <w:r w:rsidR="00AF70E0" w:rsidRPr="00AF70E0">
        <w:t xml:space="preserve"> </w:t>
      </w:r>
      <w:r w:rsidR="00AF70E0">
        <w:t xml:space="preserve">and population density estimates were linked to the </w:t>
      </w:r>
      <w:r w:rsidR="00B412B1">
        <w:t xml:space="preserve">estimated </w:t>
      </w:r>
      <w:r w:rsidR="00AF70E0">
        <w:t xml:space="preserve">spatial distribution of </w:t>
      </w:r>
      <w:r w:rsidR="0081364C">
        <w:t xml:space="preserve">human </w:t>
      </w:r>
      <w:r w:rsidR="00AF70E0">
        <w:rPr>
          <w:i/>
        </w:rPr>
        <w:t>P. falciparum</w:t>
      </w:r>
      <w:r w:rsidR="00AF70E0">
        <w:t xml:space="preserve"> infection  </w:t>
      </w:r>
      <w:r w:rsidR="00AF70E0">
        <w:fldChar w:fldCharType="begin"/>
      </w:r>
      <w:r w:rsidR="00124231">
        <w:instrText xml:space="preserve"> ADDIN ZOTERO_ITEM CSL_CITATION {"citationID":"iV8BvfHT","properties":{"formattedCitation":"[44,45]","plainCitation":"[44,45]","noteIndex":0},"citationItems":[{"id":10857,"uris":["http://zotero.org/groups/23637/items/7W5K3YZJ"],"uri":["http://zotero.org/groups/23637/items/7W5K3YZJ"],"itemData":{"id":10857,"type":"article-journal","abstract":"Background\nTransmission intensity affects almost all aspects of malaria epidemiology and the impact of malaria on human populations. Maps of transmission intensity are necessary to identify populations at different levels of risk and to evaluate objectively options for disease control. To remain relevant operationally, such maps must be updated frequently. Following the first global effort to map Plasmodium falciparum malaria endemicity in 2007, this paper describes the generation of a new world map for the year 2010. This analysis is extended to provide the first global estimates of two other metrics of transmission intensity for P. falciparum that underpin contemporary questions in malaria control: the entomological inoculation rate (PfEIR) and the basic reproductive number (PfR).\n\nMethods\nAnnual parasite incidence data for 13,449 administrative units in 43 endemic countries were sourced to define the spatial limits of P. falciparum transmission in 2010 and 22,212 P. falciparum parasite rate (PfPR) surveys were used in a model-based geostatistical (MBG) prediction to create a continuous contemporary surface of malaria endemicity within these limits. A suite of transmission models were developed that link PfPR to PfEIR and PfR and these were fitted to field data. These models were combined with the PfPR map to create new global predictions of PfEIR and PfR. All output maps included measured uncertainty.\n\nResults\nAn estimated 1.13 and 1.44 billion people worldwide were at risk of unstable and stable P. falciparum malaria, respectively. The majority of the endemic world was predicted with a median PfEIR of less than one and a median PfRc of less than two. Values of either metric exceeding 10 were almost exclusive to Africa. The uncertainty described in both PfEIR and PfR was substantial in regions of intense transmission.\n\nConclusions\nThe year 2010 has a particular significance as an evaluation milestone for malaria global health policy. The maps presented here contribute to a rational basis for control and elimination decisions and can serve as a baseline assessment as the global health community looks ahead to the next series of milestones targeted at 2015.","container-title":"Malaria Journal","DOI":"10.1186/1475-2875-10-378","ISSN":"1475-2875","journalAbbreviation":"Malar J","note":"PMID: 22185615\nPMCID: PMC3274487","page":"378","source":"PubMed Central","title":"A new world malaria map: Plasmodium falciparum endemicity in 2010","title-short":"A new world malaria map","volume":"10","author":[{"family":"Gething","given":"Peter W"},{"family":"Patil","given":"Anand P"},{"family":"Smith","given":"David L"},{"family":"Guerra","given":"Carlos A"},{"family":"Elyazar","given":"Iqbal RF"},{"family":"Johnston","given":"Geoffrey L"},{"family":"Tatem","given":"Andrew J"},{"family":"Hay","given":"Simon I"}],"issued":{"date-parts":[["2011",12,20]]}},"label":"page","suppress-author":true},{"id":10846,"uris":["http://zotero.org/groups/23637/items/ZWVJ2K42"],"uri":["http://zotero.org/groups/23637/items/ZWVJ2K42"],"itemData":{"id":10846,"type":"article-journal","abstract":"The mapping of malaria risk has a history stretching back over 100 years. The last decade, however, has seen dramatic progress in the scope, rigour and sophistication of malaria mapping such that its global distribution is now probably better understood than any other infectious disease. In this minireview we consider the main factors that have facilitated the recent proliferation of malaria risk mapping efforts and describe the most prominent global-scale endemicity mapping endeavours of recent years. We describe the diversification of malaria mapping to span a wide range of related metrics of biological and public health importance and consider prospects for the future of the science including its key role in supporting elimination efforts.","container-title":"BMC Medicine","DOI":"10.1186/s12916-015-0372-x","ISSN":"1741-7015","journalAbbreviation":"BMC Med","note":"PMID: 26071312\nPMCID: PMC4465620","source":"PubMed Central","title":"Malaria mapping: understanding the global endemicity of falciparum and vivax malaria","title-short":"Malaria mapping","URL":"https://www.ncbi.nlm.nih.gov/pmc/articles/PMC4465620/","volume":"13","author":[{"family":"Dalrymple","given":"Ursula"},{"family":"Mappin","given":"Bonnie"},{"family":"Gething","given":"Peter W."}],"accessed":{"date-parts":[["2018",12,5]]},"issued":{"date-parts":[["2015",6,12]]}},"label":"page"}],"schema":"https://github.com/citation-style-language/schema/raw/master/csl-citation.json"} </w:instrText>
      </w:r>
      <w:r w:rsidR="00AF70E0">
        <w:fldChar w:fldCharType="separate"/>
      </w:r>
      <w:r w:rsidR="0050368D" w:rsidRPr="0050368D">
        <w:rPr>
          <w:rFonts w:ascii="Calibri" w:hAnsi="Calibri" w:cs="Calibri"/>
        </w:rPr>
        <w:t>[44,45]</w:t>
      </w:r>
      <w:r w:rsidR="00AF70E0">
        <w:fldChar w:fldCharType="end"/>
      </w:r>
      <w:r w:rsidR="00BB64C6">
        <w:t xml:space="preserve">. </w:t>
      </w:r>
      <w:r w:rsidR="00AF70E0">
        <w:t xml:space="preserve"> </w:t>
      </w:r>
      <w:r w:rsidR="00BB64C6">
        <w:rPr>
          <w:i/>
        </w:rPr>
        <w:t>P. falciparum</w:t>
      </w:r>
      <w:r w:rsidR="00BB64C6">
        <w:t xml:space="preserve">  data were</w:t>
      </w:r>
      <w:r w:rsidR="00AF70E0">
        <w:t xml:space="preserve"> downloaded using the Malaria Atlas Project </w:t>
      </w:r>
      <w:r w:rsidR="00AF70E0">
        <w:fldChar w:fldCharType="begin"/>
      </w:r>
      <w:r w:rsidR="00124231">
        <w:instrText xml:space="preserve"> ADDIN ZOTERO_ITEM CSL_CITATION {"citationID":"SV8KMZQj","properties":{"formattedCitation":"[46]","plainCitation":"[46]","noteIndex":0},"citationItems":[{"id":10849,"uris":["http://zotero.org/groups/23637/items/9P69FBE3"],"uri":["http://zotero.org/groups/23637/items/9P69FBE3"],"itemData":{"id":10849,"type":"webpage","note":"layers downloaded:\n\nPf reproductive number: Admin 2\nPf reproductive number: Admin 1","title":"Malaria Atlas Project","URL":"https://map.ox.ac.uk/explorer/#/","author":[{"literal":"Malaria Atlas Project"}],"accessed":{"date-parts":[["2018",3,28]]},"issued":{"date-parts":[["2017"]]}},"suppress-author":true}],"schema":"https://github.com/citation-style-language/schema/raw/master/csl-citation.json"} </w:instrText>
      </w:r>
      <w:r w:rsidR="00AF70E0">
        <w:fldChar w:fldCharType="separate"/>
      </w:r>
      <w:r w:rsidR="0050368D" w:rsidRPr="0050368D">
        <w:rPr>
          <w:rFonts w:ascii="Calibri" w:hAnsi="Calibri" w:cs="Calibri"/>
        </w:rPr>
        <w:t>[46]</w:t>
      </w:r>
      <w:r w:rsidR="00AF70E0">
        <w:fldChar w:fldCharType="end"/>
      </w:r>
      <w:r w:rsidR="00AF70E0">
        <w:t xml:space="preserve"> interactive map tool (</w:t>
      </w:r>
      <w:hyperlink r:id="rId18" w:anchor="/" w:history="1">
        <w:r w:rsidR="00AF70E0" w:rsidRPr="00943965">
          <w:rPr>
            <w:rStyle w:val="Hyperlink"/>
          </w:rPr>
          <w:t>https://map.ox.ac.uk/explorer/#/</w:t>
        </w:r>
      </w:hyperlink>
      <w:r w:rsidR="00AF70E0">
        <w:t>)</w:t>
      </w:r>
      <w:r w:rsidR="0081364C">
        <w:t>, and t</w:t>
      </w:r>
      <w:r w:rsidR="00FE2D23">
        <w:t xml:space="preserve">he resulting regression equations were used to estimate </w:t>
      </w:r>
      <w:r w:rsidR="000C690D">
        <w:t xml:space="preserve">country-specific </w:t>
      </w:r>
      <w:proofErr w:type="spellStart"/>
      <w:r w:rsidR="000C690D">
        <w:t>e</w:t>
      </w:r>
      <w:r w:rsidR="00FE2D23">
        <w:t>BL</w:t>
      </w:r>
      <w:proofErr w:type="spellEnd"/>
      <w:r w:rsidR="00FE2D23">
        <w:t xml:space="preserve"> and KS rates</w:t>
      </w:r>
      <w:r w:rsidR="006A5414">
        <w:t xml:space="preserve">.  </w:t>
      </w:r>
    </w:p>
    <w:p w14:paraId="71057453" w14:textId="5AABEB24" w:rsidR="00F94496" w:rsidRDefault="002458E3" w:rsidP="00C31DDA">
      <w:r>
        <w:lastRenderedPageBreak/>
        <w:t xml:space="preserve">The incidence rates in </w:t>
      </w:r>
      <w:r w:rsidR="00AE01FD">
        <w:t>the</w:t>
      </w:r>
      <w:r w:rsidR="001252B2">
        <w:t xml:space="preserve"> Baseline Model (BM) </w:t>
      </w:r>
      <w:r>
        <w:t>were</w:t>
      </w:r>
      <w:r w:rsidR="001252B2">
        <w:t xml:space="preserve"> </w:t>
      </w:r>
      <w:r w:rsidR="0038737B">
        <w:t xml:space="preserve">based </w:t>
      </w:r>
      <w:r>
        <w:t>initially</w:t>
      </w:r>
      <w:r w:rsidR="0038737B">
        <w:t xml:space="preserve"> on age-, sex- and ICCC-3 diagnosis-specific rates extracted from SEER data for the year 2014</w:t>
      </w:r>
      <w:r w:rsidR="003B7C55">
        <w:t xml:space="preserve"> </w:t>
      </w:r>
      <w:r w:rsidR="00D67494">
        <w:t>(see Table S1)</w:t>
      </w:r>
      <w:r w:rsidR="0038737B">
        <w:t xml:space="preserve">.  Age- and sex-specific </w:t>
      </w:r>
      <w:r w:rsidR="001252B2">
        <w:t>rates</w:t>
      </w:r>
      <w:r w:rsidR="000C690D">
        <w:t xml:space="preserve"> </w:t>
      </w:r>
      <w:r w:rsidR="0038737B">
        <w:t xml:space="preserve">of </w:t>
      </w:r>
      <w:r w:rsidR="000C690D">
        <w:t>BL and KS</w:t>
      </w:r>
      <w:r w:rsidR="0038737B">
        <w:t xml:space="preserve"> </w:t>
      </w:r>
      <w:r>
        <w:t xml:space="preserve">were augmented with BL and KS rates </w:t>
      </w:r>
      <w:r w:rsidR="0038737B">
        <w:t xml:space="preserve">based on the </w:t>
      </w:r>
      <w:r w:rsidR="0038737B">
        <w:rPr>
          <w:i/>
        </w:rPr>
        <w:t>P. falciparum</w:t>
      </w:r>
      <w:r w:rsidR="0038737B">
        <w:t xml:space="preserve"> risk in each country</w:t>
      </w:r>
      <w:r>
        <w:t>.</w:t>
      </w:r>
      <w:r w:rsidR="000C690D">
        <w:t xml:space="preserve"> </w:t>
      </w:r>
      <w:r w:rsidR="0081364C">
        <w:t xml:space="preserve"> </w:t>
      </w:r>
      <w:bookmarkStart w:id="6" w:name="_Hlk25072254"/>
      <w:bookmarkStart w:id="7" w:name="_Hlk25072232"/>
      <w:r w:rsidR="00486439">
        <w:t>T</w:t>
      </w:r>
      <w:bookmarkEnd w:id="6"/>
      <w:r w:rsidR="00486439">
        <w:t xml:space="preserve">hus, all age- and sex-specific incidence rates </w:t>
      </w:r>
      <w:r w:rsidR="007D7FAC">
        <w:t>were assumed to be the same worldwide with the exception</w:t>
      </w:r>
      <w:r w:rsidR="00EC3025">
        <w:t>s</w:t>
      </w:r>
      <w:r w:rsidR="007D7FAC">
        <w:t xml:space="preserve"> of</w:t>
      </w:r>
      <w:r w:rsidR="00BF4745">
        <w:t xml:space="preserve"> those for</w:t>
      </w:r>
      <w:r w:rsidR="007D7FAC">
        <w:t xml:space="preserve"> BL and KS</w:t>
      </w:r>
      <w:r w:rsidR="0038737B">
        <w:t>.</w:t>
      </w:r>
      <w:bookmarkEnd w:id="7"/>
      <w:r w:rsidR="0038737B">
        <w:t xml:space="preserve"> </w:t>
      </w:r>
      <w:r>
        <w:t xml:space="preserve"> F</w:t>
      </w:r>
      <w:r w:rsidR="00FE2D23">
        <w:t xml:space="preserve">ull </w:t>
      </w:r>
      <w:r w:rsidR="00F94496" w:rsidRPr="00F061B3">
        <w:t xml:space="preserve">details </w:t>
      </w:r>
      <w:r w:rsidR="0038737B">
        <w:t xml:space="preserve">of the SEER data used and the derivation of the supplemental BL and KS rate </w:t>
      </w:r>
      <w:r w:rsidR="00F94496" w:rsidRPr="00F061B3">
        <w:t xml:space="preserve">are </w:t>
      </w:r>
      <w:r w:rsidR="0038737B">
        <w:t xml:space="preserve">given </w:t>
      </w:r>
      <w:r w:rsidR="00F94496" w:rsidRPr="00F061B3">
        <w:t xml:space="preserve">in the supplement.  </w:t>
      </w:r>
      <w:r w:rsidR="00F023E6">
        <w:t>The numbers of cancers occurring in 2015 were e</w:t>
      </w:r>
      <w:r>
        <w:t xml:space="preserve">stimated </w:t>
      </w:r>
      <w:r w:rsidR="00F023E6">
        <w:t xml:space="preserve">by multiplying the age- sex- and diagnosis-specific rate in the </w:t>
      </w:r>
      <w:r>
        <w:t xml:space="preserve">BM </w:t>
      </w:r>
      <w:r w:rsidR="00F023E6">
        <w:t xml:space="preserve">by the corresponding age and sex groups in </w:t>
      </w:r>
      <w:r w:rsidR="00BF2315">
        <w:t>the UN estimated national populations</w:t>
      </w:r>
      <w:r w:rsidR="00BF2315">
        <w:fldChar w:fldCharType="begin"/>
      </w:r>
      <w:r w:rsidR="00124231">
        <w:instrText xml:space="preserve"> ADDIN ZOTERO_ITEM CSL_CITATION {"citationID":"l6icl73b","properties":{"formattedCitation":"[19]","plainCitation":"[19]","noteIndex":0},"citationItems":[{"id":10827,"uris":["http://zotero.org/groups/23637/items/FIWQ6E3H"],"uri":["http://zotero.org/groups/23637/items/FIWQ6E3H"],"itemData":{"id":10827,"type":"webpage","container-title":"World Population Prospects 2017","note":"Data downloaded 25 Sep 2017\n\nMedium Variant projections of popultaion in 5-year age groups for males, females and total\n\nWPP2017_PopulationByAgeSex_Medium.csv","title":"World Population Prospects 2017","URL":"https://population.un.org/wpp/Download/Standard/CSV/","author":[{"literal":"United Nations DESA / Population Division"}],"accessed":{"date-parts":[["2017",9,25]]},"issued":{"date-parts":[["2017"]]}}}],"schema":"https://github.com/citation-style-language/schema/raw/master/csl-citation.json"} </w:instrText>
      </w:r>
      <w:r w:rsidR="00BF2315">
        <w:fldChar w:fldCharType="separate"/>
      </w:r>
      <w:r w:rsidR="0050368D" w:rsidRPr="0050368D">
        <w:rPr>
          <w:rFonts w:ascii="Calibri" w:hAnsi="Calibri" w:cs="Calibri"/>
        </w:rPr>
        <w:t>[19]</w:t>
      </w:r>
      <w:r w:rsidR="00BF2315">
        <w:fldChar w:fldCharType="end"/>
      </w:r>
      <w:r w:rsidR="00BF2315">
        <w:t>.</w:t>
      </w:r>
    </w:p>
    <w:p w14:paraId="369EAC82" w14:textId="4962EC1B" w:rsidR="002E1532" w:rsidRDefault="00900370" w:rsidP="0069534A">
      <w:r>
        <w:t>E</w:t>
      </w:r>
      <w:r w:rsidR="00AC5A60">
        <w:t xml:space="preserve">stimated numbers of childhood cancers </w:t>
      </w:r>
      <w:r w:rsidR="002458E3">
        <w:t xml:space="preserve">in 2015 </w:t>
      </w:r>
      <w:r w:rsidR="001252B2">
        <w:t xml:space="preserve">arising from </w:t>
      </w:r>
      <w:r w:rsidR="00CB52C8">
        <w:t xml:space="preserve">the </w:t>
      </w:r>
      <w:r w:rsidR="009F07EA">
        <w:t>BM</w:t>
      </w:r>
      <w:r w:rsidR="00CB52C8">
        <w:t xml:space="preserve"> </w:t>
      </w:r>
      <w:r w:rsidR="00AC5A60">
        <w:t>were compared to GLOBOCAN and the G</w:t>
      </w:r>
      <w:r w:rsidR="00CB52C8">
        <w:t>CC</w:t>
      </w:r>
      <w:r w:rsidR="008560EB">
        <w:t xml:space="preserve"> </w:t>
      </w:r>
      <w:r w:rsidR="008560EB">
        <w:fldChar w:fldCharType="begin"/>
      </w:r>
      <w:r w:rsidR="00124231">
        <w:instrText xml:space="preserve"> ADDIN ZOTERO_ITEM CSL_CITATION {"citationID":"0kOGnii7","properties":{"formattedCitation":"[23]","plainCitation":"[23]","noteIndex":0},"citationItems":[{"id":12402,"uris":["http://zotero.org/groups/23637/items/5BJ5RHP6"],"uri":["http://zotero.org/groups/23637/items/5BJ5RHP6"],"itemData":{"id":12402,"type":"article-journal","abstract":"BACKGROUND: Accurate estimates of childhood cancer incidence are important for policy makers to inform priority setting and planning decisions. However, many countries do not have cancer registries that quantify the incidence of childhood cancer. Moreover, even when registries do exist, they might substantially underestimate the true incidence, since children with cancer might not be diagnosed. We therefore aimed to provide estimates of total childhood cancer incidence accounting for underdiagnosis.\nMETHODS: We developed a microsimulation model to simulate childhood cancer incidence for 200 countries and territories worldwide, taking into account trends in population growth and urbanicity, geographical variation in cancer incidence, and health system barriers to access and referral that contribute to underdiagnosis. To ensure model results were consistent with epidemiological data, we calibrated the model to publicly available cancer registry data using a Bayesian approach in which the observed data are fixed and the model parameters (cancer incidence and probabilities of health system access and referral) are random variables. We estimated the total incidence of childhood cancer (diagnosed and undiagnosed) in each country in 2015 and projected the number of cases from 2015 to 2030.\nFINDINGS: Our model estimated that there were 397 000 (95% uncertainty interval [UI] 377 000-426 000) incident cases of childhood cancer worldwide in 2015, of which only 224 000 (95% UI 216 000-237 000) were diagnosed. This finding suggests that 43% (172 000 of 397 000) of childhood cancer cases were undiagnosed globally, with substantial variation by region, ranging from 3% in western Europe (120 of 4300) and North America (300 of 10 900) to 57% (43 000 of 76 000) in western Africa. In south Asia (including southeastern Asia and south-central Asia), the overall proportion of undiagnosed cases was estimated to be 49% (67 000 of 137 000). Taking into account population projections, we estimated that there will be 6·7 million (95% UI 6·3-7·2) cases of childhood cancer worldwide from 2015 to 2030. At current levels of health system performance, we estimated that 2·9 million (95% UI 2·7-3·3) cases of childhood cancer will be missed between 2015 and 2030.\nINTERPRETATION: Childhood cancer is substantially underdiagnosed, especially in south Asia and sub-Saharan Africa (including western, eastern, and southern Africa). In addition to improving treatment for childhood cancer, health systems must be strengthened to accurately diagnose and effectively care for all children with cancer. As countries expand universal health coverage, these estimates of total incidence will hopefully help guide efforts to appropriately increase health system capacity to ensure access to effective childhood cancer care.\nFUNDING: Boston Children's Hospital, Dana-Farber Cancer Institute, Harvard T H Chan School of Public Health, Harvard Medical School, National Cancer Institute, SickKids, St Jude Children's Research Hospital, and Union for International Cancer Control.","container-title":"The Lancet. Oncology","DOI":"10.1016/S1470-2045(18)30909-4","ISSN":"1474-5488","issue":"4","journalAbbreviation":"Lancet Oncol.","language":"eng","note":"PMID: 30824204","page":"483-493","source":"PubMed","title":"Estimating the total incidence of global childhood cancer: a simulation-based analysis","title-short":"Estimating the total incidence of global childhood cancer","volume":"20","author":[{"family":"Ward","given":"Zachary J."},{"family":"Yeh","given":"Jennifer M."},{"family":"Bhakta","given":"Nickhill"},{"family":"Frazier","given":"A. Lindsay"},{"family":"Atun","given":"Rifat"}],"issued":{"date-parts":[["2019",4]]}}}],"schema":"https://github.com/citation-style-language/schema/raw/master/csl-citation.json"} </w:instrText>
      </w:r>
      <w:r w:rsidR="008560EB">
        <w:fldChar w:fldCharType="separate"/>
      </w:r>
      <w:r w:rsidR="0050368D" w:rsidRPr="0050368D">
        <w:rPr>
          <w:rFonts w:ascii="Calibri" w:hAnsi="Calibri" w:cs="Calibri"/>
        </w:rPr>
        <w:t>[23]</w:t>
      </w:r>
      <w:r w:rsidR="008560EB">
        <w:fldChar w:fldCharType="end"/>
      </w:r>
      <w:r w:rsidR="008560EB">
        <w:t>.</w:t>
      </w:r>
      <w:r w:rsidR="00AC5A60">
        <w:t xml:space="preserve"> </w:t>
      </w:r>
      <w:r w:rsidR="00D253C7">
        <w:t xml:space="preserve">To enable comparison </w:t>
      </w:r>
      <w:r w:rsidR="002332A6">
        <w:t xml:space="preserve">of the BM results </w:t>
      </w:r>
      <w:r w:rsidR="002B5A6C">
        <w:t>with</w:t>
      </w:r>
      <w:r w:rsidR="00D253C7">
        <w:t xml:space="preserve"> IICC-3,</w:t>
      </w:r>
      <w:r w:rsidR="00954261">
        <w:t xml:space="preserve"> age-, sex-, and ICCC-3 diagnosis-specific rates using data from all years from each selected registry (Table S5) were used to estimate the number of childhood cancers nationally in 2015 based on UN population estimates</w:t>
      </w:r>
      <w:r w:rsidR="00BF2315">
        <w:fldChar w:fldCharType="begin"/>
      </w:r>
      <w:r w:rsidR="00124231">
        <w:instrText xml:space="preserve"> ADDIN ZOTERO_ITEM CSL_CITATION {"citationID":"c7O6ri1B","properties":{"formattedCitation":"[19]","plainCitation":"[19]","noteIndex":0},"citationItems":[{"id":10827,"uris":["http://zotero.org/groups/23637/items/FIWQ6E3H"],"uri":["http://zotero.org/groups/23637/items/FIWQ6E3H"],"itemData":{"id":10827,"type":"webpage","container-title":"World Population Prospects 2017","note":"Data downloaded 25 Sep 2017\n\nMedium Variant projections of popultaion in 5-year age groups for males, females and total\n\nWPP2017_PopulationByAgeSex_Medium.csv","title":"World Population Prospects 2017","URL":"https://population.un.org/wpp/Download/Standard/CSV/","author":[{"literal":"United Nations DESA / Population Division"}],"accessed":{"date-parts":[["2017",9,25]]},"issued":{"date-parts":[["2017"]]}}}],"schema":"https://github.com/citation-style-language/schema/raw/master/csl-citation.json"} </w:instrText>
      </w:r>
      <w:r w:rsidR="00BF2315">
        <w:fldChar w:fldCharType="separate"/>
      </w:r>
      <w:r w:rsidR="0050368D" w:rsidRPr="0050368D">
        <w:rPr>
          <w:rFonts w:ascii="Calibri" w:hAnsi="Calibri" w:cs="Calibri"/>
        </w:rPr>
        <w:t>[19]</w:t>
      </w:r>
      <w:r w:rsidR="00BF2315">
        <w:fldChar w:fldCharType="end"/>
      </w:r>
      <w:r w:rsidR="00954261">
        <w:t>.</w:t>
      </w:r>
    </w:p>
    <w:p w14:paraId="1E835161" w14:textId="13C08F36" w:rsidR="007212B6" w:rsidRDefault="007212B6" w:rsidP="0069534A">
      <w:r>
        <w:t xml:space="preserve">All incidence rates were determined </w:t>
      </w:r>
      <w:r w:rsidR="00D351A3">
        <w:t>based on estimated cancers and populations in 2015</w:t>
      </w:r>
      <w:r w:rsidR="00A67935">
        <w:t xml:space="preserve"> apart from the GLOBOCAN estimates which were based on the estimated 2018 populations.  </w:t>
      </w:r>
      <w:r w:rsidR="000F408C">
        <w:t xml:space="preserve">Where possible, </w:t>
      </w:r>
      <w:r w:rsidR="00750124">
        <w:t>i</w:t>
      </w:r>
      <w:r w:rsidR="00A67935">
        <w:t xml:space="preserve">ncidence rates were age-standardised using the </w:t>
      </w:r>
      <w:r w:rsidR="000F408C">
        <w:t>WHO</w:t>
      </w:r>
      <w:r w:rsidR="00A67935">
        <w:t xml:space="preserve"> </w:t>
      </w:r>
      <w:r w:rsidR="000F408C">
        <w:t xml:space="preserve">(2000-2025) </w:t>
      </w:r>
      <w:r w:rsidR="00A67935">
        <w:t>standard population</w:t>
      </w:r>
      <w:r w:rsidR="000F408C">
        <w:t xml:space="preserve"> </w:t>
      </w:r>
      <w:r w:rsidR="000F408C">
        <w:fldChar w:fldCharType="begin"/>
      </w:r>
      <w:r w:rsidR="00124231">
        <w:instrText xml:space="preserve"> ADDIN ZOTERO_ITEM CSL_CITATION {"citationID":"2VQQ5ZvQ","properties":{"formattedCitation":"[47]","plainCitation":"[47]","noteIndex":0},"citationItems":[{"id":10834,"uris":["http://zotero.org/groups/23637/items/H95MLZ64"],"uri":["http://zotero.org/groups/23637/items/H95MLZ64"],"itemData":{"id":10834,"type":"article-journal","language":"en","page":"14","source":"Zotero","title":"Age Standardization of Rates: A new WHO Standard","author":[{"family":"Ahmad","given":"Omar B"},{"family":"Boschi-Pinto","given":"Cynthia"},{"family":"Lopez","given":"Alan D"},{"family":"Murray","given":"Christopher JL"},{"family":"Lozano","given":"Rafael"},{"family":"Inoue","given":"Mie"}],"issued":{"date-parts":[["2001"]]}}}],"schema":"https://github.com/citation-style-language/schema/raw/master/csl-citation.json"} </w:instrText>
      </w:r>
      <w:r w:rsidR="000F408C">
        <w:fldChar w:fldCharType="separate"/>
      </w:r>
      <w:r w:rsidR="000F408C" w:rsidRPr="00DC2159">
        <w:rPr>
          <w:rFonts w:ascii="Calibri" w:hAnsi="Calibri" w:cs="Calibri"/>
        </w:rPr>
        <w:t>[47]</w:t>
      </w:r>
      <w:r w:rsidR="000F408C">
        <w:fldChar w:fldCharType="end"/>
      </w:r>
      <w:r w:rsidR="00A67935">
        <w:t xml:space="preserve">.  </w:t>
      </w:r>
      <w:r w:rsidR="009170D6">
        <w:t xml:space="preserve">Ratios of </w:t>
      </w:r>
      <w:r w:rsidR="00016B57">
        <w:t xml:space="preserve">estimated numbers of cancers </w:t>
      </w:r>
      <w:r w:rsidR="009170D6">
        <w:t xml:space="preserve">were </w:t>
      </w:r>
      <w:r w:rsidR="00016B57">
        <w:t xml:space="preserve">used to compare the different methods.  </w:t>
      </w:r>
      <w:r w:rsidR="005B6F04">
        <w:t>The relationships between the Human Development Index and the incidence rates from either the IICC-3 data</w:t>
      </w:r>
      <w:r w:rsidR="000F408C">
        <w:t xml:space="preserve"> </w:t>
      </w:r>
      <w:r w:rsidR="005B6F04">
        <w:t>or the GCC model were estimated using linear regression and Pearson correlation statistics.</w:t>
      </w:r>
    </w:p>
    <w:p w14:paraId="1A437BB8" w14:textId="0F3D02EB" w:rsidR="0069534A" w:rsidRDefault="00CB52C8" w:rsidP="0069534A">
      <w:r>
        <w:t xml:space="preserve">BM </w:t>
      </w:r>
      <w:r w:rsidR="00F94496">
        <w:t xml:space="preserve">derivation and </w:t>
      </w:r>
      <w:r w:rsidR="005C0CC3">
        <w:t>c</w:t>
      </w:r>
      <w:r w:rsidR="006B211A">
        <w:t xml:space="preserve">omparative analyses </w:t>
      </w:r>
      <w:r w:rsidR="005C0CC3">
        <w:t xml:space="preserve">were </w:t>
      </w:r>
      <w:r w:rsidR="006B211A">
        <w:t xml:space="preserve">undertaken using </w:t>
      </w:r>
      <w:r w:rsidR="001A6ED9">
        <w:t xml:space="preserve">the </w:t>
      </w:r>
      <w:r w:rsidR="006B211A">
        <w:t xml:space="preserve">SAS </w:t>
      </w:r>
      <w:r w:rsidR="001A6ED9">
        <w:t xml:space="preserve">System </w:t>
      </w:r>
      <w:r w:rsidR="006B211A">
        <w:t>v</w:t>
      </w:r>
      <w:r w:rsidR="001A6ED9">
        <w:t xml:space="preserve">ersion </w:t>
      </w:r>
      <w:r w:rsidR="006B211A">
        <w:t>9.4</w:t>
      </w:r>
      <w:r w:rsidR="00BE69E7">
        <w:t xml:space="preserve"> </w:t>
      </w:r>
      <w:r w:rsidR="00BE69E7">
        <w:fldChar w:fldCharType="begin"/>
      </w:r>
      <w:r w:rsidR="00124231">
        <w:instrText xml:space="preserve"> ADDIN ZOTERO_ITEM CSL_CITATION {"citationID":"0RZDfBs0","properties":{"formattedCitation":"[48]","plainCitation":"[48]","noteIndex":0},"citationItems":[{"id":11153,"uris":["http://zotero.org/groups/23637/items/LBBRTFSV"],"uri":["http://zotero.org/groups/23637/items/LBBRTFSV"],"itemData":{"id":11153,"type":"book","event-place":"Cary, NC, USA","medium":"Windows","publisher":"The SAS Institute","publisher-place":"Cary, NC, USA","title":"SAS software","version":"9.4","author":[{"literal":"SAS Institute Inc."}],"issued":{"date-parts":[["2017"]]}}}],"schema":"https://github.com/citation-style-language/schema/raw/master/csl-citation.json"} </w:instrText>
      </w:r>
      <w:r w:rsidR="00BE69E7">
        <w:fldChar w:fldCharType="separate"/>
      </w:r>
      <w:r w:rsidR="000F408C" w:rsidRPr="00DC2159">
        <w:rPr>
          <w:rFonts w:ascii="Calibri" w:hAnsi="Calibri" w:cs="Calibri"/>
        </w:rPr>
        <w:t>[48]</w:t>
      </w:r>
      <w:r w:rsidR="00BE69E7">
        <w:fldChar w:fldCharType="end"/>
      </w:r>
      <w:r w:rsidR="00BE69E7">
        <w:t xml:space="preserve"> (The SAS Institute, Cary, NC, USA)</w:t>
      </w:r>
      <w:r w:rsidR="00F94496">
        <w:t xml:space="preserve">.  Maps were created and spatial data processed </w:t>
      </w:r>
      <w:r w:rsidR="006B211A">
        <w:t>using ArcGIS v</w:t>
      </w:r>
      <w:r w:rsidR="001A6ED9">
        <w:t xml:space="preserve">ersion </w:t>
      </w:r>
      <w:r w:rsidR="006B211A">
        <w:t>10</w:t>
      </w:r>
      <w:r w:rsidR="001A6ED9">
        <w:t>.5</w:t>
      </w:r>
      <w:r w:rsidR="00BE69E7">
        <w:t>.1</w:t>
      </w:r>
      <w:r w:rsidR="006B211A">
        <w:t xml:space="preserve"> </w:t>
      </w:r>
      <w:r w:rsidR="00BE69E7">
        <w:fldChar w:fldCharType="begin"/>
      </w:r>
      <w:r w:rsidR="00124231">
        <w:instrText xml:space="preserve"> ADDIN ZOTERO_ITEM CSL_CITATION {"citationID":"V5tQnHyo","properties":{"formattedCitation":"[49]","plainCitation":"[49]","noteIndex":0},"citationItems":[{"id":11154,"uris":["http://zotero.org/groups/23637/items/GQLNHXFU"],"uri":["http://zotero.org/groups/23637/items/GQLNHXFU"],"itemData":{"id":11154,"type":"book","event-place":"Redlands, CA, USA","publisher":"Environmental Systems Research Institute","publisher-place":"Redlands, CA, USA","title":"ArcGIS Desktop","version":"10.5.1","author":[{"literal":"ESRI Inc."}],"issued":{"date-parts":[["2017"]]}}}],"schema":"https://github.com/citation-style-language/schema/raw/master/csl-citation.json"} </w:instrText>
      </w:r>
      <w:r w:rsidR="00BE69E7">
        <w:fldChar w:fldCharType="separate"/>
      </w:r>
      <w:r w:rsidR="000F408C" w:rsidRPr="00DC2159">
        <w:rPr>
          <w:rFonts w:ascii="Calibri" w:hAnsi="Calibri" w:cs="Calibri"/>
        </w:rPr>
        <w:t>[49]</w:t>
      </w:r>
      <w:r w:rsidR="00BE69E7">
        <w:fldChar w:fldCharType="end"/>
      </w:r>
      <w:r w:rsidR="00BE69E7">
        <w:t xml:space="preserve"> (ESRI, Redlands, CA, USA)</w:t>
      </w:r>
      <w:r w:rsidR="00992DB3">
        <w:t>, and c</w:t>
      </w:r>
      <w:r w:rsidR="001925A0">
        <w:t>o</w:t>
      </w:r>
      <w:r w:rsidR="000B42AD">
        <w:t xml:space="preserve">mmon </w:t>
      </w:r>
      <w:r w:rsidR="001925A0">
        <w:t>s</w:t>
      </w:r>
      <w:r w:rsidR="000B42AD">
        <w:t>cal</w:t>
      </w:r>
      <w:r w:rsidR="001A6ED9">
        <w:t>es</w:t>
      </w:r>
      <w:r w:rsidR="000B42AD">
        <w:t xml:space="preserve"> and colouring of maps</w:t>
      </w:r>
      <w:r w:rsidR="001A6ED9">
        <w:t xml:space="preserve"> depicting rates, numbers and ratios have been applied throughout.  </w:t>
      </w:r>
      <w:r>
        <w:t xml:space="preserve">Countries were grouped by </w:t>
      </w:r>
      <w:r w:rsidR="0069534A">
        <w:t>United Nations regions (</w:t>
      </w:r>
      <w:hyperlink r:id="rId19" w:history="1">
        <w:r w:rsidR="0069534A">
          <w:rPr>
            <w:rStyle w:val="Hyperlink"/>
          </w:rPr>
          <w:t>https://population.un.org/wpp/Download/Standard/Population/</w:t>
        </w:r>
      </w:hyperlink>
      <w:r w:rsidR="0069534A">
        <w:t xml:space="preserve">) and Human Development </w:t>
      </w:r>
      <w:r w:rsidR="002332A6">
        <w:t xml:space="preserve">Index </w:t>
      </w:r>
      <w:r w:rsidR="0069534A">
        <w:t>(</w:t>
      </w:r>
      <w:hyperlink r:id="rId20" w:history="1">
        <w:r w:rsidR="0069534A" w:rsidRPr="003E2CF3">
          <w:rPr>
            <w:rStyle w:val="Hyperlink"/>
          </w:rPr>
          <w:t>http://hdr.undp.org/en/data</w:t>
        </w:r>
      </w:hyperlink>
      <w:r w:rsidR="0069534A">
        <w:t>)</w:t>
      </w:r>
      <w:r>
        <w:t xml:space="preserve">. </w:t>
      </w:r>
    </w:p>
    <w:p w14:paraId="607CDC7C" w14:textId="77777777" w:rsidR="0059408F" w:rsidRDefault="0059408F" w:rsidP="0069534A"/>
    <w:p w14:paraId="7C7CD4B3" w14:textId="2E9C822D" w:rsidR="00F24C10" w:rsidRDefault="00F24C10" w:rsidP="00C072C2">
      <w:pPr>
        <w:pStyle w:val="Heading1"/>
        <w:numPr>
          <w:ilvl w:val="0"/>
          <w:numId w:val="23"/>
        </w:numPr>
      </w:pPr>
      <w:r w:rsidRPr="00BA0B6C">
        <w:t>Results</w:t>
      </w:r>
    </w:p>
    <w:p w14:paraId="6A38436E" w14:textId="22CED03B" w:rsidR="00D71DC8" w:rsidRDefault="00BA72B1" w:rsidP="00C072C2">
      <w:pPr>
        <w:pStyle w:val="Heading2"/>
        <w:numPr>
          <w:ilvl w:val="1"/>
          <w:numId w:val="23"/>
        </w:numPr>
      </w:pPr>
      <w:r>
        <w:t xml:space="preserve">Baseline </w:t>
      </w:r>
      <w:r w:rsidR="00BA5A20">
        <w:t xml:space="preserve">model (BM): </w:t>
      </w:r>
      <w:r w:rsidR="00662E06">
        <w:t xml:space="preserve">estimated </w:t>
      </w:r>
      <w:r w:rsidR="00950F88">
        <w:t>childhood cancers in 2015</w:t>
      </w:r>
    </w:p>
    <w:p w14:paraId="36F10D2E" w14:textId="05583831" w:rsidR="0021635C" w:rsidRDefault="00BA5A20" w:rsidP="00ED4236">
      <w:pPr>
        <w:spacing w:after="0" w:line="240" w:lineRule="auto"/>
      </w:pPr>
      <w:r>
        <w:t>A</w:t>
      </w:r>
      <w:r w:rsidR="006C17E8">
        <w:t xml:space="preserve">pplication of </w:t>
      </w:r>
      <w:r w:rsidR="003A6F12">
        <w:t xml:space="preserve">crude </w:t>
      </w:r>
      <w:r w:rsidR="006C17E8">
        <w:t>SEER rates to the 2015 global childhood population</w:t>
      </w:r>
      <w:r w:rsidR="001B4907">
        <w:t xml:space="preserve"> (Fig</w:t>
      </w:r>
      <w:r w:rsidR="00D37AC5">
        <w:t>ure</w:t>
      </w:r>
      <w:r w:rsidR="001B4907">
        <w:t xml:space="preserve"> </w:t>
      </w:r>
      <w:r w:rsidR="004F4DB7">
        <w:t>S</w:t>
      </w:r>
      <w:r w:rsidR="00933775">
        <w:t>1</w:t>
      </w:r>
      <w:r w:rsidR="001B4907">
        <w:t>)</w:t>
      </w:r>
      <w:r w:rsidR="006C17E8">
        <w:t xml:space="preserve">, yielded a </w:t>
      </w:r>
      <w:r w:rsidR="002332A6">
        <w:t xml:space="preserve">global total </w:t>
      </w:r>
      <w:r w:rsidR="006C17E8">
        <w:t xml:space="preserve">of </w:t>
      </w:r>
      <w:r w:rsidR="003D4E56">
        <w:t>344,543</w:t>
      </w:r>
      <w:r w:rsidR="006C17E8">
        <w:t xml:space="preserve"> </w:t>
      </w:r>
      <w:r w:rsidR="006C7EC8" w:rsidRPr="00DC2159">
        <w:t>cancers (</w:t>
      </w:r>
      <w:r w:rsidR="005E474D" w:rsidRPr="00DC2159">
        <w:t>ASR (WHO)</w:t>
      </w:r>
      <w:r w:rsidR="00D67494" w:rsidRPr="00DC2159">
        <w:t xml:space="preserve">: </w:t>
      </w:r>
      <w:r w:rsidR="00CF3375" w:rsidRPr="00DC2159">
        <w:t>178.</w:t>
      </w:r>
      <w:r w:rsidR="005E474D" w:rsidRPr="00DC2159">
        <w:t>0</w:t>
      </w:r>
      <w:r w:rsidR="006C7EC8" w:rsidRPr="00DC2159">
        <w:t xml:space="preserve"> per million)</w:t>
      </w:r>
      <w:r w:rsidR="00F13B3D" w:rsidRPr="00DC2159">
        <w:t xml:space="preserve">; 56% occurring in Asia and 26% in Africa </w:t>
      </w:r>
      <w:r w:rsidR="006C7EC8" w:rsidRPr="00DC2159">
        <w:t>(Figure S</w:t>
      </w:r>
      <w:r w:rsidR="00F35F1A" w:rsidRPr="00DC2159">
        <w:t>2</w:t>
      </w:r>
      <w:r w:rsidR="006C7EC8" w:rsidRPr="00DC2159">
        <w:t xml:space="preserve">).  </w:t>
      </w:r>
      <w:r w:rsidR="001252B2" w:rsidRPr="00DC2159">
        <w:t xml:space="preserve">Using the </w:t>
      </w:r>
      <w:r w:rsidR="00EC4601" w:rsidRPr="00DC2159">
        <w:t xml:space="preserve">augmented </w:t>
      </w:r>
      <w:r w:rsidR="001252B2" w:rsidRPr="00DC2159">
        <w:t>BM rates</w:t>
      </w:r>
      <w:r w:rsidR="00904448" w:rsidRPr="00DC2159">
        <w:t xml:space="preserve"> which accounted for the role of exposure to </w:t>
      </w:r>
      <w:r w:rsidR="00904448" w:rsidRPr="00DC2159">
        <w:rPr>
          <w:i/>
        </w:rPr>
        <w:t>P. falciparum</w:t>
      </w:r>
      <w:r w:rsidR="006C7EC8" w:rsidRPr="00DC2159">
        <w:t>, t</w:t>
      </w:r>
      <w:r w:rsidRPr="00DC2159">
        <w:t xml:space="preserve">he </w:t>
      </w:r>
      <w:r w:rsidR="006C7EC8" w:rsidRPr="00DC2159">
        <w:t xml:space="preserve">expected number </w:t>
      </w:r>
      <w:r w:rsidR="001252B2" w:rsidRPr="00DC2159">
        <w:t xml:space="preserve">increased </w:t>
      </w:r>
      <w:r w:rsidR="00904448" w:rsidRPr="00DC2159">
        <w:t xml:space="preserve">by </w:t>
      </w:r>
      <w:r w:rsidR="00BF2315" w:rsidRPr="00DC2159">
        <w:t>4.5</w:t>
      </w:r>
      <w:r w:rsidR="00904448" w:rsidRPr="00DC2159">
        <w:t xml:space="preserve">% </w:t>
      </w:r>
      <w:r w:rsidR="006C7EC8" w:rsidRPr="00DC2159">
        <w:t xml:space="preserve">to </w:t>
      </w:r>
      <w:r w:rsidR="00CF3375" w:rsidRPr="00DC2159">
        <w:t>360,114</w:t>
      </w:r>
      <w:r w:rsidR="0021635C" w:rsidRPr="00DC2159">
        <w:t xml:space="preserve"> </w:t>
      </w:r>
      <w:r w:rsidR="003D3BE1" w:rsidRPr="00DC2159">
        <w:t>(1</w:t>
      </w:r>
      <w:r w:rsidR="00CF3375" w:rsidRPr="00DC2159">
        <w:t>86.</w:t>
      </w:r>
      <w:r w:rsidR="005E474D" w:rsidRPr="00DC2159">
        <w:t>0</w:t>
      </w:r>
      <w:r w:rsidR="003D3BE1" w:rsidRPr="00DC2159">
        <w:t xml:space="preserve"> per million</w:t>
      </w:r>
      <w:r w:rsidR="00892C40" w:rsidRPr="00DC2159">
        <w:t>)</w:t>
      </w:r>
      <w:r w:rsidR="00B01CC6" w:rsidRPr="00DC2159">
        <w:t xml:space="preserve">; </w:t>
      </w:r>
      <w:r w:rsidR="00967514" w:rsidRPr="00DC2159">
        <w:t xml:space="preserve">54% </w:t>
      </w:r>
      <w:r w:rsidR="006A5414" w:rsidRPr="00DC2159">
        <w:t xml:space="preserve">occurring </w:t>
      </w:r>
      <w:r w:rsidR="00967514" w:rsidRPr="00DC2159">
        <w:t>in Asia and 28% in Africa</w:t>
      </w:r>
      <w:r w:rsidR="003563A1" w:rsidRPr="00DC2159">
        <w:t xml:space="preserve">. </w:t>
      </w:r>
      <w:r w:rsidR="008043B4" w:rsidRPr="00DC2159">
        <w:t xml:space="preserve"> </w:t>
      </w:r>
      <w:r w:rsidR="006C7EC8" w:rsidRPr="00DC2159">
        <w:t xml:space="preserve">Driven in part by varying age structures within </w:t>
      </w:r>
      <w:r w:rsidR="00F13B3D" w:rsidRPr="00DC2159">
        <w:t xml:space="preserve">national </w:t>
      </w:r>
      <w:r w:rsidR="006C7EC8" w:rsidRPr="00DC2159">
        <w:t>child population</w:t>
      </w:r>
      <w:r w:rsidR="00F13B3D" w:rsidRPr="00DC2159">
        <w:t>s</w:t>
      </w:r>
      <w:r w:rsidR="006C7EC8" w:rsidRPr="00DC2159">
        <w:t xml:space="preserve"> (Figure</w:t>
      </w:r>
      <w:r w:rsidR="004F4DB7" w:rsidRPr="00DC2159">
        <w:t xml:space="preserve"> S</w:t>
      </w:r>
      <w:r w:rsidR="00933775" w:rsidRPr="00DC2159">
        <w:t>1</w:t>
      </w:r>
      <w:r w:rsidR="006C7EC8" w:rsidRPr="00DC2159">
        <w:t xml:space="preserve">), estimated </w:t>
      </w:r>
      <w:r w:rsidR="005E474D" w:rsidRPr="00DC2159">
        <w:t xml:space="preserve">standardised </w:t>
      </w:r>
      <w:r w:rsidR="006C7EC8" w:rsidRPr="00DC2159">
        <w:t xml:space="preserve">rates ranged </w:t>
      </w:r>
      <w:r w:rsidR="007871B6" w:rsidRPr="00DC2159">
        <w:t>from</w:t>
      </w:r>
      <w:r w:rsidR="008B5106" w:rsidRPr="00DC2159">
        <w:t xml:space="preserve"> around </w:t>
      </w:r>
      <w:r w:rsidR="00CF3375" w:rsidRPr="00DC2159">
        <w:t>17</w:t>
      </w:r>
      <w:r w:rsidR="005E474D" w:rsidRPr="00DC2159">
        <w:t>8</w:t>
      </w:r>
      <w:r w:rsidR="00CF3375" w:rsidRPr="00DC2159">
        <w:t xml:space="preserve"> </w:t>
      </w:r>
      <w:r w:rsidR="008B5106" w:rsidRPr="00DC2159">
        <w:t xml:space="preserve">cases per million (e.g. Europe and North America) through to </w:t>
      </w:r>
      <w:r w:rsidR="006C7EC8" w:rsidRPr="00DC2159">
        <w:t>2</w:t>
      </w:r>
      <w:r w:rsidR="005E474D" w:rsidRPr="00DC2159">
        <w:t>18</w:t>
      </w:r>
      <w:r w:rsidR="008B5106" w:rsidRPr="00DC2159">
        <w:t xml:space="preserve"> cases per million (e.g. West and </w:t>
      </w:r>
      <w:r w:rsidR="006C7EC8" w:rsidRPr="00DC2159">
        <w:t>Middle Afric</w:t>
      </w:r>
      <w:r w:rsidR="00F93DE7" w:rsidRPr="00DC2159">
        <w:t>a</w:t>
      </w:r>
      <w:r w:rsidR="008B5106" w:rsidRPr="00DC2159">
        <w:t>)</w:t>
      </w:r>
      <w:r w:rsidR="006C7EC8" w:rsidRPr="00DC2159">
        <w:t xml:space="preserve">.  </w:t>
      </w:r>
      <w:r w:rsidRPr="00DC2159">
        <w:t>E</w:t>
      </w:r>
      <w:r w:rsidR="00492CD3" w:rsidRPr="00DC2159">
        <w:t xml:space="preserve">stimated </w:t>
      </w:r>
      <w:r w:rsidR="003563A1" w:rsidRPr="00DC2159">
        <w:t xml:space="preserve">numbers and rates </w:t>
      </w:r>
      <w:r w:rsidR="008043B4" w:rsidRPr="00DC2159">
        <w:t>are distributed by age, sex</w:t>
      </w:r>
      <w:r w:rsidR="00EB23E8" w:rsidRPr="00DC2159">
        <w:t xml:space="preserve">, </w:t>
      </w:r>
      <w:r w:rsidR="008043B4" w:rsidRPr="00DC2159">
        <w:t xml:space="preserve">region </w:t>
      </w:r>
      <w:r w:rsidR="00EB23E8" w:rsidRPr="00DC2159">
        <w:t xml:space="preserve">and </w:t>
      </w:r>
      <w:r w:rsidRPr="00DC2159">
        <w:t>HDI</w:t>
      </w:r>
      <w:r w:rsidR="00EB23E8" w:rsidRPr="00DC2159">
        <w:t xml:space="preserve"> </w:t>
      </w:r>
      <w:r w:rsidR="003563A1" w:rsidRPr="00DC2159">
        <w:t xml:space="preserve">in </w:t>
      </w:r>
      <w:r w:rsidR="00967514" w:rsidRPr="00DC2159">
        <w:t>Table</w:t>
      </w:r>
      <w:r w:rsidR="00EB23E8" w:rsidRPr="00DC2159">
        <w:t>s</w:t>
      </w:r>
      <w:r w:rsidR="00967514" w:rsidRPr="00AC3C78">
        <w:t xml:space="preserve"> S3</w:t>
      </w:r>
      <w:r w:rsidR="00EB23E8">
        <w:t xml:space="preserve"> and S4</w:t>
      </w:r>
      <w:r w:rsidR="006C7EC8">
        <w:t>.</w:t>
      </w:r>
    </w:p>
    <w:p w14:paraId="10AE73E0" w14:textId="77777777" w:rsidR="00F64497" w:rsidRDefault="00F64497" w:rsidP="00ED4236">
      <w:pPr>
        <w:spacing w:after="0" w:line="240" w:lineRule="auto"/>
      </w:pPr>
    </w:p>
    <w:p w14:paraId="7D1B1806" w14:textId="29178F16" w:rsidR="00F24C10" w:rsidRDefault="00F24C10" w:rsidP="00ED4236">
      <w:pPr>
        <w:spacing w:after="0" w:line="240" w:lineRule="auto"/>
      </w:pPr>
      <w:proofErr w:type="spellStart"/>
      <w:r>
        <w:t>Leukaemias</w:t>
      </w:r>
      <w:proofErr w:type="spellEnd"/>
      <w:r>
        <w:t xml:space="preserve"> were the most common </w:t>
      </w:r>
      <w:r w:rsidR="00AF375C">
        <w:t xml:space="preserve">cancer in all regions </w:t>
      </w:r>
      <w:r>
        <w:t>(</w:t>
      </w:r>
      <w:r w:rsidR="00C118FD">
        <w:t>28.8</w:t>
      </w:r>
      <w:r>
        <w:t>% overall, range: 2</w:t>
      </w:r>
      <w:r w:rsidR="00C118FD">
        <w:t>5.6</w:t>
      </w:r>
      <w:r>
        <w:t>% to 3</w:t>
      </w:r>
      <w:r w:rsidR="00C118FD">
        <w:t>0.4</w:t>
      </w:r>
      <w:r>
        <w:t>%)</w:t>
      </w:r>
      <w:r w:rsidR="00F64497">
        <w:t>,</w:t>
      </w:r>
      <w:r>
        <w:t xml:space="preserve"> </w:t>
      </w:r>
      <w:r w:rsidR="00BA5A20">
        <w:t xml:space="preserve">followed by </w:t>
      </w:r>
      <w:r>
        <w:t>CNS tumours (</w:t>
      </w:r>
      <w:r w:rsidR="00C118FD">
        <w:t>24.0</w:t>
      </w:r>
      <w:r>
        <w:t xml:space="preserve">% overall, range: </w:t>
      </w:r>
      <w:r w:rsidR="00C118FD">
        <w:t>20.3</w:t>
      </w:r>
      <w:r>
        <w:t xml:space="preserve">% to </w:t>
      </w:r>
      <w:r w:rsidR="00C118FD">
        <w:t>25.3</w:t>
      </w:r>
      <w:r>
        <w:t>%) and lymphomas (1</w:t>
      </w:r>
      <w:r w:rsidR="00EF4A3F">
        <w:t>1</w:t>
      </w:r>
      <w:r w:rsidR="00C118FD">
        <w:t>.2</w:t>
      </w:r>
      <w:r>
        <w:t xml:space="preserve">% overall, range: </w:t>
      </w:r>
      <w:r w:rsidR="00C118FD">
        <w:t>8.8</w:t>
      </w:r>
      <w:r>
        <w:t>% to 1</w:t>
      </w:r>
      <w:r w:rsidR="00C118FD">
        <w:t>7.7</w:t>
      </w:r>
      <w:r>
        <w:t>%)</w:t>
      </w:r>
      <w:r w:rsidR="00AF375C">
        <w:t xml:space="preserve"> (Figure </w:t>
      </w:r>
      <w:r w:rsidR="004F4DB7">
        <w:t>3</w:t>
      </w:r>
      <w:r w:rsidR="00AF375C">
        <w:t>)</w:t>
      </w:r>
      <w:r w:rsidR="003E1861">
        <w:t>.</w:t>
      </w:r>
      <w:r w:rsidR="004F4DB7">
        <w:t xml:space="preserve">  Only in those regions most affected by </w:t>
      </w:r>
      <w:r w:rsidR="004F4DB7">
        <w:rPr>
          <w:i/>
        </w:rPr>
        <w:t>P. falciparum</w:t>
      </w:r>
      <w:r w:rsidR="004F4DB7">
        <w:t xml:space="preserve"> did the distribution of estimated cancers differ: soft tissue sarcomas (which includes KS) were the fourth most common cancer (Figure 3).</w:t>
      </w:r>
    </w:p>
    <w:p w14:paraId="15DA27C3" w14:textId="77777777" w:rsidR="00FD2B7E" w:rsidRDefault="00FD2B7E" w:rsidP="00ED4236">
      <w:pPr>
        <w:spacing w:after="0" w:line="240" w:lineRule="auto"/>
      </w:pPr>
    </w:p>
    <w:p w14:paraId="0AFC38E1" w14:textId="4E8D31EF" w:rsidR="00FE4390" w:rsidRDefault="00FE4390" w:rsidP="00844967">
      <w:pPr>
        <w:spacing w:after="0" w:line="240" w:lineRule="auto"/>
      </w:pPr>
      <w:r>
        <w:br w:type="page"/>
      </w:r>
    </w:p>
    <w:p w14:paraId="19C17E69" w14:textId="2AB5B380" w:rsidR="00127B9F" w:rsidRDefault="00127B9F"/>
    <w:p w14:paraId="2BE7FE71" w14:textId="25E7DECD" w:rsidR="00F738E4" w:rsidRDefault="00F738E4">
      <w:pPr>
        <w:rPr>
          <w:bCs/>
        </w:rPr>
      </w:pPr>
    </w:p>
    <w:p w14:paraId="3EDF1612" w14:textId="24705F75" w:rsidR="00FD2B7E" w:rsidRDefault="006C28D0">
      <w:r>
        <w:rPr>
          <w:noProof/>
        </w:rPr>
        <w:drawing>
          <wp:inline distT="0" distB="0" distL="0" distR="0" wp14:anchorId="21F8510C" wp14:editId="5D5DB2BF">
            <wp:extent cx="5731510" cy="45853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3 - XXX model Diag Dist by Reg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6FB54072" w14:textId="7FEA347F" w:rsidR="00127B9F" w:rsidRPr="00606F03" w:rsidRDefault="00127B9F" w:rsidP="00127B9F">
      <w:pPr>
        <w:rPr>
          <w:bCs/>
        </w:rPr>
      </w:pPr>
      <w:r w:rsidRPr="00ED4236">
        <w:rPr>
          <w:b/>
          <w:bCs/>
        </w:rPr>
        <w:t xml:space="preserve">Figure </w:t>
      </w:r>
      <w:r w:rsidR="00356193">
        <w:rPr>
          <w:b/>
          <w:bCs/>
        </w:rPr>
        <w:t>3</w:t>
      </w:r>
      <w:r w:rsidRPr="00ED4236">
        <w:rPr>
          <w:b/>
          <w:bCs/>
        </w:rPr>
        <w:t xml:space="preserve"> </w:t>
      </w:r>
      <w:r w:rsidRPr="00ED4236">
        <w:rPr>
          <w:bCs/>
        </w:rPr>
        <w:t xml:space="preserve">– </w:t>
      </w:r>
      <w:r w:rsidR="00B555DC">
        <w:rPr>
          <w:bCs/>
        </w:rPr>
        <w:t>Estimated incidence in children aged &lt;15 years in 2015, based on</w:t>
      </w:r>
      <w:r w:rsidR="00B555DC" w:rsidRPr="00ED4236">
        <w:rPr>
          <w:bCs/>
        </w:rPr>
        <w:t xml:space="preserve"> </w:t>
      </w:r>
      <w:r w:rsidR="00B555DC">
        <w:rPr>
          <w:bCs/>
        </w:rPr>
        <w:t xml:space="preserve">the </w:t>
      </w:r>
      <w:r w:rsidR="00BA72B1" w:rsidRPr="00ED4236">
        <w:rPr>
          <w:bCs/>
        </w:rPr>
        <w:t xml:space="preserve">Baseline </w:t>
      </w:r>
      <w:r w:rsidR="009F07EA" w:rsidRPr="00ED4236">
        <w:rPr>
          <w:bCs/>
        </w:rPr>
        <w:t>M</w:t>
      </w:r>
      <w:r w:rsidR="00BA72B1" w:rsidRPr="00ED4236">
        <w:rPr>
          <w:bCs/>
        </w:rPr>
        <w:t>odel</w:t>
      </w:r>
      <w:r w:rsidR="007934E8">
        <w:rPr>
          <w:bCs/>
        </w:rPr>
        <w:t xml:space="preserve">; </w:t>
      </w:r>
      <w:r w:rsidR="00B555DC">
        <w:rPr>
          <w:bCs/>
        </w:rPr>
        <w:t xml:space="preserve">distribution of estimated cancers by ICCC-3 main diagnostic group showing total cancers and </w:t>
      </w:r>
      <w:r w:rsidR="00894C2F">
        <w:rPr>
          <w:bCs/>
        </w:rPr>
        <w:t xml:space="preserve">crude </w:t>
      </w:r>
      <w:r w:rsidR="002C22F1">
        <w:rPr>
          <w:bCs/>
        </w:rPr>
        <w:t xml:space="preserve">and age-standardised (WHO) </w:t>
      </w:r>
      <w:r w:rsidR="00894C2F">
        <w:rPr>
          <w:bCs/>
        </w:rPr>
        <w:t xml:space="preserve">rates </w:t>
      </w:r>
      <w:r w:rsidR="002C22F1">
        <w:rPr>
          <w:bCs/>
        </w:rPr>
        <w:t>(</w:t>
      </w:r>
      <w:r w:rsidR="00894C2F" w:rsidRPr="008F081C">
        <w:rPr>
          <w:bCs/>
        </w:rPr>
        <w:t>per million</w:t>
      </w:r>
      <w:r w:rsidR="002C22F1">
        <w:rPr>
          <w:bCs/>
        </w:rPr>
        <w:t>)</w:t>
      </w:r>
      <w:r w:rsidR="00B555DC">
        <w:rPr>
          <w:bCs/>
        </w:rPr>
        <w:t xml:space="preserve"> in UN regions</w:t>
      </w:r>
      <w:r w:rsidR="00894C2F">
        <w:rPr>
          <w:bCs/>
        </w:rPr>
        <w:t>.</w:t>
      </w:r>
    </w:p>
    <w:p w14:paraId="1807B67F" w14:textId="77777777" w:rsidR="00606F03" w:rsidRDefault="00606F03">
      <w:r>
        <w:br w:type="page"/>
      </w:r>
    </w:p>
    <w:p w14:paraId="7AF0E66C" w14:textId="02C5CE6F" w:rsidR="00F24C10" w:rsidRDefault="00625E95" w:rsidP="00C072C2">
      <w:pPr>
        <w:pStyle w:val="Heading2"/>
        <w:numPr>
          <w:ilvl w:val="1"/>
          <w:numId w:val="23"/>
        </w:numPr>
      </w:pPr>
      <w:r>
        <w:lastRenderedPageBreak/>
        <w:t xml:space="preserve">GLOBOCAN </w:t>
      </w:r>
      <w:r w:rsidR="00255EF7">
        <w:t xml:space="preserve">2018 </w:t>
      </w:r>
      <w:r w:rsidR="00A02CE2">
        <w:t xml:space="preserve">and BM </w:t>
      </w:r>
      <w:r w:rsidR="00F24C10">
        <w:t>estimates</w:t>
      </w:r>
      <w:r w:rsidR="00A02CE2">
        <w:t xml:space="preserve"> compared</w:t>
      </w:r>
    </w:p>
    <w:p w14:paraId="7C296FC0" w14:textId="4F677034" w:rsidR="00593233" w:rsidRDefault="00C73FB4" w:rsidP="00F24C10">
      <w:r>
        <w:t xml:space="preserve">The </w:t>
      </w:r>
      <w:r w:rsidR="00625E95">
        <w:t xml:space="preserve">GLOBOCAN </w:t>
      </w:r>
      <w:r w:rsidR="00F24C10">
        <w:t xml:space="preserve">estimate </w:t>
      </w:r>
      <w:r w:rsidR="003E1861">
        <w:t>for total cancer</w:t>
      </w:r>
      <w:r w:rsidR="00D57074">
        <w:t xml:space="preserve">s </w:t>
      </w:r>
      <w:r w:rsidR="00F061B3">
        <w:t>&lt;</w:t>
      </w:r>
      <w:r w:rsidR="00F24C10">
        <w:t>15 y</w:t>
      </w:r>
      <w:r w:rsidR="00F061B3">
        <w:t xml:space="preserve">ears </w:t>
      </w:r>
      <w:r w:rsidR="003E1861">
        <w:t>is</w:t>
      </w:r>
      <w:r w:rsidR="00F061B3">
        <w:t xml:space="preserve"> 19</w:t>
      </w:r>
      <w:r w:rsidR="002019DE">
        <w:t>9,645</w:t>
      </w:r>
      <w:r w:rsidR="00F061B3">
        <w:t>;</w:t>
      </w:r>
      <w:r w:rsidR="00F24C10">
        <w:t xml:space="preserve"> 1</w:t>
      </w:r>
      <w:r w:rsidR="00F16D92">
        <w:t>60,469</w:t>
      </w:r>
      <w:r w:rsidR="00F061B3">
        <w:t xml:space="preserve"> (44</w:t>
      </w:r>
      <w:r w:rsidR="00F16D92">
        <w:t>.6</w:t>
      </w:r>
      <w:r w:rsidR="00F061B3">
        <w:t xml:space="preserve">%) </w:t>
      </w:r>
      <w:r w:rsidR="00E9013C">
        <w:t>fewer</w:t>
      </w:r>
      <w:r w:rsidR="00A84CFC">
        <w:t xml:space="preserve"> </w:t>
      </w:r>
      <w:r w:rsidR="00F24C10">
        <w:t xml:space="preserve">than </w:t>
      </w:r>
      <w:r w:rsidR="00255EF7">
        <w:t xml:space="preserve">the </w:t>
      </w:r>
      <w:r w:rsidR="005670E2">
        <w:t>BM</w:t>
      </w:r>
      <w:r w:rsidR="00F061B3">
        <w:t>.</w:t>
      </w:r>
      <w:r w:rsidR="00F24C10">
        <w:t xml:space="preserve"> </w:t>
      </w:r>
      <w:r w:rsidR="00964163">
        <w:t xml:space="preserve"> </w:t>
      </w:r>
      <w:r w:rsidR="00593233">
        <w:t xml:space="preserve">Differences between the regional estimates were largest in Africa and Asia (Table 1). </w:t>
      </w:r>
      <w:r w:rsidR="00E62AC6">
        <w:t xml:space="preserve"> </w:t>
      </w:r>
      <w:r w:rsidR="00593233">
        <w:t>W</w:t>
      </w:r>
      <w:r w:rsidR="00AA3417">
        <w:t xml:space="preserve">hilst both methods </w:t>
      </w:r>
      <w:r w:rsidR="00593233">
        <w:t xml:space="preserve">rank </w:t>
      </w:r>
      <w:r w:rsidR="00AA3417">
        <w:t xml:space="preserve">South-Central Asia and Eastern Asia as having the </w:t>
      </w:r>
      <w:r w:rsidR="00FD1E69">
        <w:t xml:space="preserve">largest numbers of </w:t>
      </w:r>
      <w:r w:rsidR="00AA3417">
        <w:t xml:space="preserve">cancers, </w:t>
      </w:r>
      <w:r w:rsidR="00593233">
        <w:t xml:space="preserve">rankings </w:t>
      </w:r>
      <w:r w:rsidR="00AA3417">
        <w:t xml:space="preserve">outside these two regions differ (Figure </w:t>
      </w:r>
      <w:r w:rsidR="002019DE">
        <w:t>4</w:t>
      </w:r>
      <w:r w:rsidR="00AA3417">
        <w:t xml:space="preserve">).  The GLOBOCAN estimate had proportionally more cancers in countries classified </w:t>
      </w:r>
      <w:r w:rsidR="005670E2">
        <w:t>with high/v</w:t>
      </w:r>
      <w:r w:rsidR="00AA3417">
        <w:t xml:space="preserve">ery </w:t>
      </w:r>
      <w:r w:rsidR="005670E2">
        <w:t>h</w:t>
      </w:r>
      <w:r w:rsidR="00AA3417">
        <w:t xml:space="preserve">igh </w:t>
      </w:r>
      <w:r w:rsidR="005670E2">
        <w:t xml:space="preserve">HDIs </w:t>
      </w:r>
      <w:r w:rsidR="00AA3417">
        <w:t xml:space="preserve">(Table </w:t>
      </w:r>
      <w:r w:rsidR="00482958">
        <w:t>1</w:t>
      </w:r>
      <w:r w:rsidR="00A46FE0">
        <w:t xml:space="preserve">, Figure </w:t>
      </w:r>
      <w:r w:rsidR="002019DE">
        <w:t>4</w:t>
      </w:r>
      <w:r w:rsidR="00AA3417">
        <w:t xml:space="preserve">).  </w:t>
      </w:r>
    </w:p>
    <w:p w14:paraId="0DBC8CE1" w14:textId="4F3FB822" w:rsidR="00964163" w:rsidRDefault="00127B9F" w:rsidP="00F24C10">
      <w:r>
        <w:t>O</w:t>
      </w:r>
      <w:r w:rsidR="001137DB">
        <w:t xml:space="preserve">nly in North America did the GLOBOCAN estimate exceed the </w:t>
      </w:r>
      <w:r w:rsidR="004311DE">
        <w:t>BM</w:t>
      </w:r>
      <w:r w:rsidR="00593233">
        <w:t xml:space="preserve"> estimate</w:t>
      </w:r>
      <w:r w:rsidR="002019DE">
        <w:t xml:space="preserve"> where</w:t>
      </w:r>
      <w:r w:rsidR="00DA09F3">
        <w:t xml:space="preserve"> </w:t>
      </w:r>
      <w:r w:rsidR="002019DE">
        <w:t xml:space="preserve">there were an additional </w:t>
      </w:r>
      <w:r w:rsidR="00DA09F3">
        <w:t>61 (0.5%) cases</w:t>
      </w:r>
      <w:r w:rsidR="00BD611F">
        <w:t xml:space="preserve"> (Table S</w:t>
      </w:r>
      <w:r w:rsidR="00AC71D9">
        <w:t>)</w:t>
      </w:r>
      <w:r w:rsidR="004311DE">
        <w:t>.</w:t>
      </w:r>
      <w:r w:rsidR="00DA09F3">
        <w:t xml:space="preserve">  This small difference may be due differences in the source data underpinning the two models or may simply </w:t>
      </w:r>
      <w:r w:rsidR="0073263A">
        <w:t>reflect</w:t>
      </w:r>
      <w:r w:rsidR="00DA09F3">
        <w:t xml:space="preserve"> year-to-year variability in observed rates; the BM is based on SEER rates from 2014 only.</w:t>
      </w:r>
      <w:r w:rsidR="0013331F">
        <w:t xml:space="preserve">  </w:t>
      </w:r>
    </w:p>
    <w:p w14:paraId="6F764440" w14:textId="017C5823" w:rsidR="00127B9F" w:rsidRDefault="00127B9F" w:rsidP="00F24C10">
      <w:pPr>
        <w:rPr>
          <w:b/>
          <w:bCs/>
        </w:rPr>
      </w:pPr>
    </w:p>
    <w:p w14:paraId="1A4DD4FD" w14:textId="56A48B12" w:rsidR="00B8464F" w:rsidRDefault="00A50A93" w:rsidP="00F24C10">
      <w:pPr>
        <w:rPr>
          <w:b/>
          <w:bCs/>
        </w:rPr>
      </w:pPr>
      <w:r>
        <w:rPr>
          <w:b/>
          <w:bCs/>
          <w:noProof/>
          <w:lang w:val="en-US"/>
        </w:rPr>
        <w:drawing>
          <wp:inline distT="0" distB="0" distL="0" distR="0" wp14:anchorId="01780816" wp14:editId="32A2279C">
            <wp:extent cx="5731510" cy="50133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4 - Model v Globocan - Case Dis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5013325"/>
                    </a:xfrm>
                    <a:prstGeom prst="rect">
                      <a:avLst/>
                    </a:prstGeom>
                  </pic:spPr>
                </pic:pic>
              </a:graphicData>
            </a:graphic>
          </wp:inline>
        </w:drawing>
      </w:r>
    </w:p>
    <w:p w14:paraId="6F112551" w14:textId="280D4001" w:rsidR="009F2A9E" w:rsidRDefault="00127B9F">
      <w:pPr>
        <w:rPr>
          <w:bCs/>
        </w:rPr>
      </w:pPr>
      <w:r w:rsidRPr="006675C5">
        <w:rPr>
          <w:b/>
          <w:bCs/>
        </w:rPr>
        <w:t xml:space="preserve">Figure </w:t>
      </w:r>
      <w:r w:rsidR="00356193">
        <w:rPr>
          <w:b/>
          <w:bCs/>
        </w:rPr>
        <w:t>4</w:t>
      </w:r>
      <w:r w:rsidRPr="006675C5">
        <w:rPr>
          <w:b/>
          <w:bCs/>
        </w:rPr>
        <w:t xml:space="preserve"> </w:t>
      </w:r>
      <w:r w:rsidRPr="006675C5">
        <w:rPr>
          <w:bCs/>
        </w:rPr>
        <w:t>–</w:t>
      </w:r>
      <w:r>
        <w:rPr>
          <w:bCs/>
        </w:rPr>
        <w:t xml:space="preserve"> </w:t>
      </w:r>
      <w:r w:rsidR="004311DE">
        <w:rPr>
          <w:bCs/>
        </w:rPr>
        <w:t>E</w:t>
      </w:r>
      <w:r w:rsidR="00634C02">
        <w:rPr>
          <w:bCs/>
        </w:rPr>
        <w:t xml:space="preserve">stimated </w:t>
      </w:r>
      <w:r w:rsidR="00541F7F">
        <w:rPr>
          <w:bCs/>
        </w:rPr>
        <w:t xml:space="preserve">numbers of </w:t>
      </w:r>
      <w:r w:rsidR="00634C02" w:rsidRPr="006675C5">
        <w:rPr>
          <w:bCs/>
        </w:rPr>
        <w:t xml:space="preserve">cancers </w:t>
      </w:r>
      <w:r w:rsidR="00541F7F">
        <w:rPr>
          <w:bCs/>
        </w:rPr>
        <w:t xml:space="preserve">in children aged </w:t>
      </w:r>
      <w:r w:rsidR="00634C02">
        <w:rPr>
          <w:bCs/>
        </w:rPr>
        <w:t>&lt;</w:t>
      </w:r>
      <w:r w:rsidR="00634C02" w:rsidRPr="006675C5">
        <w:rPr>
          <w:bCs/>
        </w:rPr>
        <w:t>15 years</w:t>
      </w:r>
      <w:r w:rsidR="004311DE">
        <w:rPr>
          <w:bCs/>
        </w:rPr>
        <w:t xml:space="preserve"> by </w:t>
      </w:r>
      <w:r w:rsidR="00634C02">
        <w:rPr>
          <w:bCs/>
        </w:rPr>
        <w:t xml:space="preserve">(A) </w:t>
      </w:r>
      <w:r w:rsidR="00912659">
        <w:rPr>
          <w:bCs/>
        </w:rPr>
        <w:t>UN Region (B)</w:t>
      </w:r>
      <w:r w:rsidR="00634C02">
        <w:rPr>
          <w:bCs/>
        </w:rPr>
        <w:t xml:space="preserve"> </w:t>
      </w:r>
      <w:r w:rsidR="005D4AC1">
        <w:rPr>
          <w:bCs/>
        </w:rPr>
        <w:t>human development index (HDI)</w:t>
      </w:r>
      <w:r w:rsidR="00C75390">
        <w:rPr>
          <w:bCs/>
        </w:rPr>
        <w:t xml:space="preserve"> from GLOBOCAN </w:t>
      </w:r>
      <w:r w:rsidR="00541F7F">
        <w:rPr>
          <w:bCs/>
        </w:rPr>
        <w:t xml:space="preserve">2018 </w:t>
      </w:r>
      <w:r w:rsidR="00C75390">
        <w:rPr>
          <w:bCs/>
        </w:rPr>
        <w:t>and the BM</w:t>
      </w:r>
      <w:r w:rsidR="00541F7F">
        <w:rPr>
          <w:bCs/>
        </w:rPr>
        <w:t xml:space="preserve"> </w:t>
      </w:r>
      <w:r w:rsidR="005E3628">
        <w:rPr>
          <w:bCs/>
        </w:rPr>
        <w:t xml:space="preserve">for </w:t>
      </w:r>
      <w:r w:rsidR="00541F7F">
        <w:rPr>
          <w:bCs/>
        </w:rPr>
        <w:t>2015</w:t>
      </w:r>
      <w:r w:rsidR="00634C02">
        <w:rPr>
          <w:bCs/>
        </w:rPr>
        <w:t xml:space="preserve">.  </w:t>
      </w:r>
      <w:r w:rsidR="002019DE">
        <w:rPr>
          <w:bCs/>
        </w:rPr>
        <w:t>R</w:t>
      </w:r>
      <w:r w:rsidR="003B4B21">
        <w:rPr>
          <w:bCs/>
        </w:rPr>
        <w:t xml:space="preserve">egional </w:t>
      </w:r>
      <w:r w:rsidR="00634C02" w:rsidRPr="006675C5">
        <w:rPr>
          <w:bCs/>
        </w:rPr>
        <w:t>ranking</w:t>
      </w:r>
      <w:r w:rsidR="003B4B21">
        <w:rPr>
          <w:bCs/>
        </w:rPr>
        <w:t>s</w:t>
      </w:r>
      <w:r w:rsidR="002019DE">
        <w:rPr>
          <w:bCs/>
        </w:rPr>
        <w:t xml:space="preserve"> are indicated on the right</w:t>
      </w:r>
      <w:r w:rsidR="00634C02" w:rsidRPr="006675C5">
        <w:rPr>
          <w:bCs/>
        </w:rPr>
        <w:t>.</w:t>
      </w:r>
      <w:r w:rsidR="009F2A9E">
        <w:rPr>
          <w:bCs/>
        </w:rPr>
        <w:br w:type="page"/>
      </w:r>
    </w:p>
    <w:p w14:paraId="42747B06" w14:textId="5A4F0A34" w:rsidR="003E4D33" w:rsidRDefault="003E4D33" w:rsidP="00F24C10">
      <w:pPr>
        <w:rPr>
          <w:bCs/>
        </w:rPr>
      </w:pPr>
    </w:p>
    <w:tbl>
      <w:tblPr>
        <w:tblW w:w="10352" w:type="dxa"/>
        <w:jc w:val="center"/>
        <w:tblLook w:val="04A0" w:firstRow="1" w:lastRow="0" w:firstColumn="1" w:lastColumn="0" w:noHBand="0" w:noVBand="1"/>
      </w:tblPr>
      <w:tblGrid>
        <w:gridCol w:w="1985"/>
        <w:gridCol w:w="2692"/>
        <w:gridCol w:w="992"/>
        <w:gridCol w:w="851"/>
        <w:gridCol w:w="992"/>
        <w:gridCol w:w="851"/>
        <w:gridCol w:w="1134"/>
        <w:gridCol w:w="855"/>
      </w:tblGrid>
      <w:tr w:rsidR="00096C5C" w:rsidRPr="001567D7" w14:paraId="34888E01" w14:textId="77777777" w:rsidTr="00844967">
        <w:trPr>
          <w:trHeight w:val="397"/>
          <w:jc w:val="center"/>
        </w:trPr>
        <w:tc>
          <w:tcPr>
            <w:tcW w:w="10352" w:type="dxa"/>
            <w:gridSpan w:val="8"/>
            <w:tcBorders>
              <w:left w:val="nil"/>
              <w:right w:val="nil"/>
            </w:tcBorders>
            <w:vAlign w:val="center"/>
          </w:tcPr>
          <w:p w14:paraId="7972648E" w14:textId="0794AFC0" w:rsidR="00096C5C" w:rsidRPr="001567D7" w:rsidRDefault="00096C5C" w:rsidP="00794B66">
            <w:pPr>
              <w:spacing w:after="0" w:line="240" w:lineRule="auto"/>
              <w:rPr>
                <w:rFonts w:eastAsia="Times New Roman" w:cstheme="minorHAnsi"/>
                <w:color w:val="000000"/>
                <w:lang w:eastAsia="en-GB"/>
              </w:rPr>
            </w:pPr>
            <w:bookmarkStart w:id="8" w:name="_Hlk15899637"/>
            <w:r w:rsidRPr="00ED4236">
              <w:rPr>
                <w:b/>
                <w:bCs/>
              </w:rPr>
              <w:t>Table</w:t>
            </w:r>
            <w:r>
              <w:rPr>
                <w:b/>
                <w:bCs/>
              </w:rPr>
              <w:t xml:space="preserve"> </w:t>
            </w:r>
            <w:r w:rsidRPr="00ED4236">
              <w:rPr>
                <w:b/>
                <w:bCs/>
              </w:rPr>
              <w:t>1</w:t>
            </w:r>
            <w:r>
              <w:rPr>
                <w:bCs/>
              </w:rPr>
              <w:t xml:space="preserve">: </w:t>
            </w:r>
            <w:r w:rsidR="007846A6">
              <w:rPr>
                <w:bCs/>
              </w:rPr>
              <w:t xml:space="preserve">Number of cancer cases </w:t>
            </w:r>
            <w:r w:rsidR="00794B66">
              <w:rPr>
                <w:bCs/>
              </w:rPr>
              <w:t xml:space="preserve">among children </w:t>
            </w:r>
            <w:r w:rsidR="007846A6">
              <w:rPr>
                <w:bCs/>
              </w:rPr>
              <w:t>age</w:t>
            </w:r>
            <w:r w:rsidR="00794B66">
              <w:rPr>
                <w:bCs/>
              </w:rPr>
              <w:t xml:space="preserve">d </w:t>
            </w:r>
            <w:r w:rsidR="007846A6">
              <w:rPr>
                <w:bCs/>
              </w:rPr>
              <w:t>&lt;15 years, as estimated by the Baseline Mode</w:t>
            </w:r>
            <w:r w:rsidR="00794B66">
              <w:rPr>
                <w:bCs/>
              </w:rPr>
              <w:t>l</w:t>
            </w:r>
            <w:r w:rsidR="007846A6">
              <w:rPr>
                <w:bCs/>
              </w:rPr>
              <w:t xml:space="preserve"> (BM)</w:t>
            </w:r>
            <w:r w:rsidR="00B555DC">
              <w:rPr>
                <w:bCs/>
              </w:rPr>
              <w:t xml:space="preserve"> for 2015</w:t>
            </w:r>
            <w:r w:rsidR="007846A6">
              <w:rPr>
                <w:bCs/>
              </w:rPr>
              <w:t xml:space="preserve"> and </w:t>
            </w:r>
            <w:r>
              <w:rPr>
                <w:bCs/>
              </w:rPr>
              <w:t xml:space="preserve">GLOBOCAN </w:t>
            </w:r>
            <w:r w:rsidR="007846A6">
              <w:rPr>
                <w:bCs/>
              </w:rPr>
              <w:t>2018</w:t>
            </w:r>
            <w:r>
              <w:rPr>
                <w:bCs/>
              </w:rPr>
              <w:t xml:space="preserve"> by UN region and </w:t>
            </w:r>
            <w:r w:rsidR="007846A6">
              <w:rPr>
                <w:bCs/>
              </w:rPr>
              <w:t xml:space="preserve">the </w:t>
            </w:r>
            <w:r w:rsidR="00D312C9">
              <w:rPr>
                <w:bCs/>
              </w:rPr>
              <w:t>h</w:t>
            </w:r>
            <w:r w:rsidR="007846A6">
              <w:rPr>
                <w:bCs/>
              </w:rPr>
              <w:t xml:space="preserve">uman </w:t>
            </w:r>
            <w:r w:rsidR="00D312C9">
              <w:rPr>
                <w:bCs/>
              </w:rPr>
              <w:t>d</w:t>
            </w:r>
            <w:r w:rsidR="00041370">
              <w:rPr>
                <w:bCs/>
              </w:rPr>
              <w:t xml:space="preserve">evelopment </w:t>
            </w:r>
            <w:r w:rsidR="00D312C9">
              <w:rPr>
                <w:bCs/>
              </w:rPr>
              <w:t>i</w:t>
            </w:r>
            <w:r w:rsidR="00041370">
              <w:rPr>
                <w:bCs/>
              </w:rPr>
              <w:t>ndex</w:t>
            </w:r>
            <w:r w:rsidR="007846A6">
              <w:rPr>
                <w:bCs/>
              </w:rPr>
              <w:t xml:space="preserve"> category</w:t>
            </w:r>
            <w:r>
              <w:rPr>
                <w:bCs/>
              </w:rPr>
              <w:t xml:space="preserve">, ordered by the difference </w:t>
            </w:r>
            <w:r w:rsidR="00EC4601">
              <w:rPr>
                <w:bCs/>
              </w:rPr>
              <w:t xml:space="preserve">of </w:t>
            </w:r>
            <w:r w:rsidR="00794B66">
              <w:rPr>
                <w:bCs/>
              </w:rPr>
              <w:t xml:space="preserve">between </w:t>
            </w:r>
            <w:r w:rsidR="007846A6">
              <w:rPr>
                <w:bCs/>
              </w:rPr>
              <w:t xml:space="preserve">the BM </w:t>
            </w:r>
            <w:r w:rsidR="005E3628">
              <w:rPr>
                <w:bCs/>
              </w:rPr>
              <w:t xml:space="preserve">and </w:t>
            </w:r>
            <w:r w:rsidR="00EC4601">
              <w:rPr>
                <w:bCs/>
              </w:rPr>
              <w:t xml:space="preserve">GLOBOCAN </w:t>
            </w:r>
            <w:r w:rsidR="007846A6">
              <w:rPr>
                <w:bCs/>
              </w:rPr>
              <w:t>estimates</w:t>
            </w:r>
            <w:bookmarkEnd w:id="8"/>
            <w:r w:rsidR="00794B66">
              <w:rPr>
                <w:bCs/>
              </w:rPr>
              <w:t>.</w:t>
            </w:r>
          </w:p>
        </w:tc>
      </w:tr>
      <w:tr w:rsidR="00746D02" w:rsidRPr="001567D7" w14:paraId="30A98196" w14:textId="77777777" w:rsidTr="00097A59">
        <w:trPr>
          <w:trHeight w:val="397"/>
          <w:jc w:val="center"/>
        </w:trPr>
        <w:tc>
          <w:tcPr>
            <w:tcW w:w="4677" w:type="dxa"/>
            <w:gridSpan w:val="2"/>
            <w:vMerge w:val="restart"/>
            <w:tcBorders>
              <w:top w:val="single" w:sz="12" w:space="0" w:color="auto"/>
              <w:left w:val="nil"/>
              <w:right w:val="nil"/>
            </w:tcBorders>
            <w:vAlign w:val="center"/>
          </w:tcPr>
          <w:p w14:paraId="223DFEC9" w14:textId="35F2A30D" w:rsidR="00746D02" w:rsidRPr="001567D7" w:rsidRDefault="00746D02" w:rsidP="001567D7">
            <w:pPr>
              <w:spacing w:after="0" w:line="240" w:lineRule="auto"/>
              <w:jc w:val="center"/>
              <w:rPr>
                <w:rFonts w:eastAsia="Times New Roman" w:cstheme="minorHAnsi"/>
                <w:color w:val="000000"/>
                <w:lang w:eastAsia="en-GB"/>
              </w:rPr>
            </w:pPr>
          </w:p>
        </w:tc>
        <w:tc>
          <w:tcPr>
            <w:tcW w:w="3686" w:type="dxa"/>
            <w:gridSpan w:val="4"/>
            <w:tcBorders>
              <w:top w:val="single" w:sz="12" w:space="0" w:color="auto"/>
              <w:left w:val="nil"/>
              <w:bottom w:val="nil"/>
              <w:right w:val="nil"/>
            </w:tcBorders>
            <w:shd w:val="clear" w:color="auto" w:fill="auto"/>
            <w:noWrap/>
            <w:vAlign w:val="center"/>
          </w:tcPr>
          <w:p w14:paraId="00E6B0F7" w14:textId="41050E36" w:rsidR="00746D02" w:rsidRPr="001567D7" w:rsidRDefault="00746D02" w:rsidP="00044794">
            <w:pPr>
              <w:spacing w:after="0" w:line="240" w:lineRule="auto"/>
              <w:jc w:val="center"/>
              <w:rPr>
                <w:rFonts w:eastAsia="Times New Roman" w:cstheme="minorHAnsi"/>
                <w:color w:val="000000"/>
                <w:lang w:eastAsia="en-GB"/>
              </w:rPr>
            </w:pPr>
            <w:r w:rsidRPr="001567D7">
              <w:rPr>
                <w:rFonts w:eastAsia="Times New Roman" w:cstheme="minorHAnsi"/>
                <w:color w:val="000000"/>
                <w:lang w:eastAsia="en-GB"/>
              </w:rPr>
              <w:t xml:space="preserve">Estimated </w:t>
            </w:r>
            <w:r w:rsidR="00794B66">
              <w:rPr>
                <w:rFonts w:eastAsia="Times New Roman" w:cstheme="minorHAnsi"/>
                <w:color w:val="000000"/>
                <w:lang w:eastAsia="en-GB"/>
              </w:rPr>
              <w:t>c</w:t>
            </w:r>
            <w:r w:rsidRPr="001567D7">
              <w:rPr>
                <w:rFonts w:eastAsia="Times New Roman" w:cstheme="minorHAnsi"/>
                <w:color w:val="000000"/>
                <w:lang w:eastAsia="en-GB"/>
              </w:rPr>
              <w:t>ancers</w:t>
            </w:r>
          </w:p>
        </w:tc>
        <w:tc>
          <w:tcPr>
            <w:tcW w:w="1989" w:type="dxa"/>
            <w:gridSpan w:val="2"/>
            <w:tcBorders>
              <w:top w:val="single" w:sz="12" w:space="0" w:color="auto"/>
              <w:left w:val="nil"/>
              <w:bottom w:val="nil"/>
              <w:right w:val="nil"/>
            </w:tcBorders>
            <w:shd w:val="clear" w:color="auto" w:fill="auto"/>
            <w:noWrap/>
            <w:vAlign w:val="center"/>
          </w:tcPr>
          <w:p w14:paraId="2D1F9BD2" w14:textId="79FF098D" w:rsidR="00746D02" w:rsidRPr="001567D7" w:rsidRDefault="007846A6" w:rsidP="001567D7">
            <w:pPr>
              <w:spacing w:after="0" w:line="240" w:lineRule="auto"/>
              <w:jc w:val="center"/>
              <w:rPr>
                <w:rFonts w:eastAsia="Times New Roman" w:cstheme="minorHAnsi"/>
                <w:color w:val="000000"/>
                <w:lang w:eastAsia="en-GB"/>
              </w:rPr>
            </w:pPr>
            <w:r>
              <w:rPr>
                <w:rFonts w:eastAsia="Times New Roman" w:cstheme="minorHAnsi"/>
                <w:color w:val="000000"/>
                <w:lang w:eastAsia="en-GB"/>
              </w:rPr>
              <w:t>D</w:t>
            </w:r>
            <w:r w:rsidR="00746D02" w:rsidRPr="001567D7">
              <w:rPr>
                <w:rFonts w:eastAsia="Times New Roman" w:cstheme="minorHAnsi"/>
                <w:color w:val="000000"/>
                <w:lang w:eastAsia="en-GB"/>
              </w:rPr>
              <w:t xml:space="preserve">ifference </w:t>
            </w:r>
          </w:p>
        </w:tc>
      </w:tr>
      <w:tr w:rsidR="00746D02" w:rsidRPr="001567D7" w14:paraId="01797172" w14:textId="77777777" w:rsidTr="00097A59">
        <w:trPr>
          <w:trHeight w:val="397"/>
          <w:jc w:val="center"/>
        </w:trPr>
        <w:tc>
          <w:tcPr>
            <w:tcW w:w="4677" w:type="dxa"/>
            <w:gridSpan w:val="2"/>
            <w:vMerge/>
            <w:tcBorders>
              <w:left w:val="nil"/>
              <w:bottom w:val="single" w:sz="12" w:space="0" w:color="auto"/>
              <w:right w:val="nil"/>
            </w:tcBorders>
            <w:vAlign w:val="center"/>
          </w:tcPr>
          <w:p w14:paraId="71DD229B" w14:textId="0B35412D" w:rsidR="00746D02" w:rsidRPr="001567D7" w:rsidRDefault="00746D02" w:rsidP="001567D7">
            <w:pPr>
              <w:spacing w:after="0" w:line="240" w:lineRule="auto"/>
              <w:jc w:val="center"/>
              <w:rPr>
                <w:rFonts w:eastAsia="Times New Roman" w:cstheme="minorHAnsi"/>
                <w:color w:val="000000"/>
                <w:lang w:eastAsia="en-GB"/>
              </w:rPr>
            </w:pPr>
          </w:p>
        </w:tc>
        <w:tc>
          <w:tcPr>
            <w:tcW w:w="1843" w:type="dxa"/>
            <w:gridSpan w:val="2"/>
            <w:tcBorders>
              <w:top w:val="nil"/>
              <w:left w:val="nil"/>
              <w:bottom w:val="single" w:sz="12" w:space="0" w:color="auto"/>
              <w:right w:val="nil"/>
            </w:tcBorders>
            <w:shd w:val="clear" w:color="auto" w:fill="auto"/>
            <w:noWrap/>
            <w:vAlign w:val="center"/>
            <w:hideMark/>
          </w:tcPr>
          <w:p w14:paraId="3B067A5A" w14:textId="5475D89C" w:rsidR="00746D02" w:rsidRPr="001567D7" w:rsidRDefault="003E4D33" w:rsidP="001567D7">
            <w:pPr>
              <w:spacing w:after="0" w:line="240" w:lineRule="auto"/>
              <w:jc w:val="center"/>
              <w:rPr>
                <w:rFonts w:eastAsia="Times New Roman" w:cstheme="minorHAnsi"/>
                <w:color w:val="000000"/>
                <w:lang w:eastAsia="en-GB"/>
              </w:rPr>
            </w:pPr>
            <w:r>
              <w:rPr>
                <w:rFonts w:eastAsia="Times New Roman" w:cstheme="minorHAnsi"/>
                <w:color w:val="000000"/>
                <w:lang w:eastAsia="en-GB"/>
              </w:rPr>
              <w:t>BM</w:t>
            </w:r>
            <w:r w:rsidR="00794B66">
              <w:rPr>
                <w:rFonts w:eastAsia="Times New Roman" w:cstheme="minorHAnsi"/>
                <w:color w:val="000000"/>
                <w:lang w:eastAsia="en-GB"/>
              </w:rPr>
              <w:t xml:space="preserve"> (%)</w:t>
            </w:r>
          </w:p>
        </w:tc>
        <w:tc>
          <w:tcPr>
            <w:tcW w:w="1843" w:type="dxa"/>
            <w:gridSpan w:val="2"/>
            <w:tcBorders>
              <w:top w:val="nil"/>
              <w:left w:val="nil"/>
              <w:bottom w:val="single" w:sz="12" w:space="0" w:color="auto"/>
              <w:right w:val="nil"/>
            </w:tcBorders>
            <w:shd w:val="clear" w:color="auto" w:fill="auto"/>
            <w:noWrap/>
            <w:vAlign w:val="center"/>
            <w:hideMark/>
          </w:tcPr>
          <w:p w14:paraId="0290AD09" w14:textId="1F5D37F6" w:rsidR="00746D02" w:rsidRPr="001567D7" w:rsidRDefault="00746D02" w:rsidP="001567D7">
            <w:pPr>
              <w:spacing w:after="0" w:line="240" w:lineRule="auto"/>
              <w:jc w:val="center"/>
              <w:rPr>
                <w:rFonts w:eastAsia="Times New Roman" w:cstheme="minorHAnsi"/>
                <w:color w:val="000000"/>
                <w:lang w:eastAsia="en-GB"/>
              </w:rPr>
            </w:pPr>
            <w:r w:rsidRPr="001567D7">
              <w:rPr>
                <w:rFonts w:eastAsia="Times New Roman" w:cstheme="minorHAnsi"/>
                <w:color w:val="000000"/>
                <w:lang w:eastAsia="en-GB"/>
              </w:rPr>
              <w:t>GLOBOCAN</w:t>
            </w:r>
            <w:r w:rsidR="00044794">
              <w:rPr>
                <w:rFonts w:eastAsia="Times New Roman" w:cstheme="minorHAnsi"/>
                <w:color w:val="000000"/>
                <w:lang w:eastAsia="en-GB"/>
              </w:rPr>
              <w:t xml:space="preserve"> </w:t>
            </w:r>
            <w:r w:rsidR="00794B66">
              <w:rPr>
                <w:rFonts w:eastAsia="Times New Roman" w:cstheme="minorHAnsi"/>
                <w:color w:val="000000"/>
                <w:lang w:eastAsia="en-GB"/>
              </w:rPr>
              <w:t>(%)</w:t>
            </w:r>
          </w:p>
        </w:tc>
        <w:tc>
          <w:tcPr>
            <w:tcW w:w="1134" w:type="dxa"/>
            <w:tcBorders>
              <w:top w:val="nil"/>
              <w:left w:val="nil"/>
              <w:bottom w:val="single" w:sz="12" w:space="0" w:color="auto"/>
              <w:right w:val="nil"/>
            </w:tcBorders>
            <w:shd w:val="clear" w:color="auto" w:fill="auto"/>
            <w:noWrap/>
            <w:vAlign w:val="center"/>
            <w:hideMark/>
          </w:tcPr>
          <w:p w14:paraId="034AD9B0" w14:textId="77777777" w:rsidR="00746D02" w:rsidRPr="001567D7" w:rsidRDefault="00746D02" w:rsidP="001567D7">
            <w:pPr>
              <w:spacing w:after="0" w:line="240" w:lineRule="auto"/>
              <w:jc w:val="center"/>
              <w:rPr>
                <w:rFonts w:eastAsia="Times New Roman" w:cstheme="minorHAnsi"/>
                <w:color w:val="000000"/>
                <w:lang w:eastAsia="en-GB"/>
              </w:rPr>
            </w:pPr>
            <w:r w:rsidRPr="001567D7">
              <w:rPr>
                <w:rFonts w:eastAsia="Times New Roman" w:cstheme="minorHAnsi"/>
                <w:color w:val="000000"/>
                <w:lang w:eastAsia="en-GB"/>
              </w:rPr>
              <w:t>N</w:t>
            </w:r>
          </w:p>
        </w:tc>
        <w:tc>
          <w:tcPr>
            <w:tcW w:w="855" w:type="dxa"/>
            <w:tcBorders>
              <w:top w:val="nil"/>
              <w:left w:val="nil"/>
              <w:bottom w:val="single" w:sz="12" w:space="0" w:color="auto"/>
              <w:right w:val="nil"/>
            </w:tcBorders>
            <w:shd w:val="clear" w:color="auto" w:fill="auto"/>
            <w:noWrap/>
            <w:vAlign w:val="center"/>
            <w:hideMark/>
          </w:tcPr>
          <w:p w14:paraId="698DD6E1" w14:textId="77777777" w:rsidR="00746D02" w:rsidRPr="001567D7" w:rsidRDefault="00746D02" w:rsidP="001567D7">
            <w:pPr>
              <w:spacing w:after="0" w:line="240" w:lineRule="auto"/>
              <w:jc w:val="center"/>
              <w:rPr>
                <w:rFonts w:eastAsia="Times New Roman" w:cstheme="minorHAnsi"/>
                <w:color w:val="000000"/>
                <w:lang w:eastAsia="en-GB"/>
              </w:rPr>
            </w:pPr>
            <w:r w:rsidRPr="001567D7">
              <w:rPr>
                <w:rFonts w:eastAsia="Times New Roman" w:cstheme="minorHAnsi"/>
                <w:color w:val="000000"/>
                <w:lang w:eastAsia="en-GB"/>
              </w:rPr>
              <w:t>%</w:t>
            </w:r>
          </w:p>
        </w:tc>
      </w:tr>
      <w:tr w:rsidR="00C04064" w:rsidRPr="001567D7" w14:paraId="656907AD" w14:textId="77777777" w:rsidTr="00BC211D">
        <w:tblPrEx>
          <w:jc w:val="left"/>
        </w:tblPrEx>
        <w:trPr>
          <w:trHeight w:val="20"/>
        </w:trPr>
        <w:tc>
          <w:tcPr>
            <w:tcW w:w="1985" w:type="dxa"/>
            <w:tcBorders>
              <w:top w:val="nil"/>
              <w:left w:val="nil"/>
              <w:bottom w:val="nil"/>
              <w:right w:val="nil"/>
            </w:tcBorders>
            <w:shd w:val="clear" w:color="auto" w:fill="auto"/>
            <w:noWrap/>
            <w:vAlign w:val="center"/>
            <w:hideMark/>
          </w:tcPr>
          <w:p w14:paraId="74FB3488" w14:textId="77777777" w:rsidR="00C04064" w:rsidRPr="001567D7" w:rsidRDefault="00C04064" w:rsidP="00C04064">
            <w:pPr>
              <w:spacing w:after="0" w:line="240" w:lineRule="auto"/>
              <w:jc w:val="center"/>
              <w:rPr>
                <w:rFonts w:eastAsia="Times New Roman" w:cstheme="minorHAnsi"/>
                <w:color w:val="000000"/>
                <w:lang w:eastAsia="en-GB"/>
              </w:rPr>
            </w:pPr>
            <w:r w:rsidRPr="001567D7">
              <w:rPr>
                <w:rFonts w:eastAsia="Times New Roman" w:cstheme="minorHAnsi"/>
                <w:color w:val="000000"/>
                <w:lang w:eastAsia="en-GB"/>
              </w:rPr>
              <w:t>World</w:t>
            </w:r>
          </w:p>
        </w:tc>
        <w:tc>
          <w:tcPr>
            <w:tcW w:w="2692" w:type="dxa"/>
            <w:tcBorders>
              <w:top w:val="nil"/>
              <w:left w:val="nil"/>
              <w:bottom w:val="nil"/>
              <w:right w:val="nil"/>
            </w:tcBorders>
            <w:shd w:val="clear" w:color="auto" w:fill="auto"/>
            <w:vAlign w:val="center"/>
          </w:tcPr>
          <w:p w14:paraId="5C6BF80F" w14:textId="244B39F5" w:rsidR="00C04064" w:rsidRPr="001567D7" w:rsidRDefault="00C04064" w:rsidP="00C04064">
            <w:pPr>
              <w:spacing w:after="0" w:line="240" w:lineRule="auto"/>
              <w:rPr>
                <w:rFonts w:eastAsia="Times New Roman" w:cstheme="minorHAnsi"/>
                <w:color w:val="000000"/>
                <w:lang w:eastAsia="en-GB"/>
              </w:rPr>
            </w:pPr>
          </w:p>
        </w:tc>
        <w:tc>
          <w:tcPr>
            <w:tcW w:w="992" w:type="dxa"/>
            <w:tcBorders>
              <w:top w:val="nil"/>
              <w:left w:val="nil"/>
              <w:bottom w:val="nil"/>
              <w:right w:val="nil"/>
            </w:tcBorders>
            <w:shd w:val="clear" w:color="auto" w:fill="auto"/>
            <w:noWrap/>
            <w:vAlign w:val="bottom"/>
          </w:tcPr>
          <w:p w14:paraId="7C869149" w14:textId="6B9C9DD6"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360,114</w:t>
            </w:r>
          </w:p>
        </w:tc>
        <w:tc>
          <w:tcPr>
            <w:tcW w:w="851" w:type="dxa"/>
            <w:tcBorders>
              <w:top w:val="nil"/>
              <w:left w:val="nil"/>
              <w:bottom w:val="nil"/>
              <w:right w:val="nil"/>
            </w:tcBorders>
            <w:shd w:val="clear" w:color="auto" w:fill="auto"/>
            <w:noWrap/>
            <w:vAlign w:val="bottom"/>
          </w:tcPr>
          <w:p w14:paraId="5180885E" w14:textId="726017DF"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(100.0)</w:t>
            </w:r>
          </w:p>
        </w:tc>
        <w:tc>
          <w:tcPr>
            <w:tcW w:w="992" w:type="dxa"/>
            <w:tcBorders>
              <w:top w:val="nil"/>
              <w:left w:val="nil"/>
              <w:bottom w:val="nil"/>
              <w:right w:val="nil"/>
            </w:tcBorders>
            <w:shd w:val="clear" w:color="auto" w:fill="auto"/>
            <w:noWrap/>
            <w:vAlign w:val="bottom"/>
          </w:tcPr>
          <w:p w14:paraId="4AFC58E3" w14:textId="6B80AD09"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199,645</w:t>
            </w:r>
          </w:p>
        </w:tc>
        <w:tc>
          <w:tcPr>
            <w:tcW w:w="851" w:type="dxa"/>
            <w:tcBorders>
              <w:top w:val="nil"/>
              <w:left w:val="nil"/>
              <w:bottom w:val="nil"/>
              <w:right w:val="nil"/>
            </w:tcBorders>
            <w:shd w:val="clear" w:color="auto" w:fill="auto"/>
            <w:noWrap/>
            <w:vAlign w:val="bottom"/>
          </w:tcPr>
          <w:p w14:paraId="4DEAD508" w14:textId="427B292E"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(100.0)</w:t>
            </w:r>
          </w:p>
        </w:tc>
        <w:tc>
          <w:tcPr>
            <w:tcW w:w="1134" w:type="dxa"/>
            <w:tcBorders>
              <w:top w:val="nil"/>
              <w:left w:val="nil"/>
              <w:bottom w:val="nil"/>
              <w:right w:val="nil"/>
            </w:tcBorders>
            <w:shd w:val="clear" w:color="auto" w:fill="auto"/>
            <w:noWrap/>
            <w:vAlign w:val="bottom"/>
          </w:tcPr>
          <w:p w14:paraId="44FB6235" w14:textId="09E7ADBE"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-160,469</w:t>
            </w:r>
          </w:p>
        </w:tc>
        <w:tc>
          <w:tcPr>
            <w:tcW w:w="855" w:type="dxa"/>
            <w:tcBorders>
              <w:top w:val="nil"/>
              <w:left w:val="nil"/>
              <w:bottom w:val="nil"/>
              <w:right w:val="nil"/>
            </w:tcBorders>
            <w:shd w:val="clear" w:color="auto" w:fill="auto"/>
            <w:noWrap/>
            <w:vAlign w:val="bottom"/>
          </w:tcPr>
          <w:p w14:paraId="7AF35DF9" w14:textId="1801184F" w:rsidR="00C04064" w:rsidRPr="00B778AF" w:rsidRDefault="00C04064" w:rsidP="00C04064">
            <w:pPr>
              <w:contextualSpacing/>
              <w:rPr>
                <w:rFonts w:ascii="Calibri" w:hAnsi="Calibri" w:cs="Calibri"/>
                <w:color w:val="000000"/>
              </w:rPr>
            </w:pPr>
            <w:r>
              <w:rPr>
                <w:rFonts w:ascii="Calibri" w:hAnsi="Calibri" w:cs="Calibri"/>
                <w:color w:val="000000"/>
              </w:rPr>
              <w:t>(-44.6)</w:t>
            </w:r>
          </w:p>
        </w:tc>
      </w:tr>
      <w:tr w:rsidR="00C04064" w:rsidRPr="001567D7" w14:paraId="6D48D4C9" w14:textId="77777777" w:rsidTr="00097A59">
        <w:tblPrEx>
          <w:jc w:val="left"/>
        </w:tblPrEx>
        <w:trPr>
          <w:trHeight w:val="288"/>
        </w:trPr>
        <w:tc>
          <w:tcPr>
            <w:tcW w:w="4677" w:type="dxa"/>
            <w:gridSpan w:val="2"/>
            <w:tcBorders>
              <w:top w:val="nil"/>
              <w:left w:val="nil"/>
              <w:bottom w:val="nil"/>
              <w:right w:val="nil"/>
            </w:tcBorders>
            <w:shd w:val="clear" w:color="auto" w:fill="auto"/>
            <w:noWrap/>
            <w:vAlign w:val="center"/>
          </w:tcPr>
          <w:p w14:paraId="76BD19F8" w14:textId="77777777" w:rsidR="00C04064" w:rsidRPr="001567D7" w:rsidRDefault="00C04064" w:rsidP="00C04064">
            <w:pPr>
              <w:spacing w:after="0" w:line="240" w:lineRule="auto"/>
              <w:jc w:val="center"/>
              <w:rPr>
                <w:rFonts w:eastAsia="Times New Roman" w:cstheme="minorHAnsi"/>
                <w:color w:val="000000"/>
                <w:lang w:eastAsia="en-GB"/>
              </w:rPr>
            </w:pPr>
          </w:p>
        </w:tc>
        <w:tc>
          <w:tcPr>
            <w:tcW w:w="992" w:type="dxa"/>
            <w:tcBorders>
              <w:top w:val="nil"/>
              <w:left w:val="nil"/>
              <w:bottom w:val="nil"/>
              <w:right w:val="nil"/>
            </w:tcBorders>
            <w:shd w:val="clear" w:color="auto" w:fill="auto"/>
            <w:noWrap/>
            <w:vAlign w:val="center"/>
          </w:tcPr>
          <w:p w14:paraId="68BAD81D" w14:textId="77777777" w:rsidR="00C04064" w:rsidRPr="001567D7" w:rsidRDefault="00C04064" w:rsidP="00C04064">
            <w:pPr>
              <w:spacing w:after="0" w:line="240" w:lineRule="auto"/>
              <w:jc w:val="right"/>
              <w:rPr>
                <w:rFonts w:eastAsia="Times New Roman" w:cstheme="minorHAnsi"/>
                <w:color w:val="000000"/>
                <w:lang w:eastAsia="en-GB"/>
              </w:rPr>
            </w:pPr>
          </w:p>
        </w:tc>
        <w:tc>
          <w:tcPr>
            <w:tcW w:w="851" w:type="dxa"/>
            <w:tcBorders>
              <w:top w:val="nil"/>
              <w:left w:val="nil"/>
              <w:bottom w:val="nil"/>
              <w:right w:val="nil"/>
            </w:tcBorders>
            <w:shd w:val="clear" w:color="auto" w:fill="auto"/>
            <w:noWrap/>
            <w:vAlign w:val="center"/>
          </w:tcPr>
          <w:p w14:paraId="6301C413" w14:textId="77777777" w:rsidR="00C04064" w:rsidRPr="001567D7" w:rsidRDefault="00C04064" w:rsidP="00C04064">
            <w:pPr>
              <w:spacing w:after="0" w:line="240" w:lineRule="auto"/>
              <w:rPr>
                <w:rFonts w:eastAsia="Times New Roman" w:cstheme="minorHAnsi"/>
                <w:color w:val="000000"/>
                <w:lang w:eastAsia="en-GB"/>
              </w:rPr>
            </w:pPr>
          </w:p>
        </w:tc>
        <w:tc>
          <w:tcPr>
            <w:tcW w:w="992" w:type="dxa"/>
            <w:tcBorders>
              <w:top w:val="nil"/>
              <w:left w:val="nil"/>
              <w:bottom w:val="nil"/>
              <w:right w:val="nil"/>
            </w:tcBorders>
            <w:shd w:val="clear" w:color="auto" w:fill="auto"/>
            <w:noWrap/>
            <w:vAlign w:val="center"/>
          </w:tcPr>
          <w:p w14:paraId="55CBEA30" w14:textId="77777777" w:rsidR="00C04064" w:rsidRPr="001567D7" w:rsidRDefault="00C04064" w:rsidP="00C04064">
            <w:pPr>
              <w:spacing w:after="0" w:line="240" w:lineRule="auto"/>
              <w:jc w:val="right"/>
              <w:rPr>
                <w:rFonts w:eastAsia="Times New Roman" w:cstheme="minorHAnsi"/>
                <w:color w:val="000000"/>
                <w:lang w:eastAsia="en-GB"/>
              </w:rPr>
            </w:pPr>
          </w:p>
        </w:tc>
        <w:tc>
          <w:tcPr>
            <w:tcW w:w="851" w:type="dxa"/>
            <w:tcBorders>
              <w:top w:val="nil"/>
              <w:left w:val="nil"/>
              <w:bottom w:val="nil"/>
              <w:right w:val="nil"/>
            </w:tcBorders>
            <w:shd w:val="clear" w:color="auto" w:fill="auto"/>
            <w:noWrap/>
            <w:vAlign w:val="center"/>
          </w:tcPr>
          <w:p w14:paraId="0AE412C0" w14:textId="77777777" w:rsidR="00C04064" w:rsidRPr="001567D7" w:rsidRDefault="00C04064" w:rsidP="00C04064">
            <w:pPr>
              <w:spacing w:after="0" w:line="240" w:lineRule="auto"/>
              <w:rPr>
                <w:rFonts w:eastAsia="Times New Roman" w:cstheme="minorHAnsi"/>
                <w:color w:val="000000"/>
                <w:lang w:eastAsia="en-GB"/>
              </w:rPr>
            </w:pPr>
          </w:p>
        </w:tc>
        <w:tc>
          <w:tcPr>
            <w:tcW w:w="1134" w:type="dxa"/>
            <w:tcBorders>
              <w:top w:val="nil"/>
              <w:left w:val="nil"/>
              <w:bottom w:val="nil"/>
              <w:right w:val="nil"/>
            </w:tcBorders>
            <w:shd w:val="clear" w:color="auto" w:fill="auto"/>
            <w:noWrap/>
            <w:vAlign w:val="center"/>
          </w:tcPr>
          <w:p w14:paraId="6AB00506" w14:textId="77777777" w:rsidR="00C04064" w:rsidRPr="001567D7" w:rsidRDefault="00C04064" w:rsidP="00C04064">
            <w:pPr>
              <w:spacing w:after="0" w:line="240" w:lineRule="auto"/>
              <w:jc w:val="right"/>
              <w:rPr>
                <w:rFonts w:eastAsia="Times New Roman" w:cstheme="minorHAnsi"/>
                <w:color w:val="000000"/>
                <w:lang w:eastAsia="en-GB"/>
              </w:rPr>
            </w:pPr>
          </w:p>
        </w:tc>
        <w:tc>
          <w:tcPr>
            <w:tcW w:w="855" w:type="dxa"/>
            <w:tcBorders>
              <w:top w:val="nil"/>
              <w:left w:val="nil"/>
              <w:bottom w:val="nil"/>
              <w:right w:val="nil"/>
            </w:tcBorders>
            <w:shd w:val="clear" w:color="auto" w:fill="auto"/>
            <w:noWrap/>
            <w:vAlign w:val="center"/>
          </w:tcPr>
          <w:p w14:paraId="7DBD96A3" w14:textId="77777777" w:rsidR="00C04064" w:rsidRPr="001567D7" w:rsidRDefault="00C04064" w:rsidP="00C04064">
            <w:pPr>
              <w:spacing w:after="0" w:line="240" w:lineRule="auto"/>
              <w:rPr>
                <w:rFonts w:eastAsia="Times New Roman" w:cstheme="minorHAnsi"/>
                <w:color w:val="000000"/>
                <w:lang w:eastAsia="en-GB"/>
              </w:rPr>
            </w:pPr>
          </w:p>
        </w:tc>
      </w:tr>
      <w:tr w:rsidR="00C04064" w:rsidRPr="001567D7" w14:paraId="2DC33790" w14:textId="77777777" w:rsidTr="00BC211D">
        <w:tblPrEx>
          <w:jc w:val="left"/>
        </w:tblPrEx>
        <w:trPr>
          <w:trHeight w:val="288"/>
        </w:trPr>
        <w:tc>
          <w:tcPr>
            <w:tcW w:w="1985" w:type="dxa"/>
            <w:vMerge w:val="restart"/>
            <w:tcBorders>
              <w:top w:val="nil"/>
              <w:left w:val="nil"/>
              <w:right w:val="nil"/>
            </w:tcBorders>
            <w:shd w:val="clear" w:color="auto" w:fill="auto"/>
            <w:noWrap/>
            <w:hideMark/>
          </w:tcPr>
          <w:p w14:paraId="0958592F" w14:textId="77777777" w:rsidR="00C04064" w:rsidRPr="001567D7" w:rsidRDefault="00C04064" w:rsidP="00C04064">
            <w:pPr>
              <w:spacing w:after="0" w:line="240" w:lineRule="auto"/>
              <w:jc w:val="center"/>
              <w:rPr>
                <w:rFonts w:eastAsia="Times New Roman" w:cstheme="minorHAnsi"/>
                <w:color w:val="000000"/>
                <w:lang w:eastAsia="en-GB"/>
              </w:rPr>
            </w:pPr>
            <w:r w:rsidRPr="001567D7">
              <w:rPr>
                <w:rFonts w:eastAsia="Times New Roman" w:cstheme="minorHAnsi"/>
                <w:color w:val="000000"/>
                <w:lang w:eastAsia="en-GB"/>
              </w:rPr>
              <w:t>UN Region</w:t>
            </w:r>
          </w:p>
        </w:tc>
        <w:tc>
          <w:tcPr>
            <w:tcW w:w="2692" w:type="dxa"/>
            <w:tcBorders>
              <w:top w:val="nil"/>
              <w:left w:val="nil"/>
              <w:bottom w:val="nil"/>
              <w:right w:val="nil"/>
            </w:tcBorders>
            <w:shd w:val="clear" w:color="auto" w:fill="auto"/>
            <w:noWrap/>
            <w:vAlign w:val="bottom"/>
          </w:tcPr>
          <w:p w14:paraId="1D6211AE" w14:textId="39B8B02F"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Middle Africa</w:t>
            </w:r>
          </w:p>
        </w:tc>
        <w:tc>
          <w:tcPr>
            <w:tcW w:w="992" w:type="dxa"/>
            <w:tcBorders>
              <w:top w:val="nil"/>
              <w:left w:val="nil"/>
              <w:bottom w:val="nil"/>
              <w:right w:val="nil"/>
            </w:tcBorders>
            <w:shd w:val="clear" w:color="auto" w:fill="auto"/>
            <w:noWrap/>
            <w:vAlign w:val="bottom"/>
          </w:tcPr>
          <w:p w14:paraId="6297A850" w14:textId="7D4BC147"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15,461</w:t>
            </w:r>
          </w:p>
        </w:tc>
        <w:tc>
          <w:tcPr>
            <w:tcW w:w="851" w:type="dxa"/>
            <w:tcBorders>
              <w:top w:val="nil"/>
              <w:left w:val="nil"/>
              <w:bottom w:val="nil"/>
              <w:right w:val="nil"/>
            </w:tcBorders>
            <w:shd w:val="clear" w:color="auto" w:fill="auto"/>
            <w:noWrap/>
            <w:vAlign w:val="bottom"/>
          </w:tcPr>
          <w:p w14:paraId="6F20F048" w14:textId="5E42C890"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(4.3)</w:t>
            </w:r>
          </w:p>
        </w:tc>
        <w:tc>
          <w:tcPr>
            <w:tcW w:w="992" w:type="dxa"/>
            <w:tcBorders>
              <w:top w:val="nil"/>
              <w:left w:val="nil"/>
              <w:bottom w:val="nil"/>
              <w:right w:val="nil"/>
            </w:tcBorders>
            <w:shd w:val="clear" w:color="auto" w:fill="auto"/>
            <w:noWrap/>
            <w:vAlign w:val="bottom"/>
          </w:tcPr>
          <w:p w14:paraId="5DAEF796" w14:textId="43151B3F"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4,241</w:t>
            </w:r>
          </w:p>
        </w:tc>
        <w:tc>
          <w:tcPr>
            <w:tcW w:w="851" w:type="dxa"/>
            <w:tcBorders>
              <w:top w:val="nil"/>
              <w:left w:val="nil"/>
              <w:bottom w:val="nil"/>
              <w:right w:val="nil"/>
            </w:tcBorders>
            <w:shd w:val="clear" w:color="auto" w:fill="auto"/>
            <w:noWrap/>
            <w:vAlign w:val="bottom"/>
          </w:tcPr>
          <w:p w14:paraId="1C5D1208" w14:textId="1BC31F0C"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(2.1)</w:t>
            </w:r>
          </w:p>
        </w:tc>
        <w:tc>
          <w:tcPr>
            <w:tcW w:w="1134" w:type="dxa"/>
            <w:tcBorders>
              <w:top w:val="nil"/>
              <w:left w:val="nil"/>
              <w:bottom w:val="nil"/>
              <w:right w:val="nil"/>
            </w:tcBorders>
            <w:shd w:val="clear" w:color="auto" w:fill="auto"/>
            <w:noWrap/>
            <w:vAlign w:val="bottom"/>
          </w:tcPr>
          <w:p w14:paraId="39897CE5" w14:textId="278ADD10"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-11,220</w:t>
            </w:r>
          </w:p>
        </w:tc>
        <w:tc>
          <w:tcPr>
            <w:tcW w:w="855" w:type="dxa"/>
            <w:tcBorders>
              <w:top w:val="nil"/>
              <w:left w:val="nil"/>
              <w:bottom w:val="nil"/>
              <w:right w:val="nil"/>
            </w:tcBorders>
            <w:shd w:val="clear" w:color="auto" w:fill="auto"/>
            <w:noWrap/>
            <w:vAlign w:val="bottom"/>
          </w:tcPr>
          <w:p w14:paraId="6A893BAC" w14:textId="154F7027"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(-72.6)</w:t>
            </w:r>
          </w:p>
        </w:tc>
      </w:tr>
      <w:tr w:rsidR="00C04064" w:rsidRPr="001567D7" w14:paraId="722E112D" w14:textId="77777777" w:rsidTr="00BC211D">
        <w:tblPrEx>
          <w:jc w:val="left"/>
        </w:tblPrEx>
        <w:trPr>
          <w:trHeight w:val="288"/>
        </w:trPr>
        <w:tc>
          <w:tcPr>
            <w:tcW w:w="1985" w:type="dxa"/>
            <w:vMerge/>
            <w:tcBorders>
              <w:left w:val="nil"/>
              <w:right w:val="nil"/>
            </w:tcBorders>
            <w:shd w:val="clear" w:color="auto" w:fill="auto"/>
            <w:noWrap/>
            <w:vAlign w:val="center"/>
          </w:tcPr>
          <w:p w14:paraId="35374F61" w14:textId="2C0ED32E"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25ECFB54" w14:textId="238E4AA2"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Western Africa</w:t>
            </w:r>
          </w:p>
        </w:tc>
        <w:tc>
          <w:tcPr>
            <w:tcW w:w="992" w:type="dxa"/>
            <w:tcBorders>
              <w:top w:val="nil"/>
              <w:left w:val="nil"/>
              <w:bottom w:val="nil"/>
              <w:right w:val="nil"/>
            </w:tcBorders>
            <w:shd w:val="clear" w:color="auto" w:fill="auto"/>
            <w:noWrap/>
            <w:vAlign w:val="bottom"/>
          </w:tcPr>
          <w:p w14:paraId="3B01FB9C" w14:textId="24D1E0C0"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34,145</w:t>
            </w:r>
          </w:p>
        </w:tc>
        <w:tc>
          <w:tcPr>
            <w:tcW w:w="851" w:type="dxa"/>
            <w:tcBorders>
              <w:top w:val="nil"/>
              <w:left w:val="nil"/>
              <w:bottom w:val="nil"/>
              <w:right w:val="nil"/>
            </w:tcBorders>
            <w:shd w:val="clear" w:color="auto" w:fill="auto"/>
            <w:noWrap/>
            <w:vAlign w:val="bottom"/>
          </w:tcPr>
          <w:p w14:paraId="561E719A" w14:textId="22A7EC8F"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(9.5)</w:t>
            </w:r>
          </w:p>
        </w:tc>
        <w:tc>
          <w:tcPr>
            <w:tcW w:w="992" w:type="dxa"/>
            <w:tcBorders>
              <w:top w:val="nil"/>
              <w:left w:val="nil"/>
              <w:bottom w:val="nil"/>
              <w:right w:val="nil"/>
            </w:tcBorders>
            <w:shd w:val="clear" w:color="auto" w:fill="auto"/>
            <w:noWrap/>
            <w:vAlign w:val="bottom"/>
          </w:tcPr>
          <w:p w14:paraId="68F90A4B" w14:textId="1F2AF661"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10,881</w:t>
            </w:r>
          </w:p>
        </w:tc>
        <w:tc>
          <w:tcPr>
            <w:tcW w:w="851" w:type="dxa"/>
            <w:tcBorders>
              <w:top w:val="nil"/>
              <w:left w:val="nil"/>
              <w:bottom w:val="nil"/>
              <w:right w:val="nil"/>
            </w:tcBorders>
            <w:shd w:val="clear" w:color="auto" w:fill="auto"/>
            <w:noWrap/>
            <w:vAlign w:val="bottom"/>
          </w:tcPr>
          <w:p w14:paraId="350CC7EC" w14:textId="4E3AA534"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(5.5)</w:t>
            </w:r>
          </w:p>
        </w:tc>
        <w:tc>
          <w:tcPr>
            <w:tcW w:w="1134" w:type="dxa"/>
            <w:tcBorders>
              <w:top w:val="nil"/>
              <w:left w:val="nil"/>
              <w:bottom w:val="nil"/>
              <w:right w:val="nil"/>
            </w:tcBorders>
            <w:shd w:val="clear" w:color="auto" w:fill="auto"/>
            <w:noWrap/>
            <w:vAlign w:val="bottom"/>
          </w:tcPr>
          <w:p w14:paraId="465E790F" w14:textId="3AE09E0C"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-23,264</w:t>
            </w:r>
          </w:p>
        </w:tc>
        <w:tc>
          <w:tcPr>
            <w:tcW w:w="855" w:type="dxa"/>
            <w:tcBorders>
              <w:top w:val="nil"/>
              <w:left w:val="nil"/>
              <w:bottom w:val="nil"/>
              <w:right w:val="nil"/>
            </w:tcBorders>
            <w:shd w:val="clear" w:color="auto" w:fill="auto"/>
            <w:noWrap/>
            <w:vAlign w:val="bottom"/>
          </w:tcPr>
          <w:p w14:paraId="31570380" w14:textId="561C0A40"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(-68.1)</w:t>
            </w:r>
          </w:p>
        </w:tc>
      </w:tr>
      <w:tr w:rsidR="00C04064" w:rsidRPr="001567D7" w14:paraId="38799715" w14:textId="77777777" w:rsidTr="00BC211D">
        <w:tblPrEx>
          <w:jc w:val="left"/>
        </w:tblPrEx>
        <w:trPr>
          <w:trHeight w:val="288"/>
        </w:trPr>
        <w:tc>
          <w:tcPr>
            <w:tcW w:w="1985" w:type="dxa"/>
            <w:vMerge/>
            <w:tcBorders>
              <w:left w:val="nil"/>
              <w:right w:val="nil"/>
            </w:tcBorders>
            <w:shd w:val="clear" w:color="auto" w:fill="auto"/>
            <w:noWrap/>
            <w:vAlign w:val="center"/>
          </w:tcPr>
          <w:p w14:paraId="6C55D6B8" w14:textId="4FC84914"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341B35EC" w14:textId="0CC21591"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Southern Africa</w:t>
            </w:r>
          </w:p>
        </w:tc>
        <w:tc>
          <w:tcPr>
            <w:tcW w:w="992" w:type="dxa"/>
            <w:tcBorders>
              <w:top w:val="nil"/>
              <w:left w:val="nil"/>
              <w:bottom w:val="nil"/>
              <w:right w:val="nil"/>
            </w:tcBorders>
            <w:shd w:val="clear" w:color="auto" w:fill="auto"/>
            <w:noWrap/>
            <w:vAlign w:val="bottom"/>
          </w:tcPr>
          <w:p w14:paraId="2E822EBF" w14:textId="0CC206C3"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3,446</w:t>
            </w:r>
          </w:p>
        </w:tc>
        <w:tc>
          <w:tcPr>
            <w:tcW w:w="851" w:type="dxa"/>
            <w:tcBorders>
              <w:top w:val="nil"/>
              <w:left w:val="nil"/>
              <w:bottom w:val="nil"/>
              <w:right w:val="nil"/>
            </w:tcBorders>
            <w:shd w:val="clear" w:color="auto" w:fill="auto"/>
            <w:noWrap/>
            <w:vAlign w:val="bottom"/>
          </w:tcPr>
          <w:p w14:paraId="53483153" w14:textId="0A8A2B54"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(1.0)</w:t>
            </w:r>
          </w:p>
        </w:tc>
        <w:tc>
          <w:tcPr>
            <w:tcW w:w="992" w:type="dxa"/>
            <w:tcBorders>
              <w:top w:val="nil"/>
              <w:left w:val="nil"/>
              <w:bottom w:val="nil"/>
              <w:right w:val="nil"/>
            </w:tcBorders>
            <w:shd w:val="clear" w:color="auto" w:fill="auto"/>
            <w:noWrap/>
            <w:vAlign w:val="bottom"/>
          </w:tcPr>
          <w:p w14:paraId="13991220" w14:textId="71ACE9BD"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1,324</w:t>
            </w:r>
          </w:p>
        </w:tc>
        <w:tc>
          <w:tcPr>
            <w:tcW w:w="851" w:type="dxa"/>
            <w:tcBorders>
              <w:top w:val="nil"/>
              <w:left w:val="nil"/>
              <w:bottom w:val="nil"/>
              <w:right w:val="nil"/>
            </w:tcBorders>
            <w:shd w:val="clear" w:color="auto" w:fill="auto"/>
            <w:noWrap/>
            <w:vAlign w:val="bottom"/>
          </w:tcPr>
          <w:p w14:paraId="72590859" w14:textId="118FE8A8"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(0.7)</w:t>
            </w:r>
          </w:p>
        </w:tc>
        <w:tc>
          <w:tcPr>
            <w:tcW w:w="1134" w:type="dxa"/>
            <w:tcBorders>
              <w:top w:val="nil"/>
              <w:left w:val="nil"/>
              <w:bottom w:val="nil"/>
              <w:right w:val="nil"/>
            </w:tcBorders>
            <w:shd w:val="clear" w:color="auto" w:fill="auto"/>
            <w:noWrap/>
            <w:vAlign w:val="bottom"/>
          </w:tcPr>
          <w:p w14:paraId="5CA23D69" w14:textId="58DD2535"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-2,122</w:t>
            </w:r>
          </w:p>
        </w:tc>
        <w:tc>
          <w:tcPr>
            <w:tcW w:w="855" w:type="dxa"/>
            <w:tcBorders>
              <w:top w:val="nil"/>
              <w:left w:val="nil"/>
              <w:bottom w:val="nil"/>
              <w:right w:val="nil"/>
            </w:tcBorders>
            <w:shd w:val="clear" w:color="auto" w:fill="auto"/>
            <w:noWrap/>
            <w:vAlign w:val="bottom"/>
          </w:tcPr>
          <w:p w14:paraId="571AC161" w14:textId="36E95A97"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(-61.6)</w:t>
            </w:r>
          </w:p>
        </w:tc>
      </w:tr>
      <w:tr w:rsidR="00C04064" w:rsidRPr="001567D7" w14:paraId="3C20634B" w14:textId="77777777" w:rsidTr="00BC211D">
        <w:tblPrEx>
          <w:jc w:val="left"/>
        </w:tblPrEx>
        <w:trPr>
          <w:trHeight w:val="288"/>
        </w:trPr>
        <w:tc>
          <w:tcPr>
            <w:tcW w:w="1985" w:type="dxa"/>
            <w:vMerge/>
            <w:tcBorders>
              <w:left w:val="nil"/>
              <w:right w:val="nil"/>
            </w:tcBorders>
            <w:shd w:val="clear" w:color="auto" w:fill="auto"/>
            <w:noWrap/>
            <w:vAlign w:val="center"/>
          </w:tcPr>
          <w:p w14:paraId="2BA5C93C" w14:textId="51A8550A"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1225DD03" w14:textId="314521C2"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South-Central Asia</w:t>
            </w:r>
          </w:p>
        </w:tc>
        <w:tc>
          <w:tcPr>
            <w:tcW w:w="992" w:type="dxa"/>
            <w:tcBorders>
              <w:top w:val="nil"/>
              <w:left w:val="nil"/>
              <w:bottom w:val="nil"/>
              <w:right w:val="nil"/>
            </w:tcBorders>
            <w:shd w:val="clear" w:color="auto" w:fill="auto"/>
            <w:noWrap/>
            <w:vAlign w:val="bottom"/>
          </w:tcPr>
          <w:p w14:paraId="7D70314E" w14:textId="442CCD38"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100,084</w:t>
            </w:r>
          </w:p>
        </w:tc>
        <w:tc>
          <w:tcPr>
            <w:tcW w:w="851" w:type="dxa"/>
            <w:tcBorders>
              <w:top w:val="nil"/>
              <w:left w:val="nil"/>
              <w:bottom w:val="nil"/>
              <w:right w:val="nil"/>
            </w:tcBorders>
            <w:shd w:val="clear" w:color="auto" w:fill="auto"/>
            <w:noWrap/>
            <w:vAlign w:val="bottom"/>
          </w:tcPr>
          <w:p w14:paraId="542073CC" w14:textId="05C9AA99"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(27.8)</w:t>
            </w:r>
          </w:p>
        </w:tc>
        <w:tc>
          <w:tcPr>
            <w:tcW w:w="992" w:type="dxa"/>
            <w:tcBorders>
              <w:top w:val="nil"/>
              <w:left w:val="nil"/>
              <w:bottom w:val="nil"/>
              <w:right w:val="nil"/>
            </w:tcBorders>
            <w:shd w:val="clear" w:color="auto" w:fill="auto"/>
            <w:noWrap/>
            <w:vAlign w:val="bottom"/>
          </w:tcPr>
          <w:p w14:paraId="7C0739B0" w14:textId="24A26D7A"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42,383</w:t>
            </w:r>
          </w:p>
        </w:tc>
        <w:tc>
          <w:tcPr>
            <w:tcW w:w="851" w:type="dxa"/>
            <w:tcBorders>
              <w:top w:val="nil"/>
              <w:left w:val="nil"/>
              <w:bottom w:val="nil"/>
              <w:right w:val="nil"/>
            </w:tcBorders>
            <w:shd w:val="clear" w:color="auto" w:fill="auto"/>
            <w:noWrap/>
            <w:vAlign w:val="bottom"/>
          </w:tcPr>
          <w:p w14:paraId="3C3D1A4F" w14:textId="064E9626"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(21.2)</w:t>
            </w:r>
          </w:p>
        </w:tc>
        <w:tc>
          <w:tcPr>
            <w:tcW w:w="1134" w:type="dxa"/>
            <w:tcBorders>
              <w:top w:val="nil"/>
              <w:left w:val="nil"/>
              <w:bottom w:val="nil"/>
              <w:right w:val="nil"/>
            </w:tcBorders>
            <w:shd w:val="clear" w:color="auto" w:fill="auto"/>
            <w:noWrap/>
            <w:vAlign w:val="bottom"/>
          </w:tcPr>
          <w:p w14:paraId="0F272ED4" w14:textId="0FE2E575"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-57,701</w:t>
            </w:r>
          </w:p>
        </w:tc>
        <w:tc>
          <w:tcPr>
            <w:tcW w:w="855" w:type="dxa"/>
            <w:tcBorders>
              <w:top w:val="nil"/>
              <w:left w:val="nil"/>
              <w:bottom w:val="nil"/>
              <w:right w:val="nil"/>
            </w:tcBorders>
            <w:shd w:val="clear" w:color="auto" w:fill="auto"/>
            <w:noWrap/>
            <w:vAlign w:val="bottom"/>
          </w:tcPr>
          <w:p w14:paraId="6D3C4498" w14:textId="0E896F15"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(-57.7)</w:t>
            </w:r>
          </w:p>
        </w:tc>
      </w:tr>
      <w:tr w:rsidR="00C04064" w:rsidRPr="001567D7" w14:paraId="3D4FCC72" w14:textId="77777777" w:rsidTr="00BC211D">
        <w:tblPrEx>
          <w:jc w:val="left"/>
        </w:tblPrEx>
        <w:trPr>
          <w:trHeight w:val="288"/>
        </w:trPr>
        <w:tc>
          <w:tcPr>
            <w:tcW w:w="1985" w:type="dxa"/>
            <w:vMerge/>
            <w:tcBorders>
              <w:left w:val="nil"/>
              <w:right w:val="nil"/>
            </w:tcBorders>
            <w:shd w:val="clear" w:color="auto" w:fill="auto"/>
            <w:noWrap/>
            <w:vAlign w:val="center"/>
          </w:tcPr>
          <w:p w14:paraId="418E19A0" w14:textId="41D33321"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0379DFC0" w14:textId="4977273C"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Eastern Africa</w:t>
            </w:r>
          </w:p>
        </w:tc>
        <w:tc>
          <w:tcPr>
            <w:tcW w:w="992" w:type="dxa"/>
            <w:tcBorders>
              <w:top w:val="nil"/>
              <w:left w:val="nil"/>
              <w:bottom w:val="nil"/>
              <w:right w:val="nil"/>
            </w:tcBorders>
            <w:shd w:val="clear" w:color="auto" w:fill="auto"/>
            <w:noWrap/>
            <w:vAlign w:val="bottom"/>
          </w:tcPr>
          <w:p w14:paraId="38FEF142" w14:textId="7B2901E2"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35,278</w:t>
            </w:r>
          </w:p>
        </w:tc>
        <w:tc>
          <w:tcPr>
            <w:tcW w:w="851" w:type="dxa"/>
            <w:tcBorders>
              <w:top w:val="nil"/>
              <w:left w:val="nil"/>
              <w:bottom w:val="nil"/>
              <w:right w:val="nil"/>
            </w:tcBorders>
            <w:shd w:val="clear" w:color="auto" w:fill="auto"/>
            <w:noWrap/>
            <w:vAlign w:val="bottom"/>
          </w:tcPr>
          <w:p w14:paraId="277A37A3" w14:textId="6F3A3A2D"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(9.8)</w:t>
            </w:r>
          </w:p>
        </w:tc>
        <w:tc>
          <w:tcPr>
            <w:tcW w:w="992" w:type="dxa"/>
            <w:tcBorders>
              <w:top w:val="nil"/>
              <w:left w:val="nil"/>
              <w:bottom w:val="nil"/>
              <w:right w:val="nil"/>
            </w:tcBorders>
            <w:shd w:val="clear" w:color="auto" w:fill="auto"/>
            <w:noWrap/>
            <w:vAlign w:val="bottom"/>
          </w:tcPr>
          <w:p w14:paraId="16B526B5" w14:textId="27D6D2F3"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18,355</w:t>
            </w:r>
          </w:p>
        </w:tc>
        <w:tc>
          <w:tcPr>
            <w:tcW w:w="851" w:type="dxa"/>
            <w:tcBorders>
              <w:top w:val="nil"/>
              <w:left w:val="nil"/>
              <w:bottom w:val="nil"/>
              <w:right w:val="nil"/>
            </w:tcBorders>
            <w:shd w:val="clear" w:color="auto" w:fill="auto"/>
            <w:noWrap/>
            <w:vAlign w:val="bottom"/>
          </w:tcPr>
          <w:p w14:paraId="3E9AB3F6" w14:textId="77677ED4"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(9.2)</w:t>
            </w:r>
          </w:p>
        </w:tc>
        <w:tc>
          <w:tcPr>
            <w:tcW w:w="1134" w:type="dxa"/>
            <w:tcBorders>
              <w:top w:val="nil"/>
              <w:left w:val="nil"/>
              <w:bottom w:val="nil"/>
              <w:right w:val="nil"/>
            </w:tcBorders>
            <w:shd w:val="clear" w:color="auto" w:fill="auto"/>
            <w:noWrap/>
            <w:vAlign w:val="bottom"/>
          </w:tcPr>
          <w:p w14:paraId="4FF6C5C6" w14:textId="587980F4"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-16,923</w:t>
            </w:r>
          </w:p>
        </w:tc>
        <w:tc>
          <w:tcPr>
            <w:tcW w:w="855" w:type="dxa"/>
            <w:tcBorders>
              <w:top w:val="nil"/>
              <w:left w:val="nil"/>
              <w:bottom w:val="nil"/>
              <w:right w:val="nil"/>
            </w:tcBorders>
            <w:shd w:val="clear" w:color="auto" w:fill="auto"/>
            <w:noWrap/>
            <w:vAlign w:val="bottom"/>
          </w:tcPr>
          <w:p w14:paraId="490E1BDD" w14:textId="4854E6E2"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(-48)</w:t>
            </w:r>
          </w:p>
        </w:tc>
      </w:tr>
      <w:tr w:rsidR="00C04064" w:rsidRPr="001567D7" w14:paraId="369D11E6" w14:textId="77777777" w:rsidTr="00BC211D">
        <w:tblPrEx>
          <w:jc w:val="left"/>
        </w:tblPrEx>
        <w:trPr>
          <w:trHeight w:val="288"/>
        </w:trPr>
        <w:tc>
          <w:tcPr>
            <w:tcW w:w="1985" w:type="dxa"/>
            <w:vMerge/>
            <w:tcBorders>
              <w:left w:val="nil"/>
              <w:right w:val="nil"/>
            </w:tcBorders>
            <w:shd w:val="clear" w:color="auto" w:fill="auto"/>
            <w:noWrap/>
            <w:vAlign w:val="center"/>
          </w:tcPr>
          <w:p w14:paraId="3962FF1E" w14:textId="5E5D524D"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25E1E33D" w14:textId="7C2A488F"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Eastern Asia</w:t>
            </w:r>
          </w:p>
        </w:tc>
        <w:tc>
          <w:tcPr>
            <w:tcW w:w="992" w:type="dxa"/>
            <w:tcBorders>
              <w:top w:val="nil"/>
              <w:left w:val="nil"/>
              <w:bottom w:val="nil"/>
              <w:right w:val="nil"/>
            </w:tcBorders>
            <w:shd w:val="clear" w:color="auto" w:fill="auto"/>
            <w:noWrap/>
            <w:vAlign w:val="bottom"/>
          </w:tcPr>
          <w:p w14:paraId="122F7B06" w14:textId="7D2E9BB1"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50,655</w:t>
            </w:r>
          </w:p>
        </w:tc>
        <w:tc>
          <w:tcPr>
            <w:tcW w:w="851" w:type="dxa"/>
            <w:tcBorders>
              <w:top w:val="nil"/>
              <w:left w:val="nil"/>
              <w:bottom w:val="nil"/>
              <w:right w:val="nil"/>
            </w:tcBorders>
            <w:shd w:val="clear" w:color="auto" w:fill="auto"/>
            <w:noWrap/>
            <w:vAlign w:val="bottom"/>
          </w:tcPr>
          <w:p w14:paraId="428F5BFD" w14:textId="0017DE59"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(14.1)</w:t>
            </w:r>
          </w:p>
        </w:tc>
        <w:tc>
          <w:tcPr>
            <w:tcW w:w="992" w:type="dxa"/>
            <w:tcBorders>
              <w:top w:val="nil"/>
              <w:left w:val="nil"/>
              <w:bottom w:val="nil"/>
              <w:right w:val="nil"/>
            </w:tcBorders>
            <w:shd w:val="clear" w:color="auto" w:fill="auto"/>
            <w:noWrap/>
            <w:vAlign w:val="bottom"/>
          </w:tcPr>
          <w:p w14:paraId="10C8C557" w14:textId="2EB9B85A"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30,298</w:t>
            </w:r>
          </w:p>
        </w:tc>
        <w:tc>
          <w:tcPr>
            <w:tcW w:w="851" w:type="dxa"/>
            <w:tcBorders>
              <w:top w:val="nil"/>
              <w:left w:val="nil"/>
              <w:bottom w:val="nil"/>
              <w:right w:val="nil"/>
            </w:tcBorders>
            <w:shd w:val="clear" w:color="auto" w:fill="auto"/>
            <w:noWrap/>
            <w:vAlign w:val="bottom"/>
          </w:tcPr>
          <w:p w14:paraId="01475893" w14:textId="25E21B22"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(15.2)</w:t>
            </w:r>
          </w:p>
        </w:tc>
        <w:tc>
          <w:tcPr>
            <w:tcW w:w="1134" w:type="dxa"/>
            <w:tcBorders>
              <w:top w:val="nil"/>
              <w:left w:val="nil"/>
              <w:bottom w:val="nil"/>
              <w:right w:val="nil"/>
            </w:tcBorders>
            <w:shd w:val="clear" w:color="auto" w:fill="auto"/>
            <w:noWrap/>
            <w:vAlign w:val="bottom"/>
          </w:tcPr>
          <w:p w14:paraId="291DBB32" w14:textId="6E379E92"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-20,357</w:t>
            </w:r>
          </w:p>
        </w:tc>
        <w:tc>
          <w:tcPr>
            <w:tcW w:w="855" w:type="dxa"/>
            <w:tcBorders>
              <w:top w:val="nil"/>
              <w:left w:val="nil"/>
              <w:bottom w:val="nil"/>
              <w:right w:val="nil"/>
            </w:tcBorders>
            <w:shd w:val="clear" w:color="auto" w:fill="auto"/>
            <w:noWrap/>
            <w:vAlign w:val="bottom"/>
          </w:tcPr>
          <w:p w14:paraId="74A3450E" w14:textId="66CB4238"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(-40.2)</w:t>
            </w:r>
          </w:p>
        </w:tc>
      </w:tr>
      <w:tr w:rsidR="00C04064" w:rsidRPr="001567D7" w14:paraId="6E521C00" w14:textId="77777777" w:rsidTr="00BC211D">
        <w:tblPrEx>
          <w:jc w:val="left"/>
        </w:tblPrEx>
        <w:trPr>
          <w:trHeight w:val="288"/>
        </w:trPr>
        <w:tc>
          <w:tcPr>
            <w:tcW w:w="1985" w:type="dxa"/>
            <w:vMerge/>
            <w:tcBorders>
              <w:left w:val="nil"/>
              <w:right w:val="nil"/>
            </w:tcBorders>
            <w:shd w:val="clear" w:color="auto" w:fill="auto"/>
            <w:noWrap/>
            <w:vAlign w:val="center"/>
          </w:tcPr>
          <w:p w14:paraId="42C484B0" w14:textId="3D2B4198"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08232F81" w14:textId="1EB84FDD"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South-Eastern Asia</w:t>
            </w:r>
          </w:p>
        </w:tc>
        <w:tc>
          <w:tcPr>
            <w:tcW w:w="992" w:type="dxa"/>
            <w:tcBorders>
              <w:top w:val="nil"/>
              <w:left w:val="nil"/>
              <w:bottom w:val="nil"/>
              <w:right w:val="nil"/>
            </w:tcBorders>
            <w:shd w:val="clear" w:color="auto" w:fill="auto"/>
            <w:noWrap/>
            <w:vAlign w:val="bottom"/>
          </w:tcPr>
          <w:p w14:paraId="250BEC9B" w14:textId="1FDC8BE2"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30,532</w:t>
            </w:r>
          </w:p>
        </w:tc>
        <w:tc>
          <w:tcPr>
            <w:tcW w:w="851" w:type="dxa"/>
            <w:tcBorders>
              <w:top w:val="nil"/>
              <w:left w:val="nil"/>
              <w:bottom w:val="nil"/>
              <w:right w:val="nil"/>
            </w:tcBorders>
            <w:shd w:val="clear" w:color="auto" w:fill="auto"/>
            <w:noWrap/>
            <w:vAlign w:val="bottom"/>
          </w:tcPr>
          <w:p w14:paraId="5580CD26" w14:textId="6AEF1239"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(8.5)</w:t>
            </w:r>
          </w:p>
        </w:tc>
        <w:tc>
          <w:tcPr>
            <w:tcW w:w="992" w:type="dxa"/>
            <w:tcBorders>
              <w:top w:val="nil"/>
              <w:left w:val="nil"/>
              <w:bottom w:val="nil"/>
              <w:right w:val="nil"/>
            </w:tcBorders>
            <w:shd w:val="clear" w:color="auto" w:fill="auto"/>
            <w:noWrap/>
            <w:vAlign w:val="bottom"/>
          </w:tcPr>
          <w:p w14:paraId="494B18A6" w14:textId="709B0C97"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19,846</w:t>
            </w:r>
          </w:p>
        </w:tc>
        <w:tc>
          <w:tcPr>
            <w:tcW w:w="851" w:type="dxa"/>
            <w:tcBorders>
              <w:top w:val="nil"/>
              <w:left w:val="nil"/>
              <w:bottom w:val="nil"/>
              <w:right w:val="nil"/>
            </w:tcBorders>
            <w:shd w:val="clear" w:color="auto" w:fill="auto"/>
            <w:noWrap/>
            <w:vAlign w:val="bottom"/>
          </w:tcPr>
          <w:p w14:paraId="60FD7D15" w14:textId="073EEEAD"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(9.9)</w:t>
            </w:r>
          </w:p>
        </w:tc>
        <w:tc>
          <w:tcPr>
            <w:tcW w:w="1134" w:type="dxa"/>
            <w:tcBorders>
              <w:top w:val="nil"/>
              <w:left w:val="nil"/>
              <w:bottom w:val="nil"/>
              <w:right w:val="nil"/>
            </w:tcBorders>
            <w:shd w:val="clear" w:color="auto" w:fill="auto"/>
            <w:noWrap/>
            <w:vAlign w:val="bottom"/>
          </w:tcPr>
          <w:p w14:paraId="77B4743B" w14:textId="14571308"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-10,686</w:t>
            </w:r>
          </w:p>
        </w:tc>
        <w:tc>
          <w:tcPr>
            <w:tcW w:w="855" w:type="dxa"/>
            <w:tcBorders>
              <w:top w:val="nil"/>
              <w:left w:val="nil"/>
              <w:bottom w:val="nil"/>
              <w:right w:val="nil"/>
            </w:tcBorders>
            <w:shd w:val="clear" w:color="auto" w:fill="auto"/>
            <w:noWrap/>
            <w:vAlign w:val="bottom"/>
          </w:tcPr>
          <w:p w14:paraId="60DBE0F6" w14:textId="6B81C583"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(-35)</w:t>
            </w:r>
          </w:p>
        </w:tc>
      </w:tr>
      <w:tr w:rsidR="00C04064" w:rsidRPr="001567D7" w14:paraId="2687AAE0" w14:textId="77777777" w:rsidTr="00BC211D">
        <w:tblPrEx>
          <w:jc w:val="left"/>
        </w:tblPrEx>
        <w:trPr>
          <w:trHeight w:val="288"/>
        </w:trPr>
        <w:tc>
          <w:tcPr>
            <w:tcW w:w="1985" w:type="dxa"/>
            <w:vMerge/>
            <w:tcBorders>
              <w:left w:val="nil"/>
              <w:right w:val="nil"/>
            </w:tcBorders>
            <w:shd w:val="clear" w:color="auto" w:fill="auto"/>
            <w:noWrap/>
            <w:vAlign w:val="center"/>
          </w:tcPr>
          <w:p w14:paraId="5F0915A6" w14:textId="3F803418"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7A905FA3" w14:textId="6C8327DA"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Northern Africa</w:t>
            </w:r>
          </w:p>
        </w:tc>
        <w:tc>
          <w:tcPr>
            <w:tcW w:w="992" w:type="dxa"/>
            <w:tcBorders>
              <w:top w:val="nil"/>
              <w:left w:val="nil"/>
              <w:bottom w:val="nil"/>
              <w:right w:val="nil"/>
            </w:tcBorders>
            <w:shd w:val="clear" w:color="auto" w:fill="auto"/>
            <w:noWrap/>
            <w:vAlign w:val="bottom"/>
          </w:tcPr>
          <w:p w14:paraId="36923F84" w14:textId="7E9CBA5F"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13,273</w:t>
            </w:r>
          </w:p>
        </w:tc>
        <w:tc>
          <w:tcPr>
            <w:tcW w:w="851" w:type="dxa"/>
            <w:tcBorders>
              <w:top w:val="nil"/>
              <w:left w:val="nil"/>
              <w:bottom w:val="nil"/>
              <w:right w:val="nil"/>
            </w:tcBorders>
            <w:shd w:val="clear" w:color="auto" w:fill="auto"/>
            <w:noWrap/>
            <w:vAlign w:val="bottom"/>
          </w:tcPr>
          <w:p w14:paraId="239B773B" w14:textId="5DA6C92B"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(3.7)</w:t>
            </w:r>
          </w:p>
        </w:tc>
        <w:tc>
          <w:tcPr>
            <w:tcW w:w="992" w:type="dxa"/>
            <w:tcBorders>
              <w:top w:val="nil"/>
              <w:left w:val="nil"/>
              <w:bottom w:val="nil"/>
              <w:right w:val="nil"/>
            </w:tcBorders>
            <w:shd w:val="clear" w:color="auto" w:fill="auto"/>
            <w:noWrap/>
            <w:vAlign w:val="bottom"/>
          </w:tcPr>
          <w:p w14:paraId="1E39E8D4" w14:textId="62805DCC"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8,830</w:t>
            </w:r>
          </w:p>
        </w:tc>
        <w:tc>
          <w:tcPr>
            <w:tcW w:w="851" w:type="dxa"/>
            <w:tcBorders>
              <w:top w:val="nil"/>
              <w:left w:val="nil"/>
              <w:bottom w:val="nil"/>
              <w:right w:val="nil"/>
            </w:tcBorders>
            <w:shd w:val="clear" w:color="auto" w:fill="auto"/>
            <w:noWrap/>
            <w:vAlign w:val="bottom"/>
          </w:tcPr>
          <w:p w14:paraId="2EA5D10D" w14:textId="719B3984"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(4.4)</w:t>
            </w:r>
          </w:p>
        </w:tc>
        <w:tc>
          <w:tcPr>
            <w:tcW w:w="1134" w:type="dxa"/>
            <w:tcBorders>
              <w:top w:val="nil"/>
              <w:left w:val="nil"/>
              <w:bottom w:val="nil"/>
              <w:right w:val="nil"/>
            </w:tcBorders>
            <w:shd w:val="clear" w:color="auto" w:fill="auto"/>
            <w:noWrap/>
            <w:vAlign w:val="bottom"/>
          </w:tcPr>
          <w:p w14:paraId="2A51B6DE" w14:textId="6AFA780F"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-4,443</w:t>
            </w:r>
          </w:p>
        </w:tc>
        <w:tc>
          <w:tcPr>
            <w:tcW w:w="855" w:type="dxa"/>
            <w:tcBorders>
              <w:top w:val="nil"/>
              <w:left w:val="nil"/>
              <w:bottom w:val="nil"/>
              <w:right w:val="nil"/>
            </w:tcBorders>
            <w:shd w:val="clear" w:color="auto" w:fill="auto"/>
            <w:noWrap/>
            <w:vAlign w:val="bottom"/>
          </w:tcPr>
          <w:p w14:paraId="1BE11FA5" w14:textId="25DCC213"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(-33.5)</w:t>
            </w:r>
          </w:p>
        </w:tc>
      </w:tr>
      <w:tr w:rsidR="00C04064" w:rsidRPr="001567D7" w14:paraId="5E707D44" w14:textId="77777777" w:rsidTr="00BC211D">
        <w:tblPrEx>
          <w:jc w:val="left"/>
        </w:tblPrEx>
        <w:trPr>
          <w:trHeight w:val="288"/>
        </w:trPr>
        <w:tc>
          <w:tcPr>
            <w:tcW w:w="1985" w:type="dxa"/>
            <w:vMerge/>
            <w:tcBorders>
              <w:left w:val="nil"/>
              <w:right w:val="nil"/>
            </w:tcBorders>
            <w:shd w:val="clear" w:color="auto" w:fill="auto"/>
            <w:noWrap/>
            <w:vAlign w:val="center"/>
          </w:tcPr>
          <w:p w14:paraId="3DB3141D" w14:textId="345B4853"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1A1773FB" w14:textId="210E18AA"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Western Asia</w:t>
            </w:r>
          </w:p>
        </w:tc>
        <w:tc>
          <w:tcPr>
            <w:tcW w:w="992" w:type="dxa"/>
            <w:tcBorders>
              <w:top w:val="nil"/>
              <w:left w:val="nil"/>
              <w:bottom w:val="nil"/>
              <w:right w:val="nil"/>
            </w:tcBorders>
            <w:shd w:val="clear" w:color="auto" w:fill="auto"/>
            <w:noWrap/>
            <w:vAlign w:val="bottom"/>
          </w:tcPr>
          <w:p w14:paraId="0D7821C0" w14:textId="34D4E95B"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13,895</w:t>
            </w:r>
          </w:p>
        </w:tc>
        <w:tc>
          <w:tcPr>
            <w:tcW w:w="851" w:type="dxa"/>
            <w:tcBorders>
              <w:top w:val="nil"/>
              <w:left w:val="nil"/>
              <w:bottom w:val="nil"/>
              <w:right w:val="nil"/>
            </w:tcBorders>
            <w:shd w:val="clear" w:color="auto" w:fill="auto"/>
            <w:noWrap/>
            <w:vAlign w:val="bottom"/>
          </w:tcPr>
          <w:p w14:paraId="54B384FC" w14:textId="6709195B"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(3.9)</w:t>
            </w:r>
          </w:p>
        </w:tc>
        <w:tc>
          <w:tcPr>
            <w:tcW w:w="992" w:type="dxa"/>
            <w:tcBorders>
              <w:top w:val="nil"/>
              <w:left w:val="nil"/>
              <w:bottom w:val="nil"/>
              <w:right w:val="nil"/>
            </w:tcBorders>
            <w:shd w:val="clear" w:color="auto" w:fill="auto"/>
            <w:noWrap/>
            <w:vAlign w:val="bottom"/>
          </w:tcPr>
          <w:p w14:paraId="0601A745" w14:textId="631E94F8"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9,647</w:t>
            </w:r>
          </w:p>
        </w:tc>
        <w:tc>
          <w:tcPr>
            <w:tcW w:w="851" w:type="dxa"/>
            <w:tcBorders>
              <w:top w:val="nil"/>
              <w:left w:val="nil"/>
              <w:bottom w:val="nil"/>
              <w:right w:val="nil"/>
            </w:tcBorders>
            <w:shd w:val="clear" w:color="auto" w:fill="auto"/>
            <w:noWrap/>
            <w:vAlign w:val="bottom"/>
          </w:tcPr>
          <w:p w14:paraId="087AAEE1" w14:textId="2745D0ED"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(4.8)</w:t>
            </w:r>
          </w:p>
        </w:tc>
        <w:tc>
          <w:tcPr>
            <w:tcW w:w="1134" w:type="dxa"/>
            <w:tcBorders>
              <w:top w:val="nil"/>
              <w:left w:val="nil"/>
              <w:bottom w:val="nil"/>
              <w:right w:val="nil"/>
            </w:tcBorders>
            <w:shd w:val="clear" w:color="auto" w:fill="auto"/>
            <w:noWrap/>
            <w:vAlign w:val="bottom"/>
          </w:tcPr>
          <w:p w14:paraId="659392AD" w14:textId="3C6CDDFA"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-4,248</w:t>
            </w:r>
          </w:p>
        </w:tc>
        <w:tc>
          <w:tcPr>
            <w:tcW w:w="855" w:type="dxa"/>
            <w:tcBorders>
              <w:top w:val="nil"/>
              <w:left w:val="nil"/>
              <w:bottom w:val="nil"/>
              <w:right w:val="nil"/>
            </w:tcBorders>
            <w:shd w:val="clear" w:color="auto" w:fill="auto"/>
            <w:noWrap/>
            <w:vAlign w:val="bottom"/>
          </w:tcPr>
          <w:p w14:paraId="696EE5BD" w14:textId="378C9D68"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(-30.6)</w:t>
            </w:r>
          </w:p>
        </w:tc>
      </w:tr>
      <w:tr w:rsidR="00C04064" w:rsidRPr="001567D7" w14:paraId="7AEBD1D8" w14:textId="77777777" w:rsidTr="00BC211D">
        <w:tblPrEx>
          <w:jc w:val="left"/>
        </w:tblPrEx>
        <w:trPr>
          <w:trHeight w:val="288"/>
        </w:trPr>
        <w:tc>
          <w:tcPr>
            <w:tcW w:w="1985" w:type="dxa"/>
            <w:vMerge/>
            <w:tcBorders>
              <w:left w:val="nil"/>
              <w:right w:val="nil"/>
            </w:tcBorders>
            <w:shd w:val="clear" w:color="auto" w:fill="auto"/>
            <w:noWrap/>
            <w:vAlign w:val="center"/>
          </w:tcPr>
          <w:p w14:paraId="1C829257" w14:textId="2CF25632"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5834D804" w14:textId="287F739A"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Eastern Europe</w:t>
            </w:r>
          </w:p>
        </w:tc>
        <w:tc>
          <w:tcPr>
            <w:tcW w:w="992" w:type="dxa"/>
            <w:tcBorders>
              <w:top w:val="nil"/>
              <w:left w:val="nil"/>
              <w:bottom w:val="nil"/>
              <w:right w:val="nil"/>
            </w:tcBorders>
            <w:shd w:val="clear" w:color="auto" w:fill="auto"/>
            <w:noWrap/>
            <w:vAlign w:val="bottom"/>
          </w:tcPr>
          <w:p w14:paraId="5A13D8A7" w14:textId="3C82A619"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8,375</w:t>
            </w:r>
          </w:p>
        </w:tc>
        <w:tc>
          <w:tcPr>
            <w:tcW w:w="851" w:type="dxa"/>
            <w:tcBorders>
              <w:top w:val="nil"/>
              <w:left w:val="nil"/>
              <w:bottom w:val="nil"/>
              <w:right w:val="nil"/>
            </w:tcBorders>
            <w:shd w:val="clear" w:color="auto" w:fill="auto"/>
            <w:noWrap/>
            <w:vAlign w:val="bottom"/>
          </w:tcPr>
          <w:p w14:paraId="466B54E9" w14:textId="7B2AEE09"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(2.3)</w:t>
            </w:r>
          </w:p>
        </w:tc>
        <w:tc>
          <w:tcPr>
            <w:tcW w:w="992" w:type="dxa"/>
            <w:tcBorders>
              <w:top w:val="nil"/>
              <w:left w:val="nil"/>
              <w:bottom w:val="nil"/>
              <w:right w:val="nil"/>
            </w:tcBorders>
            <w:shd w:val="clear" w:color="auto" w:fill="auto"/>
            <w:noWrap/>
            <w:vAlign w:val="bottom"/>
          </w:tcPr>
          <w:p w14:paraId="1EA54B1C" w14:textId="38FAD11F"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6,381</w:t>
            </w:r>
          </w:p>
        </w:tc>
        <w:tc>
          <w:tcPr>
            <w:tcW w:w="851" w:type="dxa"/>
            <w:tcBorders>
              <w:top w:val="nil"/>
              <w:left w:val="nil"/>
              <w:bottom w:val="nil"/>
              <w:right w:val="nil"/>
            </w:tcBorders>
            <w:shd w:val="clear" w:color="auto" w:fill="auto"/>
            <w:noWrap/>
            <w:vAlign w:val="bottom"/>
          </w:tcPr>
          <w:p w14:paraId="463F2A31" w14:textId="093563DD"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(3.2)</w:t>
            </w:r>
          </w:p>
        </w:tc>
        <w:tc>
          <w:tcPr>
            <w:tcW w:w="1134" w:type="dxa"/>
            <w:tcBorders>
              <w:top w:val="nil"/>
              <w:left w:val="nil"/>
              <w:bottom w:val="nil"/>
              <w:right w:val="nil"/>
            </w:tcBorders>
            <w:shd w:val="clear" w:color="auto" w:fill="auto"/>
            <w:noWrap/>
            <w:vAlign w:val="bottom"/>
          </w:tcPr>
          <w:p w14:paraId="00427C69" w14:textId="6044C157"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-1,994</w:t>
            </w:r>
          </w:p>
        </w:tc>
        <w:tc>
          <w:tcPr>
            <w:tcW w:w="855" w:type="dxa"/>
            <w:tcBorders>
              <w:top w:val="nil"/>
              <w:left w:val="nil"/>
              <w:bottom w:val="nil"/>
              <w:right w:val="nil"/>
            </w:tcBorders>
            <w:shd w:val="clear" w:color="auto" w:fill="auto"/>
            <w:noWrap/>
            <w:vAlign w:val="bottom"/>
          </w:tcPr>
          <w:p w14:paraId="11AB7D1F" w14:textId="48BA1F51"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(-23.8)</w:t>
            </w:r>
          </w:p>
        </w:tc>
      </w:tr>
      <w:tr w:rsidR="00C04064" w:rsidRPr="001567D7" w14:paraId="618D8A49" w14:textId="77777777" w:rsidTr="00BC211D">
        <w:tblPrEx>
          <w:jc w:val="left"/>
        </w:tblPrEx>
        <w:trPr>
          <w:trHeight w:val="288"/>
        </w:trPr>
        <w:tc>
          <w:tcPr>
            <w:tcW w:w="1985" w:type="dxa"/>
            <w:vMerge/>
            <w:tcBorders>
              <w:left w:val="nil"/>
              <w:right w:val="nil"/>
            </w:tcBorders>
            <w:shd w:val="clear" w:color="auto" w:fill="auto"/>
            <w:noWrap/>
            <w:vAlign w:val="center"/>
          </w:tcPr>
          <w:p w14:paraId="43DE53E5" w14:textId="67E17EEC"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434550FB" w14:textId="03844390"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Latin America &amp; Caribbean</w:t>
            </w:r>
          </w:p>
        </w:tc>
        <w:tc>
          <w:tcPr>
            <w:tcW w:w="992" w:type="dxa"/>
            <w:tcBorders>
              <w:top w:val="nil"/>
              <w:left w:val="nil"/>
              <w:bottom w:val="nil"/>
              <w:right w:val="nil"/>
            </w:tcBorders>
            <w:shd w:val="clear" w:color="auto" w:fill="auto"/>
            <w:noWrap/>
            <w:vAlign w:val="bottom"/>
          </w:tcPr>
          <w:p w14:paraId="28F012B0" w14:textId="4A937B56"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29,002</w:t>
            </w:r>
          </w:p>
        </w:tc>
        <w:tc>
          <w:tcPr>
            <w:tcW w:w="851" w:type="dxa"/>
            <w:tcBorders>
              <w:top w:val="nil"/>
              <w:left w:val="nil"/>
              <w:bottom w:val="nil"/>
              <w:right w:val="nil"/>
            </w:tcBorders>
            <w:shd w:val="clear" w:color="auto" w:fill="auto"/>
            <w:noWrap/>
            <w:vAlign w:val="bottom"/>
          </w:tcPr>
          <w:p w14:paraId="1D09B2EC" w14:textId="16EF615F"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(8.1)</w:t>
            </w:r>
          </w:p>
        </w:tc>
        <w:tc>
          <w:tcPr>
            <w:tcW w:w="992" w:type="dxa"/>
            <w:tcBorders>
              <w:top w:val="nil"/>
              <w:left w:val="nil"/>
              <w:bottom w:val="nil"/>
              <w:right w:val="nil"/>
            </w:tcBorders>
            <w:shd w:val="clear" w:color="auto" w:fill="auto"/>
            <w:noWrap/>
            <w:vAlign w:val="bottom"/>
          </w:tcPr>
          <w:p w14:paraId="1821B811" w14:textId="787725CB"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23,110</w:t>
            </w:r>
          </w:p>
        </w:tc>
        <w:tc>
          <w:tcPr>
            <w:tcW w:w="851" w:type="dxa"/>
            <w:tcBorders>
              <w:top w:val="nil"/>
              <w:left w:val="nil"/>
              <w:bottom w:val="nil"/>
              <w:right w:val="nil"/>
            </w:tcBorders>
            <w:shd w:val="clear" w:color="auto" w:fill="auto"/>
            <w:noWrap/>
            <w:vAlign w:val="bottom"/>
          </w:tcPr>
          <w:p w14:paraId="609F1DB8" w14:textId="0DF1C400"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(11.6)</w:t>
            </w:r>
          </w:p>
        </w:tc>
        <w:tc>
          <w:tcPr>
            <w:tcW w:w="1134" w:type="dxa"/>
            <w:tcBorders>
              <w:top w:val="nil"/>
              <w:left w:val="nil"/>
              <w:bottom w:val="nil"/>
              <w:right w:val="nil"/>
            </w:tcBorders>
            <w:shd w:val="clear" w:color="auto" w:fill="auto"/>
            <w:noWrap/>
            <w:vAlign w:val="bottom"/>
          </w:tcPr>
          <w:p w14:paraId="534408DD" w14:textId="0EF8F32B"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-5,892</w:t>
            </w:r>
          </w:p>
        </w:tc>
        <w:tc>
          <w:tcPr>
            <w:tcW w:w="855" w:type="dxa"/>
            <w:tcBorders>
              <w:top w:val="nil"/>
              <w:left w:val="nil"/>
              <w:bottom w:val="nil"/>
              <w:right w:val="nil"/>
            </w:tcBorders>
            <w:shd w:val="clear" w:color="auto" w:fill="auto"/>
            <w:noWrap/>
            <w:vAlign w:val="bottom"/>
          </w:tcPr>
          <w:p w14:paraId="7414EB23" w14:textId="7F9570D0"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(-20.3)</w:t>
            </w:r>
          </w:p>
        </w:tc>
      </w:tr>
      <w:tr w:rsidR="00C04064" w:rsidRPr="001567D7" w14:paraId="1275D62B" w14:textId="77777777" w:rsidTr="00BC211D">
        <w:tblPrEx>
          <w:jc w:val="left"/>
        </w:tblPrEx>
        <w:trPr>
          <w:trHeight w:val="288"/>
        </w:trPr>
        <w:tc>
          <w:tcPr>
            <w:tcW w:w="1985" w:type="dxa"/>
            <w:vMerge/>
            <w:tcBorders>
              <w:left w:val="nil"/>
              <w:right w:val="nil"/>
            </w:tcBorders>
            <w:shd w:val="clear" w:color="auto" w:fill="auto"/>
            <w:noWrap/>
            <w:vAlign w:val="center"/>
          </w:tcPr>
          <w:p w14:paraId="0DFEF401" w14:textId="50CF1DDE"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08E389E8" w14:textId="2315E49C"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Oceania</w:t>
            </w:r>
          </w:p>
        </w:tc>
        <w:tc>
          <w:tcPr>
            <w:tcW w:w="992" w:type="dxa"/>
            <w:tcBorders>
              <w:top w:val="nil"/>
              <w:left w:val="nil"/>
              <w:bottom w:val="nil"/>
              <w:right w:val="nil"/>
            </w:tcBorders>
            <w:shd w:val="clear" w:color="auto" w:fill="auto"/>
            <w:noWrap/>
            <w:vAlign w:val="bottom"/>
          </w:tcPr>
          <w:p w14:paraId="350BAE15" w14:textId="19EFF0B1"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1,680</w:t>
            </w:r>
          </w:p>
        </w:tc>
        <w:tc>
          <w:tcPr>
            <w:tcW w:w="851" w:type="dxa"/>
            <w:tcBorders>
              <w:top w:val="nil"/>
              <w:left w:val="nil"/>
              <w:bottom w:val="nil"/>
              <w:right w:val="nil"/>
            </w:tcBorders>
            <w:shd w:val="clear" w:color="auto" w:fill="auto"/>
            <w:noWrap/>
            <w:vAlign w:val="bottom"/>
          </w:tcPr>
          <w:p w14:paraId="1C221972" w14:textId="24F17CBC"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(0.5)</w:t>
            </w:r>
          </w:p>
        </w:tc>
        <w:tc>
          <w:tcPr>
            <w:tcW w:w="992" w:type="dxa"/>
            <w:tcBorders>
              <w:top w:val="nil"/>
              <w:left w:val="nil"/>
              <w:bottom w:val="nil"/>
              <w:right w:val="nil"/>
            </w:tcBorders>
            <w:shd w:val="clear" w:color="auto" w:fill="auto"/>
            <w:noWrap/>
            <w:vAlign w:val="bottom"/>
          </w:tcPr>
          <w:p w14:paraId="6336FEA2" w14:textId="5F4B083E"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1,348</w:t>
            </w:r>
          </w:p>
        </w:tc>
        <w:tc>
          <w:tcPr>
            <w:tcW w:w="851" w:type="dxa"/>
            <w:tcBorders>
              <w:top w:val="nil"/>
              <w:left w:val="nil"/>
              <w:bottom w:val="nil"/>
              <w:right w:val="nil"/>
            </w:tcBorders>
            <w:shd w:val="clear" w:color="auto" w:fill="auto"/>
            <w:noWrap/>
            <w:vAlign w:val="bottom"/>
          </w:tcPr>
          <w:p w14:paraId="4FD36CFC" w14:textId="5C882B75"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(0.7)</w:t>
            </w:r>
          </w:p>
        </w:tc>
        <w:tc>
          <w:tcPr>
            <w:tcW w:w="1134" w:type="dxa"/>
            <w:tcBorders>
              <w:top w:val="nil"/>
              <w:left w:val="nil"/>
              <w:bottom w:val="nil"/>
              <w:right w:val="nil"/>
            </w:tcBorders>
            <w:shd w:val="clear" w:color="auto" w:fill="auto"/>
            <w:noWrap/>
            <w:vAlign w:val="bottom"/>
          </w:tcPr>
          <w:p w14:paraId="7D08DB1B" w14:textId="6EF807C9"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-332</w:t>
            </w:r>
          </w:p>
        </w:tc>
        <w:tc>
          <w:tcPr>
            <w:tcW w:w="855" w:type="dxa"/>
            <w:tcBorders>
              <w:top w:val="nil"/>
              <w:left w:val="nil"/>
              <w:bottom w:val="nil"/>
              <w:right w:val="nil"/>
            </w:tcBorders>
            <w:shd w:val="clear" w:color="auto" w:fill="auto"/>
            <w:noWrap/>
            <w:vAlign w:val="bottom"/>
          </w:tcPr>
          <w:p w14:paraId="57CA99A9" w14:textId="3C4F9385"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(-19.7)</w:t>
            </w:r>
          </w:p>
        </w:tc>
      </w:tr>
      <w:tr w:rsidR="00C04064" w:rsidRPr="001567D7" w14:paraId="2CB77413" w14:textId="77777777" w:rsidTr="00BC211D">
        <w:tblPrEx>
          <w:jc w:val="left"/>
        </w:tblPrEx>
        <w:trPr>
          <w:trHeight w:val="288"/>
        </w:trPr>
        <w:tc>
          <w:tcPr>
            <w:tcW w:w="1985" w:type="dxa"/>
            <w:vMerge/>
            <w:tcBorders>
              <w:left w:val="nil"/>
              <w:right w:val="nil"/>
            </w:tcBorders>
            <w:shd w:val="clear" w:color="auto" w:fill="auto"/>
            <w:noWrap/>
            <w:vAlign w:val="center"/>
          </w:tcPr>
          <w:p w14:paraId="4DA5E711" w14:textId="34B9AA56"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709E60E6" w14:textId="53DB2590"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Northern Europe</w:t>
            </w:r>
          </w:p>
        </w:tc>
        <w:tc>
          <w:tcPr>
            <w:tcW w:w="992" w:type="dxa"/>
            <w:tcBorders>
              <w:top w:val="nil"/>
              <w:left w:val="nil"/>
              <w:bottom w:val="nil"/>
              <w:right w:val="nil"/>
            </w:tcBorders>
            <w:shd w:val="clear" w:color="auto" w:fill="auto"/>
            <w:noWrap/>
            <w:vAlign w:val="bottom"/>
          </w:tcPr>
          <w:p w14:paraId="7C3DCDFB" w14:textId="193CF3C2"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3,211</w:t>
            </w:r>
          </w:p>
        </w:tc>
        <w:tc>
          <w:tcPr>
            <w:tcW w:w="851" w:type="dxa"/>
            <w:tcBorders>
              <w:top w:val="nil"/>
              <w:left w:val="nil"/>
              <w:bottom w:val="nil"/>
              <w:right w:val="nil"/>
            </w:tcBorders>
            <w:shd w:val="clear" w:color="auto" w:fill="auto"/>
            <w:noWrap/>
            <w:vAlign w:val="bottom"/>
          </w:tcPr>
          <w:p w14:paraId="6A141B67" w14:textId="52602946"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(0.9)</w:t>
            </w:r>
          </w:p>
        </w:tc>
        <w:tc>
          <w:tcPr>
            <w:tcW w:w="992" w:type="dxa"/>
            <w:tcBorders>
              <w:top w:val="nil"/>
              <w:left w:val="nil"/>
              <w:bottom w:val="nil"/>
              <w:right w:val="nil"/>
            </w:tcBorders>
            <w:shd w:val="clear" w:color="auto" w:fill="auto"/>
            <w:noWrap/>
            <w:vAlign w:val="bottom"/>
          </w:tcPr>
          <w:p w14:paraId="206C3D20" w14:textId="4E1C4D6D"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2,766</w:t>
            </w:r>
          </w:p>
        </w:tc>
        <w:tc>
          <w:tcPr>
            <w:tcW w:w="851" w:type="dxa"/>
            <w:tcBorders>
              <w:top w:val="nil"/>
              <w:left w:val="nil"/>
              <w:bottom w:val="nil"/>
              <w:right w:val="nil"/>
            </w:tcBorders>
            <w:shd w:val="clear" w:color="auto" w:fill="auto"/>
            <w:noWrap/>
            <w:vAlign w:val="bottom"/>
          </w:tcPr>
          <w:p w14:paraId="7371AE04" w14:textId="2ED33720"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(1.4)</w:t>
            </w:r>
          </w:p>
        </w:tc>
        <w:tc>
          <w:tcPr>
            <w:tcW w:w="1134" w:type="dxa"/>
            <w:tcBorders>
              <w:top w:val="nil"/>
              <w:left w:val="nil"/>
              <w:bottom w:val="nil"/>
              <w:right w:val="nil"/>
            </w:tcBorders>
            <w:shd w:val="clear" w:color="auto" w:fill="auto"/>
            <w:noWrap/>
            <w:vAlign w:val="bottom"/>
          </w:tcPr>
          <w:p w14:paraId="6B2DD4E6" w14:textId="77F68902"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-445</w:t>
            </w:r>
          </w:p>
        </w:tc>
        <w:tc>
          <w:tcPr>
            <w:tcW w:w="855" w:type="dxa"/>
            <w:tcBorders>
              <w:top w:val="nil"/>
              <w:left w:val="nil"/>
              <w:bottom w:val="nil"/>
              <w:right w:val="nil"/>
            </w:tcBorders>
            <w:shd w:val="clear" w:color="auto" w:fill="auto"/>
            <w:noWrap/>
            <w:vAlign w:val="bottom"/>
          </w:tcPr>
          <w:p w14:paraId="584D68B9" w14:textId="47F30F62"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(-13.8)</w:t>
            </w:r>
          </w:p>
        </w:tc>
      </w:tr>
      <w:tr w:rsidR="00C04064" w:rsidRPr="001567D7" w14:paraId="63F1DA76" w14:textId="77777777" w:rsidTr="00BC211D">
        <w:tblPrEx>
          <w:jc w:val="left"/>
        </w:tblPrEx>
        <w:trPr>
          <w:trHeight w:val="288"/>
        </w:trPr>
        <w:tc>
          <w:tcPr>
            <w:tcW w:w="1985" w:type="dxa"/>
            <w:vMerge/>
            <w:tcBorders>
              <w:left w:val="nil"/>
              <w:right w:val="nil"/>
            </w:tcBorders>
            <w:shd w:val="clear" w:color="auto" w:fill="auto"/>
            <w:noWrap/>
            <w:vAlign w:val="center"/>
          </w:tcPr>
          <w:p w14:paraId="14ECC1D7" w14:textId="51C8732B"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59D50CC7" w14:textId="52A1ED9B"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Southern Europe</w:t>
            </w:r>
          </w:p>
        </w:tc>
        <w:tc>
          <w:tcPr>
            <w:tcW w:w="992" w:type="dxa"/>
            <w:tcBorders>
              <w:top w:val="nil"/>
              <w:left w:val="nil"/>
              <w:bottom w:val="nil"/>
              <w:right w:val="nil"/>
            </w:tcBorders>
            <w:shd w:val="clear" w:color="auto" w:fill="auto"/>
            <w:noWrap/>
            <w:vAlign w:val="bottom"/>
          </w:tcPr>
          <w:p w14:paraId="150074BE" w14:textId="29252655"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3,904</w:t>
            </w:r>
          </w:p>
        </w:tc>
        <w:tc>
          <w:tcPr>
            <w:tcW w:w="851" w:type="dxa"/>
            <w:tcBorders>
              <w:top w:val="nil"/>
              <w:left w:val="nil"/>
              <w:bottom w:val="nil"/>
              <w:right w:val="nil"/>
            </w:tcBorders>
            <w:shd w:val="clear" w:color="auto" w:fill="auto"/>
            <w:noWrap/>
            <w:vAlign w:val="bottom"/>
          </w:tcPr>
          <w:p w14:paraId="4D8B59DD" w14:textId="113C4840"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(1.1)</w:t>
            </w:r>
          </w:p>
        </w:tc>
        <w:tc>
          <w:tcPr>
            <w:tcW w:w="992" w:type="dxa"/>
            <w:tcBorders>
              <w:top w:val="nil"/>
              <w:left w:val="nil"/>
              <w:bottom w:val="nil"/>
              <w:right w:val="nil"/>
            </w:tcBorders>
            <w:shd w:val="clear" w:color="auto" w:fill="auto"/>
            <w:noWrap/>
            <w:vAlign w:val="bottom"/>
          </w:tcPr>
          <w:p w14:paraId="76036001" w14:textId="50AC69A9"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3,451</w:t>
            </w:r>
          </w:p>
        </w:tc>
        <w:tc>
          <w:tcPr>
            <w:tcW w:w="851" w:type="dxa"/>
            <w:tcBorders>
              <w:top w:val="nil"/>
              <w:left w:val="nil"/>
              <w:bottom w:val="nil"/>
              <w:right w:val="nil"/>
            </w:tcBorders>
            <w:shd w:val="clear" w:color="auto" w:fill="auto"/>
            <w:noWrap/>
            <w:vAlign w:val="bottom"/>
          </w:tcPr>
          <w:p w14:paraId="7A86F5B4" w14:textId="015E4AE5"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(1.7)</w:t>
            </w:r>
          </w:p>
        </w:tc>
        <w:tc>
          <w:tcPr>
            <w:tcW w:w="1134" w:type="dxa"/>
            <w:tcBorders>
              <w:top w:val="nil"/>
              <w:left w:val="nil"/>
              <w:bottom w:val="nil"/>
              <w:right w:val="nil"/>
            </w:tcBorders>
            <w:shd w:val="clear" w:color="auto" w:fill="auto"/>
            <w:noWrap/>
            <w:vAlign w:val="bottom"/>
          </w:tcPr>
          <w:p w14:paraId="268CF799" w14:textId="196BE625"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-453</w:t>
            </w:r>
          </w:p>
        </w:tc>
        <w:tc>
          <w:tcPr>
            <w:tcW w:w="855" w:type="dxa"/>
            <w:tcBorders>
              <w:top w:val="nil"/>
              <w:left w:val="nil"/>
              <w:bottom w:val="nil"/>
              <w:right w:val="nil"/>
            </w:tcBorders>
            <w:shd w:val="clear" w:color="auto" w:fill="auto"/>
            <w:noWrap/>
            <w:vAlign w:val="bottom"/>
          </w:tcPr>
          <w:p w14:paraId="09037024" w14:textId="5B68E0B3"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(-11.6)</w:t>
            </w:r>
          </w:p>
        </w:tc>
      </w:tr>
      <w:tr w:rsidR="00C04064" w:rsidRPr="001567D7" w14:paraId="0B6D6FA0" w14:textId="77777777" w:rsidTr="00BC211D">
        <w:tblPrEx>
          <w:jc w:val="left"/>
        </w:tblPrEx>
        <w:trPr>
          <w:trHeight w:val="288"/>
        </w:trPr>
        <w:tc>
          <w:tcPr>
            <w:tcW w:w="1985" w:type="dxa"/>
            <w:vMerge/>
            <w:tcBorders>
              <w:left w:val="nil"/>
              <w:right w:val="nil"/>
            </w:tcBorders>
            <w:shd w:val="clear" w:color="auto" w:fill="auto"/>
            <w:noWrap/>
            <w:vAlign w:val="center"/>
          </w:tcPr>
          <w:p w14:paraId="5056C259" w14:textId="11F70EDE"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2B6AB63C" w14:textId="61810E67"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Western Europe</w:t>
            </w:r>
          </w:p>
        </w:tc>
        <w:tc>
          <w:tcPr>
            <w:tcW w:w="992" w:type="dxa"/>
            <w:tcBorders>
              <w:top w:val="nil"/>
              <w:left w:val="nil"/>
              <w:bottom w:val="nil"/>
              <w:right w:val="nil"/>
            </w:tcBorders>
            <w:shd w:val="clear" w:color="auto" w:fill="auto"/>
            <w:noWrap/>
            <w:vAlign w:val="bottom"/>
          </w:tcPr>
          <w:p w14:paraId="59533DD1" w14:textId="2F125FA2"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5,285</w:t>
            </w:r>
          </w:p>
        </w:tc>
        <w:tc>
          <w:tcPr>
            <w:tcW w:w="851" w:type="dxa"/>
            <w:tcBorders>
              <w:top w:val="nil"/>
              <w:left w:val="nil"/>
              <w:bottom w:val="nil"/>
              <w:right w:val="nil"/>
            </w:tcBorders>
            <w:shd w:val="clear" w:color="auto" w:fill="auto"/>
            <w:noWrap/>
            <w:vAlign w:val="bottom"/>
          </w:tcPr>
          <w:p w14:paraId="69775F1A" w14:textId="6EEB9800"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(1.5)</w:t>
            </w:r>
          </w:p>
        </w:tc>
        <w:tc>
          <w:tcPr>
            <w:tcW w:w="992" w:type="dxa"/>
            <w:tcBorders>
              <w:top w:val="nil"/>
              <w:left w:val="nil"/>
              <w:bottom w:val="nil"/>
              <w:right w:val="nil"/>
            </w:tcBorders>
            <w:shd w:val="clear" w:color="auto" w:fill="auto"/>
            <w:noWrap/>
            <w:vAlign w:val="bottom"/>
          </w:tcPr>
          <w:p w14:paraId="23886308" w14:textId="5F332325"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4,834</w:t>
            </w:r>
          </w:p>
        </w:tc>
        <w:tc>
          <w:tcPr>
            <w:tcW w:w="851" w:type="dxa"/>
            <w:tcBorders>
              <w:top w:val="nil"/>
              <w:left w:val="nil"/>
              <w:bottom w:val="nil"/>
              <w:right w:val="nil"/>
            </w:tcBorders>
            <w:shd w:val="clear" w:color="auto" w:fill="auto"/>
            <w:noWrap/>
            <w:vAlign w:val="bottom"/>
          </w:tcPr>
          <w:p w14:paraId="424BE3AD" w14:textId="47D8390E"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(2.4)</w:t>
            </w:r>
          </w:p>
        </w:tc>
        <w:tc>
          <w:tcPr>
            <w:tcW w:w="1134" w:type="dxa"/>
            <w:tcBorders>
              <w:top w:val="nil"/>
              <w:left w:val="nil"/>
              <w:bottom w:val="nil"/>
              <w:right w:val="nil"/>
            </w:tcBorders>
            <w:shd w:val="clear" w:color="auto" w:fill="auto"/>
            <w:noWrap/>
            <w:vAlign w:val="bottom"/>
          </w:tcPr>
          <w:p w14:paraId="746A3F68" w14:textId="4D11962B"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-451</w:t>
            </w:r>
          </w:p>
        </w:tc>
        <w:tc>
          <w:tcPr>
            <w:tcW w:w="855" w:type="dxa"/>
            <w:tcBorders>
              <w:top w:val="nil"/>
              <w:left w:val="nil"/>
              <w:bottom w:val="nil"/>
              <w:right w:val="nil"/>
            </w:tcBorders>
            <w:shd w:val="clear" w:color="auto" w:fill="auto"/>
            <w:noWrap/>
            <w:vAlign w:val="bottom"/>
          </w:tcPr>
          <w:p w14:paraId="2B0F77A3" w14:textId="36BABF6C"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(-8.5)</w:t>
            </w:r>
          </w:p>
        </w:tc>
      </w:tr>
      <w:tr w:rsidR="00C04064" w:rsidRPr="001567D7" w14:paraId="3A1656A8" w14:textId="77777777" w:rsidTr="00BC211D">
        <w:tblPrEx>
          <w:jc w:val="left"/>
        </w:tblPrEx>
        <w:trPr>
          <w:trHeight w:val="288"/>
        </w:trPr>
        <w:tc>
          <w:tcPr>
            <w:tcW w:w="1985" w:type="dxa"/>
            <w:vMerge/>
            <w:tcBorders>
              <w:left w:val="nil"/>
              <w:right w:val="nil"/>
            </w:tcBorders>
            <w:shd w:val="clear" w:color="auto" w:fill="auto"/>
            <w:noWrap/>
            <w:vAlign w:val="center"/>
          </w:tcPr>
          <w:p w14:paraId="00600493" w14:textId="4E0210BF"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7E9C3EC2" w14:textId="354E56DF"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North America</w:t>
            </w:r>
          </w:p>
        </w:tc>
        <w:tc>
          <w:tcPr>
            <w:tcW w:w="992" w:type="dxa"/>
            <w:tcBorders>
              <w:top w:val="nil"/>
              <w:left w:val="nil"/>
              <w:bottom w:val="nil"/>
              <w:right w:val="nil"/>
            </w:tcBorders>
            <w:shd w:val="clear" w:color="auto" w:fill="auto"/>
            <w:noWrap/>
            <w:vAlign w:val="bottom"/>
          </w:tcPr>
          <w:p w14:paraId="3E4037BE" w14:textId="19676B2D"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11,889</w:t>
            </w:r>
          </w:p>
        </w:tc>
        <w:tc>
          <w:tcPr>
            <w:tcW w:w="851" w:type="dxa"/>
            <w:tcBorders>
              <w:top w:val="nil"/>
              <w:left w:val="nil"/>
              <w:bottom w:val="nil"/>
              <w:right w:val="nil"/>
            </w:tcBorders>
            <w:shd w:val="clear" w:color="auto" w:fill="auto"/>
            <w:noWrap/>
            <w:vAlign w:val="bottom"/>
          </w:tcPr>
          <w:p w14:paraId="40A74027" w14:textId="2F875FBC"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(3.3)</w:t>
            </w:r>
          </w:p>
        </w:tc>
        <w:tc>
          <w:tcPr>
            <w:tcW w:w="992" w:type="dxa"/>
            <w:tcBorders>
              <w:top w:val="nil"/>
              <w:left w:val="nil"/>
              <w:bottom w:val="nil"/>
              <w:right w:val="nil"/>
            </w:tcBorders>
            <w:shd w:val="clear" w:color="auto" w:fill="auto"/>
            <w:noWrap/>
            <w:vAlign w:val="bottom"/>
          </w:tcPr>
          <w:p w14:paraId="6B54E09F" w14:textId="77708696"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11,950</w:t>
            </w:r>
          </w:p>
        </w:tc>
        <w:tc>
          <w:tcPr>
            <w:tcW w:w="851" w:type="dxa"/>
            <w:tcBorders>
              <w:top w:val="nil"/>
              <w:left w:val="nil"/>
              <w:bottom w:val="nil"/>
              <w:right w:val="nil"/>
            </w:tcBorders>
            <w:shd w:val="clear" w:color="auto" w:fill="auto"/>
            <w:noWrap/>
            <w:vAlign w:val="bottom"/>
          </w:tcPr>
          <w:p w14:paraId="323A2667" w14:textId="32E819C9"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(6.0)</w:t>
            </w:r>
          </w:p>
        </w:tc>
        <w:tc>
          <w:tcPr>
            <w:tcW w:w="1134" w:type="dxa"/>
            <w:tcBorders>
              <w:top w:val="nil"/>
              <w:left w:val="nil"/>
              <w:bottom w:val="nil"/>
              <w:right w:val="nil"/>
            </w:tcBorders>
            <w:shd w:val="clear" w:color="auto" w:fill="auto"/>
            <w:noWrap/>
            <w:vAlign w:val="bottom"/>
          </w:tcPr>
          <w:p w14:paraId="7BE013F5" w14:textId="0D320013"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61</w:t>
            </w:r>
          </w:p>
        </w:tc>
        <w:tc>
          <w:tcPr>
            <w:tcW w:w="855" w:type="dxa"/>
            <w:tcBorders>
              <w:top w:val="nil"/>
              <w:left w:val="nil"/>
              <w:bottom w:val="nil"/>
              <w:right w:val="nil"/>
            </w:tcBorders>
            <w:shd w:val="clear" w:color="auto" w:fill="auto"/>
            <w:noWrap/>
            <w:vAlign w:val="bottom"/>
          </w:tcPr>
          <w:p w14:paraId="5E6A9656" w14:textId="52399A64"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(0.5)</w:t>
            </w:r>
          </w:p>
        </w:tc>
      </w:tr>
      <w:tr w:rsidR="00C04064" w:rsidRPr="001567D7" w14:paraId="41061235" w14:textId="77777777" w:rsidTr="00097A59">
        <w:tblPrEx>
          <w:jc w:val="left"/>
        </w:tblPrEx>
        <w:trPr>
          <w:trHeight w:val="288"/>
        </w:trPr>
        <w:tc>
          <w:tcPr>
            <w:tcW w:w="1985" w:type="dxa"/>
            <w:tcBorders>
              <w:left w:val="nil"/>
              <w:right w:val="nil"/>
            </w:tcBorders>
            <w:shd w:val="clear" w:color="auto" w:fill="auto"/>
            <w:noWrap/>
            <w:vAlign w:val="center"/>
          </w:tcPr>
          <w:p w14:paraId="4BF022AD" w14:textId="77777777"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right w:val="nil"/>
            </w:tcBorders>
            <w:shd w:val="clear" w:color="auto" w:fill="auto"/>
            <w:noWrap/>
            <w:vAlign w:val="center"/>
          </w:tcPr>
          <w:p w14:paraId="566F1991" w14:textId="77777777" w:rsidR="00C04064" w:rsidRPr="001567D7" w:rsidRDefault="00C04064" w:rsidP="00C04064">
            <w:pPr>
              <w:spacing w:after="0" w:line="240" w:lineRule="auto"/>
              <w:jc w:val="center"/>
              <w:rPr>
                <w:rFonts w:eastAsia="Times New Roman" w:cstheme="minorHAnsi"/>
                <w:color w:val="000000"/>
                <w:lang w:eastAsia="en-GB"/>
              </w:rPr>
            </w:pPr>
          </w:p>
        </w:tc>
        <w:tc>
          <w:tcPr>
            <w:tcW w:w="992" w:type="dxa"/>
            <w:tcBorders>
              <w:top w:val="nil"/>
              <w:left w:val="nil"/>
              <w:right w:val="nil"/>
            </w:tcBorders>
            <w:shd w:val="clear" w:color="auto" w:fill="auto"/>
            <w:noWrap/>
            <w:vAlign w:val="center"/>
          </w:tcPr>
          <w:p w14:paraId="2565DB73" w14:textId="77777777" w:rsidR="00C04064" w:rsidRPr="001567D7" w:rsidRDefault="00C04064" w:rsidP="00C04064">
            <w:pPr>
              <w:spacing w:after="0" w:line="240" w:lineRule="auto"/>
              <w:jc w:val="right"/>
              <w:rPr>
                <w:rFonts w:eastAsia="Times New Roman" w:cstheme="minorHAnsi"/>
                <w:color w:val="000000"/>
                <w:lang w:eastAsia="en-GB"/>
              </w:rPr>
            </w:pPr>
          </w:p>
        </w:tc>
        <w:tc>
          <w:tcPr>
            <w:tcW w:w="851" w:type="dxa"/>
            <w:tcBorders>
              <w:top w:val="nil"/>
              <w:left w:val="nil"/>
              <w:right w:val="nil"/>
            </w:tcBorders>
            <w:shd w:val="clear" w:color="auto" w:fill="auto"/>
            <w:noWrap/>
            <w:vAlign w:val="center"/>
          </w:tcPr>
          <w:p w14:paraId="4FA09BED" w14:textId="77777777" w:rsidR="00C04064" w:rsidRPr="001567D7" w:rsidRDefault="00C04064" w:rsidP="00C04064">
            <w:pPr>
              <w:spacing w:after="0" w:line="240" w:lineRule="auto"/>
              <w:rPr>
                <w:rFonts w:eastAsia="Times New Roman" w:cstheme="minorHAnsi"/>
                <w:color w:val="000000"/>
                <w:lang w:eastAsia="en-GB"/>
              </w:rPr>
            </w:pPr>
          </w:p>
        </w:tc>
        <w:tc>
          <w:tcPr>
            <w:tcW w:w="992" w:type="dxa"/>
            <w:tcBorders>
              <w:top w:val="nil"/>
              <w:left w:val="nil"/>
              <w:right w:val="nil"/>
            </w:tcBorders>
            <w:shd w:val="clear" w:color="auto" w:fill="auto"/>
            <w:noWrap/>
            <w:vAlign w:val="center"/>
          </w:tcPr>
          <w:p w14:paraId="5F8AA212" w14:textId="77777777" w:rsidR="00C04064" w:rsidRPr="001567D7" w:rsidRDefault="00C04064" w:rsidP="00C04064">
            <w:pPr>
              <w:spacing w:after="0" w:line="240" w:lineRule="auto"/>
              <w:jc w:val="right"/>
              <w:rPr>
                <w:rFonts w:eastAsia="Times New Roman" w:cstheme="minorHAnsi"/>
                <w:color w:val="000000"/>
                <w:lang w:eastAsia="en-GB"/>
              </w:rPr>
            </w:pPr>
          </w:p>
        </w:tc>
        <w:tc>
          <w:tcPr>
            <w:tcW w:w="851" w:type="dxa"/>
            <w:tcBorders>
              <w:top w:val="nil"/>
              <w:left w:val="nil"/>
              <w:right w:val="nil"/>
            </w:tcBorders>
            <w:shd w:val="clear" w:color="auto" w:fill="auto"/>
            <w:noWrap/>
            <w:vAlign w:val="center"/>
          </w:tcPr>
          <w:p w14:paraId="6478779C" w14:textId="77777777" w:rsidR="00C04064" w:rsidRPr="001567D7" w:rsidRDefault="00C04064" w:rsidP="00C04064">
            <w:pPr>
              <w:spacing w:after="0" w:line="240" w:lineRule="auto"/>
              <w:rPr>
                <w:rFonts w:eastAsia="Times New Roman" w:cstheme="minorHAnsi"/>
                <w:color w:val="000000"/>
                <w:lang w:eastAsia="en-GB"/>
              </w:rPr>
            </w:pPr>
          </w:p>
        </w:tc>
        <w:tc>
          <w:tcPr>
            <w:tcW w:w="1134" w:type="dxa"/>
            <w:tcBorders>
              <w:top w:val="nil"/>
              <w:left w:val="nil"/>
              <w:right w:val="nil"/>
            </w:tcBorders>
            <w:shd w:val="clear" w:color="auto" w:fill="auto"/>
            <w:noWrap/>
            <w:vAlign w:val="center"/>
          </w:tcPr>
          <w:p w14:paraId="7C918B29" w14:textId="77777777" w:rsidR="00C04064" w:rsidRPr="001567D7" w:rsidRDefault="00C04064" w:rsidP="00C04064">
            <w:pPr>
              <w:spacing w:after="0" w:line="240" w:lineRule="auto"/>
              <w:jc w:val="right"/>
              <w:rPr>
                <w:rFonts w:eastAsia="Times New Roman" w:cstheme="minorHAnsi"/>
                <w:color w:val="000000"/>
                <w:lang w:eastAsia="en-GB"/>
              </w:rPr>
            </w:pPr>
          </w:p>
        </w:tc>
        <w:tc>
          <w:tcPr>
            <w:tcW w:w="855" w:type="dxa"/>
            <w:tcBorders>
              <w:top w:val="nil"/>
              <w:left w:val="nil"/>
              <w:right w:val="nil"/>
            </w:tcBorders>
            <w:shd w:val="clear" w:color="auto" w:fill="auto"/>
            <w:noWrap/>
            <w:vAlign w:val="center"/>
          </w:tcPr>
          <w:p w14:paraId="7694AEE2" w14:textId="77777777" w:rsidR="00C04064" w:rsidRPr="001567D7" w:rsidRDefault="00C04064" w:rsidP="00C04064">
            <w:pPr>
              <w:spacing w:after="0" w:line="240" w:lineRule="auto"/>
              <w:rPr>
                <w:rFonts w:eastAsia="Times New Roman" w:cstheme="minorHAnsi"/>
                <w:color w:val="000000"/>
                <w:lang w:eastAsia="en-GB"/>
              </w:rPr>
            </w:pPr>
          </w:p>
        </w:tc>
      </w:tr>
      <w:tr w:rsidR="00C04064" w:rsidRPr="001567D7" w14:paraId="3B1E67B6" w14:textId="77777777" w:rsidTr="00BC211D">
        <w:tblPrEx>
          <w:jc w:val="left"/>
        </w:tblPrEx>
        <w:trPr>
          <w:trHeight w:val="288"/>
        </w:trPr>
        <w:tc>
          <w:tcPr>
            <w:tcW w:w="1985" w:type="dxa"/>
            <w:vMerge w:val="restart"/>
            <w:tcBorders>
              <w:top w:val="nil"/>
              <w:left w:val="nil"/>
              <w:right w:val="nil"/>
            </w:tcBorders>
            <w:shd w:val="clear" w:color="auto" w:fill="auto"/>
            <w:noWrap/>
            <w:hideMark/>
          </w:tcPr>
          <w:p w14:paraId="060736B6" w14:textId="50915DD3" w:rsidR="00C04064" w:rsidRPr="001567D7" w:rsidRDefault="00C04064" w:rsidP="00041370">
            <w:pPr>
              <w:spacing w:after="0" w:line="240" w:lineRule="auto"/>
              <w:jc w:val="center"/>
              <w:rPr>
                <w:rFonts w:eastAsia="Times New Roman" w:cstheme="minorHAnsi"/>
                <w:color w:val="000000"/>
                <w:lang w:eastAsia="en-GB"/>
              </w:rPr>
            </w:pPr>
            <w:r w:rsidRPr="001567D7">
              <w:rPr>
                <w:rFonts w:eastAsia="Times New Roman" w:cstheme="minorHAnsi"/>
                <w:color w:val="000000"/>
                <w:lang w:eastAsia="en-GB"/>
              </w:rPr>
              <w:t xml:space="preserve">Human Development </w:t>
            </w:r>
            <w:r>
              <w:rPr>
                <w:rFonts w:eastAsia="Times New Roman" w:cstheme="minorHAnsi"/>
                <w:color w:val="000000"/>
                <w:lang w:eastAsia="en-GB"/>
              </w:rPr>
              <w:t xml:space="preserve">Index </w:t>
            </w:r>
          </w:p>
        </w:tc>
        <w:tc>
          <w:tcPr>
            <w:tcW w:w="2692" w:type="dxa"/>
            <w:tcBorders>
              <w:top w:val="nil"/>
              <w:left w:val="nil"/>
              <w:bottom w:val="nil"/>
              <w:right w:val="nil"/>
            </w:tcBorders>
            <w:shd w:val="clear" w:color="auto" w:fill="auto"/>
            <w:noWrap/>
            <w:vAlign w:val="bottom"/>
          </w:tcPr>
          <w:p w14:paraId="5DCAA920" w14:textId="6ECBF21A"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Unclassified</w:t>
            </w:r>
          </w:p>
        </w:tc>
        <w:tc>
          <w:tcPr>
            <w:tcW w:w="992" w:type="dxa"/>
            <w:tcBorders>
              <w:top w:val="nil"/>
              <w:left w:val="nil"/>
              <w:bottom w:val="nil"/>
              <w:right w:val="nil"/>
            </w:tcBorders>
            <w:shd w:val="clear" w:color="auto" w:fill="auto"/>
            <w:noWrap/>
            <w:vAlign w:val="bottom"/>
          </w:tcPr>
          <w:p w14:paraId="6A9595A1" w14:textId="72509892"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3,156</w:t>
            </w:r>
          </w:p>
        </w:tc>
        <w:tc>
          <w:tcPr>
            <w:tcW w:w="851" w:type="dxa"/>
            <w:tcBorders>
              <w:top w:val="nil"/>
              <w:left w:val="nil"/>
              <w:bottom w:val="nil"/>
              <w:right w:val="nil"/>
            </w:tcBorders>
            <w:shd w:val="clear" w:color="auto" w:fill="auto"/>
            <w:noWrap/>
            <w:vAlign w:val="bottom"/>
          </w:tcPr>
          <w:p w14:paraId="079A4105" w14:textId="18FA0C35"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(0.9)</w:t>
            </w:r>
          </w:p>
        </w:tc>
        <w:tc>
          <w:tcPr>
            <w:tcW w:w="992" w:type="dxa"/>
            <w:tcBorders>
              <w:top w:val="nil"/>
              <w:left w:val="nil"/>
              <w:bottom w:val="nil"/>
              <w:right w:val="nil"/>
            </w:tcBorders>
            <w:shd w:val="clear" w:color="auto" w:fill="auto"/>
            <w:noWrap/>
            <w:vAlign w:val="bottom"/>
          </w:tcPr>
          <w:p w14:paraId="43BD1623" w14:textId="4BB307C6"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1,256</w:t>
            </w:r>
          </w:p>
        </w:tc>
        <w:tc>
          <w:tcPr>
            <w:tcW w:w="851" w:type="dxa"/>
            <w:tcBorders>
              <w:top w:val="nil"/>
              <w:left w:val="nil"/>
              <w:bottom w:val="nil"/>
              <w:right w:val="nil"/>
            </w:tcBorders>
            <w:shd w:val="clear" w:color="auto" w:fill="auto"/>
            <w:noWrap/>
            <w:vAlign w:val="bottom"/>
          </w:tcPr>
          <w:p w14:paraId="480714D5" w14:textId="2E3E0B73"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(0.6)</w:t>
            </w:r>
          </w:p>
        </w:tc>
        <w:tc>
          <w:tcPr>
            <w:tcW w:w="1134" w:type="dxa"/>
            <w:tcBorders>
              <w:top w:val="nil"/>
              <w:left w:val="nil"/>
              <w:bottom w:val="nil"/>
              <w:right w:val="nil"/>
            </w:tcBorders>
            <w:shd w:val="clear" w:color="auto" w:fill="auto"/>
            <w:noWrap/>
            <w:vAlign w:val="bottom"/>
          </w:tcPr>
          <w:p w14:paraId="52B6FA3B" w14:textId="1D4A106C"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-1,900</w:t>
            </w:r>
          </w:p>
        </w:tc>
        <w:tc>
          <w:tcPr>
            <w:tcW w:w="855" w:type="dxa"/>
            <w:tcBorders>
              <w:top w:val="nil"/>
              <w:left w:val="nil"/>
              <w:bottom w:val="nil"/>
              <w:right w:val="nil"/>
            </w:tcBorders>
            <w:shd w:val="clear" w:color="auto" w:fill="auto"/>
            <w:noWrap/>
            <w:vAlign w:val="bottom"/>
          </w:tcPr>
          <w:p w14:paraId="50AA94E1" w14:textId="3D64CA50"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(-60.2)</w:t>
            </w:r>
          </w:p>
        </w:tc>
      </w:tr>
      <w:tr w:rsidR="00C04064" w:rsidRPr="001567D7" w14:paraId="11BA1B08" w14:textId="77777777" w:rsidTr="00BC211D">
        <w:tblPrEx>
          <w:jc w:val="left"/>
        </w:tblPrEx>
        <w:trPr>
          <w:trHeight w:val="288"/>
        </w:trPr>
        <w:tc>
          <w:tcPr>
            <w:tcW w:w="1985" w:type="dxa"/>
            <w:vMerge/>
            <w:tcBorders>
              <w:left w:val="nil"/>
              <w:right w:val="nil"/>
            </w:tcBorders>
            <w:shd w:val="clear" w:color="auto" w:fill="auto"/>
            <w:noWrap/>
            <w:vAlign w:val="center"/>
          </w:tcPr>
          <w:p w14:paraId="187D8125" w14:textId="3528327A"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21D01B9F" w14:textId="5EB2390D"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Low</w:t>
            </w:r>
          </w:p>
        </w:tc>
        <w:tc>
          <w:tcPr>
            <w:tcW w:w="992" w:type="dxa"/>
            <w:tcBorders>
              <w:top w:val="nil"/>
              <w:left w:val="nil"/>
              <w:bottom w:val="nil"/>
              <w:right w:val="nil"/>
            </w:tcBorders>
            <w:shd w:val="clear" w:color="auto" w:fill="auto"/>
            <w:noWrap/>
            <w:vAlign w:val="bottom"/>
          </w:tcPr>
          <w:p w14:paraId="39124FD3" w14:textId="76438754"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85,370</w:t>
            </w:r>
          </w:p>
        </w:tc>
        <w:tc>
          <w:tcPr>
            <w:tcW w:w="851" w:type="dxa"/>
            <w:tcBorders>
              <w:top w:val="nil"/>
              <w:left w:val="nil"/>
              <w:bottom w:val="nil"/>
              <w:right w:val="nil"/>
            </w:tcBorders>
            <w:shd w:val="clear" w:color="auto" w:fill="auto"/>
            <w:noWrap/>
            <w:vAlign w:val="bottom"/>
          </w:tcPr>
          <w:p w14:paraId="0E8D1E62" w14:textId="17AB9907"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(23.7)</w:t>
            </w:r>
          </w:p>
        </w:tc>
        <w:tc>
          <w:tcPr>
            <w:tcW w:w="992" w:type="dxa"/>
            <w:tcBorders>
              <w:top w:val="nil"/>
              <w:left w:val="nil"/>
              <w:bottom w:val="nil"/>
              <w:right w:val="nil"/>
            </w:tcBorders>
            <w:shd w:val="clear" w:color="auto" w:fill="auto"/>
            <w:noWrap/>
            <w:vAlign w:val="bottom"/>
          </w:tcPr>
          <w:p w14:paraId="56D34914" w14:textId="2D1A7098"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34,019</w:t>
            </w:r>
          </w:p>
        </w:tc>
        <w:tc>
          <w:tcPr>
            <w:tcW w:w="851" w:type="dxa"/>
            <w:tcBorders>
              <w:top w:val="nil"/>
              <w:left w:val="nil"/>
              <w:bottom w:val="nil"/>
              <w:right w:val="nil"/>
            </w:tcBorders>
            <w:shd w:val="clear" w:color="auto" w:fill="auto"/>
            <w:noWrap/>
            <w:vAlign w:val="bottom"/>
          </w:tcPr>
          <w:p w14:paraId="02A755F1" w14:textId="6A5E42E5"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(17.0)</w:t>
            </w:r>
          </w:p>
        </w:tc>
        <w:tc>
          <w:tcPr>
            <w:tcW w:w="1134" w:type="dxa"/>
            <w:tcBorders>
              <w:top w:val="nil"/>
              <w:left w:val="nil"/>
              <w:bottom w:val="nil"/>
              <w:right w:val="nil"/>
            </w:tcBorders>
            <w:shd w:val="clear" w:color="auto" w:fill="auto"/>
            <w:noWrap/>
            <w:vAlign w:val="bottom"/>
          </w:tcPr>
          <w:p w14:paraId="6898B193" w14:textId="3D393690"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-51,351</w:t>
            </w:r>
          </w:p>
        </w:tc>
        <w:tc>
          <w:tcPr>
            <w:tcW w:w="855" w:type="dxa"/>
            <w:tcBorders>
              <w:top w:val="nil"/>
              <w:left w:val="nil"/>
              <w:bottom w:val="nil"/>
              <w:right w:val="nil"/>
            </w:tcBorders>
            <w:shd w:val="clear" w:color="auto" w:fill="auto"/>
            <w:noWrap/>
            <w:vAlign w:val="bottom"/>
          </w:tcPr>
          <w:p w14:paraId="44E148FE" w14:textId="56EF1751"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(-60.2)</w:t>
            </w:r>
          </w:p>
        </w:tc>
      </w:tr>
      <w:tr w:rsidR="00C04064" w:rsidRPr="001567D7" w14:paraId="71515F9D" w14:textId="77777777" w:rsidTr="00BC211D">
        <w:tblPrEx>
          <w:jc w:val="left"/>
        </w:tblPrEx>
        <w:trPr>
          <w:trHeight w:val="288"/>
        </w:trPr>
        <w:tc>
          <w:tcPr>
            <w:tcW w:w="1985" w:type="dxa"/>
            <w:vMerge/>
            <w:tcBorders>
              <w:left w:val="nil"/>
              <w:right w:val="nil"/>
            </w:tcBorders>
            <w:shd w:val="clear" w:color="auto" w:fill="auto"/>
            <w:noWrap/>
            <w:vAlign w:val="center"/>
          </w:tcPr>
          <w:p w14:paraId="2BABC4D2" w14:textId="62253049"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nil"/>
              <w:right w:val="nil"/>
            </w:tcBorders>
            <w:shd w:val="clear" w:color="auto" w:fill="auto"/>
            <w:noWrap/>
            <w:vAlign w:val="bottom"/>
          </w:tcPr>
          <w:p w14:paraId="77AA67A1" w14:textId="2D5E5292"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Medium</w:t>
            </w:r>
          </w:p>
        </w:tc>
        <w:tc>
          <w:tcPr>
            <w:tcW w:w="992" w:type="dxa"/>
            <w:tcBorders>
              <w:top w:val="nil"/>
              <w:left w:val="nil"/>
              <w:bottom w:val="nil"/>
              <w:right w:val="nil"/>
            </w:tcBorders>
            <w:shd w:val="clear" w:color="auto" w:fill="auto"/>
            <w:noWrap/>
            <w:vAlign w:val="bottom"/>
          </w:tcPr>
          <w:p w14:paraId="156AE05D" w14:textId="16928435"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143,024</w:t>
            </w:r>
          </w:p>
        </w:tc>
        <w:tc>
          <w:tcPr>
            <w:tcW w:w="851" w:type="dxa"/>
            <w:tcBorders>
              <w:top w:val="nil"/>
              <w:left w:val="nil"/>
              <w:bottom w:val="nil"/>
              <w:right w:val="nil"/>
            </w:tcBorders>
            <w:shd w:val="clear" w:color="auto" w:fill="auto"/>
            <w:noWrap/>
            <w:vAlign w:val="bottom"/>
          </w:tcPr>
          <w:p w14:paraId="402DFF97" w14:textId="0DE69E94"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(39.7)</w:t>
            </w:r>
          </w:p>
        </w:tc>
        <w:tc>
          <w:tcPr>
            <w:tcW w:w="992" w:type="dxa"/>
            <w:tcBorders>
              <w:top w:val="nil"/>
              <w:left w:val="nil"/>
              <w:bottom w:val="nil"/>
              <w:right w:val="nil"/>
            </w:tcBorders>
            <w:shd w:val="clear" w:color="auto" w:fill="auto"/>
            <w:noWrap/>
            <w:vAlign w:val="bottom"/>
          </w:tcPr>
          <w:p w14:paraId="3FB31959" w14:textId="635E4584"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69,372</w:t>
            </w:r>
          </w:p>
        </w:tc>
        <w:tc>
          <w:tcPr>
            <w:tcW w:w="851" w:type="dxa"/>
            <w:tcBorders>
              <w:top w:val="nil"/>
              <w:left w:val="nil"/>
              <w:bottom w:val="nil"/>
              <w:right w:val="nil"/>
            </w:tcBorders>
            <w:shd w:val="clear" w:color="auto" w:fill="auto"/>
            <w:noWrap/>
            <w:vAlign w:val="bottom"/>
          </w:tcPr>
          <w:p w14:paraId="54E04ED6" w14:textId="329DCA2C"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(34.7)</w:t>
            </w:r>
          </w:p>
        </w:tc>
        <w:tc>
          <w:tcPr>
            <w:tcW w:w="1134" w:type="dxa"/>
            <w:tcBorders>
              <w:top w:val="nil"/>
              <w:left w:val="nil"/>
              <w:bottom w:val="nil"/>
              <w:right w:val="nil"/>
            </w:tcBorders>
            <w:shd w:val="clear" w:color="auto" w:fill="auto"/>
            <w:noWrap/>
            <w:vAlign w:val="bottom"/>
          </w:tcPr>
          <w:p w14:paraId="3C3D49F9" w14:textId="6A61BF11"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-73,652</w:t>
            </w:r>
          </w:p>
        </w:tc>
        <w:tc>
          <w:tcPr>
            <w:tcW w:w="855" w:type="dxa"/>
            <w:tcBorders>
              <w:top w:val="nil"/>
              <w:left w:val="nil"/>
              <w:bottom w:val="nil"/>
              <w:right w:val="nil"/>
            </w:tcBorders>
            <w:shd w:val="clear" w:color="auto" w:fill="auto"/>
            <w:noWrap/>
            <w:vAlign w:val="bottom"/>
          </w:tcPr>
          <w:p w14:paraId="164BB452" w14:textId="42EBDB26"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(-51.5)</w:t>
            </w:r>
          </w:p>
        </w:tc>
      </w:tr>
      <w:tr w:rsidR="00C04064" w:rsidRPr="001567D7" w14:paraId="1675FCC4" w14:textId="77777777" w:rsidTr="00C04064">
        <w:tblPrEx>
          <w:jc w:val="left"/>
        </w:tblPrEx>
        <w:trPr>
          <w:trHeight w:val="288"/>
        </w:trPr>
        <w:tc>
          <w:tcPr>
            <w:tcW w:w="1985" w:type="dxa"/>
            <w:vMerge/>
            <w:tcBorders>
              <w:left w:val="nil"/>
              <w:right w:val="nil"/>
            </w:tcBorders>
            <w:shd w:val="clear" w:color="auto" w:fill="auto"/>
            <w:noWrap/>
            <w:vAlign w:val="center"/>
          </w:tcPr>
          <w:p w14:paraId="59CE0238" w14:textId="47BA42AD"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right w:val="nil"/>
            </w:tcBorders>
            <w:shd w:val="clear" w:color="auto" w:fill="auto"/>
            <w:noWrap/>
            <w:vAlign w:val="bottom"/>
          </w:tcPr>
          <w:p w14:paraId="4F3805AB" w14:textId="6D4310D3"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High</w:t>
            </w:r>
          </w:p>
        </w:tc>
        <w:tc>
          <w:tcPr>
            <w:tcW w:w="992" w:type="dxa"/>
            <w:tcBorders>
              <w:top w:val="nil"/>
              <w:left w:val="nil"/>
              <w:right w:val="nil"/>
            </w:tcBorders>
            <w:shd w:val="clear" w:color="auto" w:fill="auto"/>
            <w:noWrap/>
            <w:vAlign w:val="bottom"/>
          </w:tcPr>
          <w:p w14:paraId="7A949118" w14:textId="40E96E8E"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87,822</w:t>
            </w:r>
          </w:p>
        </w:tc>
        <w:tc>
          <w:tcPr>
            <w:tcW w:w="851" w:type="dxa"/>
            <w:tcBorders>
              <w:top w:val="nil"/>
              <w:left w:val="nil"/>
              <w:right w:val="nil"/>
            </w:tcBorders>
            <w:shd w:val="clear" w:color="auto" w:fill="auto"/>
            <w:noWrap/>
            <w:vAlign w:val="bottom"/>
          </w:tcPr>
          <w:p w14:paraId="308F3104" w14:textId="564319D2"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(24.4)</w:t>
            </w:r>
          </w:p>
        </w:tc>
        <w:tc>
          <w:tcPr>
            <w:tcW w:w="992" w:type="dxa"/>
            <w:tcBorders>
              <w:top w:val="nil"/>
              <w:left w:val="nil"/>
              <w:right w:val="nil"/>
            </w:tcBorders>
            <w:shd w:val="clear" w:color="auto" w:fill="auto"/>
            <w:noWrap/>
            <w:vAlign w:val="bottom"/>
          </w:tcPr>
          <w:p w14:paraId="0058447E" w14:textId="67427E21"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59,775</w:t>
            </w:r>
          </w:p>
        </w:tc>
        <w:tc>
          <w:tcPr>
            <w:tcW w:w="851" w:type="dxa"/>
            <w:tcBorders>
              <w:top w:val="nil"/>
              <w:left w:val="nil"/>
              <w:right w:val="nil"/>
            </w:tcBorders>
            <w:shd w:val="clear" w:color="auto" w:fill="auto"/>
            <w:noWrap/>
            <w:vAlign w:val="bottom"/>
          </w:tcPr>
          <w:p w14:paraId="554847AD" w14:textId="7CEDA6F4"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(29.9)</w:t>
            </w:r>
          </w:p>
        </w:tc>
        <w:tc>
          <w:tcPr>
            <w:tcW w:w="1134" w:type="dxa"/>
            <w:tcBorders>
              <w:top w:val="nil"/>
              <w:left w:val="nil"/>
              <w:right w:val="nil"/>
            </w:tcBorders>
            <w:shd w:val="clear" w:color="auto" w:fill="auto"/>
            <w:noWrap/>
            <w:vAlign w:val="bottom"/>
          </w:tcPr>
          <w:p w14:paraId="50F290A3" w14:textId="442ADF38"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-28,047</w:t>
            </w:r>
          </w:p>
        </w:tc>
        <w:tc>
          <w:tcPr>
            <w:tcW w:w="855" w:type="dxa"/>
            <w:tcBorders>
              <w:top w:val="nil"/>
              <w:left w:val="nil"/>
              <w:right w:val="nil"/>
            </w:tcBorders>
            <w:shd w:val="clear" w:color="auto" w:fill="auto"/>
            <w:noWrap/>
            <w:vAlign w:val="bottom"/>
          </w:tcPr>
          <w:p w14:paraId="04A3AECF" w14:textId="3BC2357F"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(-31.9)</w:t>
            </w:r>
          </w:p>
        </w:tc>
      </w:tr>
      <w:tr w:rsidR="00C04064" w:rsidRPr="001567D7" w14:paraId="2FFDC3F3" w14:textId="77777777" w:rsidTr="00C04064">
        <w:tblPrEx>
          <w:jc w:val="left"/>
        </w:tblPrEx>
        <w:trPr>
          <w:trHeight w:val="288"/>
        </w:trPr>
        <w:tc>
          <w:tcPr>
            <w:tcW w:w="1985" w:type="dxa"/>
            <w:vMerge/>
            <w:tcBorders>
              <w:left w:val="nil"/>
              <w:bottom w:val="single" w:sz="12" w:space="0" w:color="auto"/>
              <w:right w:val="nil"/>
            </w:tcBorders>
            <w:shd w:val="clear" w:color="auto" w:fill="auto"/>
            <w:noWrap/>
            <w:vAlign w:val="center"/>
          </w:tcPr>
          <w:p w14:paraId="476E9C35" w14:textId="4F9CBEBD" w:rsidR="00C04064" w:rsidRPr="001567D7" w:rsidRDefault="00C04064" w:rsidP="00C04064">
            <w:pPr>
              <w:spacing w:after="0" w:line="240" w:lineRule="auto"/>
              <w:jc w:val="center"/>
              <w:rPr>
                <w:rFonts w:eastAsia="Times New Roman" w:cstheme="minorHAnsi"/>
                <w:color w:val="000000"/>
                <w:lang w:eastAsia="en-GB"/>
              </w:rPr>
            </w:pPr>
          </w:p>
        </w:tc>
        <w:tc>
          <w:tcPr>
            <w:tcW w:w="2692" w:type="dxa"/>
            <w:tcBorders>
              <w:top w:val="nil"/>
              <w:left w:val="nil"/>
              <w:bottom w:val="single" w:sz="12" w:space="0" w:color="auto"/>
              <w:right w:val="nil"/>
            </w:tcBorders>
            <w:shd w:val="clear" w:color="auto" w:fill="auto"/>
            <w:noWrap/>
            <w:vAlign w:val="bottom"/>
          </w:tcPr>
          <w:p w14:paraId="796B6F26" w14:textId="248B0DEC" w:rsidR="00C04064" w:rsidRPr="001567D7"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Very High</w:t>
            </w:r>
          </w:p>
        </w:tc>
        <w:tc>
          <w:tcPr>
            <w:tcW w:w="992" w:type="dxa"/>
            <w:tcBorders>
              <w:top w:val="nil"/>
              <w:left w:val="nil"/>
              <w:bottom w:val="single" w:sz="12" w:space="0" w:color="auto"/>
              <w:right w:val="nil"/>
            </w:tcBorders>
            <w:shd w:val="clear" w:color="auto" w:fill="auto"/>
            <w:noWrap/>
            <w:vAlign w:val="bottom"/>
          </w:tcPr>
          <w:p w14:paraId="2BE1EE4F" w14:textId="05A1E6D6"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40,742</w:t>
            </w:r>
          </w:p>
        </w:tc>
        <w:tc>
          <w:tcPr>
            <w:tcW w:w="851" w:type="dxa"/>
            <w:tcBorders>
              <w:top w:val="nil"/>
              <w:left w:val="nil"/>
              <w:bottom w:val="single" w:sz="12" w:space="0" w:color="auto"/>
              <w:right w:val="nil"/>
            </w:tcBorders>
            <w:shd w:val="clear" w:color="auto" w:fill="auto"/>
            <w:noWrap/>
            <w:vAlign w:val="bottom"/>
          </w:tcPr>
          <w:p w14:paraId="15801994" w14:textId="2F2159E3"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(11.3)</w:t>
            </w:r>
          </w:p>
        </w:tc>
        <w:tc>
          <w:tcPr>
            <w:tcW w:w="992" w:type="dxa"/>
            <w:tcBorders>
              <w:top w:val="nil"/>
              <w:left w:val="nil"/>
              <w:bottom w:val="single" w:sz="12" w:space="0" w:color="auto"/>
              <w:right w:val="nil"/>
            </w:tcBorders>
            <w:shd w:val="clear" w:color="auto" w:fill="auto"/>
            <w:noWrap/>
            <w:vAlign w:val="bottom"/>
          </w:tcPr>
          <w:p w14:paraId="6E62042D" w14:textId="2D823182"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35,223</w:t>
            </w:r>
          </w:p>
        </w:tc>
        <w:tc>
          <w:tcPr>
            <w:tcW w:w="851" w:type="dxa"/>
            <w:tcBorders>
              <w:top w:val="nil"/>
              <w:left w:val="nil"/>
              <w:bottom w:val="single" w:sz="12" w:space="0" w:color="auto"/>
              <w:right w:val="nil"/>
            </w:tcBorders>
            <w:shd w:val="clear" w:color="auto" w:fill="auto"/>
            <w:noWrap/>
            <w:vAlign w:val="bottom"/>
          </w:tcPr>
          <w:p w14:paraId="41472224" w14:textId="76B20C1C"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(17.6)</w:t>
            </w:r>
          </w:p>
        </w:tc>
        <w:tc>
          <w:tcPr>
            <w:tcW w:w="1134" w:type="dxa"/>
            <w:tcBorders>
              <w:top w:val="nil"/>
              <w:left w:val="nil"/>
              <w:bottom w:val="single" w:sz="12" w:space="0" w:color="auto"/>
              <w:right w:val="nil"/>
            </w:tcBorders>
            <w:shd w:val="clear" w:color="auto" w:fill="auto"/>
            <w:noWrap/>
            <w:vAlign w:val="bottom"/>
          </w:tcPr>
          <w:p w14:paraId="60F59937" w14:textId="27877DBE" w:rsidR="00C04064" w:rsidRPr="001567D7" w:rsidRDefault="00C04064" w:rsidP="00C04064">
            <w:pPr>
              <w:spacing w:after="0" w:line="240" w:lineRule="auto"/>
              <w:jc w:val="right"/>
              <w:rPr>
                <w:rFonts w:eastAsia="Times New Roman" w:cstheme="minorHAnsi"/>
                <w:color w:val="000000"/>
                <w:lang w:eastAsia="en-GB"/>
              </w:rPr>
            </w:pPr>
            <w:r>
              <w:rPr>
                <w:rFonts w:ascii="Calibri" w:hAnsi="Calibri" w:cs="Calibri"/>
                <w:color w:val="000000"/>
              </w:rPr>
              <w:t>-5,519</w:t>
            </w:r>
          </w:p>
        </w:tc>
        <w:tc>
          <w:tcPr>
            <w:tcW w:w="855" w:type="dxa"/>
            <w:tcBorders>
              <w:top w:val="nil"/>
              <w:left w:val="nil"/>
              <w:bottom w:val="single" w:sz="12" w:space="0" w:color="auto"/>
              <w:right w:val="nil"/>
            </w:tcBorders>
            <w:shd w:val="clear" w:color="auto" w:fill="auto"/>
            <w:noWrap/>
            <w:vAlign w:val="bottom"/>
          </w:tcPr>
          <w:p w14:paraId="4903C087" w14:textId="13EFA756" w:rsidR="00C04064" w:rsidRPr="001567D7" w:rsidRDefault="00C04064" w:rsidP="00C04064">
            <w:pPr>
              <w:spacing w:after="0" w:line="240" w:lineRule="auto"/>
              <w:rPr>
                <w:rFonts w:eastAsia="Times New Roman" w:cstheme="minorHAnsi"/>
                <w:color w:val="000000"/>
                <w:lang w:eastAsia="en-GB"/>
              </w:rPr>
            </w:pPr>
            <w:r>
              <w:rPr>
                <w:rFonts w:ascii="Calibri" w:hAnsi="Calibri" w:cs="Calibri"/>
                <w:color w:val="000000"/>
              </w:rPr>
              <w:t>(-13.5)</w:t>
            </w:r>
          </w:p>
        </w:tc>
      </w:tr>
    </w:tbl>
    <w:p w14:paraId="3F391934" w14:textId="77777777" w:rsidR="00ED4236" w:rsidRDefault="00ED4236" w:rsidP="00ED4236"/>
    <w:p w14:paraId="22042C58" w14:textId="69423BC9" w:rsidR="00F24C10" w:rsidRDefault="00125759" w:rsidP="00C072C2">
      <w:pPr>
        <w:pStyle w:val="Heading2"/>
        <w:numPr>
          <w:ilvl w:val="1"/>
          <w:numId w:val="23"/>
        </w:numPr>
      </w:pPr>
      <w:r>
        <w:t xml:space="preserve">IICC-3 extrapolations and </w:t>
      </w:r>
      <w:r w:rsidR="00FD09AC">
        <w:t xml:space="preserve">BM </w:t>
      </w:r>
      <w:r>
        <w:t>compared</w:t>
      </w:r>
    </w:p>
    <w:p w14:paraId="519383DD" w14:textId="6759AEE3" w:rsidR="00AE1074" w:rsidRDefault="00577563" w:rsidP="00F24C10">
      <w:r>
        <w:t xml:space="preserve">In a single year, </w:t>
      </w:r>
      <w:r w:rsidR="00A005D5">
        <w:t xml:space="preserve">the selected </w:t>
      </w:r>
      <w:r>
        <w:t xml:space="preserve">registries </w:t>
      </w:r>
      <w:r w:rsidR="00F635BA">
        <w:t>participating in IICC-3 record</w:t>
      </w:r>
      <w:r w:rsidR="00A06E4E">
        <w:t>ed</w:t>
      </w:r>
      <w:r w:rsidR="00F635BA">
        <w:t xml:space="preserve"> </w:t>
      </w:r>
      <w:r w:rsidR="009F07EA">
        <w:t>a</w:t>
      </w:r>
      <w:r w:rsidR="00E434B2">
        <w:t xml:space="preserve">n average </w:t>
      </w:r>
      <w:r w:rsidR="009F07EA">
        <w:t xml:space="preserve">of </w:t>
      </w:r>
      <w:r w:rsidR="00F635BA">
        <w:t>31,583 cancers</w:t>
      </w:r>
      <w:r w:rsidR="005C58C3">
        <w:t xml:space="preserve"> </w:t>
      </w:r>
      <w:r w:rsidR="00032D29">
        <w:t xml:space="preserve">in an estimated </w:t>
      </w:r>
      <w:r w:rsidR="00AF32EF">
        <w:t xml:space="preserve">childhood </w:t>
      </w:r>
      <w:r w:rsidR="00032D29">
        <w:t xml:space="preserve">population of </w:t>
      </w:r>
      <w:r w:rsidR="0045148D">
        <w:t>231,530,179</w:t>
      </w:r>
      <w:r w:rsidR="00032D29">
        <w:t xml:space="preserve">; </w:t>
      </w:r>
      <w:r w:rsidR="00AC71D9">
        <w:t xml:space="preserve">the individual registry data contributing to these totals are </w:t>
      </w:r>
      <w:r w:rsidR="00D73197">
        <w:t xml:space="preserve">presented in Table S5.  </w:t>
      </w:r>
      <w:r w:rsidR="00F635BA">
        <w:t>Extrapolating to the</w:t>
      </w:r>
      <w:r w:rsidR="00AF32EF">
        <w:t xml:space="preserve"> </w:t>
      </w:r>
      <w:r w:rsidR="00F635BA">
        <w:t xml:space="preserve">participating </w:t>
      </w:r>
      <w:r w:rsidR="00AF32EF">
        <w:t xml:space="preserve">registries’ </w:t>
      </w:r>
      <w:r w:rsidR="00F635BA">
        <w:t xml:space="preserve">national populations </w:t>
      </w:r>
      <w:r w:rsidR="0045148D">
        <w:t xml:space="preserve">(1,279,969,991 </w:t>
      </w:r>
      <w:r w:rsidR="0045148D" w:rsidRPr="00DC2159">
        <w:t>children</w:t>
      </w:r>
      <w:r w:rsidR="009F2A9E" w:rsidRPr="00DC2159">
        <w:t xml:space="preserve">, </w:t>
      </w:r>
      <w:r w:rsidR="0045148D" w:rsidRPr="00DC2159">
        <w:t xml:space="preserve">2015) </w:t>
      </w:r>
      <w:r w:rsidR="00AF32EF" w:rsidRPr="00DC2159">
        <w:t>yielded</w:t>
      </w:r>
      <w:r w:rsidR="00F635BA" w:rsidRPr="00DC2159">
        <w:t xml:space="preserve"> </w:t>
      </w:r>
      <w:r w:rsidR="00E45E8E" w:rsidRPr="00DC2159">
        <w:t>a</w:t>
      </w:r>
      <w:r w:rsidR="00AF32EF" w:rsidRPr="00DC2159">
        <w:t xml:space="preserve"> total</w:t>
      </w:r>
      <w:r w:rsidR="00E45E8E" w:rsidRPr="00DC2159">
        <w:t xml:space="preserve"> </w:t>
      </w:r>
      <w:r w:rsidR="00AF32EF" w:rsidRPr="00DC2159">
        <w:t>of</w:t>
      </w:r>
      <w:r w:rsidR="00E45E8E" w:rsidRPr="00DC2159">
        <w:t xml:space="preserve"> 151,435</w:t>
      </w:r>
      <w:r w:rsidR="009A3322" w:rsidRPr="00DC2159">
        <w:t xml:space="preserve"> </w:t>
      </w:r>
      <w:r w:rsidR="00044794" w:rsidRPr="00DC2159">
        <w:t xml:space="preserve">estimated average annual </w:t>
      </w:r>
      <w:r w:rsidR="00F35F1A" w:rsidRPr="00DC2159">
        <w:t>cancers</w:t>
      </w:r>
      <w:r w:rsidR="00044794" w:rsidRPr="00DC2159">
        <w:t xml:space="preserve"> </w:t>
      </w:r>
      <w:r w:rsidR="009A3322" w:rsidRPr="00DC2159">
        <w:t>(</w:t>
      </w:r>
      <w:r w:rsidR="00C8250F" w:rsidRPr="00DC2159">
        <w:t>Table 2</w:t>
      </w:r>
      <w:r w:rsidR="009A3322" w:rsidRPr="00DC2159">
        <w:t>)</w:t>
      </w:r>
      <w:r w:rsidR="00E45E8E" w:rsidRPr="00DC2159">
        <w:t xml:space="preserve">; </w:t>
      </w:r>
      <w:r w:rsidR="00CF6C47" w:rsidRPr="00DC2159">
        <w:t>80,436</w:t>
      </w:r>
      <w:r w:rsidR="00E45E8E" w:rsidRPr="00DC2159">
        <w:t xml:space="preserve"> (</w:t>
      </w:r>
      <w:r w:rsidR="00CF6C47" w:rsidRPr="00DC2159">
        <w:t>34.7</w:t>
      </w:r>
      <w:r w:rsidR="00E45E8E" w:rsidRPr="00DC2159">
        <w:t xml:space="preserve">%) </w:t>
      </w:r>
      <w:r w:rsidR="00C75390" w:rsidRPr="00DC2159">
        <w:t xml:space="preserve">fewer </w:t>
      </w:r>
      <w:r w:rsidR="00E45E8E" w:rsidRPr="00DC2159">
        <w:t xml:space="preserve">than the </w:t>
      </w:r>
      <w:r w:rsidR="009F07EA" w:rsidRPr="00DC2159">
        <w:t>B</w:t>
      </w:r>
      <w:r w:rsidR="00E45E8E" w:rsidRPr="00DC2159">
        <w:t>M</w:t>
      </w:r>
      <w:r w:rsidR="00C75390" w:rsidRPr="00DC2159">
        <w:t xml:space="preserve"> </w:t>
      </w:r>
      <w:r w:rsidR="00E45E8E" w:rsidRPr="00DC2159">
        <w:t>for the same countries.</w:t>
      </w:r>
      <w:r w:rsidR="00AE1074" w:rsidRPr="00DC2159">
        <w:t xml:space="preserve">  </w:t>
      </w:r>
      <w:r w:rsidR="006C28D0" w:rsidRPr="00DC2159">
        <w:t xml:space="preserve">Age-standardised (WHO) </w:t>
      </w:r>
      <w:r w:rsidR="00AE1074" w:rsidRPr="00DC2159">
        <w:t xml:space="preserve">incidence </w:t>
      </w:r>
      <w:r w:rsidR="006C28D0" w:rsidRPr="00DC2159">
        <w:t xml:space="preserve">among participating countries </w:t>
      </w:r>
      <w:r w:rsidR="00AE1074" w:rsidRPr="00DC2159">
        <w:t>was 11</w:t>
      </w:r>
      <w:r w:rsidR="006C28D0" w:rsidRPr="00DC2159">
        <w:t>7.6</w:t>
      </w:r>
      <w:r w:rsidR="00AE1074" w:rsidRPr="00DC2159">
        <w:t xml:space="preserve"> cases per million, ranging from 44.</w:t>
      </w:r>
      <w:r w:rsidR="006C28D0" w:rsidRPr="00DC2159">
        <w:t>1</w:t>
      </w:r>
      <w:r w:rsidR="00AE1074" w:rsidRPr="00DC2159">
        <w:t xml:space="preserve"> (South Africa) to 18</w:t>
      </w:r>
      <w:r w:rsidR="006C28D0" w:rsidRPr="00DC2159">
        <w:t>8.1</w:t>
      </w:r>
      <w:r w:rsidR="00AE1074" w:rsidRPr="00DC2159">
        <w:t xml:space="preserve"> cases per million (</w:t>
      </w:r>
      <w:r w:rsidR="001363ED" w:rsidRPr="00DC2159">
        <w:t>Croatia</w:t>
      </w:r>
      <w:r w:rsidR="00AE1074" w:rsidRPr="00DC2159">
        <w:t>).</w:t>
      </w:r>
      <w:r w:rsidR="00A14BFC">
        <w:t xml:space="preserve"> </w:t>
      </w:r>
    </w:p>
    <w:p w14:paraId="14D5958B" w14:textId="338908FE" w:rsidR="00E45E8E" w:rsidRDefault="00A14BFC" w:rsidP="00F24C10">
      <w:r w:rsidRPr="00844967">
        <w:t>Larger differences</w:t>
      </w:r>
      <w:r w:rsidR="005D4AC1" w:rsidRPr="00844967">
        <w:t xml:space="preserve"> </w:t>
      </w:r>
      <w:r w:rsidR="008A439B">
        <w:t xml:space="preserve">in </w:t>
      </w:r>
      <w:r w:rsidR="005D4AC1" w:rsidRPr="00844967">
        <w:t xml:space="preserve">national </w:t>
      </w:r>
      <w:r w:rsidR="00AE01FD">
        <w:t xml:space="preserve">BM and IICC-3 </w:t>
      </w:r>
      <w:r w:rsidR="005D4AC1" w:rsidRPr="00844967">
        <w:t>estimates</w:t>
      </w:r>
      <w:r w:rsidRPr="00844967">
        <w:t xml:space="preserve"> correlated with larger </w:t>
      </w:r>
      <w:r w:rsidR="00066810" w:rsidRPr="00844967">
        <w:t>scaling factors</w:t>
      </w:r>
      <w:r w:rsidR="00A005D5">
        <w:t xml:space="preserve"> </w:t>
      </w:r>
      <w:r w:rsidR="00AE1074" w:rsidRPr="00844967">
        <w:t>(Table 2)</w:t>
      </w:r>
      <w:r w:rsidR="00AE01FD">
        <w:t>; t</w:t>
      </w:r>
      <w:r w:rsidRPr="00844967">
        <w:t xml:space="preserve">he exception </w:t>
      </w:r>
      <w:r w:rsidR="006254F2">
        <w:t>being</w:t>
      </w:r>
      <w:r w:rsidR="005D4AC1" w:rsidRPr="00844967">
        <w:t xml:space="preserve"> </w:t>
      </w:r>
      <w:r w:rsidRPr="00844967">
        <w:t>Southern Africa</w:t>
      </w:r>
      <w:r w:rsidR="00032D29" w:rsidRPr="00844967">
        <w:t>,</w:t>
      </w:r>
      <w:r w:rsidRPr="00844967">
        <w:t xml:space="preserve"> where</w:t>
      </w:r>
      <w:r w:rsidR="00FB1314" w:rsidRPr="00844967">
        <w:t xml:space="preserve"> </w:t>
      </w:r>
      <w:r w:rsidR="008A439B">
        <w:t xml:space="preserve">despite </w:t>
      </w:r>
      <w:r w:rsidR="006254F2">
        <w:t xml:space="preserve">the comparatively high estimated childhood population </w:t>
      </w:r>
      <w:r w:rsidR="008A439B">
        <w:t xml:space="preserve">coverage </w:t>
      </w:r>
      <w:r w:rsidR="006254F2">
        <w:t xml:space="preserve">(80%), and correspondingly </w:t>
      </w:r>
      <w:r w:rsidR="008A439B">
        <w:t>low scaling factor</w:t>
      </w:r>
      <w:r w:rsidR="006254F2">
        <w:t xml:space="preserve">, </w:t>
      </w:r>
      <w:r w:rsidR="007D7B2E" w:rsidRPr="00844967">
        <w:t xml:space="preserve">the difference in estimated </w:t>
      </w:r>
      <w:r w:rsidR="008A439B">
        <w:t xml:space="preserve">numbers of </w:t>
      </w:r>
      <w:r w:rsidR="007D7B2E" w:rsidRPr="00844967">
        <w:t>cancer</w:t>
      </w:r>
      <w:r w:rsidR="006254F2">
        <w:t xml:space="preserve"> was 75%</w:t>
      </w:r>
      <w:r w:rsidR="007D7B2E" w:rsidRPr="00844967">
        <w:t>.</w:t>
      </w:r>
      <w:r w:rsidR="003F40E3" w:rsidRPr="00844967">
        <w:t xml:space="preserve">  Th</w:t>
      </w:r>
      <w:r w:rsidR="006254F2">
        <w:t>is reflects the fact that the</w:t>
      </w:r>
      <w:r w:rsidR="003F40E3" w:rsidRPr="00844967">
        <w:t xml:space="preserve"> two </w:t>
      </w:r>
      <w:r w:rsidR="008A439B">
        <w:t xml:space="preserve">national </w:t>
      </w:r>
      <w:r w:rsidR="003F40E3" w:rsidRPr="00844967">
        <w:t xml:space="preserve">registries </w:t>
      </w:r>
      <w:r w:rsidR="009E6CB2">
        <w:t xml:space="preserve">in this region (South Africa and Botswana) </w:t>
      </w:r>
      <w:r w:rsidR="00B255E9">
        <w:t xml:space="preserve">are outliers, </w:t>
      </w:r>
      <w:r w:rsidR="003F40E3" w:rsidRPr="00844967">
        <w:t>report</w:t>
      </w:r>
      <w:r w:rsidR="00B255E9">
        <w:t>ing</w:t>
      </w:r>
      <w:r w:rsidR="003F40E3" w:rsidRPr="00844967">
        <w:t xml:space="preserve"> the lowest overall crude rates</w:t>
      </w:r>
      <w:r w:rsidR="006254F2">
        <w:t xml:space="preserve"> (</w:t>
      </w:r>
      <w:r w:rsidR="003F40E3" w:rsidRPr="00844967">
        <w:t xml:space="preserve">44.2 and 54.7 cases per million, respectively </w:t>
      </w:r>
      <w:r w:rsidR="00D312C9">
        <w:t>(</w:t>
      </w:r>
      <w:r w:rsidR="003F40E3" w:rsidRPr="00844967">
        <w:t>Table S5</w:t>
      </w:r>
      <w:r w:rsidR="00D73197" w:rsidRPr="00844967">
        <w:t>, Figure S</w:t>
      </w:r>
      <w:r w:rsidR="00D312C9">
        <w:t>9</w:t>
      </w:r>
      <w:r w:rsidRPr="00844967">
        <w:t>).</w:t>
      </w:r>
      <w:r w:rsidR="00AE1074" w:rsidRPr="00844967">
        <w:t xml:space="preserve">  </w:t>
      </w:r>
      <w:r>
        <w:t xml:space="preserve"> </w:t>
      </w:r>
      <w:r w:rsidR="00E45E8E">
        <w:t xml:space="preserve"> </w:t>
      </w:r>
    </w:p>
    <w:p w14:paraId="47B1DBF4" w14:textId="370F3C82" w:rsidR="00415209" w:rsidRDefault="00415209" w:rsidP="00F24C10">
      <w:r>
        <w:lastRenderedPageBreak/>
        <w:t>Cancer-specific estimates for c</w:t>
      </w:r>
      <w:r w:rsidR="00F24C10">
        <w:t xml:space="preserve">ountries in </w:t>
      </w:r>
      <w:r w:rsidR="00FD789A">
        <w:t>Middle, Western and Eastern</w:t>
      </w:r>
      <w:r w:rsidR="00F24C10">
        <w:t xml:space="preserve"> Africa </w:t>
      </w:r>
      <w:r>
        <w:t xml:space="preserve">(Figure </w:t>
      </w:r>
      <w:r w:rsidR="00AC6E23">
        <w:t>5</w:t>
      </w:r>
      <w:r>
        <w:t xml:space="preserve">) </w:t>
      </w:r>
      <w:r w:rsidR="00F24C10">
        <w:t xml:space="preserve">showed the greatest </w:t>
      </w:r>
      <w:r w:rsidR="00A1218C">
        <w:t>difference</w:t>
      </w:r>
      <w:r w:rsidR="00E27B1B">
        <w:t>s</w:t>
      </w:r>
      <w:r w:rsidR="00A1218C">
        <w:t xml:space="preserve"> </w:t>
      </w:r>
      <w:r w:rsidR="007D2E84">
        <w:t xml:space="preserve">in </w:t>
      </w:r>
      <w:r w:rsidR="008A439B">
        <w:t>compar</w:t>
      </w:r>
      <w:r w:rsidR="007D2E84">
        <w:t xml:space="preserve">ison with </w:t>
      </w:r>
      <w:r w:rsidR="00AB4865">
        <w:t xml:space="preserve">the BM (Figure </w:t>
      </w:r>
      <w:r w:rsidR="00AC6E23">
        <w:t>3</w:t>
      </w:r>
      <w:r w:rsidR="00AB4865">
        <w:t>)</w:t>
      </w:r>
      <w:r w:rsidR="00C31E3F">
        <w:t xml:space="preserve">; notably </w:t>
      </w:r>
      <w:r w:rsidR="00032D29">
        <w:t>l</w:t>
      </w:r>
      <w:r w:rsidR="00F24C10">
        <w:t xml:space="preserve">ymphomas, soft tissue sarcomas, retinoblastoma and renal tumours </w:t>
      </w:r>
      <w:r w:rsidR="008A439B">
        <w:t>were</w:t>
      </w:r>
      <w:r w:rsidR="00F24C10">
        <w:t xml:space="preserve"> relatively more frequent</w:t>
      </w:r>
      <w:r w:rsidR="00F17BDC">
        <w:t xml:space="preserve">, and </w:t>
      </w:r>
      <w:r w:rsidR="00F24C10">
        <w:t xml:space="preserve">leukaemia and CNS tumours less </w:t>
      </w:r>
      <w:r w:rsidR="00E65FED">
        <w:t>so</w:t>
      </w:r>
      <w:r w:rsidR="00C31E3F">
        <w:t xml:space="preserve"> in the IICC-3-based estimates</w:t>
      </w:r>
      <w:r w:rsidR="00F24C10">
        <w:t xml:space="preserve">. </w:t>
      </w:r>
      <w:r w:rsidR="00AF32EF">
        <w:t xml:space="preserve"> </w:t>
      </w:r>
      <w:r w:rsidR="00C31E3F">
        <w:t xml:space="preserve">IICC-3 estimates also </w:t>
      </w:r>
      <w:r w:rsidR="00AC6E23">
        <w:t>showed</w:t>
      </w:r>
      <w:r w:rsidR="00C31E3F">
        <w:t xml:space="preserve"> </w:t>
      </w:r>
      <w:proofErr w:type="spellStart"/>
      <w:r w:rsidR="00C31E3F">
        <w:t>l</w:t>
      </w:r>
      <w:r w:rsidR="00F24C10">
        <w:t>eukaemia</w:t>
      </w:r>
      <w:r w:rsidR="006C4E5B">
        <w:t>s</w:t>
      </w:r>
      <w:proofErr w:type="spellEnd"/>
      <w:r w:rsidR="00C31E3F">
        <w:t xml:space="preserve"> a</w:t>
      </w:r>
      <w:r w:rsidR="00F24C10">
        <w:t>s</w:t>
      </w:r>
      <w:r w:rsidR="00AC6E23">
        <w:t xml:space="preserve"> being</w:t>
      </w:r>
      <w:r w:rsidR="00F24C10">
        <w:t xml:space="preserve"> </w:t>
      </w:r>
      <w:r w:rsidR="00492975">
        <w:t xml:space="preserve">more </w:t>
      </w:r>
      <w:r w:rsidR="00E65FED">
        <w:t>common</w:t>
      </w:r>
      <w:r w:rsidR="00F24C10">
        <w:t xml:space="preserve"> in Latin America and less </w:t>
      </w:r>
      <w:r w:rsidR="00032D29">
        <w:t xml:space="preserve">common </w:t>
      </w:r>
      <w:r w:rsidR="00F24C10">
        <w:t>in Northern Africa</w:t>
      </w:r>
      <w:r w:rsidR="00B93BBA">
        <w:t xml:space="preserve"> in comparison with BM</w:t>
      </w:r>
      <w:r w:rsidR="00AF14CF">
        <w:t xml:space="preserve">.  </w:t>
      </w:r>
      <w:r w:rsidR="00F24C10">
        <w:t xml:space="preserve">The relative frequency of </w:t>
      </w:r>
      <w:r w:rsidR="00CA0C58">
        <w:t>cancers</w:t>
      </w:r>
      <w:r w:rsidR="00F24C10">
        <w:t xml:space="preserve"> in the other and</w:t>
      </w:r>
      <w:r w:rsidR="0064547D">
        <w:t xml:space="preserve"> unspecified diagnostic group (</w:t>
      </w:r>
      <w:r w:rsidR="00B255E9">
        <w:t xml:space="preserve">ICCC-3 </w:t>
      </w:r>
      <w:r w:rsidR="0064547D">
        <w:t>g</w:t>
      </w:r>
      <w:r w:rsidR="00F24C10">
        <w:t>roup XII)</w:t>
      </w:r>
      <w:r w:rsidR="00B255E9">
        <w:t xml:space="preserve"> </w:t>
      </w:r>
      <w:r w:rsidR="00F24C10">
        <w:t>was highest in Africa</w:t>
      </w:r>
      <w:r w:rsidR="00151A48">
        <w:t>, Asia</w:t>
      </w:r>
      <w:r w:rsidR="00F24C10">
        <w:t xml:space="preserve"> and Latin America</w:t>
      </w:r>
      <w:r>
        <w:t xml:space="preserve">. </w:t>
      </w:r>
    </w:p>
    <w:p w14:paraId="01F90AEF" w14:textId="68C17C2C" w:rsidR="005A344F" w:rsidRDefault="005A344F" w:rsidP="00F24C10">
      <w:r>
        <w:t xml:space="preserve">Countries with higher </w:t>
      </w:r>
      <w:r w:rsidR="00415209">
        <w:t xml:space="preserve">HDI </w:t>
      </w:r>
      <w:r>
        <w:t xml:space="preserve">had the highest age-standardised rates of </w:t>
      </w:r>
      <w:r w:rsidR="00DA0942">
        <w:t>neuroblastoma, CNS</w:t>
      </w:r>
      <w:r w:rsidR="00AB4865">
        <w:t xml:space="preserve"> tumours</w:t>
      </w:r>
      <w:r w:rsidR="00DA0942">
        <w:t xml:space="preserve">, </w:t>
      </w:r>
      <w:proofErr w:type="spellStart"/>
      <w:r w:rsidR="00DA0942">
        <w:t>leukaemias</w:t>
      </w:r>
      <w:proofErr w:type="spellEnd"/>
      <w:r w:rsidR="00DA0942">
        <w:t xml:space="preserve"> and germ cell tumours (</w:t>
      </w:r>
      <w:r>
        <w:t>Fig</w:t>
      </w:r>
      <w:r w:rsidR="00E65FED">
        <w:t>ure</w:t>
      </w:r>
      <w:r>
        <w:t xml:space="preserve"> </w:t>
      </w:r>
      <w:r w:rsidR="006C4E5B">
        <w:t>6</w:t>
      </w:r>
      <w:r w:rsidR="00DA0942">
        <w:t>)</w:t>
      </w:r>
      <w:r>
        <w:t xml:space="preserve">. Conversely, countries with lower </w:t>
      </w:r>
      <w:r w:rsidR="003860C4">
        <w:t>HDI</w:t>
      </w:r>
      <w:r w:rsidR="004534A3">
        <w:t>s</w:t>
      </w:r>
      <w:r w:rsidR="003860C4">
        <w:t xml:space="preserve"> </w:t>
      </w:r>
      <w:r>
        <w:t>had the highest rates of soft tissue sarcomas</w:t>
      </w:r>
      <w:r w:rsidR="0013779F">
        <w:t xml:space="preserve"> (which includes KS)</w:t>
      </w:r>
      <w:r>
        <w:t>, lymphomas</w:t>
      </w:r>
      <w:r w:rsidR="0013779F">
        <w:t xml:space="preserve"> (which includes </w:t>
      </w:r>
      <w:proofErr w:type="spellStart"/>
      <w:r w:rsidR="00842C57">
        <w:t>e</w:t>
      </w:r>
      <w:r w:rsidR="0013779F">
        <w:t>BL</w:t>
      </w:r>
      <w:proofErr w:type="spellEnd"/>
      <w:r w:rsidR="0013779F">
        <w:t>)</w:t>
      </w:r>
      <w:r>
        <w:t>, other and unspecified tumours</w:t>
      </w:r>
      <w:r w:rsidR="00842C57">
        <w:t>,</w:t>
      </w:r>
      <w:r>
        <w:t xml:space="preserve"> and retinoblastoma. </w:t>
      </w:r>
    </w:p>
    <w:p w14:paraId="75F52CB6" w14:textId="7B216B99" w:rsidR="00326576" w:rsidRDefault="00326576" w:rsidP="00F24C10">
      <w:r>
        <w:t>Overall, agreement between IICC-3-based extrapolations and BM estimates was best among countries with high HDI</w:t>
      </w:r>
      <w:r w:rsidR="00B255E9">
        <w:t>s, the</w:t>
      </w:r>
      <w:r>
        <w:t xml:space="preserve"> high level of agreement being apparent for most diagnostic groups (Figure 7).  As HDI decreased, agreement decreased: </w:t>
      </w:r>
      <w:r w:rsidR="005D1ADD">
        <w:t xml:space="preserve">BM estimates </w:t>
      </w:r>
      <w:r w:rsidR="00B255E9">
        <w:t>for</w:t>
      </w:r>
      <w:r w:rsidR="005D1ADD">
        <w:t xml:space="preserve"> </w:t>
      </w:r>
      <w:proofErr w:type="spellStart"/>
      <w:r>
        <w:t>leukaemias</w:t>
      </w:r>
      <w:proofErr w:type="spellEnd"/>
      <w:r>
        <w:t>, CNS tumours, neuroblastoma, and germ cell tumours</w:t>
      </w:r>
      <w:r w:rsidR="005D1ADD">
        <w:t xml:space="preserve"> were larger than the IICC-3 extrapolations.  Agreement </w:t>
      </w:r>
      <w:r w:rsidR="00B255E9">
        <w:t xml:space="preserve">for </w:t>
      </w:r>
      <w:r w:rsidR="005D1ADD">
        <w:t xml:space="preserve">numbers of lymphomas and soft tissue sarcomas remained good (Figure 7). </w:t>
      </w:r>
      <w:r>
        <w:t xml:space="preserve">Other and unspecified tumours was the only diagnostic group where estimated cancers based on IICC-3 were consistently </w:t>
      </w:r>
      <w:r w:rsidR="00B255E9">
        <w:t>higher</w:t>
      </w:r>
      <w:r>
        <w:t xml:space="preserve"> than those of the BM (Figure </w:t>
      </w:r>
      <w:r w:rsidR="005D1ADD">
        <w:t>7</w:t>
      </w:r>
      <w:r>
        <w:t xml:space="preserve">); in 11 countries this was more than ten-fold, most notably Mali (66 </w:t>
      </w:r>
      <w:r w:rsidR="00B255E9">
        <w:t>times higher</w:t>
      </w:r>
      <w:r>
        <w:t xml:space="preserve">) and Uganda (21 </w:t>
      </w:r>
      <w:r w:rsidR="00B255E9">
        <w:t>times higher</w:t>
      </w:r>
      <w:r>
        <w:t>).</w:t>
      </w:r>
    </w:p>
    <w:p w14:paraId="325FBA55" w14:textId="1D7C2B6B" w:rsidR="00C04064" w:rsidRDefault="00C04064">
      <w:r>
        <w:br w:type="page"/>
      </w:r>
    </w:p>
    <w:p w14:paraId="3F9A67DC" w14:textId="77777777" w:rsidR="00C04064" w:rsidRDefault="00C04064" w:rsidP="00F24C10"/>
    <w:tbl>
      <w:tblPr>
        <w:tblW w:w="10916" w:type="dxa"/>
        <w:jc w:val="center"/>
        <w:tblLayout w:type="fixed"/>
        <w:tblLook w:val="04A0" w:firstRow="1" w:lastRow="0" w:firstColumn="1" w:lastColumn="0" w:noHBand="0" w:noVBand="1"/>
      </w:tblPr>
      <w:tblGrid>
        <w:gridCol w:w="1711"/>
        <w:gridCol w:w="2835"/>
        <w:gridCol w:w="893"/>
        <w:gridCol w:w="940"/>
        <w:gridCol w:w="851"/>
        <w:gridCol w:w="992"/>
        <w:gridCol w:w="851"/>
        <w:gridCol w:w="992"/>
        <w:gridCol w:w="851"/>
      </w:tblGrid>
      <w:tr w:rsidR="00096C5C" w:rsidRPr="0006021C" w14:paraId="491DF8A5" w14:textId="77777777" w:rsidTr="00844967">
        <w:trPr>
          <w:cantSplit/>
          <w:trHeight w:val="283"/>
          <w:jc w:val="center"/>
        </w:trPr>
        <w:tc>
          <w:tcPr>
            <w:tcW w:w="10916" w:type="dxa"/>
            <w:gridSpan w:val="9"/>
            <w:tcBorders>
              <w:left w:val="nil"/>
              <w:right w:val="nil"/>
            </w:tcBorders>
            <w:vAlign w:val="center"/>
          </w:tcPr>
          <w:p w14:paraId="011621DE" w14:textId="3BA38A45" w:rsidR="00096C5C" w:rsidRPr="0006021C" w:rsidRDefault="00096C5C" w:rsidP="00BA4083">
            <w:pPr>
              <w:spacing w:after="0" w:line="240" w:lineRule="auto"/>
              <w:rPr>
                <w:rFonts w:eastAsia="Times New Roman" w:cstheme="minorHAnsi"/>
                <w:color w:val="000000"/>
                <w:lang w:eastAsia="en-GB"/>
              </w:rPr>
            </w:pPr>
            <w:bookmarkStart w:id="9" w:name="_Hlk15899660"/>
            <w:r w:rsidRPr="00500936">
              <w:rPr>
                <w:rFonts w:eastAsia="Times New Roman" w:cstheme="minorHAnsi"/>
                <w:b/>
                <w:color w:val="000000"/>
                <w:lang w:eastAsia="en-GB"/>
              </w:rPr>
              <w:t>Table 2</w:t>
            </w:r>
            <w:r w:rsidRPr="0006021C">
              <w:rPr>
                <w:rFonts w:eastAsia="Times New Roman" w:cstheme="minorHAnsi"/>
                <w:color w:val="000000"/>
                <w:lang w:eastAsia="en-GB"/>
              </w:rPr>
              <w:t xml:space="preserve"> – </w:t>
            </w:r>
            <w:r w:rsidR="00A12E5A">
              <w:rPr>
                <w:rFonts w:eastAsia="Times New Roman" w:cstheme="minorHAnsi"/>
                <w:color w:val="000000"/>
                <w:lang w:eastAsia="en-GB"/>
              </w:rPr>
              <w:t xml:space="preserve">Estimated numbers of cancers in children aged&lt;15 years in 2015, as derived from the </w:t>
            </w:r>
            <w:r>
              <w:rPr>
                <w:rFonts w:eastAsia="Times New Roman" w:cstheme="minorHAnsi"/>
                <w:color w:val="000000"/>
                <w:lang w:eastAsia="en-GB"/>
              </w:rPr>
              <w:t xml:space="preserve">IICC-3 </w:t>
            </w:r>
            <w:r w:rsidR="00A12E5A">
              <w:rPr>
                <w:rFonts w:eastAsia="Times New Roman" w:cstheme="minorHAnsi"/>
                <w:color w:val="000000"/>
                <w:lang w:eastAsia="en-GB"/>
              </w:rPr>
              <w:t xml:space="preserve">data </w:t>
            </w:r>
            <w:r>
              <w:rPr>
                <w:rFonts w:eastAsia="Times New Roman" w:cstheme="minorHAnsi"/>
                <w:color w:val="000000"/>
                <w:lang w:eastAsia="en-GB"/>
              </w:rPr>
              <w:t xml:space="preserve">and </w:t>
            </w:r>
            <w:r w:rsidR="00A12E5A">
              <w:rPr>
                <w:rFonts w:eastAsia="Times New Roman" w:cstheme="minorHAnsi"/>
                <w:color w:val="000000"/>
                <w:lang w:eastAsia="en-GB"/>
              </w:rPr>
              <w:t>the Baseline Model (</w:t>
            </w:r>
            <w:r>
              <w:rPr>
                <w:rFonts w:eastAsia="Times New Roman" w:cstheme="minorHAnsi"/>
                <w:color w:val="000000"/>
                <w:lang w:eastAsia="en-GB"/>
              </w:rPr>
              <w:t>BM</w:t>
            </w:r>
            <w:r w:rsidR="00A12E5A">
              <w:rPr>
                <w:rFonts w:eastAsia="Times New Roman" w:cstheme="minorHAnsi"/>
                <w:color w:val="000000"/>
                <w:lang w:eastAsia="en-GB"/>
              </w:rPr>
              <w:t>)</w:t>
            </w:r>
            <w:r>
              <w:rPr>
                <w:rFonts w:eastAsia="Times New Roman" w:cstheme="minorHAnsi"/>
                <w:color w:val="000000"/>
                <w:lang w:eastAsia="en-GB"/>
              </w:rPr>
              <w:t xml:space="preserve"> by UN Region and </w:t>
            </w:r>
            <w:r w:rsidR="00D312C9">
              <w:rPr>
                <w:rFonts w:eastAsia="Times New Roman" w:cstheme="minorHAnsi"/>
                <w:color w:val="000000"/>
                <w:lang w:eastAsia="en-GB"/>
              </w:rPr>
              <w:t>h</w:t>
            </w:r>
            <w:r w:rsidR="000253D9">
              <w:rPr>
                <w:rFonts w:eastAsia="Times New Roman" w:cstheme="minorHAnsi"/>
                <w:color w:val="000000"/>
                <w:lang w:eastAsia="en-GB"/>
              </w:rPr>
              <w:t xml:space="preserve">uman </w:t>
            </w:r>
            <w:r w:rsidR="00D312C9">
              <w:rPr>
                <w:rFonts w:eastAsia="Times New Roman" w:cstheme="minorHAnsi"/>
                <w:color w:val="000000"/>
                <w:lang w:eastAsia="en-GB"/>
              </w:rPr>
              <w:t>d</w:t>
            </w:r>
            <w:r w:rsidR="000253D9">
              <w:rPr>
                <w:rFonts w:eastAsia="Times New Roman" w:cstheme="minorHAnsi"/>
                <w:color w:val="000000"/>
                <w:lang w:eastAsia="en-GB"/>
              </w:rPr>
              <w:t xml:space="preserve">evelopment </w:t>
            </w:r>
            <w:r w:rsidR="00D312C9">
              <w:rPr>
                <w:rFonts w:eastAsia="Times New Roman" w:cstheme="minorHAnsi"/>
                <w:color w:val="000000"/>
                <w:lang w:eastAsia="en-GB"/>
              </w:rPr>
              <w:t>i</w:t>
            </w:r>
            <w:r w:rsidR="000253D9">
              <w:rPr>
                <w:rFonts w:eastAsia="Times New Roman" w:cstheme="minorHAnsi"/>
                <w:color w:val="000000"/>
                <w:lang w:eastAsia="en-GB"/>
              </w:rPr>
              <w:t>ndex (</w:t>
            </w:r>
            <w:r>
              <w:rPr>
                <w:rFonts w:eastAsia="Times New Roman" w:cstheme="minorHAnsi"/>
                <w:color w:val="000000"/>
                <w:lang w:eastAsia="en-GB"/>
              </w:rPr>
              <w:t>HDI</w:t>
            </w:r>
            <w:r w:rsidR="000253D9">
              <w:rPr>
                <w:rFonts w:eastAsia="Times New Roman" w:cstheme="minorHAnsi"/>
                <w:color w:val="000000"/>
                <w:lang w:eastAsia="en-GB"/>
              </w:rPr>
              <w:t>)</w:t>
            </w:r>
            <w:r>
              <w:rPr>
                <w:rFonts w:eastAsia="Times New Roman" w:cstheme="minorHAnsi"/>
                <w:color w:val="000000"/>
                <w:lang w:eastAsia="en-GB"/>
              </w:rPr>
              <w:t>; only countries contributing to IICC-3 are included</w:t>
            </w:r>
            <w:r w:rsidR="00A12E5A">
              <w:rPr>
                <w:rFonts w:eastAsia="Times New Roman" w:cstheme="minorHAnsi"/>
                <w:color w:val="000000"/>
                <w:lang w:eastAsia="en-GB"/>
              </w:rPr>
              <w:t xml:space="preserve"> in both estimates</w:t>
            </w:r>
            <w:r>
              <w:rPr>
                <w:rFonts w:eastAsia="Times New Roman" w:cstheme="minorHAnsi"/>
                <w:color w:val="000000"/>
                <w:lang w:eastAsia="en-GB"/>
              </w:rPr>
              <w:t xml:space="preserve">, regions ordered by </w:t>
            </w:r>
            <w:r w:rsidR="007A6709">
              <w:rPr>
                <w:rFonts w:eastAsia="Times New Roman" w:cstheme="minorHAnsi"/>
                <w:color w:val="000000"/>
                <w:lang w:eastAsia="en-GB"/>
              </w:rPr>
              <w:t>the scaling factor† required to extrapolate IICC-3 registry data to countries with participating registries in each UN region or HDI group.</w:t>
            </w:r>
            <w:bookmarkEnd w:id="9"/>
          </w:p>
        </w:tc>
      </w:tr>
      <w:tr w:rsidR="009F2A9E" w:rsidRPr="0006021C" w14:paraId="70F5DB0C" w14:textId="77777777" w:rsidTr="00D23BF4">
        <w:trPr>
          <w:cantSplit/>
          <w:trHeight w:val="283"/>
          <w:jc w:val="center"/>
        </w:trPr>
        <w:tc>
          <w:tcPr>
            <w:tcW w:w="4546" w:type="dxa"/>
            <w:gridSpan w:val="2"/>
            <w:vMerge w:val="restart"/>
            <w:tcBorders>
              <w:top w:val="single" w:sz="12" w:space="0" w:color="auto"/>
              <w:left w:val="nil"/>
              <w:right w:val="nil"/>
            </w:tcBorders>
            <w:vAlign w:val="center"/>
          </w:tcPr>
          <w:p w14:paraId="536A71C3" w14:textId="77777777" w:rsidR="00066810" w:rsidRPr="0006021C" w:rsidRDefault="00066810" w:rsidP="007E726C">
            <w:pPr>
              <w:spacing w:after="0" w:line="240" w:lineRule="auto"/>
              <w:jc w:val="center"/>
              <w:rPr>
                <w:rFonts w:eastAsia="Times New Roman" w:cstheme="minorHAnsi"/>
                <w:color w:val="000000"/>
                <w:lang w:eastAsia="en-GB"/>
              </w:rPr>
            </w:pPr>
            <w:r w:rsidRPr="0006021C">
              <w:rPr>
                <w:rFonts w:eastAsia="Times New Roman" w:cstheme="minorHAnsi"/>
                <w:color w:val="000000"/>
                <w:lang w:eastAsia="en-GB"/>
              </w:rPr>
              <w:t>Region</w:t>
            </w:r>
          </w:p>
        </w:tc>
        <w:tc>
          <w:tcPr>
            <w:tcW w:w="893" w:type="dxa"/>
            <w:vMerge w:val="restart"/>
            <w:tcBorders>
              <w:top w:val="single" w:sz="12" w:space="0" w:color="auto"/>
              <w:left w:val="nil"/>
              <w:right w:val="nil"/>
            </w:tcBorders>
            <w:vAlign w:val="center"/>
          </w:tcPr>
          <w:p w14:paraId="359B2BE5" w14:textId="59290840" w:rsidR="00066810" w:rsidRPr="0006021C" w:rsidRDefault="00066810" w:rsidP="00242284">
            <w:pPr>
              <w:spacing w:after="0" w:line="240" w:lineRule="auto"/>
              <w:jc w:val="center"/>
              <w:rPr>
                <w:rFonts w:eastAsia="Times New Roman" w:cstheme="minorHAnsi"/>
                <w:color w:val="000000"/>
                <w:lang w:eastAsia="en-GB"/>
              </w:rPr>
            </w:pPr>
            <w:r>
              <w:rPr>
                <w:rFonts w:eastAsia="Times New Roman" w:cstheme="minorHAnsi"/>
                <w:color w:val="000000"/>
                <w:lang w:eastAsia="en-GB"/>
              </w:rPr>
              <w:t>Scaling Factor</w:t>
            </w:r>
            <w:r w:rsidR="003D016B">
              <w:rPr>
                <w:rFonts w:eastAsia="Times New Roman" w:cstheme="minorHAnsi"/>
                <w:color w:val="000000"/>
                <w:lang w:eastAsia="en-GB"/>
              </w:rPr>
              <w:t>†</w:t>
            </w:r>
          </w:p>
        </w:tc>
        <w:tc>
          <w:tcPr>
            <w:tcW w:w="3634" w:type="dxa"/>
            <w:gridSpan w:val="4"/>
            <w:tcBorders>
              <w:top w:val="single" w:sz="12" w:space="0" w:color="auto"/>
              <w:left w:val="nil"/>
              <w:bottom w:val="nil"/>
              <w:right w:val="nil"/>
            </w:tcBorders>
            <w:shd w:val="clear" w:color="auto" w:fill="auto"/>
            <w:noWrap/>
            <w:vAlign w:val="center"/>
          </w:tcPr>
          <w:p w14:paraId="1CEFB2CE" w14:textId="350F1EA5" w:rsidR="00066810" w:rsidRPr="0006021C" w:rsidRDefault="00066810" w:rsidP="00242284">
            <w:pPr>
              <w:spacing w:after="0" w:line="240" w:lineRule="auto"/>
              <w:jc w:val="center"/>
              <w:rPr>
                <w:rFonts w:eastAsia="Times New Roman" w:cstheme="minorHAnsi"/>
                <w:color w:val="000000"/>
                <w:lang w:eastAsia="en-GB"/>
              </w:rPr>
            </w:pPr>
            <w:r w:rsidRPr="0006021C">
              <w:rPr>
                <w:rFonts w:eastAsia="Times New Roman" w:cstheme="minorHAnsi"/>
                <w:color w:val="000000"/>
                <w:lang w:eastAsia="en-GB"/>
              </w:rPr>
              <w:t xml:space="preserve">Estimated </w:t>
            </w:r>
            <w:r>
              <w:rPr>
                <w:rFonts w:eastAsia="Times New Roman" w:cstheme="minorHAnsi"/>
                <w:color w:val="000000"/>
                <w:lang w:eastAsia="en-GB"/>
              </w:rPr>
              <w:t>cancers</w:t>
            </w:r>
          </w:p>
        </w:tc>
        <w:tc>
          <w:tcPr>
            <w:tcW w:w="1843" w:type="dxa"/>
            <w:gridSpan w:val="2"/>
            <w:tcBorders>
              <w:top w:val="single" w:sz="12" w:space="0" w:color="auto"/>
              <w:left w:val="nil"/>
              <w:bottom w:val="nil"/>
              <w:right w:val="nil"/>
            </w:tcBorders>
            <w:shd w:val="clear" w:color="auto" w:fill="auto"/>
            <w:noWrap/>
            <w:vAlign w:val="center"/>
          </w:tcPr>
          <w:p w14:paraId="32AB4EAC" w14:textId="3F0106D4" w:rsidR="00066810" w:rsidRPr="0006021C" w:rsidRDefault="00066810" w:rsidP="007E726C">
            <w:pPr>
              <w:spacing w:after="0" w:line="240" w:lineRule="auto"/>
              <w:jc w:val="center"/>
              <w:rPr>
                <w:rFonts w:eastAsia="Times New Roman" w:cstheme="minorHAnsi"/>
                <w:color w:val="000000"/>
                <w:lang w:eastAsia="en-GB"/>
              </w:rPr>
            </w:pPr>
            <w:r w:rsidRPr="0006021C">
              <w:rPr>
                <w:rFonts w:eastAsia="Times New Roman" w:cstheme="minorHAnsi"/>
                <w:color w:val="000000"/>
                <w:lang w:eastAsia="en-GB"/>
              </w:rPr>
              <w:t xml:space="preserve">Difference </w:t>
            </w:r>
          </w:p>
        </w:tc>
      </w:tr>
      <w:tr w:rsidR="009F2A9E" w:rsidRPr="0006021C" w14:paraId="7411329D" w14:textId="77777777" w:rsidTr="00D23BF4">
        <w:trPr>
          <w:cantSplit/>
          <w:trHeight w:val="283"/>
          <w:jc w:val="center"/>
        </w:trPr>
        <w:tc>
          <w:tcPr>
            <w:tcW w:w="4546" w:type="dxa"/>
            <w:gridSpan w:val="2"/>
            <w:vMerge/>
            <w:tcBorders>
              <w:left w:val="nil"/>
              <w:bottom w:val="single" w:sz="12" w:space="0" w:color="auto"/>
              <w:right w:val="nil"/>
            </w:tcBorders>
            <w:vAlign w:val="center"/>
          </w:tcPr>
          <w:p w14:paraId="22E14EE7" w14:textId="77777777" w:rsidR="00242284" w:rsidRPr="0006021C" w:rsidRDefault="00242284" w:rsidP="007E726C">
            <w:pPr>
              <w:spacing w:after="0" w:line="240" w:lineRule="auto"/>
              <w:jc w:val="center"/>
              <w:rPr>
                <w:rFonts w:eastAsia="Times New Roman" w:cstheme="minorHAnsi"/>
                <w:color w:val="000000"/>
                <w:lang w:eastAsia="en-GB"/>
              </w:rPr>
            </w:pPr>
          </w:p>
        </w:tc>
        <w:tc>
          <w:tcPr>
            <w:tcW w:w="893" w:type="dxa"/>
            <w:vMerge/>
            <w:tcBorders>
              <w:left w:val="nil"/>
              <w:bottom w:val="single" w:sz="12" w:space="0" w:color="auto"/>
              <w:right w:val="nil"/>
            </w:tcBorders>
            <w:vAlign w:val="center"/>
          </w:tcPr>
          <w:p w14:paraId="6D589927" w14:textId="5C8FCA1D" w:rsidR="00242284" w:rsidRPr="0006021C" w:rsidRDefault="00242284" w:rsidP="00752E59">
            <w:pPr>
              <w:spacing w:after="0" w:line="240" w:lineRule="auto"/>
              <w:jc w:val="center"/>
              <w:rPr>
                <w:rFonts w:eastAsia="Times New Roman" w:cstheme="minorHAnsi"/>
                <w:color w:val="000000"/>
                <w:lang w:eastAsia="en-GB"/>
              </w:rPr>
            </w:pPr>
          </w:p>
        </w:tc>
        <w:tc>
          <w:tcPr>
            <w:tcW w:w="1791" w:type="dxa"/>
            <w:gridSpan w:val="2"/>
            <w:tcBorders>
              <w:top w:val="nil"/>
              <w:left w:val="nil"/>
              <w:bottom w:val="single" w:sz="12" w:space="0" w:color="auto"/>
              <w:right w:val="nil"/>
            </w:tcBorders>
            <w:shd w:val="clear" w:color="auto" w:fill="auto"/>
            <w:noWrap/>
            <w:vAlign w:val="center"/>
            <w:hideMark/>
          </w:tcPr>
          <w:p w14:paraId="7AF866EC" w14:textId="2FCB1BEA" w:rsidR="00242284" w:rsidRPr="0006021C" w:rsidRDefault="003E4D33" w:rsidP="007E726C">
            <w:pPr>
              <w:spacing w:after="0" w:line="240" w:lineRule="auto"/>
              <w:jc w:val="center"/>
              <w:rPr>
                <w:rFonts w:eastAsia="Times New Roman" w:cstheme="minorHAnsi"/>
                <w:color w:val="000000"/>
                <w:lang w:eastAsia="en-GB"/>
              </w:rPr>
            </w:pPr>
            <w:r>
              <w:rPr>
                <w:rFonts w:eastAsia="Times New Roman" w:cstheme="minorHAnsi"/>
                <w:color w:val="000000"/>
                <w:lang w:eastAsia="en-GB"/>
              </w:rPr>
              <w:t>B</w:t>
            </w:r>
            <w:r w:rsidR="00242284">
              <w:rPr>
                <w:rFonts w:eastAsia="Times New Roman" w:cstheme="minorHAnsi"/>
                <w:color w:val="000000"/>
                <w:lang w:eastAsia="en-GB"/>
              </w:rPr>
              <w:t>M</w:t>
            </w:r>
            <w:r w:rsidR="00FE395C">
              <w:rPr>
                <w:rFonts w:eastAsia="Times New Roman" w:cstheme="minorHAnsi"/>
                <w:color w:val="000000"/>
                <w:lang w:eastAsia="en-GB"/>
              </w:rPr>
              <w:t xml:space="preserve"> (%)</w:t>
            </w:r>
          </w:p>
        </w:tc>
        <w:tc>
          <w:tcPr>
            <w:tcW w:w="1843" w:type="dxa"/>
            <w:gridSpan w:val="2"/>
            <w:tcBorders>
              <w:top w:val="nil"/>
              <w:left w:val="nil"/>
              <w:bottom w:val="single" w:sz="12" w:space="0" w:color="auto"/>
              <w:right w:val="nil"/>
            </w:tcBorders>
            <w:shd w:val="clear" w:color="auto" w:fill="auto"/>
            <w:noWrap/>
            <w:vAlign w:val="center"/>
            <w:hideMark/>
          </w:tcPr>
          <w:p w14:paraId="26917262" w14:textId="774B6A96" w:rsidR="00242284" w:rsidRPr="0006021C" w:rsidRDefault="00242284" w:rsidP="007E726C">
            <w:pPr>
              <w:spacing w:after="0" w:line="240" w:lineRule="auto"/>
              <w:jc w:val="center"/>
              <w:rPr>
                <w:rFonts w:eastAsia="Times New Roman" w:cstheme="minorHAnsi"/>
                <w:color w:val="000000"/>
                <w:lang w:eastAsia="en-GB"/>
              </w:rPr>
            </w:pPr>
            <w:r>
              <w:rPr>
                <w:rFonts w:eastAsia="Times New Roman" w:cstheme="minorHAnsi"/>
                <w:color w:val="000000"/>
                <w:lang w:eastAsia="en-GB"/>
              </w:rPr>
              <w:t>IICC-3</w:t>
            </w:r>
            <w:r w:rsidR="00FE395C">
              <w:rPr>
                <w:rFonts w:eastAsia="Times New Roman" w:cstheme="minorHAnsi"/>
                <w:color w:val="000000"/>
                <w:lang w:eastAsia="en-GB"/>
              </w:rPr>
              <w:t xml:space="preserve"> (%)</w:t>
            </w:r>
          </w:p>
        </w:tc>
        <w:tc>
          <w:tcPr>
            <w:tcW w:w="1843" w:type="dxa"/>
            <w:gridSpan w:val="2"/>
            <w:tcBorders>
              <w:top w:val="nil"/>
              <w:left w:val="nil"/>
              <w:bottom w:val="single" w:sz="12" w:space="0" w:color="auto"/>
              <w:right w:val="nil"/>
            </w:tcBorders>
            <w:shd w:val="clear" w:color="auto" w:fill="auto"/>
            <w:noWrap/>
            <w:vAlign w:val="center"/>
            <w:hideMark/>
          </w:tcPr>
          <w:p w14:paraId="3E6CEEC8" w14:textId="57631A8D" w:rsidR="00242284" w:rsidRPr="0006021C" w:rsidRDefault="00242284" w:rsidP="00242284">
            <w:pPr>
              <w:spacing w:after="0" w:line="240" w:lineRule="auto"/>
              <w:jc w:val="center"/>
              <w:rPr>
                <w:rFonts w:eastAsia="Times New Roman" w:cstheme="minorHAnsi"/>
                <w:color w:val="000000"/>
                <w:lang w:eastAsia="en-GB"/>
              </w:rPr>
            </w:pPr>
            <w:r w:rsidRPr="0006021C">
              <w:rPr>
                <w:rFonts w:eastAsia="Times New Roman" w:cstheme="minorHAnsi"/>
                <w:color w:val="000000"/>
                <w:lang w:eastAsia="en-GB"/>
              </w:rPr>
              <w:t>N</w:t>
            </w:r>
            <w:r>
              <w:rPr>
                <w:rFonts w:eastAsia="Times New Roman" w:cstheme="minorHAnsi"/>
                <w:color w:val="000000"/>
                <w:lang w:eastAsia="en-GB"/>
              </w:rPr>
              <w:t xml:space="preserve"> (</w:t>
            </w:r>
            <w:r w:rsidRPr="0006021C">
              <w:rPr>
                <w:rFonts w:eastAsia="Times New Roman" w:cstheme="minorHAnsi"/>
                <w:color w:val="000000"/>
                <w:lang w:eastAsia="en-GB"/>
              </w:rPr>
              <w:t>%</w:t>
            </w:r>
            <w:r>
              <w:rPr>
                <w:rFonts w:eastAsia="Times New Roman" w:cstheme="minorHAnsi"/>
                <w:color w:val="000000"/>
                <w:lang w:eastAsia="en-GB"/>
              </w:rPr>
              <w:t>)</w:t>
            </w:r>
          </w:p>
        </w:tc>
      </w:tr>
      <w:tr w:rsidR="00C04064" w:rsidRPr="00061491" w14:paraId="316729EF" w14:textId="77777777" w:rsidTr="00BC211D">
        <w:trPr>
          <w:cantSplit/>
          <w:trHeight w:val="283"/>
          <w:jc w:val="center"/>
        </w:trPr>
        <w:tc>
          <w:tcPr>
            <w:tcW w:w="1711" w:type="dxa"/>
            <w:tcBorders>
              <w:top w:val="nil"/>
              <w:left w:val="nil"/>
              <w:bottom w:val="nil"/>
              <w:right w:val="nil"/>
            </w:tcBorders>
            <w:shd w:val="clear" w:color="auto" w:fill="auto"/>
            <w:vAlign w:val="center"/>
          </w:tcPr>
          <w:p w14:paraId="43636C0C" w14:textId="2031096A" w:rsidR="00C04064" w:rsidRPr="00061491" w:rsidRDefault="00C04064" w:rsidP="00C04064">
            <w:pPr>
              <w:spacing w:after="0" w:line="240" w:lineRule="auto"/>
              <w:jc w:val="center"/>
              <w:rPr>
                <w:rFonts w:eastAsia="Times New Roman" w:cstheme="minorHAnsi"/>
                <w:color w:val="000000"/>
                <w:lang w:eastAsia="en-GB"/>
              </w:rPr>
            </w:pPr>
            <w:r>
              <w:rPr>
                <w:rFonts w:eastAsia="Times New Roman" w:cstheme="minorHAnsi"/>
                <w:color w:val="000000"/>
                <w:lang w:eastAsia="en-GB"/>
              </w:rPr>
              <w:t xml:space="preserve">IICC-3 Countries </w:t>
            </w:r>
          </w:p>
        </w:tc>
        <w:tc>
          <w:tcPr>
            <w:tcW w:w="2835" w:type="dxa"/>
            <w:tcBorders>
              <w:top w:val="nil"/>
              <w:left w:val="nil"/>
              <w:bottom w:val="nil"/>
              <w:right w:val="nil"/>
            </w:tcBorders>
            <w:shd w:val="clear" w:color="auto" w:fill="auto"/>
            <w:vAlign w:val="center"/>
          </w:tcPr>
          <w:p w14:paraId="52CFA792" w14:textId="56EC541B" w:rsidR="00C04064" w:rsidRPr="00061491" w:rsidRDefault="00C04064" w:rsidP="00C04064">
            <w:pPr>
              <w:spacing w:after="0" w:line="240" w:lineRule="auto"/>
              <w:jc w:val="center"/>
              <w:rPr>
                <w:rFonts w:eastAsia="Times New Roman" w:cstheme="minorHAnsi"/>
                <w:color w:val="000000"/>
                <w:lang w:eastAsia="en-GB"/>
              </w:rPr>
            </w:pPr>
          </w:p>
        </w:tc>
        <w:tc>
          <w:tcPr>
            <w:tcW w:w="893" w:type="dxa"/>
            <w:tcBorders>
              <w:top w:val="nil"/>
              <w:left w:val="nil"/>
              <w:bottom w:val="nil"/>
              <w:right w:val="nil"/>
            </w:tcBorders>
            <w:shd w:val="clear" w:color="auto" w:fill="auto"/>
            <w:vAlign w:val="bottom"/>
          </w:tcPr>
          <w:p w14:paraId="0CCE229E" w14:textId="64B8E7BC" w:rsidR="00C04064" w:rsidRPr="00061491" w:rsidRDefault="00C04064" w:rsidP="00C04064">
            <w:pPr>
              <w:contextualSpacing/>
              <w:jc w:val="center"/>
            </w:pPr>
            <w:r>
              <w:rPr>
                <w:rFonts w:ascii="Calibri" w:hAnsi="Calibri" w:cs="Calibri"/>
                <w:color w:val="000000"/>
              </w:rPr>
              <w:t>5.53</w:t>
            </w:r>
          </w:p>
        </w:tc>
        <w:tc>
          <w:tcPr>
            <w:tcW w:w="940" w:type="dxa"/>
            <w:tcBorders>
              <w:top w:val="nil"/>
              <w:left w:val="nil"/>
              <w:bottom w:val="nil"/>
              <w:right w:val="nil"/>
            </w:tcBorders>
            <w:shd w:val="clear" w:color="auto" w:fill="auto"/>
            <w:noWrap/>
            <w:vAlign w:val="bottom"/>
          </w:tcPr>
          <w:p w14:paraId="5B12C36A" w14:textId="249EFB54" w:rsidR="00C04064" w:rsidRPr="00061491" w:rsidRDefault="00C04064" w:rsidP="00C04064">
            <w:pPr>
              <w:contextualSpacing/>
              <w:jc w:val="right"/>
            </w:pPr>
            <w:r>
              <w:rPr>
                <w:rFonts w:ascii="Calibri" w:hAnsi="Calibri" w:cs="Calibri"/>
                <w:color w:val="000000"/>
              </w:rPr>
              <w:t>231,871</w:t>
            </w:r>
          </w:p>
        </w:tc>
        <w:tc>
          <w:tcPr>
            <w:tcW w:w="851" w:type="dxa"/>
            <w:tcBorders>
              <w:top w:val="nil"/>
              <w:left w:val="nil"/>
              <w:bottom w:val="nil"/>
              <w:right w:val="nil"/>
            </w:tcBorders>
            <w:shd w:val="clear" w:color="auto" w:fill="auto"/>
            <w:vAlign w:val="bottom"/>
          </w:tcPr>
          <w:p w14:paraId="79DFA64D" w14:textId="021C8BCD" w:rsidR="00C04064" w:rsidRPr="00061491" w:rsidRDefault="00C04064" w:rsidP="00C04064">
            <w:pPr>
              <w:contextualSpacing/>
            </w:pPr>
            <w:r>
              <w:rPr>
                <w:rFonts w:ascii="Calibri" w:hAnsi="Calibri" w:cs="Calibri"/>
                <w:color w:val="000000"/>
              </w:rPr>
              <w:t>(100.0)</w:t>
            </w:r>
          </w:p>
        </w:tc>
        <w:tc>
          <w:tcPr>
            <w:tcW w:w="992" w:type="dxa"/>
            <w:tcBorders>
              <w:top w:val="nil"/>
              <w:left w:val="nil"/>
              <w:bottom w:val="nil"/>
              <w:right w:val="nil"/>
            </w:tcBorders>
            <w:shd w:val="clear" w:color="auto" w:fill="auto"/>
            <w:noWrap/>
            <w:vAlign w:val="bottom"/>
          </w:tcPr>
          <w:p w14:paraId="13FBCE4A" w14:textId="1C2BF97D" w:rsidR="00C04064" w:rsidRPr="00061491" w:rsidRDefault="00C04064" w:rsidP="00C04064">
            <w:pPr>
              <w:contextualSpacing/>
              <w:jc w:val="right"/>
            </w:pPr>
            <w:r>
              <w:rPr>
                <w:rFonts w:ascii="Calibri" w:hAnsi="Calibri" w:cs="Calibri"/>
                <w:color w:val="000000"/>
              </w:rPr>
              <w:t>151,435</w:t>
            </w:r>
          </w:p>
        </w:tc>
        <w:tc>
          <w:tcPr>
            <w:tcW w:w="851" w:type="dxa"/>
            <w:tcBorders>
              <w:top w:val="nil"/>
              <w:left w:val="nil"/>
              <w:bottom w:val="nil"/>
              <w:right w:val="nil"/>
            </w:tcBorders>
            <w:shd w:val="clear" w:color="auto" w:fill="auto"/>
            <w:vAlign w:val="bottom"/>
          </w:tcPr>
          <w:p w14:paraId="3E25992A" w14:textId="5E0EE4DC" w:rsidR="00C04064" w:rsidRPr="00061491" w:rsidRDefault="00C04064" w:rsidP="00C04064">
            <w:pPr>
              <w:contextualSpacing/>
            </w:pPr>
            <w:r>
              <w:rPr>
                <w:rFonts w:ascii="Calibri" w:hAnsi="Calibri" w:cs="Calibri"/>
                <w:color w:val="000000"/>
              </w:rPr>
              <w:t>(100.0)</w:t>
            </w:r>
          </w:p>
        </w:tc>
        <w:tc>
          <w:tcPr>
            <w:tcW w:w="992" w:type="dxa"/>
            <w:tcBorders>
              <w:top w:val="nil"/>
              <w:left w:val="nil"/>
              <w:bottom w:val="nil"/>
              <w:right w:val="nil"/>
            </w:tcBorders>
            <w:shd w:val="clear" w:color="auto" w:fill="auto"/>
            <w:noWrap/>
            <w:vAlign w:val="bottom"/>
          </w:tcPr>
          <w:p w14:paraId="4371C782" w14:textId="7C6EC274" w:rsidR="00C04064" w:rsidRPr="00061491" w:rsidRDefault="00C04064" w:rsidP="00C04064">
            <w:pPr>
              <w:contextualSpacing/>
              <w:jc w:val="right"/>
            </w:pPr>
            <w:r>
              <w:rPr>
                <w:rFonts w:ascii="Calibri" w:hAnsi="Calibri" w:cs="Calibri"/>
                <w:color w:val="000000"/>
              </w:rPr>
              <w:t>-80,436</w:t>
            </w:r>
          </w:p>
        </w:tc>
        <w:tc>
          <w:tcPr>
            <w:tcW w:w="851" w:type="dxa"/>
            <w:tcBorders>
              <w:top w:val="nil"/>
              <w:left w:val="nil"/>
              <w:bottom w:val="nil"/>
              <w:right w:val="nil"/>
            </w:tcBorders>
            <w:shd w:val="clear" w:color="auto" w:fill="auto"/>
            <w:noWrap/>
            <w:vAlign w:val="bottom"/>
          </w:tcPr>
          <w:p w14:paraId="7EFFAB9A" w14:textId="4026E9FB" w:rsidR="00C04064" w:rsidRPr="00061491" w:rsidRDefault="00C04064" w:rsidP="00C04064">
            <w:pPr>
              <w:contextualSpacing/>
            </w:pPr>
            <w:r>
              <w:rPr>
                <w:rFonts w:ascii="Calibri" w:hAnsi="Calibri" w:cs="Calibri"/>
                <w:color w:val="000000"/>
              </w:rPr>
              <w:t>(-34.7)</w:t>
            </w:r>
          </w:p>
        </w:tc>
      </w:tr>
      <w:tr w:rsidR="00C04064" w:rsidRPr="00061491" w14:paraId="486893AB" w14:textId="77777777" w:rsidTr="00D23BF4">
        <w:trPr>
          <w:cantSplit/>
          <w:trHeight w:val="133"/>
          <w:jc w:val="center"/>
        </w:trPr>
        <w:tc>
          <w:tcPr>
            <w:tcW w:w="4546" w:type="dxa"/>
            <w:gridSpan w:val="2"/>
            <w:tcBorders>
              <w:top w:val="nil"/>
              <w:left w:val="nil"/>
              <w:bottom w:val="nil"/>
              <w:right w:val="nil"/>
            </w:tcBorders>
            <w:shd w:val="clear" w:color="auto" w:fill="auto"/>
            <w:vAlign w:val="center"/>
          </w:tcPr>
          <w:p w14:paraId="5DC07A62" w14:textId="77777777" w:rsidR="00C04064" w:rsidRPr="00957C13" w:rsidRDefault="00C04064" w:rsidP="00C04064">
            <w:pPr>
              <w:spacing w:after="0" w:line="240" w:lineRule="auto"/>
              <w:jc w:val="center"/>
              <w:rPr>
                <w:rFonts w:eastAsia="Times New Roman" w:cstheme="minorHAnsi"/>
                <w:color w:val="000000"/>
                <w:lang w:eastAsia="en-GB"/>
              </w:rPr>
            </w:pPr>
          </w:p>
        </w:tc>
        <w:tc>
          <w:tcPr>
            <w:tcW w:w="893" w:type="dxa"/>
            <w:tcBorders>
              <w:left w:val="nil"/>
              <w:right w:val="nil"/>
            </w:tcBorders>
            <w:vAlign w:val="center"/>
          </w:tcPr>
          <w:p w14:paraId="47CE6267" w14:textId="52232EA9" w:rsidR="00C04064" w:rsidRPr="00061491" w:rsidRDefault="00C04064" w:rsidP="00C04064">
            <w:pPr>
              <w:contextualSpacing/>
              <w:jc w:val="center"/>
            </w:pPr>
          </w:p>
        </w:tc>
        <w:tc>
          <w:tcPr>
            <w:tcW w:w="940" w:type="dxa"/>
            <w:tcBorders>
              <w:top w:val="nil"/>
              <w:left w:val="nil"/>
              <w:bottom w:val="nil"/>
              <w:right w:val="nil"/>
            </w:tcBorders>
            <w:shd w:val="clear" w:color="auto" w:fill="auto"/>
            <w:noWrap/>
            <w:vAlign w:val="center"/>
          </w:tcPr>
          <w:p w14:paraId="53A1E055" w14:textId="77777777" w:rsidR="00C04064" w:rsidRPr="00061491" w:rsidRDefault="00C04064" w:rsidP="00C04064">
            <w:pPr>
              <w:contextualSpacing/>
              <w:jc w:val="right"/>
            </w:pPr>
          </w:p>
        </w:tc>
        <w:tc>
          <w:tcPr>
            <w:tcW w:w="851" w:type="dxa"/>
            <w:tcBorders>
              <w:top w:val="nil"/>
              <w:left w:val="nil"/>
              <w:bottom w:val="nil"/>
              <w:right w:val="nil"/>
            </w:tcBorders>
            <w:shd w:val="clear" w:color="auto" w:fill="auto"/>
            <w:vAlign w:val="center"/>
          </w:tcPr>
          <w:p w14:paraId="042811B2" w14:textId="77777777" w:rsidR="00C04064" w:rsidRPr="00061491" w:rsidRDefault="00C04064" w:rsidP="00C04064">
            <w:pPr>
              <w:contextualSpacing/>
            </w:pPr>
          </w:p>
        </w:tc>
        <w:tc>
          <w:tcPr>
            <w:tcW w:w="992" w:type="dxa"/>
            <w:tcBorders>
              <w:top w:val="nil"/>
              <w:left w:val="nil"/>
              <w:bottom w:val="nil"/>
              <w:right w:val="nil"/>
            </w:tcBorders>
            <w:shd w:val="clear" w:color="auto" w:fill="auto"/>
            <w:noWrap/>
            <w:vAlign w:val="center"/>
          </w:tcPr>
          <w:p w14:paraId="103B93F6" w14:textId="77777777" w:rsidR="00C04064" w:rsidRPr="00061491" w:rsidRDefault="00C04064" w:rsidP="00C04064">
            <w:pPr>
              <w:contextualSpacing/>
              <w:jc w:val="right"/>
            </w:pPr>
          </w:p>
        </w:tc>
        <w:tc>
          <w:tcPr>
            <w:tcW w:w="851" w:type="dxa"/>
            <w:tcBorders>
              <w:top w:val="nil"/>
              <w:left w:val="nil"/>
              <w:bottom w:val="nil"/>
              <w:right w:val="nil"/>
            </w:tcBorders>
            <w:shd w:val="clear" w:color="auto" w:fill="auto"/>
            <w:vAlign w:val="center"/>
          </w:tcPr>
          <w:p w14:paraId="58A803FB" w14:textId="77777777" w:rsidR="00C04064" w:rsidRPr="00061491" w:rsidRDefault="00C04064" w:rsidP="00C04064">
            <w:pPr>
              <w:contextualSpacing/>
            </w:pPr>
          </w:p>
        </w:tc>
        <w:tc>
          <w:tcPr>
            <w:tcW w:w="992" w:type="dxa"/>
            <w:tcBorders>
              <w:top w:val="nil"/>
              <w:left w:val="nil"/>
              <w:bottom w:val="nil"/>
              <w:right w:val="nil"/>
            </w:tcBorders>
            <w:shd w:val="clear" w:color="auto" w:fill="auto"/>
            <w:noWrap/>
            <w:vAlign w:val="center"/>
          </w:tcPr>
          <w:p w14:paraId="40AD9631" w14:textId="77777777" w:rsidR="00C04064" w:rsidRPr="00061491" w:rsidRDefault="00C04064" w:rsidP="00C04064">
            <w:pPr>
              <w:contextualSpacing/>
              <w:jc w:val="right"/>
            </w:pPr>
          </w:p>
        </w:tc>
        <w:tc>
          <w:tcPr>
            <w:tcW w:w="851" w:type="dxa"/>
            <w:tcBorders>
              <w:top w:val="nil"/>
              <w:left w:val="nil"/>
              <w:bottom w:val="nil"/>
              <w:right w:val="nil"/>
            </w:tcBorders>
            <w:shd w:val="clear" w:color="auto" w:fill="auto"/>
            <w:noWrap/>
            <w:vAlign w:val="center"/>
          </w:tcPr>
          <w:p w14:paraId="5E679FC1" w14:textId="77777777" w:rsidR="00C04064" w:rsidRPr="00061491" w:rsidRDefault="00C04064" w:rsidP="00C04064">
            <w:pPr>
              <w:contextualSpacing/>
            </w:pPr>
          </w:p>
        </w:tc>
      </w:tr>
      <w:tr w:rsidR="00C04064" w:rsidRPr="00061491" w14:paraId="4A03E9E4" w14:textId="77777777" w:rsidTr="00BC211D">
        <w:trPr>
          <w:cantSplit/>
          <w:trHeight w:val="283"/>
          <w:jc w:val="center"/>
        </w:trPr>
        <w:tc>
          <w:tcPr>
            <w:tcW w:w="1711" w:type="dxa"/>
            <w:vMerge w:val="restart"/>
            <w:tcBorders>
              <w:top w:val="nil"/>
              <w:left w:val="nil"/>
              <w:right w:val="nil"/>
            </w:tcBorders>
            <w:shd w:val="clear" w:color="auto" w:fill="auto"/>
          </w:tcPr>
          <w:p w14:paraId="6EF5D7D1" w14:textId="23C32D6E" w:rsidR="00C04064" w:rsidRPr="00061491" w:rsidRDefault="00C04064" w:rsidP="00C04064">
            <w:pPr>
              <w:spacing w:after="0" w:line="240" w:lineRule="auto"/>
              <w:jc w:val="center"/>
              <w:rPr>
                <w:rFonts w:eastAsia="Times New Roman" w:cstheme="minorHAnsi"/>
                <w:color w:val="000000"/>
                <w:lang w:eastAsia="en-GB"/>
              </w:rPr>
            </w:pPr>
            <w:r w:rsidRPr="00061491">
              <w:rPr>
                <w:rFonts w:eastAsia="Times New Roman" w:cstheme="minorHAnsi"/>
                <w:color w:val="000000"/>
                <w:lang w:eastAsia="en-GB"/>
              </w:rPr>
              <w:t>UN Region</w:t>
            </w:r>
          </w:p>
        </w:tc>
        <w:tc>
          <w:tcPr>
            <w:tcW w:w="2835" w:type="dxa"/>
            <w:tcBorders>
              <w:top w:val="nil"/>
              <w:left w:val="nil"/>
              <w:bottom w:val="nil"/>
              <w:right w:val="nil"/>
            </w:tcBorders>
            <w:shd w:val="clear" w:color="auto" w:fill="auto"/>
            <w:noWrap/>
            <w:vAlign w:val="bottom"/>
          </w:tcPr>
          <w:p w14:paraId="68655ED1" w14:textId="4D60EBC6"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South-Central Asia</w:t>
            </w:r>
          </w:p>
        </w:tc>
        <w:tc>
          <w:tcPr>
            <w:tcW w:w="893" w:type="dxa"/>
            <w:tcBorders>
              <w:top w:val="nil"/>
              <w:left w:val="nil"/>
              <w:bottom w:val="nil"/>
              <w:right w:val="nil"/>
            </w:tcBorders>
            <w:shd w:val="clear" w:color="auto" w:fill="auto"/>
            <w:vAlign w:val="bottom"/>
          </w:tcPr>
          <w:p w14:paraId="791E97AA" w14:textId="1A41E692" w:rsidR="00C04064" w:rsidRPr="00061491" w:rsidRDefault="00C04064" w:rsidP="00C04064">
            <w:pPr>
              <w:contextualSpacing/>
              <w:jc w:val="center"/>
            </w:pPr>
            <w:r>
              <w:rPr>
                <w:rFonts w:ascii="Calibri" w:hAnsi="Calibri" w:cs="Calibri"/>
                <w:color w:val="000000"/>
              </w:rPr>
              <w:t>48.61</w:t>
            </w:r>
          </w:p>
        </w:tc>
        <w:tc>
          <w:tcPr>
            <w:tcW w:w="940" w:type="dxa"/>
            <w:tcBorders>
              <w:top w:val="nil"/>
              <w:left w:val="nil"/>
              <w:bottom w:val="nil"/>
              <w:right w:val="nil"/>
            </w:tcBorders>
            <w:shd w:val="clear" w:color="auto" w:fill="auto"/>
            <w:noWrap/>
            <w:vAlign w:val="bottom"/>
          </w:tcPr>
          <w:p w14:paraId="25AD4E85" w14:textId="6D372822" w:rsidR="00C04064" w:rsidRPr="00061491" w:rsidRDefault="00C04064" w:rsidP="00C04064">
            <w:pPr>
              <w:contextualSpacing/>
              <w:jc w:val="right"/>
            </w:pPr>
            <w:r>
              <w:rPr>
                <w:rFonts w:ascii="Calibri" w:hAnsi="Calibri" w:cs="Calibri"/>
                <w:color w:val="000000"/>
              </w:rPr>
              <w:t>82,632</w:t>
            </w:r>
          </w:p>
        </w:tc>
        <w:tc>
          <w:tcPr>
            <w:tcW w:w="851" w:type="dxa"/>
            <w:tcBorders>
              <w:top w:val="nil"/>
              <w:left w:val="nil"/>
              <w:bottom w:val="nil"/>
              <w:right w:val="nil"/>
            </w:tcBorders>
            <w:shd w:val="clear" w:color="auto" w:fill="auto"/>
            <w:vAlign w:val="bottom"/>
          </w:tcPr>
          <w:p w14:paraId="04A9FE3D" w14:textId="780B89EC" w:rsidR="00C04064" w:rsidRPr="00061491" w:rsidRDefault="00C04064" w:rsidP="00C04064">
            <w:pPr>
              <w:contextualSpacing/>
            </w:pPr>
            <w:r>
              <w:rPr>
                <w:rFonts w:ascii="Calibri" w:hAnsi="Calibri" w:cs="Calibri"/>
                <w:color w:val="000000"/>
              </w:rPr>
              <w:t>(35.6)</w:t>
            </w:r>
          </w:p>
        </w:tc>
        <w:tc>
          <w:tcPr>
            <w:tcW w:w="992" w:type="dxa"/>
            <w:tcBorders>
              <w:top w:val="nil"/>
              <w:left w:val="nil"/>
              <w:bottom w:val="nil"/>
              <w:right w:val="nil"/>
            </w:tcBorders>
            <w:shd w:val="clear" w:color="auto" w:fill="auto"/>
            <w:noWrap/>
            <w:vAlign w:val="bottom"/>
          </w:tcPr>
          <w:p w14:paraId="088B2D4D" w14:textId="6DB72063" w:rsidR="00C04064" w:rsidRPr="00061491" w:rsidRDefault="00C04064" w:rsidP="00C04064">
            <w:pPr>
              <w:contextualSpacing/>
              <w:jc w:val="right"/>
            </w:pPr>
            <w:r>
              <w:rPr>
                <w:rFonts w:ascii="Calibri" w:hAnsi="Calibri" w:cs="Calibri"/>
                <w:color w:val="000000"/>
              </w:rPr>
              <w:t>42,971</w:t>
            </w:r>
          </w:p>
        </w:tc>
        <w:tc>
          <w:tcPr>
            <w:tcW w:w="851" w:type="dxa"/>
            <w:tcBorders>
              <w:top w:val="nil"/>
              <w:left w:val="nil"/>
              <w:bottom w:val="nil"/>
              <w:right w:val="nil"/>
            </w:tcBorders>
            <w:shd w:val="clear" w:color="auto" w:fill="auto"/>
            <w:vAlign w:val="bottom"/>
          </w:tcPr>
          <w:p w14:paraId="5E558CDB" w14:textId="25626755" w:rsidR="00C04064" w:rsidRPr="00061491" w:rsidRDefault="00C04064" w:rsidP="00C04064">
            <w:pPr>
              <w:contextualSpacing/>
            </w:pPr>
            <w:r>
              <w:rPr>
                <w:rFonts w:ascii="Calibri" w:hAnsi="Calibri" w:cs="Calibri"/>
                <w:color w:val="000000"/>
              </w:rPr>
              <w:t>(28.4)</w:t>
            </w:r>
          </w:p>
        </w:tc>
        <w:tc>
          <w:tcPr>
            <w:tcW w:w="992" w:type="dxa"/>
            <w:tcBorders>
              <w:top w:val="nil"/>
              <w:left w:val="nil"/>
              <w:bottom w:val="nil"/>
              <w:right w:val="nil"/>
            </w:tcBorders>
            <w:shd w:val="clear" w:color="auto" w:fill="auto"/>
            <w:noWrap/>
            <w:vAlign w:val="bottom"/>
          </w:tcPr>
          <w:p w14:paraId="13099C02" w14:textId="4B22FAF9" w:rsidR="00C04064" w:rsidRPr="00061491" w:rsidRDefault="00C04064" w:rsidP="00C04064">
            <w:pPr>
              <w:contextualSpacing/>
              <w:jc w:val="right"/>
            </w:pPr>
            <w:r>
              <w:rPr>
                <w:rFonts w:ascii="Calibri" w:hAnsi="Calibri" w:cs="Calibri"/>
                <w:color w:val="000000"/>
              </w:rPr>
              <w:t>-39,661</w:t>
            </w:r>
          </w:p>
        </w:tc>
        <w:tc>
          <w:tcPr>
            <w:tcW w:w="851" w:type="dxa"/>
            <w:tcBorders>
              <w:top w:val="nil"/>
              <w:left w:val="nil"/>
              <w:bottom w:val="nil"/>
              <w:right w:val="nil"/>
            </w:tcBorders>
            <w:shd w:val="clear" w:color="auto" w:fill="auto"/>
            <w:noWrap/>
            <w:vAlign w:val="bottom"/>
          </w:tcPr>
          <w:p w14:paraId="72B2A229" w14:textId="18030D28" w:rsidR="00C04064" w:rsidRPr="00061491" w:rsidRDefault="00C04064" w:rsidP="00C04064">
            <w:pPr>
              <w:contextualSpacing/>
            </w:pPr>
            <w:r>
              <w:rPr>
                <w:rFonts w:ascii="Calibri" w:hAnsi="Calibri" w:cs="Calibri"/>
                <w:color w:val="000000"/>
              </w:rPr>
              <w:t>(-48)</w:t>
            </w:r>
          </w:p>
        </w:tc>
      </w:tr>
      <w:tr w:rsidR="00C04064" w:rsidRPr="00061491" w14:paraId="6A7E582D" w14:textId="77777777" w:rsidTr="00BC211D">
        <w:trPr>
          <w:cantSplit/>
          <w:trHeight w:val="283"/>
          <w:jc w:val="center"/>
        </w:trPr>
        <w:tc>
          <w:tcPr>
            <w:tcW w:w="1711" w:type="dxa"/>
            <w:vMerge/>
            <w:tcBorders>
              <w:left w:val="nil"/>
              <w:right w:val="nil"/>
            </w:tcBorders>
            <w:shd w:val="clear" w:color="auto" w:fill="auto"/>
            <w:vAlign w:val="center"/>
          </w:tcPr>
          <w:p w14:paraId="1330B85B"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4F1D3D72" w14:textId="481C842F"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Eastern Asia</w:t>
            </w:r>
          </w:p>
        </w:tc>
        <w:tc>
          <w:tcPr>
            <w:tcW w:w="893" w:type="dxa"/>
            <w:tcBorders>
              <w:top w:val="nil"/>
              <w:left w:val="nil"/>
              <w:bottom w:val="nil"/>
              <w:right w:val="nil"/>
            </w:tcBorders>
            <w:shd w:val="clear" w:color="auto" w:fill="auto"/>
            <w:vAlign w:val="bottom"/>
          </w:tcPr>
          <w:p w14:paraId="1D0C8BAF" w14:textId="0907D1F3" w:rsidR="00C04064" w:rsidRPr="00061491" w:rsidRDefault="00C04064" w:rsidP="00C04064">
            <w:pPr>
              <w:contextualSpacing/>
              <w:jc w:val="center"/>
            </w:pPr>
            <w:r>
              <w:rPr>
                <w:rFonts w:ascii="Calibri" w:hAnsi="Calibri" w:cs="Calibri"/>
                <w:color w:val="000000"/>
              </w:rPr>
              <w:t>19.39</w:t>
            </w:r>
          </w:p>
        </w:tc>
        <w:tc>
          <w:tcPr>
            <w:tcW w:w="940" w:type="dxa"/>
            <w:tcBorders>
              <w:top w:val="nil"/>
              <w:left w:val="nil"/>
              <w:bottom w:val="nil"/>
              <w:right w:val="nil"/>
            </w:tcBorders>
            <w:shd w:val="clear" w:color="auto" w:fill="auto"/>
            <w:noWrap/>
            <w:vAlign w:val="bottom"/>
          </w:tcPr>
          <w:p w14:paraId="055784A1" w14:textId="0C0E06B6" w:rsidR="00C04064" w:rsidRPr="00061491" w:rsidRDefault="00C04064" w:rsidP="00C04064">
            <w:pPr>
              <w:contextualSpacing/>
              <w:jc w:val="right"/>
            </w:pPr>
            <w:r>
              <w:rPr>
                <w:rFonts w:ascii="Calibri" w:hAnsi="Calibri" w:cs="Calibri"/>
                <w:color w:val="000000"/>
              </w:rPr>
              <w:t>48,823</w:t>
            </w:r>
          </w:p>
        </w:tc>
        <w:tc>
          <w:tcPr>
            <w:tcW w:w="851" w:type="dxa"/>
            <w:tcBorders>
              <w:top w:val="nil"/>
              <w:left w:val="nil"/>
              <w:bottom w:val="nil"/>
              <w:right w:val="nil"/>
            </w:tcBorders>
            <w:shd w:val="clear" w:color="auto" w:fill="auto"/>
            <w:vAlign w:val="bottom"/>
          </w:tcPr>
          <w:p w14:paraId="0987D5FB" w14:textId="112426C6" w:rsidR="00C04064" w:rsidRPr="00061491" w:rsidRDefault="00C04064" w:rsidP="00C04064">
            <w:pPr>
              <w:contextualSpacing/>
            </w:pPr>
            <w:r>
              <w:rPr>
                <w:rFonts w:ascii="Calibri" w:hAnsi="Calibri" w:cs="Calibri"/>
                <w:color w:val="000000"/>
              </w:rPr>
              <w:t>(21.1)</w:t>
            </w:r>
          </w:p>
        </w:tc>
        <w:tc>
          <w:tcPr>
            <w:tcW w:w="992" w:type="dxa"/>
            <w:tcBorders>
              <w:top w:val="nil"/>
              <w:left w:val="nil"/>
              <w:bottom w:val="nil"/>
              <w:right w:val="nil"/>
            </w:tcBorders>
            <w:shd w:val="clear" w:color="auto" w:fill="auto"/>
            <w:noWrap/>
            <w:vAlign w:val="bottom"/>
          </w:tcPr>
          <w:p w14:paraId="3B28A838" w14:textId="32F02550" w:rsidR="00C04064" w:rsidRPr="00061491" w:rsidRDefault="00C04064" w:rsidP="00C04064">
            <w:pPr>
              <w:contextualSpacing/>
              <w:jc w:val="right"/>
            </w:pPr>
            <w:r>
              <w:rPr>
                <w:rFonts w:ascii="Calibri" w:hAnsi="Calibri" w:cs="Calibri"/>
                <w:color w:val="000000"/>
              </w:rPr>
              <w:t>35,008</w:t>
            </w:r>
          </w:p>
        </w:tc>
        <w:tc>
          <w:tcPr>
            <w:tcW w:w="851" w:type="dxa"/>
            <w:tcBorders>
              <w:top w:val="nil"/>
              <w:left w:val="nil"/>
              <w:bottom w:val="nil"/>
              <w:right w:val="nil"/>
            </w:tcBorders>
            <w:shd w:val="clear" w:color="auto" w:fill="auto"/>
            <w:vAlign w:val="bottom"/>
          </w:tcPr>
          <w:p w14:paraId="21CA425D" w14:textId="41D44E6C" w:rsidR="00C04064" w:rsidRPr="00061491" w:rsidRDefault="00C04064" w:rsidP="00C04064">
            <w:pPr>
              <w:contextualSpacing/>
            </w:pPr>
            <w:r>
              <w:rPr>
                <w:rFonts w:ascii="Calibri" w:hAnsi="Calibri" w:cs="Calibri"/>
                <w:color w:val="000000"/>
              </w:rPr>
              <w:t>(23.1)</w:t>
            </w:r>
          </w:p>
        </w:tc>
        <w:tc>
          <w:tcPr>
            <w:tcW w:w="992" w:type="dxa"/>
            <w:tcBorders>
              <w:top w:val="nil"/>
              <w:left w:val="nil"/>
              <w:bottom w:val="nil"/>
              <w:right w:val="nil"/>
            </w:tcBorders>
            <w:shd w:val="clear" w:color="auto" w:fill="auto"/>
            <w:noWrap/>
            <w:vAlign w:val="bottom"/>
          </w:tcPr>
          <w:p w14:paraId="6760B157" w14:textId="08D14F58" w:rsidR="00C04064" w:rsidRPr="00061491" w:rsidRDefault="00C04064" w:rsidP="00C04064">
            <w:pPr>
              <w:contextualSpacing/>
              <w:jc w:val="right"/>
            </w:pPr>
            <w:r>
              <w:rPr>
                <w:rFonts w:ascii="Calibri" w:hAnsi="Calibri" w:cs="Calibri"/>
                <w:color w:val="000000"/>
              </w:rPr>
              <w:t>-13,814</w:t>
            </w:r>
          </w:p>
        </w:tc>
        <w:tc>
          <w:tcPr>
            <w:tcW w:w="851" w:type="dxa"/>
            <w:tcBorders>
              <w:top w:val="nil"/>
              <w:left w:val="nil"/>
              <w:bottom w:val="nil"/>
              <w:right w:val="nil"/>
            </w:tcBorders>
            <w:shd w:val="clear" w:color="auto" w:fill="auto"/>
            <w:noWrap/>
            <w:vAlign w:val="bottom"/>
          </w:tcPr>
          <w:p w14:paraId="0380425B" w14:textId="60DD88BB" w:rsidR="00C04064" w:rsidRPr="00061491" w:rsidRDefault="00C04064" w:rsidP="00C04064">
            <w:pPr>
              <w:contextualSpacing/>
            </w:pPr>
            <w:r>
              <w:rPr>
                <w:rFonts w:ascii="Calibri" w:hAnsi="Calibri" w:cs="Calibri"/>
                <w:color w:val="000000"/>
              </w:rPr>
              <w:t>(-28.3)</w:t>
            </w:r>
          </w:p>
        </w:tc>
      </w:tr>
      <w:tr w:rsidR="00C04064" w:rsidRPr="00061491" w14:paraId="7437F883" w14:textId="77777777" w:rsidTr="00BC211D">
        <w:trPr>
          <w:cantSplit/>
          <w:trHeight w:val="283"/>
          <w:jc w:val="center"/>
        </w:trPr>
        <w:tc>
          <w:tcPr>
            <w:tcW w:w="1711" w:type="dxa"/>
            <w:vMerge/>
            <w:tcBorders>
              <w:left w:val="nil"/>
              <w:right w:val="nil"/>
            </w:tcBorders>
            <w:shd w:val="clear" w:color="auto" w:fill="auto"/>
            <w:vAlign w:val="center"/>
          </w:tcPr>
          <w:p w14:paraId="0C099C41"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67BC1E49" w14:textId="2DD35CC1"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Eastern Africa</w:t>
            </w:r>
          </w:p>
        </w:tc>
        <w:tc>
          <w:tcPr>
            <w:tcW w:w="893" w:type="dxa"/>
            <w:tcBorders>
              <w:top w:val="nil"/>
              <w:left w:val="nil"/>
              <w:bottom w:val="nil"/>
              <w:right w:val="nil"/>
            </w:tcBorders>
            <w:shd w:val="clear" w:color="auto" w:fill="auto"/>
            <w:vAlign w:val="bottom"/>
          </w:tcPr>
          <w:p w14:paraId="3590FD2F" w14:textId="209A2464" w:rsidR="00C04064" w:rsidRPr="00061491" w:rsidRDefault="00C04064" w:rsidP="00C04064">
            <w:pPr>
              <w:contextualSpacing/>
              <w:jc w:val="center"/>
            </w:pPr>
            <w:r>
              <w:rPr>
                <w:rFonts w:ascii="Calibri" w:hAnsi="Calibri" w:cs="Calibri"/>
                <w:color w:val="000000"/>
              </w:rPr>
              <w:t>18.21</w:t>
            </w:r>
          </w:p>
        </w:tc>
        <w:tc>
          <w:tcPr>
            <w:tcW w:w="940" w:type="dxa"/>
            <w:tcBorders>
              <w:top w:val="nil"/>
              <w:left w:val="nil"/>
              <w:bottom w:val="nil"/>
              <w:right w:val="nil"/>
            </w:tcBorders>
            <w:shd w:val="clear" w:color="auto" w:fill="auto"/>
            <w:noWrap/>
            <w:vAlign w:val="bottom"/>
          </w:tcPr>
          <w:p w14:paraId="164DC84C" w14:textId="5472E6B8" w:rsidR="00C04064" w:rsidRPr="00061491" w:rsidRDefault="00C04064" w:rsidP="00C04064">
            <w:pPr>
              <w:contextualSpacing/>
              <w:jc w:val="right"/>
            </w:pPr>
            <w:r>
              <w:rPr>
                <w:rFonts w:ascii="Calibri" w:hAnsi="Calibri" w:cs="Calibri"/>
                <w:color w:val="000000"/>
              </w:rPr>
              <w:t>9,466</w:t>
            </w:r>
          </w:p>
        </w:tc>
        <w:tc>
          <w:tcPr>
            <w:tcW w:w="851" w:type="dxa"/>
            <w:tcBorders>
              <w:top w:val="nil"/>
              <w:left w:val="nil"/>
              <w:bottom w:val="nil"/>
              <w:right w:val="nil"/>
            </w:tcBorders>
            <w:shd w:val="clear" w:color="auto" w:fill="auto"/>
            <w:vAlign w:val="bottom"/>
          </w:tcPr>
          <w:p w14:paraId="4109C561" w14:textId="570A0B3E" w:rsidR="00C04064" w:rsidRPr="00061491" w:rsidRDefault="00C04064" w:rsidP="00C04064">
            <w:pPr>
              <w:contextualSpacing/>
            </w:pPr>
            <w:r>
              <w:rPr>
                <w:rFonts w:ascii="Calibri" w:hAnsi="Calibri" w:cs="Calibri"/>
                <w:color w:val="000000"/>
              </w:rPr>
              <w:t>(4.1)</w:t>
            </w:r>
          </w:p>
        </w:tc>
        <w:tc>
          <w:tcPr>
            <w:tcW w:w="992" w:type="dxa"/>
            <w:tcBorders>
              <w:top w:val="nil"/>
              <w:left w:val="nil"/>
              <w:bottom w:val="nil"/>
              <w:right w:val="nil"/>
            </w:tcBorders>
            <w:shd w:val="clear" w:color="auto" w:fill="auto"/>
            <w:noWrap/>
            <w:vAlign w:val="bottom"/>
          </w:tcPr>
          <w:p w14:paraId="2EE5F5CD" w14:textId="375E20AA" w:rsidR="00C04064" w:rsidRPr="00061491" w:rsidRDefault="00C04064" w:rsidP="00C04064">
            <w:pPr>
              <w:contextualSpacing/>
              <w:jc w:val="right"/>
            </w:pPr>
            <w:r>
              <w:rPr>
                <w:rFonts w:ascii="Calibri" w:hAnsi="Calibri" w:cs="Calibri"/>
                <w:color w:val="000000"/>
              </w:rPr>
              <w:t>5,749</w:t>
            </w:r>
          </w:p>
        </w:tc>
        <w:tc>
          <w:tcPr>
            <w:tcW w:w="851" w:type="dxa"/>
            <w:tcBorders>
              <w:top w:val="nil"/>
              <w:left w:val="nil"/>
              <w:bottom w:val="nil"/>
              <w:right w:val="nil"/>
            </w:tcBorders>
            <w:shd w:val="clear" w:color="auto" w:fill="auto"/>
            <w:vAlign w:val="bottom"/>
          </w:tcPr>
          <w:p w14:paraId="471391F6" w14:textId="3117FD1D" w:rsidR="00C04064" w:rsidRPr="00061491" w:rsidRDefault="00C04064" w:rsidP="00C04064">
            <w:pPr>
              <w:contextualSpacing/>
            </w:pPr>
            <w:r>
              <w:rPr>
                <w:rFonts w:ascii="Calibri" w:hAnsi="Calibri" w:cs="Calibri"/>
                <w:color w:val="000000"/>
              </w:rPr>
              <w:t>(3.8)</w:t>
            </w:r>
          </w:p>
        </w:tc>
        <w:tc>
          <w:tcPr>
            <w:tcW w:w="992" w:type="dxa"/>
            <w:tcBorders>
              <w:top w:val="nil"/>
              <w:left w:val="nil"/>
              <w:bottom w:val="nil"/>
              <w:right w:val="nil"/>
            </w:tcBorders>
            <w:shd w:val="clear" w:color="auto" w:fill="auto"/>
            <w:noWrap/>
            <w:vAlign w:val="bottom"/>
          </w:tcPr>
          <w:p w14:paraId="54D37810" w14:textId="005615D5" w:rsidR="00C04064" w:rsidRPr="00061491" w:rsidRDefault="00C04064" w:rsidP="00C04064">
            <w:pPr>
              <w:contextualSpacing/>
              <w:jc w:val="right"/>
            </w:pPr>
            <w:r>
              <w:rPr>
                <w:rFonts w:ascii="Calibri" w:hAnsi="Calibri" w:cs="Calibri"/>
                <w:color w:val="000000"/>
              </w:rPr>
              <w:t>-3,717</w:t>
            </w:r>
          </w:p>
        </w:tc>
        <w:tc>
          <w:tcPr>
            <w:tcW w:w="851" w:type="dxa"/>
            <w:tcBorders>
              <w:top w:val="nil"/>
              <w:left w:val="nil"/>
              <w:bottom w:val="nil"/>
              <w:right w:val="nil"/>
            </w:tcBorders>
            <w:shd w:val="clear" w:color="auto" w:fill="auto"/>
            <w:noWrap/>
            <w:vAlign w:val="bottom"/>
          </w:tcPr>
          <w:p w14:paraId="4FB1D4A7" w14:textId="01904D1F" w:rsidR="00C04064" w:rsidRPr="00061491" w:rsidRDefault="00C04064" w:rsidP="00C04064">
            <w:pPr>
              <w:contextualSpacing/>
            </w:pPr>
            <w:r>
              <w:rPr>
                <w:rFonts w:ascii="Calibri" w:hAnsi="Calibri" w:cs="Calibri"/>
                <w:color w:val="000000"/>
              </w:rPr>
              <w:t>(-39.3)</w:t>
            </w:r>
          </w:p>
        </w:tc>
      </w:tr>
      <w:tr w:rsidR="00C04064" w:rsidRPr="00061491" w14:paraId="2092BC67" w14:textId="77777777" w:rsidTr="00BC211D">
        <w:trPr>
          <w:cantSplit/>
          <w:trHeight w:val="283"/>
          <w:jc w:val="center"/>
        </w:trPr>
        <w:tc>
          <w:tcPr>
            <w:tcW w:w="1711" w:type="dxa"/>
            <w:vMerge/>
            <w:tcBorders>
              <w:left w:val="nil"/>
              <w:right w:val="nil"/>
            </w:tcBorders>
            <w:shd w:val="clear" w:color="auto" w:fill="auto"/>
            <w:vAlign w:val="center"/>
          </w:tcPr>
          <w:p w14:paraId="22459E5F"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63D961D3" w14:textId="17EB4F58"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Middle Africa</w:t>
            </w:r>
          </w:p>
        </w:tc>
        <w:tc>
          <w:tcPr>
            <w:tcW w:w="893" w:type="dxa"/>
            <w:tcBorders>
              <w:top w:val="nil"/>
              <w:left w:val="nil"/>
              <w:bottom w:val="nil"/>
              <w:right w:val="nil"/>
            </w:tcBorders>
            <w:shd w:val="clear" w:color="auto" w:fill="auto"/>
            <w:vAlign w:val="bottom"/>
          </w:tcPr>
          <w:p w14:paraId="582D343E" w14:textId="394FA3D8" w:rsidR="00C04064" w:rsidRPr="00061491" w:rsidRDefault="00C04064" w:rsidP="00C04064">
            <w:pPr>
              <w:contextualSpacing/>
              <w:jc w:val="center"/>
            </w:pPr>
            <w:r>
              <w:rPr>
                <w:rFonts w:ascii="Calibri" w:hAnsi="Calibri" w:cs="Calibri"/>
                <w:color w:val="000000"/>
              </w:rPr>
              <w:t>12.38</w:t>
            </w:r>
          </w:p>
        </w:tc>
        <w:tc>
          <w:tcPr>
            <w:tcW w:w="940" w:type="dxa"/>
            <w:tcBorders>
              <w:top w:val="nil"/>
              <w:left w:val="nil"/>
              <w:bottom w:val="nil"/>
              <w:right w:val="nil"/>
            </w:tcBorders>
            <w:shd w:val="clear" w:color="auto" w:fill="auto"/>
            <w:noWrap/>
            <w:vAlign w:val="bottom"/>
          </w:tcPr>
          <w:p w14:paraId="593A1194" w14:textId="3F4D6F75" w:rsidR="00C04064" w:rsidRPr="00061491" w:rsidRDefault="00C04064" w:rsidP="00C04064">
            <w:pPr>
              <w:contextualSpacing/>
              <w:jc w:val="right"/>
            </w:pPr>
            <w:r>
              <w:rPr>
                <w:rFonts w:ascii="Calibri" w:hAnsi="Calibri" w:cs="Calibri"/>
                <w:color w:val="000000"/>
              </w:rPr>
              <w:t>2,183</w:t>
            </w:r>
          </w:p>
        </w:tc>
        <w:tc>
          <w:tcPr>
            <w:tcW w:w="851" w:type="dxa"/>
            <w:tcBorders>
              <w:top w:val="nil"/>
              <w:left w:val="nil"/>
              <w:bottom w:val="nil"/>
              <w:right w:val="nil"/>
            </w:tcBorders>
            <w:shd w:val="clear" w:color="auto" w:fill="auto"/>
            <w:vAlign w:val="bottom"/>
          </w:tcPr>
          <w:p w14:paraId="23C1398D" w14:textId="18B9BB1D" w:rsidR="00C04064" w:rsidRPr="00061491" w:rsidRDefault="00C04064" w:rsidP="00C04064">
            <w:pPr>
              <w:contextualSpacing/>
            </w:pPr>
            <w:r>
              <w:rPr>
                <w:rFonts w:ascii="Calibri" w:hAnsi="Calibri" w:cs="Calibri"/>
                <w:color w:val="000000"/>
              </w:rPr>
              <w:t>(0.9)</w:t>
            </w:r>
          </w:p>
        </w:tc>
        <w:tc>
          <w:tcPr>
            <w:tcW w:w="992" w:type="dxa"/>
            <w:tcBorders>
              <w:top w:val="nil"/>
              <w:left w:val="nil"/>
              <w:bottom w:val="nil"/>
              <w:right w:val="nil"/>
            </w:tcBorders>
            <w:shd w:val="clear" w:color="auto" w:fill="auto"/>
            <w:noWrap/>
            <w:vAlign w:val="bottom"/>
          </w:tcPr>
          <w:p w14:paraId="46C9A772" w14:textId="284C18AF" w:rsidR="00C04064" w:rsidRPr="00061491" w:rsidRDefault="00C04064" w:rsidP="00C04064">
            <w:pPr>
              <w:contextualSpacing/>
              <w:jc w:val="right"/>
            </w:pPr>
            <w:r>
              <w:rPr>
                <w:rFonts w:ascii="Calibri" w:hAnsi="Calibri" w:cs="Calibri"/>
                <w:color w:val="000000"/>
              </w:rPr>
              <w:t>1,242</w:t>
            </w:r>
          </w:p>
        </w:tc>
        <w:tc>
          <w:tcPr>
            <w:tcW w:w="851" w:type="dxa"/>
            <w:tcBorders>
              <w:top w:val="nil"/>
              <w:left w:val="nil"/>
              <w:bottom w:val="nil"/>
              <w:right w:val="nil"/>
            </w:tcBorders>
            <w:shd w:val="clear" w:color="auto" w:fill="auto"/>
            <w:vAlign w:val="bottom"/>
          </w:tcPr>
          <w:p w14:paraId="4129965B" w14:textId="0A5BC08D" w:rsidR="00C04064" w:rsidRPr="00061491" w:rsidRDefault="00C04064" w:rsidP="00C04064">
            <w:pPr>
              <w:contextualSpacing/>
            </w:pPr>
            <w:r>
              <w:rPr>
                <w:rFonts w:ascii="Calibri" w:hAnsi="Calibri" w:cs="Calibri"/>
                <w:color w:val="000000"/>
              </w:rPr>
              <w:t>(0.8)</w:t>
            </w:r>
          </w:p>
        </w:tc>
        <w:tc>
          <w:tcPr>
            <w:tcW w:w="992" w:type="dxa"/>
            <w:tcBorders>
              <w:top w:val="nil"/>
              <w:left w:val="nil"/>
              <w:bottom w:val="nil"/>
              <w:right w:val="nil"/>
            </w:tcBorders>
            <w:shd w:val="clear" w:color="auto" w:fill="auto"/>
            <w:noWrap/>
            <w:vAlign w:val="bottom"/>
          </w:tcPr>
          <w:p w14:paraId="737A0802" w14:textId="7CF6A5EE" w:rsidR="00C04064" w:rsidRPr="00061491" w:rsidRDefault="00C04064" w:rsidP="00C04064">
            <w:pPr>
              <w:contextualSpacing/>
              <w:jc w:val="right"/>
            </w:pPr>
            <w:r>
              <w:rPr>
                <w:rFonts w:ascii="Calibri" w:hAnsi="Calibri" w:cs="Calibri"/>
                <w:color w:val="000000"/>
              </w:rPr>
              <w:t>-941</w:t>
            </w:r>
          </w:p>
        </w:tc>
        <w:tc>
          <w:tcPr>
            <w:tcW w:w="851" w:type="dxa"/>
            <w:tcBorders>
              <w:top w:val="nil"/>
              <w:left w:val="nil"/>
              <w:bottom w:val="nil"/>
              <w:right w:val="nil"/>
            </w:tcBorders>
            <w:shd w:val="clear" w:color="auto" w:fill="auto"/>
            <w:noWrap/>
            <w:vAlign w:val="bottom"/>
          </w:tcPr>
          <w:p w14:paraId="2B922499" w14:textId="1D488AF5" w:rsidR="00C04064" w:rsidRPr="00061491" w:rsidRDefault="00C04064" w:rsidP="00C04064">
            <w:pPr>
              <w:contextualSpacing/>
            </w:pPr>
            <w:r>
              <w:rPr>
                <w:rFonts w:ascii="Calibri" w:hAnsi="Calibri" w:cs="Calibri"/>
                <w:color w:val="000000"/>
              </w:rPr>
              <w:t>(-43.1)</w:t>
            </w:r>
          </w:p>
        </w:tc>
      </w:tr>
      <w:tr w:rsidR="00C04064" w:rsidRPr="00061491" w14:paraId="46543680" w14:textId="77777777" w:rsidTr="00BC211D">
        <w:trPr>
          <w:cantSplit/>
          <w:trHeight w:val="283"/>
          <w:jc w:val="center"/>
        </w:trPr>
        <w:tc>
          <w:tcPr>
            <w:tcW w:w="1711" w:type="dxa"/>
            <w:vMerge/>
            <w:tcBorders>
              <w:left w:val="nil"/>
              <w:right w:val="nil"/>
            </w:tcBorders>
            <w:shd w:val="clear" w:color="auto" w:fill="auto"/>
            <w:vAlign w:val="center"/>
          </w:tcPr>
          <w:p w14:paraId="38528573"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50D651EF" w14:textId="03079746"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Western Africa</w:t>
            </w:r>
          </w:p>
        </w:tc>
        <w:tc>
          <w:tcPr>
            <w:tcW w:w="893" w:type="dxa"/>
            <w:tcBorders>
              <w:top w:val="nil"/>
              <w:left w:val="nil"/>
              <w:bottom w:val="nil"/>
              <w:right w:val="nil"/>
            </w:tcBorders>
            <w:shd w:val="clear" w:color="auto" w:fill="auto"/>
            <w:vAlign w:val="bottom"/>
          </w:tcPr>
          <w:p w14:paraId="59E59B1B" w14:textId="554309BB" w:rsidR="00C04064" w:rsidRPr="00061491" w:rsidRDefault="00C04064" w:rsidP="00C04064">
            <w:pPr>
              <w:contextualSpacing/>
              <w:jc w:val="center"/>
            </w:pPr>
            <w:r>
              <w:rPr>
                <w:rFonts w:ascii="Calibri" w:hAnsi="Calibri" w:cs="Calibri"/>
                <w:color w:val="000000"/>
              </w:rPr>
              <w:t>11.52</w:t>
            </w:r>
          </w:p>
        </w:tc>
        <w:tc>
          <w:tcPr>
            <w:tcW w:w="940" w:type="dxa"/>
            <w:tcBorders>
              <w:top w:val="nil"/>
              <w:left w:val="nil"/>
              <w:bottom w:val="nil"/>
              <w:right w:val="nil"/>
            </w:tcBorders>
            <w:shd w:val="clear" w:color="auto" w:fill="auto"/>
            <w:noWrap/>
            <w:vAlign w:val="bottom"/>
          </w:tcPr>
          <w:p w14:paraId="587C34B9" w14:textId="07D938B6" w:rsidR="00C04064" w:rsidRPr="00061491" w:rsidRDefault="00C04064" w:rsidP="00C04064">
            <w:pPr>
              <w:contextualSpacing/>
              <w:jc w:val="right"/>
            </w:pPr>
            <w:r>
              <w:rPr>
                <w:rFonts w:ascii="Calibri" w:hAnsi="Calibri" w:cs="Calibri"/>
                <w:color w:val="000000"/>
              </w:rPr>
              <w:t>1,864</w:t>
            </w:r>
          </w:p>
        </w:tc>
        <w:tc>
          <w:tcPr>
            <w:tcW w:w="851" w:type="dxa"/>
            <w:tcBorders>
              <w:top w:val="nil"/>
              <w:left w:val="nil"/>
              <w:bottom w:val="nil"/>
              <w:right w:val="nil"/>
            </w:tcBorders>
            <w:shd w:val="clear" w:color="auto" w:fill="auto"/>
            <w:vAlign w:val="bottom"/>
          </w:tcPr>
          <w:p w14:paraId="2FFF75D9" w14:textId="33614634" w:rsidR="00C04064" w:rsidRPr="00061491" w:rsidRDefault="00C04064" w:rsidP="00C04064">
            <w:pPr>
              <w:contextualSpacing/>
            </w:pPr>
            <w:r>
              <w:rPr>
                <w:rFonts w:ascii="Calibri" w:hAnsi="Calibri" w:cs="Calibri"/>
                <w:color w:val="000000"/>
              </w:rPr>
              <w:t>(0.8)</w:t>
            </w:r>
          </w:p>
        </w:tc>
        <w:tc>
          <w:tcPr>
            <w:tcW w:w="992" w:type="dxa"/>
            <w:tcBorders>
              <w:top w:val="nil"/>
              <w:left w:val="nil"/>
              <w:bottom w:val="nil"/>
              <w:right w:val="nil"/>
            </w:tcBorders>
            <w:shd w:val="clear" w:color="auto" w:fill="auto"/>
            <w:noWrap/>
            <w:vAlign w:val="bottom"/>
          </w:tcPr>
          <w:p w14:paraId="7658DB19" w14:textId="35CF198D" w:rsidR="00C04064" w:rsidRPr="00061491" w:rsidRDefault="00C04064" w:rsidP="00C04064">
            <w:pPr>
              <w:contextualSpacing/>
              <w:jc w:val="right"/>
            </w:pPr>
            <w:r>
              <w:rPr>
                <w:rFonts w:ascii="Calibri" w:hAnsi="Calibri" w:cs="Calibri"/>
                <w:color w:val="000000"/>
              </w:rPr>
              <w:t>1,347</w:t>
            </w:r>
          </w:p>
        </w:tc>
        <w:tc>
          <w:tcPr>
            <w:tcW w:w="851" w:type="dxa"/>
            <w:tcBorders>
              <w:top w:val="nil"/>
              <w:left w:val="nil"/>
              <w:bottom w:val="nil"/>
              <w:right w:val="nil"/>
            </w:tcBorders>
            <w:shd w:val="clear" w:color="auto" w:fill="auto"/>
            <w:vAlign w:val="bottom"/>
          </w:tcPr>
          <w:p w14:paraId="49DA430B" w14:textId="6513F5D6" w:rsidR="00C04064" w:rsidRPr="00061491" w:rsidRDefault="00C04064" w:rsidP="00C04064">
            <w:pPr>
              <w:contextualSpacing/>
            </w:pPr>
            <w:r>
              <w:rPr>
                <w:rFonts w:ascii="Calibri" w:hAnsi="Calibri" w:cs="Calibri"/>
                <w:color w:val="000000"/>
              </w:rPr>
              <w:t>(0.9)</w:t>
            </w:r>
          </w:p>
        </w:tc>
        <w:tc>
          <w:tcPr>
            <w:tcW w:w="992" w:type="dxa"/>
            <w:tcBorders>
              <w:top w:val="nil"/>
              <w:left w:val="nil"/>
              <w:bottom w:val="nil"/>
              <w:right w:val="nil"/>
            </w:tcBorders>
            <w:shd w:val="clear" w:color="auto" w:fill="auto"/>
            <w:noWrap/>
            <w:vAlign w:val="bottom"/>
          </w:tcPr>
          <w:p w14:paraId="554AEBAA" w14:textId="49CAF4C0" w:rsidR="00C04064" w:rsidRPr="00061491" w:rsidRDefault="00C04064" w:rsidP="00C04064">
            <w:pPr>
              <w:contextualSpacing/>
              <w:jc w:val="right"/>
            </w:pPr>
            <w:r>
              <w:rPr>
                <w:rFonts w:ascii="Calibri" w:hAnsi="Calibri" w:cs="Calibri"/>
                <w:color w:val="000000"/>
              </w:rPr>
              <w:t>-517</w:t>
            </w:r>
          </w:p>
        </w:tc>
        <w:tc>
          <w:tcPr>
            <w:tcW w:w="851" w:type="dxa"/>
            <w:tcBorders>
              <w:top w:val="nil"/>
              <w:left w:val="nil"/>
              <w:bottom w:val="nil"/>
              <w:right w:val="nil"/>
            </w:tcBorders>
            <w:shd w:val="clear" w:color="auto" w:fill="auto"/>
            <w:noWrap/>
            <w:vAlign w:val="bottom"/>
          </w:tcPr>
          <w:p w14:paraId="363FBD76" w14:textId="0A1C33B5" w:rsidR="00C04064" w:rsidRPr="00061491" w:rsidRDefault="00C04064" w:rsidP="00C04064">
            <w:pPr>
              <w:contextualSpacing/>
            </w:pPr>
            <w:r>
              <w:rPr>
                <w:rFonts w:ascii="Calibri" w:hAnsi="Calibri" w:cs="Calibri"/>
                <w:color w:val="000000"/>
              </w:rPr>
              <w:t>(-27.7)</w:t>
            </w:r>
          </w:p>
        </w:tc>
      </w:tr>
      <w:tr w:rsidR="00C04064" w:rsidRPr="00061491" w14:paraId="0B7F3590" w14:textId="77777777" w:rsidTr="00BC211D">
        <w:trPr>
          <w:cantSplit/>
          <w:trHeight w:val="283"/>
          <w:jc w:val="center"/>
        </w:trPr>
        <w:tc>
          <w:tcPr>
            <w:tcW w:w="1711" w:type="dxa"/>
            <w:vMerge/>
            <w:tcBorders>
              <w:left w:val="nil"/>
              <w:right w:val="nil"/>
            </w:tcBorders>
            <w:shd w:val="clear" w:color="auto" w:fill="auto"/>
            <w:vAlign w:val="center"/>
          </w:tcPr>
          <w:p w14:paraId="27BBB627"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6747ADFD" w14:textId="76F864F1"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Northern Africa</w:t>
            </w:r>
          </w:p>
        </w:tc>
        <w:tc>
          <w:tcPr>
            <w:tcW w:w="893" w:type="dxa"/>
            <w:tcBorders>
              <w:top w:val="nil"/>
              <w:left w:val="nil"/>
              <w:bottom w:val="nil"/>
              <w:right w:val="nil"/>
            </w:tcBorders>
            <w:shd w:val="clear" w:color="auto" w:fill="auto"/>
            <w:vAlign w:val="bottom"/>
          </w:tcPr>
          <w:p w14:paraId="1C668E16" w14:textId="3245689D" w:rsidR="00C04064" w:rsidRPr="00061491" w:rsidRDefault="00C04064" w:rsidP="00C04064">
            <w:pPr>
              <w:contextualSpacing/>
              <w:jc w:val="center"/>
            </w:pPr>
            <w:r>
              <w:rPr>
                <w:rFonts w:ascii="Calibri" w:hAnsi="Calibri" w:cs="Calibri"/>
                <w:color w:val="000000"/>
              </w:rPr>
              <w:t>11.19</w:t>
            </w:r>
          </w:p>
        </w:tc>
        <w:tc>
          <w:tcPr>
            <w:tcW w:w="940" w:type="dxa"/>
            <w:tcBorders>
              <w:top w:val="nil"/>
              <w:left w:val="nil"/>
              <w:bottom w:val="nil"/>
              <w:right w:val="nil"/>
            </w:tcBorders>
            <w:shd w:val="clear" w:color="auto" w:fill="auto"/>
            <w:noWrap/>
            <w:vAlign w:val="bottom"/>
          </w:tcPr>
          <w:p w14:paraId="25659F96" w14:textId="2BCB1AA4" w:rsidR="00C04064" w:rsidRPr="00061491" w:rsidRDefault="00C04064" w:rsidP="00C04064">
            <w:pPr>
              <w:contextualSpacing/>
              <w:jc w:val="right"/>
            </w:pPr>
            <w:r>
              <w:rPr>
                <w:rFonts w:ascii="Calibri" w:hAnsi="Calibri" w:cs="Calibri"/>
                <w:color w:val="000000"/>
              </w:rPr>
              <w:t>10,339</w:t>
            </w:r>
          </w:p>
        </w:tc>
        <w:tc>
          <w:tcPr>
            <w:tcW w:w="851" w:type="dxa"/>
            <w:tcBorders>
              <w:top w:val="nil"/>
              <w:left w:val="nil"/>
              <w:bottom w:val="nil"/>
              <w:right w:val="nil"/>
            </w:tcBorders>
            <w:shd w:val="clear" w:color="auto" w:fill="auto"/>
            <w:vAlign w:val="bottom"/>
          </w:tcPr>
          <w:p w14:paraId="46A7FCCE" w14:textId="29C9C39F" w:rsidR="00C04064" w:rsidRPr="00061491" w:rsidRDefault="00C04064" w:rsidP="00C04064">
            <w:pPr>
              <w:contextualSpacing/>
            </w:pPr>
            <w:r>
              <w:rPr>
                <w:rFonts w:ascii="Calibri" w:hAnsi="Calibri" w:cs="Calibri"/>
                <w:color w:val="000000"/>
              </w:rPr>
              <w:t>(4.5)</w:t>
            </w:r>
          </w:p>
        </w:tc>
        <w:tc>
          <w:tcPr>
            <w:tcW w:w="992" w:type="dxa"/>
            <w:tcBorders>
              <w:top w:val="nil"/>
              <w:left w:val="nil"/>
              <w:bottom w:val="nil"/>
              <w:right w:val="nil"/>
            </w:tcBorders>
            <w:shd w:val="clear" w:color="auto" w:fill="auto"/>
            <w:noWrap/>
            <w:vAlign w:val="bottom"/>
          </w:tcPr>
          <w:p w14:paraId="359A5755" w14:textId="3C626D86" w:rsidR="00C04064" w:rsidRPr="00061491" w:rsidRDefault="00C04064" w:rsidP="00C04064">
            <w:pPr>
              <w:contextualSpacing/>
              <w:jc w:val="right"/>
            </w:pPr>
            <w:r>
              <w:rPr>
                <w:rFonts w:ascii="Calibri" w:hAnsi="Calibri" w:cs="Calibri"/>
                <w:color w:val="000000"/>
              </w:rPr>
              <w:t>6,624</w:t>
            </w:r>
          </w:p>
        </w:tc>
        <w:tc>
          <w:tcPr>
            <w:tcW w:w="851" w:type="dxa"/>
            <w:tcBorders>
              <w:top w:val="nil"/>
              <w:left w:val="nil"/>
              <w:bottom w:val="nil"/>
              <w:right w:val="nil"/>
            </w:tcBorders>
            <w:shd w:val="clear" w:color="auto" w:fill="auto"/>
            <w:vAlign w:val="bottom"/>
          </w:tcPr>
          <w:p w14:paraId="7D153250" w14:textId="27108174" w:rsidR="00C04064" w:rsidRPr="00061491" w:rsidRDefault="00C04064" w:rsidP="00C04064">
            <w:pPr>
              <w:contextualSpacing/>
            </w:pPr>
            <w:r>
              <w:rPr>
                <w:rFonts w:ascii="Calibri" w:hAnsi="Calibri" w:cs="Calibri"/>
                <w:color w:val="000000"/>
              </w:rPr>
              <w:t>(4.4)</w:t>
            </w:r>
          </w:p>
        </w:tc>
        <w:tc>
          <w:tcPr>
            <w:tcW w:w="992" w:type="dxa"/>
            <w:tcBorders>
              <w:top w:val="nil"/>
              <w:left w:val="nil"/>
              <w:bottom w:val="nil"/>
              <w:right w:val="nil"/>
            </w:tcBorders>
            <w:shd w:val="clear" w:color="auto" w:fill="auto"/>
            <w:noWrap/>
            <w:vAlign w:val="bottom"/>
          </w:tcPr>
          <w:p w14:paraId="3138307B" w14:textId="3F42F577" w:rsidR="00C04064" w:rsidRPr="00061491" w:rsidRDefault="00C04064" w:rsidP="00C04064">
            <w:pPr>
              <w:contextualSpacing/>
              <w:jc w:val="right"/>
            </w:pPr>
            <w:r>
              <w:rPr>
                <w:rFonts w:ascii="Calibri" w:hAnsi="Calibri" w:cs="Calibri"/>
                <w:color w:val="000000"/>
              </w:rPr>
              <w:t>-3,715</w:t>
            </w:r>
          </w:p>
        </w:tc>
        <w:tc>
          <w:tcPr>
            <w:tcW w:w="851" w:type="dxa"/>
            <w:tcBorders>
              <w:top w:val="nil"/>
              <w:left w:val="nil"/>
              <w:bottom w:val="nil"/>
              <w:right w:val="nil"/>
            </w:tcBorders>
            <w:shd w:val="clear" w:color="auto" w:fill="auto"/>
            <w:noWrap/>
            <w:vAlign w:val="bottom"/>
          </w:tcPr>
          <w:p w14:paraId="53A8BD9E" w14:textId="06CFA429" w:rsidR="00C04064" w:rsidRPr="00061491" w:rsidRDefault="00C04064" w:rsidP="00C04064">
            <w:pPr>
              <w:contextualSpacing/>
            </w:pPr>
            <w:r>
              <w:rPr>
                <w:rFonts w:ascii="Calibri" w:hAnsi="Calibri" w:cs="Calibri"/>
                <w:color w:val="000000"/>
              </w:rPr>
              <w:t>(-35.9)</w:t>
            </w:r>
          </w:p>
        </w:tc>
      </w:tr>
      <w:tr w:rsidR="00C04064" w:rsidRPr="00061491" w14:paraId="39C0A135" w14:textId="77777777" w:rsidTr="00BC211D">
        <w:trPr>
          <w:cantSplit/>
          <w:trHeight w:val="283"/>
          <w:jc w:val="center"/>
        </w:trPr>
        <w:tc>
          <w:tcPr>
            <w:tcW w:w="1711" w:type="dxa"/>
            <w:vMerge/>
            <w:tcBorders>
              <w:left w:val="nil"/>
              <w:right w:val="nil"/>
            </w:tcBorders>
            <w:shd w:val="clear" w:color="auto" w:fill="auto"/>
            <w:vAlign w:val="center"/>
          </w:tcPr>
          <w:p w14:paraId="2A367CA7"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0758D402" w14:textId="66D968C6"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South-Eastern Asia</w:t>
            </w:r>
          </w:p>
        </w:tc>
        <w:tc>
          <w:tcPr>
            <w:tcW w:w="893" w:type="dxa"/>
            <w:tcBorders>
              <w:top w:val="nil"/>
              <w:left w:val="nil"/>
              <w:bottom w:val="nil"/>
              <w:right w:val="nil"/>
            </w:tcBorders>
            <w:shd w:val="clear" w:color="auto" w:fill="auto"/>
            <w:vAlign w:val="bottom"/>
          </w:tcPr>
          <w:p w14:paraId="644EF6B2" w14:textId="3D955064" w:rsidR="00C04064" w:rsidRPr="00061491" w:rsidRDefault="00C04064" w:rsidP="00C04064">
            <w:pPr>
              <w:contextualSpacing/>
              <w:jc w:val="center"/>
            </w:pPr>
            <w:r>
              <w:rPr>
                <w:rFonts w:ascii="Calibri" w:hAnsi="Calibri" w:cs="Calibri"/>
                <w:color w:val="000000"/>
              </w:rPr>
              <w:t>9.64</w:t>
            </w:r>
          </w:p>
        </w:tc>
        <w:tc>
          <w:tcPr>
            <w:tcW w:w="940" w:type="dxa"/>
            <w:tcBorders>
              <w:top w:val="nil"/>
              <w:left w:val="nil"/>
              <w:bottom w:val="nil"/>
              <w:right w:val="nil"/>
            </w:tcBorders>
            <w:shd w:val="clear" w:color="auto" w:fill="auto"/>
            <w:noWrap/>
            <w:vAlign w:val="bottom"/>
          </w:tcPr>
          <w:p w14:paraId="445AF7FC" w14:textId="2439EBB7" w:rsidR="00C04064" w:rsidRPr="00061491" w:rsidRDefault="00C04064" w:rsidP="00C04064">
            <w:pPr>
              <w:contextualSpacing/>
              <w:jc w:val="right"/>
            </w:pPr>
            <w:r>
              <w:rPr>
                <w:rFonts w:ascii="Calibri" w:hAnsi="Calibri" w:cs="Calibri"/>
                <w:color w:val="000000"/>
              </w:rPr>
              <w:t>12,030</w:t>
            </w:r>
          </w:p>
        </w:tc>
        <w:tc>
          <w:tcPr>
            <w:tcW w:w="851" w:type="dxa"/>
            <w:tcBorders>
              <w:top w:val="nil"/>
              <w:left w:val="nil"/>
              <w:bottom w:val="nil"/>
              <w:right w:val="nil"/>
            </w:tcBorders>
            <w:shd w:val="clear" w:color="auto" w:fill="auto"/>
            <w:vAlign w:val="bottom"/>
          </w:tcPr>
          <w:p w14:paraId="70E858E8" w14:textId="5D1487B9" w:rsidR="00C04064" w:rsidRPr="00061491" w:rsidRDefault="00C04064" w:rsidP="00C04064">
            <w:pPr>
              <w:contextualSpacing/>
            </w:pPr>
            <w:r>
              <w:rPr>
                <w:rFonts w:ascii="Calibri" w:hAnsi="Calibri" w:cs="Calibri"/>
                <w:color w:val="000000"/>
              </w:rPr>
              <w:t>(5.2)</w:t>
            </w:r>
          </w:p>
        </w:tc>
        <w:tc>
          <w:tcPr>
            <w:tcW w:w="992" w:type="dxa"/>
            <w:tcBorders>
              <w:top w:val="nil"/>
              <w:left w:val="nil"/>
              <w:bottom w:val="nil"/>
              <w:right w:val="nil"/>
            </w:tcBorders>
            <w:shd w:val="clear" w:color="auto" w:fill="auto"/>
            <w:noWrap/>
            <w:vAlign w:val="bottom"/>
          </w:tcPr>
          <w:p w14:paraId="1CA7BEBC" w14:textId="77A79F8B" w:rsidR="00C04064" w:rsidRPr="00061491" w:rsidRDefault="00C04064" w:rsidP="00C04064">
            <w:pPr>
              <w:contextualSpacing/>
              <w:jc w:val="right"/>
            </w:pPr>
            <w:r>
              <w:rPr>
                <w:rFonts w:ascii="Calibri" w:hAnsi="Calibri" w:cs="Calibri"/>
                <w:color w:val="000000"/>
              </w:rPr>
              <w:t>7,615</w:t>
            </w:r>
          </w:p>
        </w:tc>
        <w:tc>
          <w:tcPr>
            <w:tcW w:w="851" w:type="dxa"/>
            <w:tcBorders>
              <w:top w:val="nil"/>
              <w:left w:val="nil"/>
              <w:bottom w:val="nil"/>
              <w:right w:val="nil"/>
            </w:tcBorders>
            <w:shd w:val="clear" w:color="auto" w:fill="auto"/>
            <w:vAlign w:val="bottom"/>
          </w:tcPr>
          <w:p w14:paraId="6A4CEEE9" w14:textId="74A08171" w:rsidR="00C04064" w:rsidRPr="00061491" w:rsidRDefault="00C04064" w:rsidP="00C04064">
            <w:pPr>
              <w:contextualSpacing/>
            </w:pPr>
            <w:r>
              <w:rPr>
                <w:rFonts w:ascii="Calibri" w:hAnsi="Calibri" w:cs="Calibri"/>
                <w:color w:val="000000"/>
              </w:rPr>
              <w:t>(5.0)</w:t>
            </w:r>
          </w:p>
        </w:tc>
        <w:tc>
          <w:tcPr>
            <w:tcW w:w="992" w:type="dxa"/>
            <w:tcBorders>
              <w:top w:val="nil"/>
              <w:left w:val="nil"/>
              <w:bottom w:val="nil"/>
              <w:right w:val="nil"/>
            </w:tcBorders>
            <w:shd w:val="clear" w:color="auto" w:fill="auto"/>
            <w:noWrap/>
            <w:vAlign w:val="bottom"/>
          </w:tcPr>
          <w:p w14:paraId="24765ED3" w14:textId="4C92C642" w:rsidR="00C04064" w:rsidRPr="00061491" w:rsidRDefault="00C04064" w:rsidP="00C04064">
            <w:pPr>
              <w:contextualSpacing/>
              <w:jc w:val="right"/>
            </w:pPr>
            <w:r>
              <w:rPr>
                <w:rFonts w:ascii="Calibri" w:hAnsi="Calibri" w:cs="Calibri"/>
                <w:color w:val="000000"/>
              </w:rPr>
              <w:t>-4,416</w:t>
            </w:r>
          </w:p>
        </w:tc>
        <w:tc>
          <w:tcPr>
            <w:tcW w:w="851" w:type="dxa"/>
            <w:tcBorders>
              <w:top w:val="nil"/>
              <w:left w:val="nil"/>
              <w:bottom w:val="nil"/>
              <w:right w:val="nil"/>
            </w:tcBorders>
            <w:shd w:val="clear" w:color="auto" w:fill="auto"/>
            <w:noWrap/>
            <w:vAlign w:val="bottom"/>
          </w:tcPr>
          <w:p w14:paraId="6C2099FE" w14:textId="35CCB5B5" w:rsidR="00C04064" w:rsidRPr="00061491" w:rsidRDefault="00C04064" w:rsidP="00C04064">
            <w:pPr>
              <w:contextualSpacing/>
            </w:pPr>
            <w:r>
              <w:rPr>
                <w:rFonts w:ascii="Calibri" w:hAnsi="Calibri" w:cs="Calibri"/>
                <w:color w:val="000000"/>
              </w:rPr>
              <w:t>(-36.7)</w:t>
            </w:r>
          </w:p>
        </w:tc>
      </w:tr>
      <w:tr w:rsidR="00C04064" w:rsidRPr="00061491" w14:paraId="662882E9" w14:textId="77777777" w:rsidTr="00BC211D">
        <w:trPr>
          <w:cantSplit/>
          <w:trHeight w:val="283"/>
          <w:jc w:val="center"/>
        </w:trPr>
        <w:tc>
          <w:tcPr>
            <w:tcW w:w="1711" w:type="dxa"/>
            <w:vMerge/>
            <w:tcBorders>
              <w:left w:val="nil"/>
              <w:right w:val="nil"/>
            </w:tcBorders>
            <w:shd w:val="clear" w:color="auto" w:fill="auto"/>
            <w:vAlign w:val="center"/>
          </w:tcPr>
          <w:p w14:paraId="2DF53284"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329FB7A3" w14:textId="7D9FD842"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Latin America &amp; Caribbean</w:t>
            </w:r>
          </w:p>
        </w:tc>
        <w:tc>
          <w:tcPr>
            <w:tcW w:w="893" w:type="dxa"/>
            <w:tcBorders>
              <w:top w:val="nil"/>
              <w:left w:val="nil"/>
              <w:bottom w:val="nil"/>
              <w:right w:val="nil"/>
            </w:tcBorders>
            <w:shd w:val="clear" w:color="auto" w:fill="auto"/>
            <w:vAlign w:val="bottom"/>
          </w:tcPr>
          <w:p w14:paraId="323829AC" w14:textId="509E5A8A" w:rsidR="00C04064" w:rsidRPr="00061491" w:rsidRDefault="00C04064" w:rsidP="00C04064">
            <w:pPr>
              <w:contextualSpacing/>
              <w:jc w:val="center"/>
            </w:pPr>
            <w:r>
              <w:rPr>
                <w:rFonts w:ascii="Calibri" w:hAnsi="Calibri" w:cs="Calibri"/>
                <w:color w:val="000000"/>
              </w:rPr>
              <w:t>5.29</w:t>
            </w:r>
          </w:p>
        </w:tc>
        <w:tc>
          <w:tcPr>
            <w:tcW w:w="940" w:type="dxa"/>
            <w:tcBorders>
              <w:top w:val="nil"/>
              <w:left w:val="nil"/>
              <w:bottom w:val="nil"/>
              <w:right w:val="nil"/>
            </w:tcBorders>
            <w:shd w:val="clear" w:color="auto" w:fill="auto"/>
            <w:noWrap/>
            <w:vAlign w:val="bottom"/>
          </w:tcPr>
          <w:p w14:paraId="2FA38806" w14:textId="66043972" w:rsidR="00C04064" w:rsidRPr="00061491" w:rsidRDefault="00C04064" w:rsidP="00C04064">
            <w:pPr>
              <w:contextualSpacing/>
              <w:jc w:val="right"/>
            </w:pPr>
            <w:r>
              <w:rPr>
                <w:rFonts w:ascii="Calibri" w:hAnsi="Calibri" w:cs="Calibri"/>
                <w:color w:val="000000"/>
              </w:rPr>
              <w:t>23,117</w:t>
            </w:r>
          </w:p>
        </w:tc>
        <w:tc>
          <w:tcPr>
            <w:tcW w:w="851" w:type="dxa"/>
            <w:tcBorders>
              <w:top w:val="nil"/>
              <w:left w:val="nil"/>
              <w:bottom w:val="nil"/>
              <w:right w:val="nil"/>
            </w:tcBorders>
            <w:shd w:val="clear" w:color="auto" w:fill="auto"/>
            <w:vAlign w:val="bottom"/>
          </w:tcPr>
          <w:p w14:paraId="2FA60E2B" w14:textId="4B1CB809" w:rsidR="00C04064" w:rsidRPr="00061491" w:rsidRDefault="00C04064" w:rsidP="00C04064">
            <w:pPr>
              <w:contextualSpacing/>
            </w:pPr>
            <w:r>
              <w:rPr>
                <w:rFonts w:ascii="Calibri" w:hAnsi="Calibri" w:cs="Calibri"/>
                <w:color w:val="000000"/>
              </w:rPr>
              <w:t>(10.0)</w:t>
            </w:r>
          </w:p>
        </w:tc>
        <w:tc>
          <w:tcPr>
            <w:tcW w:w="992" w:type="dxa"/>
            <w:tcBorders>
              <w:top w:val="nil"/>
              <w:left w:val="nil"/>
              <w:bottom w:val="nil"/>
              <w:right w:val="nil"/>
            </w:tcBorders>
            <w:shd w:val="clear" w:color="auto" w:fill="auto"/>
            <w:noWrap/>
            <w:vAlign w:val="bottom"/>
          </w:tcPr>
          <w:p w14:paraId="107A661C" w14:textId="27CD0125" w:rsidR="00C04064" w:rsidRPr="00061491" w:rsidRDefault="00C04064" w:rsidP="00C04064">
            <w:pPr>
              <w:contextualSpacing/>
              <w:jc w:val="right"/>
            </w:pPr>
            <w:r>
              <w:rPr>
                <w:rFonts w:ascii="Calibri" w:hAnsi="Calibri" w:cs="Calibri"/>
                <w:color w:val="000000"/>
              </w:rPr>
              <w:t>17,411</w:t>
            </w:r>
          </w:p>
        </w:tc>
        <w:tc>
          <w:tcPr>
            <w:tcW w:w="851" w:type="dxa"/>
            <w:tcBorders>
              <w:top w:val="nil"/>
              <w:left w:val="nil"/>
              <w:bottom w:val="nil"/>
              <w:right w:val="nil"/>
            </w:tcBorders>
            <w:shd w:val="clear" w:color="auto" w:fill="auto"/>
            <w:vAlign w:val="bottom"/>
          </w:tcPr>
          <w:p w14:paraId="42ABF585" w14:textId="7EB1B40A" w:rsidR="00C04064" w:rsidRPr="00061491" w:rsidRDefault="00C04064" w:rsidP="00C04064">
            <w:pPr>
              <w:contextualSpacing/>
            </w:pPr>
            <w:r>
              <w:rPr>
                <w:rFonts w:ascii="Calibri" w:hAnsi="Calibri" w:cs="Calibri"/>
                <w:color w:val="000000"/>
              </w:rPr>
              <w:t>(11.5)</w:t>
            </w:r>
          </w:p>
        </w:tc>
        <w:tc>
          <w:tcPr>
            <w:tcW w:w="992" w:type="dxa"/>
            <w:tcBorders>
              <w:top w:val="nil"/>
              <w:left w:val="nil"/>
              <w:bottom w:val="nil"/>
              <w:right w:val="nil"/>
            </w:tcBorders>
            <w:shd w:val="clear" w:color="auto" w:fill="auto"/>
            <w:noWrap/>
            <w:vAlign w:val="bottom"/>
          </w:tcPr>
          <w:p w14:paraId="59F6D5BE" w14:textId="0254EE67" w:rsidR="00C04064" w:rsidRPr="00061491" w:rsidRDefault="00C04064" w:rsidP="00C04064">
            <w:pPr>
              <w:contextualSpacing/>
              <w:jc w:val="right"/>
            </w:pPr>
            <w:r>
              <w:rPr>
                <w:rFonts w:ascii="Calibri" w:hAnsi="Calibri" w:cs="Calibri"/>
                <w:color w:val="000000"/>
              </w:rPr>
              <w:t>-5,706</w:t>
            </w:r>
          </w:p>
        </w:tc>
        <w:tc>
          <w:tcPr>
            <w:tcW w:w="851" w:type="dxa"/>
            <w:tcBorders>
              <w:top w:val="nil"/>
              <w:left w:val="nil"/>
              <w:bottom w:val="nil"/>
              <w:right w:val="nil"/>
            </w:tcBorders>
            <w:shd w:val="clear" w:color="auto" w:fill="auto"/>
            <w:noWrap/>
            <w:vAlign w:val="bottom"/>
          </w:tcPr>
          <w:p w14:paraId="6D72BF79" w14:textId="0F4AA82F" w:rsidR="00C04064" w:rsidRPr="00061491" w:rsidRDefault="00C04064" w:rsidP="00C04064">
            <w:pPr>
              <w:contextualSpacing/>
            </w:pPr>
            <w:r>
              <w:rPr>
                <w:rFonts w:ascii="Calibri" w:hAnsi="Calibri" w:cs="Calibri"/>
                <w:color w:val="000000"/>
              </w:rPr>
              <w:t>(-24.7)</w:t>
            </w:r>
          </w:p>
        </w:tc>
      </w:tr>
      <w:tr w:rsidR="00C04064" w:rsidRPr="00061491" w14:paraId="6EA3DEC3" w14:textId="77777777" w:rsidTr="00BC211D">
        <w:trPr>
          <w:cantSplit/>
          <w:trHeight w:val="283"/>
          <w:jc w:val="center"/>
        </w:trPr>
        <w:tc>
          <w:tcPr>
            <w:tcW w:w="1711" w:type="dxa"/>
            <w:vMerge/>
            <w:tcBorders>
              <w:left w:val="nil"/>
              <w:right w:val="nil"/>
            </w:tcBorders>
            <w:shd w:val="clear" w:color="auto" w:fill="auto"/>
            <w:vAlign w:val="center"/>
          </w:tcPr>
          <w:p w14:paraId="3B330B86"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304DD638" w14:textId="3E22C07C"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Western Asia</w:t>
            </w:r>
          </w:p>
        </w:tc>
        <w:tc>
          <w:tcPr>
            <w:tcW w:w="893" w:type="dxa"/>
            <w:tcBorders>
              <w:top w:val="nil"/>
              <w:left w:val="nil"/>
              <w:bottom w:val="nil"/>
              <w:right w:val="nil"/>
            </w:tcBorders>
            <w:shd w:val="clear" w:color="auto" w:fill="auto"/>
            <w:vAlign w:val="bottom"/>
          </w:tcPr>
          <w:p w14:paraId="230F974E" w14:textId="563F225F" w:rsidR="00C04064" w:rsidRPr="00061491" w:rsidRDefault="00C04064" w:rsidP="00C04064">
            <w:pPr>
              <w:contextualSpacing/>
              <w:jc w:val="center"/>
            </w:pPr>
            <w:r>
              <w:rPr>
                <w:rFonts w:ascii="Calibri" w:hAnsi="Calibri" w:cs="Calibri"/>
                <w:color w:val="000000"/>
              </w:rPr>
              <w:t>3.69</w:t>
            </w:r>
          </w:p>
        </w:tc>
        <w:tc>
          <w:tcPr>
            <w:tcW w:w="940" w:type="dxa"/>
            <w:tcBorders>
              <w:top w:val="nil"/>
              <w:left w:val="nil"/>
              <w:bottom w:val="nil"/>
              <w:right w:val="nil"/>
            </w:tcBorders>
            <w:shd w:val="clear" w:color="auto" w:fill="auto"/>
            <w:noWrap/>
            <w:vAlign w:val="bottom"/>
          </w:tcPr>
          <w:p w14:paraId="282C5824" w14:textId="4F1681BC" w:rsidR="00C04064" w:rsidRPr="00061491" w:rsidRDefault="00C04064" w:rsidP="00C04064">
            <w:pPr>
              <w:contextualSpacing/>
              <w:jc w:val="right"/>
            </w:pPr>
            <w:r>
              <w:rPr>
                <w:rFonts w:ascii="Calibri" w:hAnsi="Calibri" w:cs="Calibri"/>
                <w:color w:val="000000"/>
              </w:rPr>
              <w:t>6,586</w:t>
            </w:r>
          </w:p>
        </w:tc>
        <w:tc>
          <w:tcPr>
            <w:tcW w:w="851" w:type="dxa"/>
            <w:tcBorders>
              <w:top w:val="nil"/>
              <w:left w:val="nil"/>
              <w:bottom w:val="nil"/>
              <w:right w:val="nil"/>
            </w:tcBorders>
            <w:shd w:val="clear" w:color="auto" w:fill="auto"/>
            <w:vAlign w:val="bottom"/>
          </w:tcPr>
          <w:p w14:paraId="483E1786" w14:textId="2D7BE05D" w:rsidR="00C04064" w:rsidRPr="00061491" w:rsidRDefault="00C04064" w:rsidP="00C04064">
            <w:pPr>
              <w:contextualSpacing/>
            </w:pPr>
            <w:r>
              <w:rPr>
                <w:rFonts w:ascii="Calibri" w:hAnsi="Calibri" w:cs="Calibri"/>
                <w:color w:val="000000"/>
              </w:rPr>
              <w:t>(2.8)</w:t>
            </w:r>
          </w:p>
        </w:tc>
        <w:tc>
          <w:tcPr>
            <w:tcW w:w="992" w:type="dxa"/>
            <w:tcBorders>
              <w:top w:val="nil"/>
              <w:left w:val="nil"/>
              <w:bottom w:val="nil"/>
              <w:right w:val="nil"/>
            </w:tcBorders>
            <w:shd w:val="clear" w:color="auto" w:fill="auto"/>
            <w:noWrap/>
            <w:vAlign w:val="bottom"/>
          </w:tcPr>
          <w:p w14:paraId="11193D3C" w14:textId="045B2C2D" w:rsidR="00C04064" w:rsidRPr="00061491" w:rsidRDefault="00C04064" w:rsidP="00C04064">
            <w:pPr>
              <w:contextualSpacing/>
              <w:jc w:val="right"/>
            </w:pPr>
            <w:r>
              <w:rPr>
                <w:rFonts w:ascii="Calibri" w:hAnsi="Calibri" w:cs="Calibri"/>
                <w:color w:val="000000"/>
              </w:rPr>
              <w:t>5,229</w:t>
            </w:r>
          </w:p>
        </w:tc>
        <w:tc>
          <w:tcPr>
            <w:tcW w:w="851" w:type="dxa"/>
            <w:tcBorders>
              <w:top w:val="nil"/>
              <w:left w:val="nil"/>
              <w:bottom w:val="nil"/>
              <w:right w:val="nil"/>
            </w:tcBorders>
            <w:shd w:val="clear" w:color="auto" w:fill="auto"/>
            <w:vAlign w:val="bottom"/>
          </w:tcPr>
          <w:p w14:paraId="104EDA33" w14:textId="38BA6C67" w:rsidR="00C04064" w:rsidRPr="00061491" w:rsidRDefault="00C04064" w:rsidP="00C04064">
            <w:pPr>
              <w:contextualSpacing/>
            </w:pPr>
            <w:r>
              <w:rPr>
                <w:rFonts w:ascii="Calibri" w:hAnsi="Calibri" w:cs="Calibri"/>
                <w:color w:val="000000"/>
              </w:rPr>
              <w:t>(3.5)</w:t>
            </w:r>
          </w:p>
        </w:tc>
        <w:tc>
          <w:tcPr>
            <w:tcW w:w="992" w:type="dxa"/>
            <w:tcBorders>
              <w:top w:val="nil"/>
              <w:left w:val="nil"/>
              <w:bottom w:val="nil"/>
              <w:right w:val="nil"/>
            </w:tcBorders>
            <w:shd w:val="clear" w:color="auto" w:fill="auto"/>
            <w:noWrap/>
            <w:vAlign w:val="bottom"/>
          </w:tcPr>
          <w:p w14:paraId="3C15A13B" w14:textId="62DD6BC8" w:rsidR="00C04064" w:rsidRPr="00061491" w:rsidRDefault="00C04064" w:rsidP="00C04064">
            <w:pPr>
              <w:contextualSpacing/>
              <w:jc w:val="right"/>
            </w:pPr>
            <w:r>
              <w:rPr>
                <w:rFonts w:ascii="Calibri" w:hAnsi="Calibri" w:cs="Calibri"/>
                <w:color w:val="000000"/>
              </w:rPr>
              <w:t>-1,357</w:t>
            </w:r>
          </w:p>
        </w:tc>
        <w:tc>
          <w:tcPr>
            <w:tcW w:w="851" w:type="dxa"/>
            <w:tcBorders>
              <w:top w:val="nil"/>
              <w:left w:val="nil"/>
              <w:bottom w:val="nil"/>
              <w:right w:val="nil"/>
            </w:tcBorders>
            <w:shd w:val="clear" w:color="auto" w:fill="auto"/>
            <w:noWrap/>
            <w:vAlign w:val="bottom"/>
          </w:tcPr>
          <w:p w14:paraId="24D731F2" w14:textId="637CB29E" w:rsidR="00C04064" w:rsidRPr="00061491" w:rsidRDefault="00C04064" w:rsidP="00C04064">
            <w:pPr>
              <w:contextualSpacing/>
            </w:pPr>
            <w:r>
              <w:rPr>
                <w:rFonts w:ascii="Calibri" w:hAnsi="Calibri" w:cs="Calibri"/>
                <w:color w:val="000000"/>
              </w:rPr>
              <w:t>(-20.6)</w:t>
            </w:r>
          </w:p>
        </w:tc>
      </w:tr>
      <w:tr w:rsidR="00C04064" w:rsidRPr="00061491" w14:paraId="1DA7DABB" w14:textId="77777777" w:rsidTr="00BC211D">
        <w:trPr>
          <w:cantSplit/>
          <w:trHeight w:val="283"/>
          <w:jc w:val="center"/>
        </w:trPr>
        <w:tc>
          <w:tcPr>
            <w:tcW w:w="1711" w:type="dxa"/>
            <w:vMerge/>
            <w:tcBorders>
              <w:left w:val="nil"/>
              <w:right w:val="nil"/>
            </w:tcBorders>
            <w:shd w:val="clear" w:color="auto" w:fill="auto"/>
            <w:vAlign w:val="center"/>
          </w:tcPr>
          <w:p w14:paraId="1FA5D47B"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37D52D0E" w14:textId="41DD44DE"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Southern Europe</w:t>
            </w:r>
          </w:p>
        </w:tc>
        <w:tc>
          <w:tcPr>
            <w:tcW w:w="893" w:type="dxa"/>
            <w:tcBorders>
              <w:top w:val="nil"/>
              <w:left w:val="nil"/>
              <w:bottom w:val="nil"/>
              <w:right w:val="nil"/>
            </w:tcBorders>
            <w:shd w:val="clear" w:color="auto" w:fill="auto"/>
            <w:vAlign w:val="bottom"/>
          </w:tcPr>
          <w:p w14:paraId="7040D601" w14:textId="60A7E0F2" w:rsidR="00C04064" w:rsidRPr="00061491" w:rsidRDefault="00C04064" w:rsidP="00C04064">
            <w:pPr>
              <w:contextualSpacing/>
              <w:jc w:val="center"/>
            </w:pPr>
            <w:r>
              <w:rPr>
                <w:rFonts w:ascii="Calibri" w:hAnsi="Calibri" w:cs="Calibri"/>
                <w:color w:val="000000"/>
              </w:rPr>
              <w:t>2.81</w:t>
            </w:r>
          </w:p>
        </w:tc>
        <w:tc>
          <w:tcPr>
            <w:tcW w:w="940" w:type="dxa"/>
            <w:tcBorders>
              <w:top w:val="nil"/>
              <w:left w:val="nil"/>
              <w:bottom w:val="nil"/>
              <w:right w:val="nil"/>
            </w:tcBorders>
            <w:shd w:val="clear" w:color="auto" w:fill="auto"/>
            <w:noWrap/>
            <w:vAlign w:val="bottom"/>
          </w:tcPr>
          <w:p w14:paraId="025ED50F" w14:textId="236D9E20" w:rsidR="00C04064" w:rsidRPr="00061491" w:rsidRDefault="00C04064" w:rsidP="00C04064">
            <w:pPr>
              <w:contextualSpacing/>
              <w:jc w:val="right"/>
            </w:pPr>
            <w:r>
              <w:rPr>
                <w:rFonts w:ascii="Calibri" w:hAnsi="Calibri" w:cs="Calibri"/>
                <w:color w:val="000000"/>
              </w:rPr>
              <w:t>3,090</w:t>
            </w:r>
          </w:p>
        </w:tc>
        <w:tc>
          <w:tcPr>
            <w:tcW w:w="851" w:type="dxa"/>
            <w:tcBorders>
              <w:top w:val="nil"/>
              <w:left w:val="nil"/>
              <w:bottom w:val="nil"/>
              <w:right w:val="nil"/>
            </w:tcBorders>
            <w:shd w:val="clear" w:color="auto" w:fill="auto"/>
            <w:vAlign w:val="bottom"/>
          </w:tcPr>
          <w:p w14:paraId="0B205B1F" w14:textId="3F57EEEB" w:rsidR="00C04064" w:rsidRPr="00061491" w:rsidRDefault="00C04064" w:rsidP="00C04064">
            <w:pPr>
              <w:contextualSpacing/>
            </w:pPr>
            <w:r>
              <w:rPr>
                <w:rFonts w:ascii="Calibri" w:hAnsi="Calibri" w:cs="Calibri"/>
                <w:color w:val="000000"/>
              </w:rPr>
              <w:t>(1.3)</w:t>
            </w:r>
          </w:p>
        </w:tc>
        <w:tc>
          <w:tcPr>
            <w:tcW w:w="992" w:type="dxa"/>
            <w:tcBorders>
              <w:top w:val="nil"/>
              <w:left w:val="nil"/>
              <w:bottom w:val="nil"/>
              <w:right w:val="nil"/>
            </w:tcBorders>
            <w:shd w:val="clear" w:color="auto" w:fill="auto"/>
            <w:noWrap/>
            <w:vAlign w:val="bottom"/>
          </w:tcPr>
          <w:p w14:paraId="7354705B" w14:textId="2B75772D" w:rsidR="00C04064" w:rsidRPr="00061491" w:rsidRDefault="00C04064" w:rsidP="00C04064">
            <w:pPr>
              <w:contextualSpacing/>
              <w:jc w:val="right"/>
            </w:pPr>
            <w:r>
              <w:rPr>
                <w:rFonts w:ascii="Calibri" w:hAnsi="Calibri" w:cs="Calibri"/>
                <w:color w:val="000000"/>
              </w:rPr>
              <w:t>2,945</w:t>
            </w:r>
          </w:p>
        </w:tc>
        <w:tc>
          <w:tcPr>
            <w:tcW w:w="851" w:type="dxa"/>
            <w:tcBorders>
              <w:top w:val="nil"/>
              <w:left w:val="nil"/>
              <w:bottom w:val="nil"/>
              <w:right w:val="nil"/>
            </w:tcBorders>
            <w:shd w:val="clear" w:color="auto" w:fill="auto"/>
            <w:vAlign w:val="bottom"/>
          </w:tcPr>
          <w:p w14:paraId="09673775" w14:textId="5469CFF7" w:rsidR="00C04064" w:rsidRPr="00061491" w:rsidRDefault="00C04064" w:rsidP="00C04064">
            <w:pPr>
              <w:contextualSpacing/>
            </w:pPr>
            <w:r>
              <w:rPr>
                <w:rFonts w:ascii="Calibri" w:hAnsi="Calibri" w:cs="Calibri"/>
                <w:color w:val="000000"/>
              </w:rPr>
              <w:t>(1.9)</w:t>
            </w:r>
          </w:p>
        </w:tc>
        <w:tc>
          <w:tcPr>
            <w:tcW w:w="992" w:type="dxa"/>
            <w:tcBorders>
              <w:top w:val="nil"/>
              <w:left w:val="nil"/>
              <w:bottom w:val="nil"/>
              <w:right w:val="nil"/>
            </w:tcBorders>
            <w:shd w:val="clear" w:color="auto" w:fill="auto"/>
            <w:noWrap/>
            <w:vAlign w:val="bottom"/>
          </w:tcPr>
          <w:p w14:paraId="57C73721" w14:textId="7A5C0FAB" w:rsidR="00C04064" w:rsidRPr="00061491" w:rsidRDefault="00C04064" w:rsidP="00C04064">
            <w:pPr>
              <w:contextualSpacing/>
              <w:jc w:val="right"/>
            </w:pPr>
            <w:r>
              <w:rPr>
                <w:rFonts w:ascii="Calibri" w:hAnsi="Calibri" w:cs="Calibri"/>
                <w:color w:val="000000"/>
              </w:rPr>
              <w:t>-145</w:t>
            </w:r>
          </w:p>
        </w:tc>
        <w:tc>
          <w:tcPr>
            <w:tcW w:w="851" w:type="dxa"/>
            <w:tcBorders>
              <w:top w:val="nil"/>
              <w:left w:val="nil"/>
              <w:bottom w:val="nil"/>
              <w:right w:val="nil"/>
            </w:tcBorders>
            <w:shd w:val="clear" w:color="auto" w:fill="auto"/>
            <w:noWrap/>
            <w:vAlign w:val="bottom"/>
          </w:tcPr>
          <w:p w14:paraId="109ACC9A" w14:textId="38D20443" w:rsidR="00C04064" w:rsidRPr="00061491" w:rsidRDefault="00C04064" w:rsidP="00C04064">
            <w:pPr>
              <w:contextualSpacing/>
            </w:pPr>
            <w:r>
              <w:rPr>
                <w:rFonts w:ascii="Calibri" w:hAnsi="Calibri" w:cs="Calibri"/>
                <w:color w:val="000000"/>
              </w:rPr>
              <w:t>(-4.7)</w:t>
            </w:r>
          </w:p>
        </w:tc>
      </w:tr>
      <w:tr w:rsidR="00C04064" w:rsidRPr="00061491" w14:paraId="551B1D3B" w14:textId="77777777" w:rsidTr="00BC211D">
        <w:trPr>
          <w:cantSplit/>
          <w:trHeight w:val="283"/>
          <w:jc w:val="center"/>
        </w:trPr>
        <w:tc>
          <w:tcPr>
            <w:tcW w:w="1711" w:type="dxa"/>
            <w:vMerge/>
            <w:tcBorders>
              <w:left w:val="nil"/>
              <w:right w:val="nil"/>
            </w:tcBorders>
            <w:shd w:val="clear" w:color="auto" w:fill="auto"/>
            <w:vAlign w:val="center"/>
          </w:tcPr>
          <w:p w14:paraId="4B7F06E8"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6338DD5A" w14:textId="6BFA62F7"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Eastern Europe</w:t>
            </w:r>
          </w:p>
        </w:tc>
        <w:tc>
          <w:tcPr>
            <w:tcW w:w="893" w:type="dxa"/>
            <w:tcBorders>
              <w:top w:val="nil"/>
              <w:left w:val="nil"/>
              <w:bottom w:val="nil"/>
              <w:right w:val="nil"/>
            </w:tcBorders>
            <w:shd w:val="clear" w:color="auto" w:fill="auto"/>
            <w:vAlign w:val="bottom"/>
          </w:tcPr>
          <w:p w14:paraId="2583D711" w14:textId="7FB39BC2" w:rsidR="00C04064" w:rsidRPr="00061491" w:rsidRDefault="00C04064" w:rsidP="00C04064">
            <w:pPr>
              <w:contextualSpacing/>
              <w:jc w:val="center"/>
            </w:pPr>
            <w:r>
              <w:rPr>
                <w:rFonts w:ascii="Calibri" w:hAnsi="Calibri" w:cs="Calibri"/>
                <w:color w:val="000000"/>
              </w:rPr>
              <w:t>2.05</w:t>
            </w:r>
          </w:p>
        </w:tc>
        <w:tc>
          <w:tcPr>
            <w:tcW w:w="940" w:type="dxa"/>
            <w:tcBorders>
              <w:top w:val="nil"/>
              <w:left w:val="nil"/>
              <w:bottom w:val="nil"/>
              <w:right w:val="nil"/>
            </w:tcBorders>
            <w:shd w:val="clear" w:color="auto" w:fill="auto"/>
            <w:noWrap/>
            <w:vAlign w:val="bottom"/>
          </w:tcPr>
          <w:p w14:paraId="4DDE7ED7" w14:textId="286B4F66" w:rsidR="00C04064" w:rsidRPr="00061491" w:rsidRDefault="00C04064" w:rsidP="00C04064">
            <w:pPr>
              <w:contextualSpacing/>
              <w:jc w:val="right"/>
            </w:pPr>
            <w:r>
              <w:rPr>
                <w:rFonts w:ascii="Calibri" w:hAnsi="Calibri" w:cs="Calibri"/>
                <w:color w:val="000000"/>
              </w:rPr>
              <w:t>7,721</w:t>
            </w:r>
          </w:p>
        </w:tc>
        <w:tc>
          <w:tcPr>
            <w:tcW w:w="851" w:type="dxa"/>
            <w:tcBorders>
              <w:top w:val="nil"/>
              <w:left w:val="nil"/>
              <w:bottom w:val="nil"/>
              <w:right w:val="nil"/>
            </w:tcBorders>
            <w:shd w:val="clear" w:color="auto" w:fill="auto"/>
            <w:vAlign w:val="bottom"/>
          </w:tcPr>
          <w:p w14:paraId="6BB4EBE0" w14:textId="37D1C184" w:rsidR="00C04064" w:rsidRPr="00061491" w:rsidRDefault="00C04064" w:rsidP="00C04064">
            <w:pPr>
              <w:contextualSpacing/>
            </w:pPr>
            <w:r>
              <w:rPr>
                <w:rFonts w:ascii="Calibri" w:hAnsi="Calibri" w:cs="Calibri"/>
                <w:color w:val="000000"/>
              </w:rPr>
              <w:t>(3.3)</w:t>
            </w:r>
          </w:p>
        </w:tc>
        <w:tc>
          <w:tcPr>
            <w:tcW w:w="992" w:type="dxa"/>
            <w:tcBorders>
              <w:top w:val="nil"/>
              <w:left w:val="nil"/>
              <w:bottom w:val="nil"/>
              <w:right w:val="nil"/>
            </w:tcBorders>
            <w:shd w:val="clear" w:color="auto" w:fill="auto"/>
            <w:noWrap/>
            <w:vAlign w:val="bottom"/>
          </w:tcPr>
          <w:p w14:paraId="16C9CE30" w14:textId="04F9A70B" w:rsidR="00C04064" w:rsidRPr="00061491" w:rsidRDefault="00C04064" w:rsidP="00C04064">
            <w:pPr>
              <w:contextualSpacing/>
              <w:jc w:val="right"/>
            </w:pPr>
            <w:r>
              <w:rPr>
                <w:rFonts w:ascii="Calibri" w:hAnsi="Calibri" w:cs="Calibri"/>
                <w:color w:val="000000"/>
              </w:rPr>
              <w:t>5,998</w:t>
            </w:r>
          </w:p>
        </w:tc>
        <w:tc>
          <w:tcPr>
            <w:tcW w:w="851" w:type="dxa"/>
            <w:tcBorders>
              <w:top w:val="nil"/>
              <w:left w:val="nil"/>
              <w:bottom w:val="nil"/>
              <w:right w:val="nil"/>
            </w:tcBorders>
            <w:shd w:val="clear" w:color="auto" w:fill="auto"/>
            <w:vAlign w:val="bottom"/>
          </w:tcPr>
          <w:p w14:paraId="56F7CACC" w14:textId="788A0C69" w:rsidR="00C04064" w:rsidRPr="00061491" w:rsidRDefault="00C04064" w:rsidP="00C04064">
            <w:pPr>
              <w:contextualSpacing/>
            </w:pPr>
            <w:r>
              <w:rPr>
                <w:rFonts w:ascii="Calibri" w:hAnsi="Calibri" w:cs="Calibri"/>
                <w:color w:val="000000"/>
              </w:rPr>
              <w:t>(4.0)</w:t>
            </w:r>
          </w:p>
        </w:tc>
        <w:tc>
          <w:tcPr>
            <w:tcW w:w="992" w:type="dxa"/>
            <w:tcBorders>
              <w:top w:val="nil"/>
              <w:left w:val="nil"/>
              <w:bottom w:val="nil"/>
              <w:right w:val="nil"/>
            </w:tcBorders>
            <w:shd w:val="clear" w:color="auto" w:fill="auto"/>
            <w:noWrap/>
            <w:vAlign w:val="bottom"/>
          </w:tcPr>
          <w:p w14:paraId="7B2BD942" w14:textId="630B19EB" w:rsidR="00C04064" w:rsidRPr="00061491" w:rsidRDefault="00C04064" w:rsidP="00C04064">
            <w:pPr>
              <w:contextualSpacing/>
              <w:jc w:val="right"/>
            </w:pPr>
            <w:r>
              <w:rPr>
                <w:rFonts w:ascii="Calibri" w:hAnsi="Calibri" w:cs="Calibri"/>
                <w:color w:val="000000"/>
              </w:rPr>
              <w:t>-1,723</w:t>
            </w:r>
          </w:p>
        </w:tc>
        <w:tc>
          <w:tcPr>
            <w:tcW w:w="851" w:type="dxa"/>
            <w:tcBorders>
              <w:top w:val="nil"/>
              <w:left w:val="nil"/>
              <w:bottom w:val="nil"/>
              <w:right w:val="nil"/>
            </w:tcBorders>
            <w:shd w:val="clear" w:color="auto" w:fill="auto"/>
            <w:noWrap/>
            <w:vAlign w:val="bottom"/>
          </w:tcPr>
          <w:p w14:paraId="5C3AC16B" w14:textId="3BEE3D4A" w:rsidR="00C04064" w:rsidRPr="00061491" w:rsidRDefault="00C04064" w:rsidP="00C04064">
            <w:pPr>
              <w:contextualSpacing/>
            </w:pPr>
            <w:r>
              <w:rPr>
                <w:rFonts w:ascii="Calibri" w:hAnsi="Calibri" w:cs="Calibri"/>
                <w:color w:val="000000"/>
              </w:rPr>
              <w:t>(-22.3)</w:t>
            </w:r>
          </w:p>
        </w:tc>
      </w:tr>
      <w:tr w:rsidR="00C04064" w:rsidRPr="00061491" w14:paraId="560351D0" w14:textId="77777777" w:rsidTr="00BC211D">
        <w:trPr>
          <w:cantSplit/>
          <w:trHeight w:val="283"/>
          <w:jc w:val="center"/>
        </w:trPr>
        <w:tc>
          <w:tcPr>
            <w:tcW w:w="1711" w:type="dxa"/>
            <w:vMerge/>
            <w:tcBorders>
              <w:left w:val="nil"/>
              <w:right w:val="nil"/>
            </w:tcBorders>
            <w:shd w:val="clear" w:color="auto" w:fill="auto"/>
            <w:vAlign w:val="center"/>
          </w:tcPr>
          <w:p w14:paraId="0C3D47D7"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25F9A9B2" w14:textId="3DB20F75"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Oceania</w:t>
            </w:r>
          </w:p>
        </w:tc>
        <w:tc>
          <w:tcPr>
            <w:tcW w:w="893" w:type="dxa"/>
            <w:tcBorders>
              <w:top w:val="nil"/>
              <w:left w:val="nil"/>
              <w:bottom w:val="nil"/>
              <w:right w:val="nil"/>
            </w:tcBorders>
            <w:shd w:val="clear" w:color="auto" w:fill="auto"/>
            <w:vAlign w:val="bottom"/>
          </w:tcPr>
          <w:p w14:paraId="0D8CC3AC" w14:textId="7307D198" w:rsidR="00C04064" w:rsidRPr="00061491" w:rsidRDefault="00C04064" w:rsidP="00C04064">
            <w:pPr>
              <w:contextualSpacing/>
              <w:jc w:val="center"/>
            </w:pPr>
            <w:r>
              <w:rPr>
                <w:rFonts w:ascii="Calibri" w:hAnsi="Calibri" w:cs="Calibri"/>
                <w:color w:val="000000"/>
              </w:rPr>
              <w:t>1.13</w:t>
            </w:r>
          </w:p>
        </w:tc>
        <w:tc>
          <w:tcPr>
            <w:tcW w:w="940" w:type="dxa"/>
            <w:tcBorders>
              <w:top w:val="nil"/>
              <w:left w:val="nil"/>
              <w:bottom w:val="nil"/>
              <w:right w:val="nil"/>
            </w:tcBorders>
            <w:shd w:val="clear" w:color="auto" w:fill="auto"/>
            <w:noWrap/>
            <w:vAlign w:val="bottom"/>
          </w:tcPr>
          <w:p w14:paraId="6C3B51B5" w14:textId="0E00A91C" w:rsidR="00C04064" w:rsidRPr="00061491" w:rsidRDefault="00C04064" w:rsidP="00C04064">
            <w:pPr>
              <w:contextualSpacing/>
              <w:jc w:val="right"/>
            </w:pPr>
            <w:r>
              <w:rPr>
                <w:rFonts w:ascii="Calibri" w:hAnsi="Calibri" w:cs="Calibri"/>
                <w:color w:val="000000"/>
              </w:rPr>
              <w:t>985</w:t>
            </w:r>
          </w:p>
        </w:tc>
        <w:tc>
          <w:tcPr>
            <w:tcW w:w="851" w:type="dxa"/>
            <w:tcBorders>
              <w:top w:val="nil"/>
              <w:left w:val="nil"/>
              <w:bottom w:val="nil"/>
              <w:right w:val="nil"/>
            </w:tcBorders>
            <w:shd w:val="clear" w:color="auto" w:fill="auto"/>
            <w:vAlign w:val="bottom"/>
          </w:tcPr>
          <w:p w14:paraId="3ABA7DBF" w14:textId="4A64586F" w:rsidR="00C04064" w:rsidRPr="00061491" w:rsidRDefault="00C04064" w:rsidP="00C04064">
            <w:pPr>
              <w:contextualSpacing/>
            </w:pPr>
            <w:r>
              <w:rPr>
                <w:rFonts w:ascii="Calibri" w:hAnsi="Calibri" w:cs="Calibri"/>
                <w:color w:val="000000"/>
              </w:rPr>
              <w:t>(0.4)</w:t>
            </w:r>
          </w:p>
        </w:tc>
        <w:tc>
          <w:tcPr>
            <w:tcW w:w="992" w:type="dxa"/>
            <w:tcBorders>
              <w:top w:val="nil"/>
              <w:left w:val="nil"/>
              <w:bottom w:val="nil"/>
              <w:right w:val="nil"/>
            </w:tcBorders>
            <w:shd w:val="clear" w:color="auto" w:fill="auto"/>
            <w:noWrap/>
            <w:vAlign w:val="bottom"/>
          </w:tcPr>
          <w:p w14:paraId="1F76DEEE" w14:textId="06A17C2F" w:rsidR="00C04064" w:rsidRPr="00061491" w:rsidRDefault="00C04064" w:rsidP="00C04064">
            <w:pPr>
              <w:contextualSpacing/>
              <w:jc w:val="right"/>
            </w:pPr>
            <w:r>
              <w:rPr>
                <w:rFonts w:ascii="Calibri" w:hAnsi="Calibri" w:cs="Calibri"/>
                <w:color w:val="000000"/>
              </w:rPr>
              <w:t>833</w:t>
            </w:r>
          </w:p>
        </w:tc>
        <w:tc>
          <w:tcPr>
            <w:tcW w:w="851" w:type="dxa"/>
            <w:tcBorders>
              <w:top w:val="nil"/>
              <w:left w:val="nil"/>
              <w:bottom w:val="nil"/>
              <w:right w:val="nil"/>
            </w:tcBorders>
            <w:shd w:val="clear" w:color="auto" w:fill="auto"/>
            <w:vAlign w:val="bottom"/>
          </w:tcPr>
          <w:p w14:paraId="2E53226F" w14:textId="7C25D317" w:rsidR="00C04064" w:rsidRPr="00061491" w:rsidRDefault="00C04064" w:rsidP="00C04064">
            <w:pPr>
              <w:contextualSpacing/>
            </w:pPr>
            <w:r>
              <w:rPr>
                <w:rFonts w:ascii="Calibri" w:hAnsi="Calibri" w:cs="Calibri"/>
                <w:color w:val="000000"/>
              </w:rPr>
              <w:t>(0.6)</w:t>
            </w:r>
          </w:p>
        </w:tc>
        <w:tc>
          <w:tcPr>
            <w:tcW w:w="992" w:type="dxa"/>
            <w:tcBorders>
              <w:top w:val="nil"/>
              <w:left w:val="nil"/>
              <w:bottom w:val="nil"/>
              <w:right w:val="nil"/>
            </w:tcBorders>
            <w:shd w:val="clear" w:color="auto" w:fill="auto"/>
            <w:noWrap/>
            <w:vAlign w:val="bottom"/>
          </w:tcPr>
          <w:p w14:paraId="465CCB39" w14:textId="52200627" w:rsidR="00C04064" w:rsidRPr="00061491" w:rsidRDefault="00C04064" w:rsidP="00C04064">
            <w:pPr>
              <w:contextualSpacing/>
              <w:jc w:val="right"/>
            </w:pPr>
            <w:r>
              <w:rPr>
                <w:rFonts w:ascii="Calibri" w:hAnsi="Calibri" w:cs="Calibri"/>
                <w:color w:val="000000"/>
              </w:rPr>
              <w:t>-152</w:t>
            </w:r>
          </w:p>
        </w:tc>
        <w:tc>
          <w:tcPr>
            <w:tcW w:w="851" w:type="dxa"/>
            <w:tcBorders>
              <w:top w:val="nil"/>
              <w:left w:val="nil"/>
              <w:bottom w:val="nil"/>
              <w:right w:val="nil"/>
            </w:tcBorders>
            <w:shd w:val="clear" w:color="auto" w:fill="auto"/>
            <w:noWrap/>
            <w:vAlign w:val="bottom"/>
          </w:tcPr>
          <w:p w14:paraId="70ED2DCF" w14:textId="3198D61E" w:rsidR="00C04064" w:rsidRPr="00061491" w:rsidRDefault="00C04064" w:rsidP="00C04064">
            <w:pPr>
              <w:contextualSpacing/>
            </w:pPr>
            <w:r>
              <w:rPr>
                <w:rFonts w:ascii="Calibri" w:hAnsi="Calibri" w:cs="Calibri"/>
                <w:color w:val="000000"/>
              </w:rPr>
              <w:t>(-15.4)</w:t>
            </w:r>
          </w:p>
        </w:tc>
      </w:tr>
      <w:tr w:rsidR="00C04064" w:rsidRPr="00061491" w14:paraId="268C55DE" w14:textId="77777777" w:rsidTr="00BC211D">
        <w:trPr>
          <w:cantSplit/>
          <w:trHeight w:val="283"/>
          <w:jc w:val="center"/>
        </w:trPr>
        <w:tc>
          <w:tcPr>
            <w:tcW w:w="1711" w:type="dxa"/>
            <w:vMerge/>
            <w:tcBorders>
              <w:left w:val="nil"/>
              <w:right w:val="nil"/>
            </w:tcBorders>
            <w:shd w:val="clear" w:color="auto" w:fill="auto"/>
            <w:vAlign w:val="center"/>
          </w:tcPr>
          <w:p w14:paraId="58667CE4"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6ED218FB" w14:textId="4F5B0F78"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Northern Europe</w:t>
            </w:r>
          </w:p>
        </w:tc>
        <w:tc>
          <w:tcPr>
            <w:tcW w:w="893" w:type="dxa"/>
            <w:tcBorders>
              <w:top w:val="nil"/>
              <w:left w:val="nil"/>
              <w:bottom w:val="nil"/>
              <w:right w:val="nil"/>
            </w:tcBorders>
            <w:shd w:val="clear" w:color="auto" w:fill="auto"/>
            <w:vAlign w:val="bottom"/>
          </w:tcPr>
          <w:p w14:paraId="062ECC14" w14:textId="736D4EE0" w:rsidR="00C04064" w:rsidRPr="00061491" w:rsidRDefault="00C04064" w:rsidP="00C04064">
            <w:pPr>
              <w:contextualSpacing/>
              <w:jc w:val="center"/>
            </w:pPr>
            <w:r>
              <w:rPr>
                <w:rFonts w:ascii="Calibri" w:hAnsi="Calibri" w:cs="Calibri"/>
                <w:color w:val="000000"/>
              </w:rPr>
              <w:t>1.13</w:t>
            </w:r>
          </w:p>
        </w:tc>
        <w:tc>
          <w:tcPr>
            <w:tcW w:w="940" w:type="dxa"/>
            <w:tcBorders>
              <w:top w:val="nil"/>
              <w:left w:val="nil"/>
              <w:bottom w:val="nil"/>
              <w:right w:val="nil"/>
            </w:tcBorders>
            <w:shd w:val="clear" w:color="auto" w:fill="auto"/>
            <w:noWrap/>
            <w:vAlign w:val="bottom"/>
          </w:tcPr>
          <w:p w14:paraId="4C57CD51" w14:textId="4377D0E0" w:rsidR="00C04064" w:rsidRPr="00061491" w:rsidRDefault="00C04064" w:rsidP="00C04064">
            <w:pPr>
              <w:contextualSpacing/>
              <w:jc w:val="right"/>
            </w:pPr>
            <w:r>
              <w:rPr>
                <w:rFonts w:ascii="Calibri" w:hAnsi="Calibri" w:cs="Calibri"/>
                <w:color w:val="000000"/>
              </w:rPr>
              <w:t>2,825</w:t>
            </w:r>
          </w:p>
        </w:tc>
        <w:tc>
          <w:tcPr>
            <w:tcW w:w="851" w:type="dxa"/>
            <w:tcBorders>
              <w:top w:val="nil"/>
              <w:left w:val="nil"/>
              <w:bottom w:val="nil"/>
              <w:right w:val="nil"/>
            </w:tcBorders>
            <w:shd w:val="clear" w:color="auto" w:fill="auto"/>
            <w:vAlign w:val="bottom"/>
          </w:tcPr>
          <w:p w14:paraId="5F6C8327" w14:textId="6694F19F" w:rsidR="00C04064" w:rsidRPr="00061491" w:rsidRDefault="00C04064" w:rsidP="00C04064">
            <w:pPr>
              <w:contextualSpacing/>
            </w:pPr>
            <w:r>
              <w:rPr>
                <w:rFonts w:ascii="Calibri" w:hAnsi="Calibri" w:cs="Calibri"/>
                <w:color w:val="000000"/>
              </w:rPr>
              <w:t>(1.2)</w:t>
            </w:r>
          </w:p>
        </w:tc>
        <w:tc>
          <w:tcPr>
            <w:tcW w:w="992" w:type="dxa"/>
            <w:tcBorders>
              <w:top w:val="nil"/>
              <w:left w:val="nil"/>
              <w:bottom w:val="nil"/>
              <w:right w:val="nil"/>
            </w:tcBorders>
            <w:shd w:val="clear" w:color="auto" w:fill="auto"/>
            <w:noWrap/>
            <w:vAlign w:val="bottom"/>
          </w:tcPr>
          <w:p w14:paraId="60F04A21" w14:textId="7B064F34" w:rsidR="00C04064" w:rsidRPr="00061491" w:rsidRDefault="00C04064" w:rsidP="00C04064">
            <w:pPr>
              <w:contextualSpacing/>
              <w:jc w:val="right"/>
            </w:pPr>
            <w:r>
              <w:rPr>
                <w:rFonts w:ascii="Calibri" w:hAnsi="Calibri" w:cs="Calibri"/>
                <w:color w:val="000000"/>
              </w:rPr>
              <w:t>2,298</w:t>
            </w:r>
          </w:p>
        </w:tc>
        <w:tc>
          <w:tcPr>
            <w:tcW w:w="851" w:type="dxa"/>
            <w:tcBorders>
              <w:top w:val="nil"/>
              <w:left w:val="nil"/>
              <w:bottom w:val="nil"/>
              <w:right w:val="nil"/>
            </w:tcBorders>
            <w:shd w:val="clear" w:color="auto" w:fill="auto"/>
            <w:vAlign w:val="bottom"/>
          </w:tcPr>
          <w:p w14:paraId="7D58C175" w14:textId="3C19740E" w:rsidR="00C04064" w:rsidRPr="00061491" w:rsidRDefault="00C04064" w:rsidP="00C04064">
            <w:pPr>
              <w:contextualSpacing/>
            </w:pPr>
            <w:r>
              <w:rPr>
                <w:rFonts w:ascii="Calibri" w:hAnsi="Calibri" w:cs="Calibri"/>
                <w:color w:val="000000"/>
              </w:rPr>
              <w:t>(1.5)</w:t>
            </w:r>
          </w:p>
        </w:tc>
        <w:tc>
          <w:tcPr>
            <w:tcW w:w="992" w:type="dxa"/>
            <w:tcBorders>
              <w:top w:val="nil"/>
              <w:left w:val="nil"/>
              <w:bottom w:val="nil"/>
              <w:right w:val="nil"/>
            </w:tcBorders>
            <w:shd w:val="clear" w:color="auto" w:fill="auto"/>
            <w:noWrap/>
            <w:vAlign w:val="bottom"/>
          </w:tcPr>
          <w:p w14:paraId="51028DCE" w14:textId="378601CC" w:rsidR="00C04064" w:rsidRPr="00061491" w:rsidRDefault="00C04064" w:rsidP="00C04064">
            <w:pPr>
              <w:contextualSpacing/>
              <w:jc w:val="right"/>
            </w:pPr>
            <w:r>
              <w:rPr>
                <w:rFonts w:ascii="Calibri" w:hAnsi="Calibri" w:cs="Calibri"/>
                <w:color w:val="000000"/>
              </w:rPr>
              <w:t>-527</w:t>
            </w:r>
          </w:p>
        </w:tc>
        <w:tc>
          <w:tcPr>
            <w:tcW w:w="851" w:type="dxa"/>
            <w:tcBorders>
              <w:top w:val="nil"/>
              <w:left w:val="nil"/>
              <w:bottom w:val="nil"/>
              <w:right w:val="nil"/>
            </w:tcBorders>
            <w:shd w:val="clear" w:color="auto" w:fill="auto"/>
            <w:noWrap/>
            <w:vAlign w:val="bottom"/>
          </w:tcPr>
          <w:p w14:paraId="6A06EBAE" w14:textId="2AFFB83E" w:rsidR="00C04064" w:rsidRPr="00061491" w:rsidRDefault="00C04064" w:rsidP="00C04064">
            <w:pPr>
              <w:contextualSpacing/>
            </w:pPr>
            <w:r>
              <w:rPr>
                <w:rFonts w:ascii="Calibri" w:hAnsi="Calibri" w:cs="Calibri"/>
                <w:color w:val="000000"/>
              </w:rPr>
              <w:t>(-18.7)</w:t>
            </w:r>
          </w:p>
        </w:tc>
      </w:tr>
      <w:tr w:rsidR="00C04064" w:rsidRPr="00061491" w14:paraId="4B1154CB" w14:textId="77777777" w:rsidTr="00BC211D">
        <w:trPr>
          <w:cantSplit/>
          <w:trHeight w:val="283"/>
          <w:jc w:val="center"/>
        </w:trPr>
        <w:tc>
          <w:tcPr>
            <w:tcW w:w="1711" w:type="dxa"/>
            <w:vMerge/>
            <w:tcBorders>
              <w:left w:val="nil"/>
              <w:right w:val="nil"/>
            </w:tcBorders>
            <w:shd w:val="clear" w:color="auto" w:fill="auto"/>
            <w:vAlign w:val="center"/>
          </w:tcPr>
          <w:p w14:paraId="70C6EF73"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1ADD0BC3" w14:textId="2F4BE0CA"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Southern Africa</w:t>
            </w:r>
          </w:p>
        </w:tc>
        <w:tc>
          <w:tcPr>
            <w:tcW w:w="893" w:type="dxa"/>
            <w:tcBorders>
              <w:top w:val="nil"/>
              <w:left w:val="nil"/>
              <w:bottom w:val="nil"/>
              <w:right w:val="nil"/>
            </w:tcBorders>
            <w:shd w:val="clear" w:color="auto" w:fill="auto"/>
            <w:vAlign w:val="bottom"/>
          </w:tcPr>
          <w:p w14:paraId="2FE5D5A7" w14:textId="0CFB7D0D" w:rsidR="00C04064" w:rsidRPr="00061491" w:rsidRDefault="00C04064" w:rsidP="00C04064">
            <w:pPr>
              <w:contextualSpacing/>
              <w:jc w:val="center"/>
            </w:pPr>
            <w:r>
              <w:rPr>
                <w:rFonts w:ascii="Calibri" w:hAnsi="Calibri" w:cs="Calibri"/>
                <w:color w:val="000000"/>
              </w:rPr>
              <w:t>1.11</w:t>
            </w:r>
          </w:p>
        </w:tc>
        <w:tc>
          <w:tcPr>
            <w:tcW w:w="940" w:type="dxa"/>
            <w:tcBorders>
              <w:top w:val="nil"/>
              <w:left w:val="nil"/>
              <w:bottom w:val="nil"/>
              <w:right w:val="nil"/>
            </w:tcBorders>
            <w:shd w:val="clear" w:color="auto" w:fill="auto"/>
            <w:noWrap/>
            <w:vAlign w:val="bottom"/>
          </w:tcPr>
          <w:p w14:paraId="1F4225C9" w14:textId="26F92322" w:rsidR="00C04064" w:rsidRPr="00061491" w:rsidRDefault="00C04064" w:rsidP="00C04064">
            <w:pPr>
              <w:contextualSpacing/>
              <w:jc w:val="right"/>
            </w:pPr>
            <w:r>
              <w:rPr>
                <w:rFonts w:ascii="Calibri" w:hAnsi="Calibri" w:cs="Calibri"/>
                <w:color w:val="000000"/>
              </w:rPr>
              <w:t>3,054</w:t>
            </w:r>
          </w:p>
        </w:tc>
        <w:tc>
          <w:tcPr>
            <w:tcW w:w="851" w:type="dxa"/>
            <w:tcBorders>
              <w:top w:val="nil"/>
              <w:left w:val="nil"/>
              <w:bottom w:val="nil"/>
              <w:right w:val="nil"/>
            </w:tcBorders>
            <w:shd w:val="clear" w:color="auto" w:fill="auto"/>
            <w:vAlign w:val="bottom"/>
          </w:tcPr>
          <w:p w14:paraId="47B059C0" w14:textId="3EC586CD" w:rsidR="00C04064" w:rsidRPr="00061491" w:rsidRDefault="00C04064" w:rsidP="00C04064">
            <w:pPr>
              <w:contextualSpacing/>
            </w:pPr>
            <w:r>
              <w:rPr>
                <w:rFonts w:ascii="Calibri" w:hAnsi="Calibri" w:cs="Calibri"/>
                <w:color w:val="000000"/>
              </w:rPr>
              <w:t>(1.3)</w:t>
            </w:r>
          </w:p>
        </w:tc>
        <w:tc>
          <w:tcPr>
            <w:tcW w:w="992" w:type="dxa"/>
            <w:tcBorders>
              <w:top w:val="nil"/>
              <w:left w:val="nil"/>
              <w:bottom w:val="nil"/>
              <w:right w:val="nil"/>
            </w:tcBorders>
            <w:shd w:val="clear" w:color="auto" w:fill="auto"/>
            <w:noWrap/>
            <w:vAlign w:val="bottom"/>
          </w:tcPr>
          <w:p w14:paraId="536FEA66" w14:textId="3AD129D5" w:rsidR="00C04064" w:rsidRPr="00061491" w:rsidRDefault="00C04064" w:rsidP="00C04064">
            <w:pPr>
              <w:contextualSpacing/>
              <w:jc w:val="right"/>
            </w:pPr>
            <w:r>
              <w:rPr>
                <w:rFonts w:ascii="Calibri" w:hAnsi="Calibri" w:cs="Calibri"/>
                <w:color w:val="000000"/>
              </w:rPr>
              <w:t>760</w:t>
            </w:r>
          </w:p>
        </w:tc>
        <w:tc>
          <w:tcPr>
            <w:tcW w:w="851" w:type="dxa"/>
            <w:tcBorders>
              <w:top w:val="nil"/>
              <w:left w:val="nil"/>
              <w:bottom w:val="nil"/>
              <w:right w:val="nil"/>
            </w:tcBorders>
            <w:shd w:val="clear" w:color="auto" w:fill="auto"/>
            <w:vAlign w:val="bottom"/>
          </w:tcPr>
          <w:p w14:paraId="0780281F" w14:textId="053EB589" w:rsidR="00C04064" w:rsidRPr="00061491" w:rsidRDefault="00C04064" w:rsidP="00C04064">
            <w:pPr>
              <w:contextualSpacing/>
            </w:pPr>
            <w:r>
              <w:rPr>
                <w:rFonts w:ascii="Calibri" w:hAnsi="Calibri" w:cs="Calibri"/>
                <w:color w:val="000000"/>
              </w:rPr>
              <w:t>(0.5)</w:t>
            </w:r>
          </w:p>
        </w:tc>
        <w:tc>
          <w:tcPr>
            <w:tcW w:w="992" w:type="dxa"/>
            <w:tcBorders>
              <w:top w:val="nil"/>
              <w:left w:val="nil"/>
              <w:bottom w:val="nil"/>
              <w:right w:val="nil"/>
            </w:tcBorders>
            <w:shd w:val="clear" w:color="auto" w:fill="auto"/>
            <w:noWrap/>
            <w:vAlign w:val="bottom"/>
          </w:tcPr>
          <w:p w14:paraId="5A8FD14D" w14:textId="51C7047D" w:rsidR="00C04064" w:rsidRPr="00061491" w:rsidRDefault="00C04064" w:rsidP="00C04064">
            <w:pPr>
              <w:contextualSpacing/>
              <w:jc w:val="right"/>
            </w:pPr>
            <w:r>
              <w:rPr>
                <w:rFonts w:ascii="Calibri" w:hAnsi="Calibri" w:cs="Calibri"/>
                <w:color w:val="000000"/>
              </w:rPr>
              <w:t>-2,294</w:t>
            </w:r>
          </w:p>
        </w:tc>
        <w:tc>
          <w:tcPr>
            <w:tcW w:w="851" w:type="dxa"/>
            <w:tcBorders>
              <w:top w:val="nil"/>
              <w:left w:val="nil"/>
              <w:bottom w:val="nil"/>
              <w:right w:val="nil"/>
            </w:tcBorders>
            <w:shd w:val="clear" w:color="auto" w:fill="auto"/>
            <w:noWrap/>
            <w:vAlign w:val="bottom"/>
          </w:tcPr>
          <w:p w14:paraId="5A5D5EF9" w14:textId="5B040055" w:rsidR="00C04064" w:rsidRPr="00061491" w:rsidRDefault="00C04064" w:rsidP="00C04064">
            <w:pPr>
              <w:contextualSpacing/>
            </w:pPr>
            <w:r>
              <w:rPr>
                <w:rFonts w:ascii="Calibri" w:hAnsi="Calibri" w:cs="Calibri"/>
                <w:color w:val="000000"/>
              </w:rPr>
              <w:t>(-75.1)</w:t>
            </w:r>
          </w:p>
        </w:tc>
      </w:tr>
      <w:tr w:rsidR="00C04064" w:rsidRPr="00061491" w14:paraId="060F472C" w14:textId="77777777" w:rsidTr="00BC211D">
        <w:trPr>
          <w:cantSplit/>
          <w:trHeight w:val="283"/>
          <w:jc w:val="center"/>
        </w:trPr>
        <w:tc>
          <w:tcPr>
            <w:tcW w:w="1711" w:type="dxa"/>
            <w:vMerge/>
            <w:tcBorders>
              <w:left w:val="nil"/>
              <w:right w:val="nil"/>
            </w:tcBorders>
            <w:shd w:val="clear" w:color="auto" w:fill="auto"/>
            <w:vAlign w:val="center"/>
          </w:tcPr>
          <w:p w14:paraId="72EEBD85"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4BE985FC" w14:textId="438D9D50"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North America</w:t>
            </w:r>
          </w:p>
        </w:tc>
        <w:tc>
          <w:tcPr>
            <w:tcW w:w="893" w:type="dxa"/>
            <w:tcBorders>
              <w:top w:val="nil"/>
              <w:left w:val="nil"/>
              <w:bottom w:val="nil"/>
              <w:right w:val="nil"/>
            </w:tcBorders>
            <w:shd w:val="clear" w:color="auto" w:fill="auto"/>
            <w:vAlign w:val="bottom"/>
          </w:tcPr>
          <w:p w14:paraId="3DFACAC1" w14:textId="2AD8D723" w:rsidR="00C04064" w:rsidRPr="00061491" w:rsidRDefault="00C04064" w:rsidP="00C04064">
            <w:pPr>
              <w:contextualSpacing/>
              <w:jc w:val="center"/>
            </w:pPr>
            <w:r>
              <w:rPr>
                <w:rFonts w:ascii="Calibri" w:hAnsi="Calibri" w:cs="Calibri"/>
                <w:color w:val="000000"/>
              </w:rPr>
              <w:t>1.02</w:t>
            </w:r>
          </w:p>
        </w:tc>
        <w:tc>
          <w:tcPr>
            <w:tcW w:w="940" w:type="dxa"/>
            <w:tcBorders>
              <w:top w:val="nil"/>
              <w:left w:val="nil"/>
              <w:bottom w:val="nil"/>
              <w:right w:val="nil"/>
            </w:tcBorders>
            <w:shd w:val="clear" w:color="auto" w:fill="auto"/>
            <w:noWrap/>
            <w:vAlign w:val="bottom"/>
          </w:tcPr>
          <w:p w14:paraId="594133A4" w14:textId="5BC221B8" w:rsidR="00C04064" w:rsidRPr="00061491" w:rsidRDefault="00C04064" w:rsidP="00C04064">
            <w:pPr>
              <w:contextualSpacing/>
              <w:jc w:val="right"/>
            </w:pPr>
            <w:r>
              <w:rPr>
                <w:rFonts w:ascii="Calibri" w:hAnsi="Calibri" w:cs="Calibri"/>
                <w:color w:val="000000"/>
              </w:rPr>
              <w:t>11,889</w:t>
            </w:r>
          </w:p>
        </w:tc>
        <w:tc>
          <w:tcPr>
            <w:tcW w:w="851" w:type="dxa"/>
            <w:tcBorders>
              <w:top w:val="nil"/>
              <w:left w:val="nil"/>
              <w:bottom w:val="nil"/>
              <w:right w:val="nil"/>
            </w:tcBorders>
            <w:shd w:val="clear" w:color="auto" w:fill="auto"/>
            <w:vAlign w:val="bottom"/>
          </w:tcPr>
          <w:p w14:paraId="3566F923" w14:textId="41947F0A" w:rsidR="00C04064" w:rsidRPr="00061491" w:rsidRDefault="00C04064" w:rsidP="00C04064">
            <w:pPr>
              <w:contextualSpacing/>
            </w:pPr>
            <w:r>
              <w:rPr>
                <w:rFonts w:ascii="Calibri" w:hAnsi="Calibri" w:cs="Calibri"/>
                <w:color w:val="000000"/>
              </w:rPr>
              <w:t>(5.1)</w:t>
            </w:r>
          </w:p>
        </w:tc>
        <w:tc>
          <w:tcPr>
            <w:tcW w:w="992" w:type="dxa"/>
            <w:tcBorders>
              <w:top w:val="nil"/>
              <w:left w:val="nil"/>
              <w:bottom w:val="nil"/>
              <w:right w:val="nil"/>
            </w:tcBorders>
            <w:shd w:val="clear" w:color="auto" w:fill="auto"/>
            <w:noWrap/>
            <w:vAlign w:val="bottom"/>
          </w:tcPr>
          <w:p w14:paraId="4A709665" w14:textId="78DA6B63" w:rsidR="00C04064" w:rsidRPr="00061491" w:rsidRDefault="00C04064" w:rsidP="00C04064">
            <w:pPr>
              <w:contextualSpacing/>
              <w:jc w:val="right"/>
            </w:pPr>
            <w:r>
              <w:rPr>
                <w:rFonts w:ascii="Calibri" w:hAnsi="Calibri" w:cs="Calibri"/>
                <w:color w:val="000000"/>
              </w:rPr>
              <w:t>10,811</w:t>
            </w:r>
          </w:p>
        </w:tc>
        <w:tc>
          <w:tcPr>
            <w:tcW w:w="851" w:type="dxa"/>
            <w:tcBorders>
              <w:top w:val="nil"/>
              <w:left w:val="nil"/>
              <w:bottom w:val="nil"/>
              <w:right w:val="nil"/>
            </w:tcBorders>
            <w:shd w:val="clear" w:color="auto" w:fill="auto"/>
            <w:vAlign w:val="bottom"/>
          </w:tcPr>
          <w:p w14:paraId="5C4682FF" w14:textId="6E569D1D" w:rsidR="00C04064" w:rsidRPr="00061491" w:rsidRDefault="00C04064" w:rsidP="00C04064">
            <w:pPr>
              <w:contextualSpacing/>
            </w:pPr>
            <w:r>
              <w:rPr>
                <w:rFonts w:ascii="Calibri" w:hAnsi="Calibri" w:cs="Calibri"/>
                <w:color w:val="000000"/>
              </w:rPr>
              <w:t>(7.1)</w:t>
            </w:r>
          </w:p>
        </w:tc>
        <w:tc>
          <w:tcPr>
            <w:tcW w:w="992" w:type="dxa"/>
            <w:tcBorders>
              <w:top w:val="nil"/>
              <w:left w:val="nil"/>
              <w:bottom w:val="nil"/>
              <w:right w:val="nil"/>
            </w:tcBorders>
            <w:shd w:val="clear" w:color="auto" w:fill="auto"/>
            <w:noWrap/>
            <w:vAlign w:val="bottom"/>
          </w:tcPr>
          <w:p w14:paraId="181C5678" w14:textId="0BD64DF6" w:rsidR="00C04064" w:rsidRPr="00061491" w:rsidRDefault="00C04064" w:rsidP="00C04064">
            <w:pPr>
              <w:contextualSpacing/>
              <w:jc w:val="right"/>
            </w:pPr>
            <w:r>
              <w:rPr>
                <w:rFonts w:ascii="Calibri" w:hAnsi="Calibri" w:cs="Calibri"/>
                <w:color w:val="000000"/>
              </w:rPr>
              <w:t>-1,078</w:t>
            </w:r>
          </w:p>
        </w:tc>
        <w:tc>
          <w:tcPr>
            <w:tcW w:w="851" w:type="dxa"/>
            <w:tcBorders>
              <w:top w:val="nil"/>
              <w:left w:val="nil"/>
              <w:bottom w:val="nil"/>
              <w:right w:val="nil"/>
            </w:tcBorders>
            <w:shd w:val="clear" w:color="auto" w:fill="auto"/>
            <w:noWrap/>
            <w:vAlign w:val="bottom"/>
          </w:tcPr>
          <w:p w14:paraId="122DE74E" w14:textId="3779838D" w:rsidR="00C04064" w:rsidRPr="00061491" w:rsidRDefault="00C04064" w:rsidP="00C04064">
            <w:pPr>
              <w:contextualSpacing/>
            </w:pPr>
            <w:r>
              <w:rPr>
                <w:rFonts w:ascii="Calibri" w:hAnsi="Calibri" w:cs="Calibri"/>
                <w:color w:val="000000"/>
              </w:rPr>
              <w:t>(-9.1)</w:t>
            </w:r>
          </w:p>
        </w:tc>
      </w:tr>
      <w:tr w:rsidR="00C04064" w:rsidRPr="00061491" w14:paraId="39F5C10D" w14:textId="77777777" w:rsidTr="00BC211D">
        <w:trPr>
          <w:cantSplit/>
          <w:trHeight w:val="283"/>
          <w:jc w:val="center"/>
        </w:trPr>
        <w:tc>
          <w:tcPr>
            <w:tcW w:w="1711" w:type="dxa"/>
            <w:vMerge/>
            <w:tcBorders>
              <w:left w:val="nil"/>
              <w:bottom w:val="nil"/>
              <w:right w:val="nil"/>
            </w:tcBorders>
            <w:shd w:val="clear" w:color="auto" w:fill="auto"/>
            <w:vAlign w:val="center"/>
          </w:tcPr>
          <w:p w14:paraId="132A206E"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522ACD57" w14:textId="4BB88001"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Western Europe</w:t>
            </w:r>
          </w:p>
        </w:tc>
        <w:tc>
          <w:tcPr>
            <w:tcW w:w="893" w:type="dxa"/>
            <w:tcBorders>
              <w:top w:val="nil"/>
              <w:left w:val="nil"/>
              <w:bottom w:val="nil"/>
              <w:right w:val="nil"/>
            </w:tcBorders>
            <w:shd w:val="clear" w:color="auto" w:fill="auto"/>
            <w:vAlign w:val="bottom"/>
          </w:tcPr>
          <w:p w14:paraId="597386DF" w14:textId="001380A8" w:rsidR="00C04064" w:rsidRPr="00061491" w:rsidRDefault="00C04064" w:rsidP="00C04064">
            <w:pPr>
              <w:contextualSpacing/>
              <w:jc w:val="center"/>
            </w:pPr>
            <w:r>
              <w:rPr>
                <w:rFonts w:ascii="Calibri" w:hAnsi="Calibri" w:cs="Calibri"/>
                <w:color w:val="000000"/>
              </w:rPr>
              <w:t>0.97</w:t>
            </w:r>
          </w:p>
        </w:tc>
        <w:tc>
          <w:tcPr>
            <w:tcW w:w="940" w:type="dxa"/>
            <w:tcBorders>
              <w:top w:val="nil"/>
              <w:left w:val="nil"/>
              <w:bottom w:val="nil"/>
              <w:right w:val="nil"/>
            </w:tcBorders>
            <w:shd w:val="clear" w:color="auto" w:fill="auto"/>
            <w:noWrap/>
            <w:vAlign w:val="bottom"/>
          </w:tcPr>
          <w:p w14:paraId="400A031C" w14:textId="073B5BCA" w:rsidR="00C04064" w:rsidRPr="00061491" w:rsidRDefault="00C04064" w:rsidP="00C04064">
            <w:pPr>
              <w:contextualSpacing/>
              <w:jc w:val="right"/>
            </w:pPr>
            <w:r>
              <w:rPr>
                <w:rFonts w:ascii="Calibri" w:hAnsi="Calibri" w:cs="Calibri"/>
                <w:color w:val="000000"/>
              </w:rPr>
              <w:t>5,268</w:t>
            </w:r>
          </w:p>
        </w:tc>
        <w:tc>
          <w:tcPr>
            <w:tcW w:w="851" w:type="dxa"/>
            <w:tcBorders>
              <w:top w:val="nil"/>
              <w:left w:val="nil"/>
              <w:bottom w:val="nil"/>
              <w:right w:val="nil"/>
            </w:tcBorders>
            <w:shd w:val="clear" w:color="auto" w:fill="auto"/>
            <w:vAlign w:val="bottom"/>
          </w:tcPr>
          <w:p w14:paraId="5B262ACD" w14:textId="0B3D150D" w:rsidR="00C04064" w:rsidRPr="00061491" w:rsidRDefault="00C04064" w:rsidP="00C04064">
            <w:pPr>
              <w:contextualSpacing/>
            </w:pPr>
            <w:r>
              <w:rPr>
                <w:rFonts w:ascii="Calibri" w:hAnsi="Calibri" w:cs="Calibri"/>
                <w:color w:val="000000"/>
              </w:rPr>
              <w:t>(2.3)</w:t>
            </w:r>
          </w:p>
        </w:tc>
        <w:tc>
          <w:tcPr>
            <w:tcW w:w="992" w:type="dxa"/>
            <w:tcBorders>
              <w:top w:val="nil"/>
              <w:left w:val="nil"/>
              <w:bottom w:val="nil"/>
              <w:right w:val="nil"/>
            </w:tcBorders>
            <w:shd w:val="clear" w:color="auto" w:fill="auto"/>
            <w:noWrap/>
            <w:vAlign w:val="bottom"/>
          </w:tcPr>
          <w:p w14:paraId="6244EE4F" w14:textId="415D4B7D" w:rsidR="00C04064" w:rsidRPr="00061491" w:rsidRDefault="00C04064" w:rsidP="00C04064">
            <w:pPr>
              <w:contextualSpacing/>
              <w:jc w:val="right"/>
            </w:pPr>
            <w:r>
              <w:rPr>
                <w:rFonts w:ascii="Calibri" w:hAnsi="Calibri" w:cs="Calibri"/>
                <w:color w:val="000000"/>
              </w:rPr>
              <w:t>4,596</w:t>
            </w:r>
          </w:p>
        </w:tc>
        <w:tc>
          <w:tcPr>
            <w:tcW w:w="851" w:type="dxa"/>
            <w:tcBorders>
              <w:top w:val="nil"/>
              <w:left w:val="nil"/>
              <w:bottom w:val="nil"/>
              <w:right w:val="nil"/>
            </w:tcBorders>
            <w:shd w:val="clear" w:color="auto" w:fill="auto"/>
            <w:vAlign w:val="bottom"/>
          </w:tcPr>
          <w:p w14:paraId="097745DD" w14:textId="3325D1CC" w:rsidR="00C04064" w:rsidRPr="00061491" w:rsidRDefault="00C04064" w:rsidP="00C04064">
            <w:pPr>
              <w:contextualSpacing/>
            </w:pPr>
            <w:r>
              <w:rPr>
                <w:rFonts w:ascii="Calibri" w:hAnsi="Calibri" w:cs="Calibri"/>
                <w:color w:val="000000"/>
              </w:rPr>
              <w:t>(3.0)</w:t>
            </w:r>
          </w:p>
        </w:tc>
        <w:tc>
          <w:tcPr>
            <w:tcW w:w="992" w:type="dxa"/>
            <w:tcBorders>
              <w:top w:val="nil"/>
              <w:left w:val="nil"/>
              <w:bottom w:val="nil"/>
              <w:right w:val="nil"/>
            </w:tcBorders>
            <w:shd w:val="clear" w:color="auto" w:fill="auto"/>
            <w:noWrap/>
            <w:vAlign w:val="bottom"/>
          </w:tcPr>
          <w:p w14:paraId="3FBFD7BF" w14:textId="4CEE4923" w:rsidR="00C04064" w:rsidRPr="00061491" w:rsidRDefault="00C04064" w:rsidP="00C04064">
            <w:pPr>
              <w:contextualSpacing/>
              <w:jc w:val="right"/>
            </w:pPr>
            <w:r>
              <w:rPr>
                <w:rFonts w:ascii="Calibri" w:hAnsi="Calibri" w:cs="Calibri"/>
                <w:color w:val="000000"/>
              </w:rPr>
              <w:t>-673</w:t>
            </w:r>
          </w:p>
        </w:tc>
        <w:tc>
          <w:tcPr>
            <w:tcW w:w="851" w:type="dxa"/>
            <w:tcBorders>
              <w:top w:val="nil"/>
              <w:left w:val="nil"/>
              <w:bottom w:val="nil"/>
              <w:right w:val="nil"/>
            </w:tcBorders>
            <w:shd w:val="clear" w:color="auto" w:fill="auto"/>
            <w:noWrap/>
            <w:vAlign w:val="bottom"/>
          </w:tcPr>
          <w:p w14:paraId="3DC49786" w14:textId="6C78AF3C" w:rsidR="00C04064" w:rsidRPr="00061491" w:rsidRDefault="00C04064" w:rsidP="00C04064">
            <w:pPr>
              <w:contextualSpacing/>
            </w:pPr>
            <w:r>
              <w:rPr>
                <w:rFonts w:ascii="Calibri" w:hAnsi="Calibri" w:cs="Calibri"/>
                <w:color w:val="000000"/>
              </w:rPr>
              <w:t>(-12.8)</w:t>
            </w:r>
          </w:p>
        </w:tc>
      </w:tr>
      <w:tr w:rsidR="00C04064" w:rsidRPr="00061491" w14:paraId="600A5DB9" w14:textId="77777777" w:rsidTr="00725723">
        <w:trPr>
          <w:cantSplit/>
          <w:trHeight w:val="283"/>
          <w:jc w:val="center"/>
        </w:trPr>
        <w:tc>
          <w:tcPr>
            <w:tcW w:w="1711" w:type="dxa"/>
            <w:tcBorders>
              <w:top w:val="nil"/>
              <w:left w:val="nil"/>
              <w:right w:val="nil"/>
            </w:tcBorders>
            <w:shd w:val="clear" w:color="auto" w:fill="auto"/>
            <w:textDirection w:val="btLr"/>
            <w:vAlign w:val="center"/>
          </w:tcPr>
          <w:p w14:paraId="23FBF39B" w14:textId="77777777" w:rsidR="00C04064" w:rsidRPr="00061491" w:rsidRDefault="00C04064" w:rsidP="00C04064">
            <w:pPr>
              <w:spacing w:after="0" w:line="240" w:lineRule="auto"/>
              <w:ind w:left="113" w:right="113"/>
              <w:jc w:val="center"/>
              <w:rPr>
                <w:rFonts w:eastAsia="Times New Roman" w:cstheme="minorHAnsi"/>
                <w:color w:val="000000"/>
                <w:lang w:eastAsia="en-GB"/>
              </w:rPr>
            </w:pPr>
          </w:p>
        </w:tc>
        <w:tc>
          <w:tcPr>
            <w:tcW w:w="2835" w:type="dxa"/>
            <w:tcBorders>
              <w:top w:val="nil"/>
              <w:left w:val="nil"/>
              <w:right w:val="nil"/>
            </w:tcBorders>
            <w:shd w:val="clear" w:color="auto" w:fill="auto"/>
            <w:noWrap/>
            <w:vAlign w:val="center"/>
          </w:tcPr>
          <w:p w14:paraId="13BD39A8" w14:textId="77777777" w:rsidR="00C04064" w:rsidRPr="00061491" w:rsidRDefault="00C04064" w:rsidP="00C04064">
            <w:pPr>
              <w:spacing w:after="0" w:line="240" w:lineRule="auto"/>
              <w:jc w:val="center"/>
              <w:rPr>
                <w:rFonts w:eastAsia="Times New Roman" w:cstheme="minorHAnsi"/>
                <w:color w:val="000000"/>
                <w:lang w:eastAsia="en-GB"/>
              </w:rPr>
            </w:pPr>
          </w:p>
        </w:tc>
        <w:tc>
          <w:tcPr>
            <w:tcW w:w="893" w:type="dxa"/>
            <w:tcBorders>
              <w:left w:val="nil"/>
              <w:right w:val="nil"/>
            </w:tcBorders>
            <w:vAlign w:val="center"/>
          </w:tcPr>
          <w:p w14:paraId="54334695" w14:textId="7BCB04B4" w:rsidR="00C04064" w:rsidRPr="00061491" w:rsidRDefault="00C04064" w:rsidP="00C04064">
            <w:pPr>
              <w:contextualSpacing/>
              <w:jc w:val="center"/>
            </w:pPr>
          </w:p>
        </w:tc>
        <w:tc>
          <w:tcPr>
            <w:tcW w:w="940" w:type="dxa"/>
            <w:tcBorders>
              <w:top w:val="nil"/>
              <w:left w:val="nil"/>
              <w:right w:val="nil"/>
            </w:tcBorders>
            <w:shd w:val="clear" w:color="auto" w:fill="auto"/>
            <w:noWrap/>
            <w:vAlign w:val="center"/>
          </w:tcPr>
          <w:p w14:paraId="4E27A8B5" w14:textId="77777777" w:rsidR="00C04064" w:rsidRPr="00061491" w:rsidRDefault="00C04064" w:rsidP="00C04064">
            <w:pPr>
              <w:contextualSpacing/>
              <w:jc w:val="right"/>
            </w:pPr>
          </w:p>
        </w:tc>
        <w:tc>
          <w:tcPr>
            <w:tcW w:w="851" w:type="dxa"/>
            <w:tcBorders>
              <w:top w:val="nil"/>
              <w:left w:val="nil"/>
              <w:right w:val="nil"/>
            </w:tcBorders>
            <w:shd w:val="clear" w:color="auto" w:fill="auto"/>
            <w:vAlign w:val="center"/>
          </w:tcPr>
          <w:p w14:paraId="627FF4C7" w14:textId="77777777" w:rsidR="00C04064" w:rsidRPr="00061491" w:rsidRDefault="00C04064" w:rsidP="00C04064">
            <w:pPr>
              <w:contextualSpacing/>
            </w:pPr>
          </w:p>
        </w:tc>
        <w:tc>
          <w:tcPr>
            <w:tcW w:w="992" w:type="dxa"/>
            <w:tcBorders>
              <w:top w:val="nil"/>
              <w:left w:val="nil"/>
              <w:right w:val="nil"/>
            </w:tcBorders>
            <w:shd w:val="clear" w:color="auto" w:fill="auto"/>
            <w:noWrap/>
            <w:vAlign w:val="center"/>
          </w:tcPr>
          <w:p w14:paraId="61DE6C01" w14:textId="77777777" w:rsidR="00C04064" w:rsidRPr="00061491" w:rsidRDefault="00C04064" w:rsidP="00C04064">
            <w:pPr>
              <w:contextualSpacing/>
              <w:jc w:val="right"/>
            </w:pPr>
          </w:p>
        </w:tc>
        <w:tc>
          <w:tcPr>
            <w:tcW w:w="851" w:type="dxa"/>
            <w:tcBorders>
              <w:top w:val="nil"/>
              <w:left w:val="nil"/>
              <w:right w:val="nil"/>
            </w:tcBorders>
            <w:shd w:val="clear" w:color="auto" w:fill="auto"/>
            <w:vAlign w:val="center"/>
          </w:tcPr>
          <w:p w14:paraId="2CE249EA" w14:textId="77777777" w:rsidR="00C04064" w:rsidRPr="00061491" w:rsidRDefault="00C04064" w:rsidP="00C04064">
            <w:pPr>
              <w:contextualSpacing/>
            </w:pPr>
          </w:p>
        </w:tc>
        <w:tc>
          <w:tcPr>
            <w:tcW w:w="992" w:type="dxa"/>
            <w:tcBorders>
              <w:top w:val="nil"/>
              <w:left w:val="nil"/>
              <w:right w:val="nil"/>
            </w:tcBorders>
            <w:shd w:val="clear" w:color="auto" w:fill="auto"/>
            <w:noWrap/>
            <w:vAlign w:val="center"/>
          </w:tcPr>
          <w:p w14:paraId="003A70E6" w14:textId="77777777" w:rsidR="00C04064" w:rsidRPr="00061491" w:rsidRDefault="00C04064" w:rsidP="00C04064">
            <w:pPr>
              <w:contextualSpacing/>
              <w:jc w:val="right"/>
            </w:pPr>
          </w:p>
        </w:tc>
        <w:tc>
          <w:tcPr>
            <w:tcW w:w="851" w:type="dxa"/>
            <w:tcBorders>
              <w:top w:val="nil"/>
              <w:left w:val="nil"/>
              <w:right w:val="nil"/>
            </w:tcBorders>
            <w:shd w:val="clear" w:color="auto" w:fill="auto"/>
            <w:noWrap/>
            <w:vAlign w:val="center"/>
          </w:tcPr>
          <w:p w14:paraId="5D09E7B1" w14:textId="77777777" w:rsidR="00C04064" w:rsidRPr="00061491" w:rsidRDefault="00C04064" w:rsidP="00C04064">
            <w:pPr>
              <w:contextualSpacing/>
            </w:pPr>
          </w:p>
        </w:tc>
      </w:tr>
      <w:tr w:rsidR="00C04064" w:rsidRPr="00061491" w14:paraId="7408A36A" w14:textId="77777777" w:rsidTr="00BC211D">
        <w:trPr>
          <w:cantSplit/>
          <w:trHeight w:val="283"/>
          <w:jc w:val="center"/>
        </w:trPr>
        <w:tc>
          <w:tcPr>
            <w:tcW w:w="1711" w:type="dxa"/>
            <w:vMerge w:val="restart"/>
            <w:tcBorders>
              <w:top w:val="nil"/>
              <w:left w:val="nil"/>
              <w:right w:val="nil"/>
            </w:tcBorders>
            <w:shd w:val="clear" w:color="auto" w:fill="auto"/>
          </w:tcPr>
          <w:p w14:paraId="08BA6411" w14:textId="64CB4D58" w:rsidR="00C04064" w:rsidRPr="00061491" w:rsidRDefault="00C04064" w:rsidP="00EE3C40">
            <w:pPr>
              <w:spacing w:after="0" w:line="240" w:lineRule="auto"/>
              <w:jc w:val="center"/>
              <w:rPr>
                <w:rFonts w:eastAsia="Times New Roman" w:cstheme="minorHAnsi"/>
                <w:color w:val="000000"/>
                <w:lang w:eastAsia="en-GB"/>
              </w:rPr>
            </w:pPr>
            <w:r w:rsidRPr="00061491">
              <w:rPr>
                <w:rFonts w:eastAsia="Times New Roman" w:cstheme="minorHAnsi"/>
                <w:color w:val="000000"/>
                <w:lang w:eastAsia="en-GB"/>
              </w:rPr>
              <w:t xml:space="preserve">Human Development </w:t>
            </w:r>
            <w:r>
              <w:rPr>
                <w:rFonts w:eastAsia="Times New Roman" w:cstheme="minorHAnsi"/>
                <w:color w:val="000000"/>
                <w:lang w:eastAsia="en-GB"/>
              </w:rPr>
              <w:t>Index</w:t>
            </w:r>
          </w:p>
        </w:tc>
        <w:tc>
          <w:tcPr>
            <w:tcW w:w="2835" w:type="dxa"/>
            <w:tcBorders>
              <w:top w:val="nil"/>
              <w:left w:val="nil"/>
              <w:bottom w:val="nil"/>
              <w:right w:val="nil"/>
            </w:tcBorders>
            <w:shd w:val="clear" w:color="auto" w:fill="auto"/>
            <w:noWrap/>
            <w:vAlign w:val="bottom"/>
          </w:tcPr>
          <w:p w14:paraId="719D9C31" w14:textId="315EEE58"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Medium</w:t>
            </w:r>
          </w:p>
        </w:tc>
        <w:tc>
          <w:tcPr>
            <w:tcW w:w="893" w:type="dxa"/>
            <w:tcBorders>
              <w:top w:val="nil"/>
              <w:left w:val="nil"/>
              <w:bottom w:val="nil"/>
              <w:right w:val="nil"/>
            </w:tcBorders>
            <w:shd w:val="clear" w:color="auto" w:fill="auto"/>
            <w:vAlign w:val="bottom"/>
          </w:tcPr>
          <w:p w14:paraId="6883ED87" w14:textId="21EA6EF3" w:rsidR="00C04064" w:rsidRPr="00061491" w:rsidRDefault="00C04064" w:rsidP="00C04064">
            <w:pPr>
              <w:contextualSpacing/>
              <w:jc w:val="center"/>
            </w:pPr>
            <w:r>
              <w:rPr>
                <w:rFonts w:ascii="Calibri" w:hAnsi="Calibri" w:cs="Calibri"/>
                <w:color w:val="000000"/>
              </w:rPr>
              <w:t>34.65</w:t>
            </w:r>
          </w:p>
        </w:tc>
        <w:tc>
          <w:tcPr>
            <w:tcW w:w="940" w:type="dxa"/>
            <w:tcBorders>
              <w:top w:val="nil"/>
              <w:left w:val="nil"/>
              <w:bottom w:val="nil"/>
              <w:right w:val="nil"/>
            </w:tcBorders>
            <w:shd w:val="clear" w:color="auto" w:fill="auto"/>
            <w:noWrap/>
            <w:vAlign w:val="bottom"/>
          </w:tcPr>
          <w:p w14:paraId="283C4CFB" w14:textId="39AF36F8" w:rsidR="00C04064" w:rsidRPr="00061491" w:rsidRDefault="00C04064" w:rsidP="00C04064">
            <w:pPr>
              <w:contextualSpacing/>
              <w:jc w:val="right"/>
            </w:pPr>
            <w:r>
              <w:rPr>
                <w:rFonts w:ascii="Calibri" w:hAnsi="Calibri" w:cs="Calibri"/>
                <w:color w:val="000000"/>
              </w:rPr>
              <w:t>207,782</w:t>
            </w:r>
          </w:p>
        </w:tc>
        <w:tc>
          <w:tcPr>
            <w:tcW w:w="851" w:type="dxa"/>
            <w:tcBorders>
              <w:top w:val="nil"/>
              <w:left w:val="nil"/>
              <w:bottom w:val="nil"/>
              <w:right w:val="nil"/>
            </w:tcBorders>
            <w:shd w:val="clear" w:color="auto" w:fill="auto"/>
            <w:vAlign w:val="bottom"/>
          </w:tcPr>
          <w:p w14:paraId="2C61F31B" w14:textId="11DCA801" w:rsidR="00C04064" w:rsidRPr="00061491" w:rsidRDefault="00C04064" w:rsidP="00C04064">
            <w:pPr>
              <w:contextualSpacing/>
            </w:pPr>
            <w:r>
              <w:rPr>
                <w:rFonts w:ascii="Calibri" w:hAnsi="Calibri" w:cs="Calibri"/>
                <w:color w:val="000000"/>
              </w:rPr>
              <w:t>(44.8)</w:t>
            </w:r>
          </w:p>
        </w:tc>
        <w:tc>
          <w:tcPr>
            <w:tcW w:w="992" w:type="dxa"/>
            <w:tcBorders>
              <w:top w:val="nil"/>
              <w:left w:val="nil"/>
              <w:bottom w:val="nil"/>
              <w:right w:val="nil"/>
            </w:tcBorders>
            <w:shd w:val="clear" w:color="auto" w:fill="auto"/>
            <w:noWrap/>
            <w:vAlign w:val="bottom"/>
          </w:tcPr>
          <w:p w14:paraId="44B815F2" w14:textId="5925F505" w:rsidR="00C04064" w:rsidRPr="00061491" w:rsidRDefault="00C04064" w:rsidP="00C04064">
            <w:pPr>
              <w:contextualSpacing/>
              <w:jc w:val="right"/>
            </w:pPr>
            <w:r>
              <w:rPr>
                <w:rFonts w:ascii="Calibri" w:hAnsi="Calibri" w:cs="Calibri"/>
                <w:color w:val="000000"/>
              </w:rPr>
              <w:t>111,218</w:t>
            </w:r>
          </w:p>
        </w:tc>
        <w:tc>
          <w:tcPr>
            <w:tcW w:w="851" w:type="dxa"/>
            <w:tcBorders>
              <w:top w:val="nil"/>
              <w:left w:val="nil"/>
              <w:bottom w:val="nil"/>
              <w:right w:val="nil"/>
            </w:tcBorders>
            <w:shd w:val="clear" w:color="auto" w:fill="auto"/>
            <w:vAlign w:val="bottom"/>
          </w:tcPr>
          <w:p w14:paraId="652EB529" w14:textId="2035A5AC" w:rsidR="00C04064" w:rsidRPr="00061491" w:rsidRDefault="00C04064" w:rsidP="00C04064">
            <w:pPr>
              <w:contextualSpacing/>
            </w:pPr>
            <w:r>
              <w:rPr>
                <w:rFonts w:ascii="Calibri" w:hAnsi="Calibri" w:cs="Calibri"/>
                <w:color w:val="000000"/>
              </w:rPr>
              <w:t>(36.7)</w:t>
            </w:r>
          </w:p>
        </w:tc>
        <w:tc>
          <w:tcPr>
            <w:tcW w:w="992" w:type="dxa"/>
            <w:tcBorders>
              <w:top w:val="nil"/>
              <w:left w:val="nil"/>
              <w:bottom w:val="nil"/>
              <w:right w:val="nil"/>
            </w:tcBorders>
            <w:shd w:val="clear" w:color="auto" w:fill="auto"/>
            <w:noWrap/>
            <w:vAlign w:val="bottom"/>
          </w:tcPr>
          <w:p w14:paraId="4BE8D457" w14:textId="45217DB1" w:rsidR="00C04064" w:rsidRPr="00061491" w:rsidRDefault="00C04064" w:rsidP="00C04064">
            <w:pPr>
              <w:contextualSpacing/>
              <w:jc w:val="right"/>
            </w:pPr>
            <w:r>
              <w:rPr>
                <w:rFonts w:ascii="Calibri" w:hAnsi="Calibri" w:cs="Calibri"/>
                <w:color w:val="000000"/>
              </w:rPr>
              <w:t>-96,563</w:t>
            </w:r>
          </w:p>
        </w:tc>
        <w:tc>
          <w:tcPr>
            <w:tcW w:w="851" w:type="dxa"/>
            <w:tcBorders>
              <w:top w:val="nil"/>
              <w:left w:val="nil"/>
              <w:bottom w:val="nil"/>
              <w:right w:val="nil"/>
            </w:tcBorders>
            <w:shd w:val="clear" w:color="auto" w:fill="auto"/>
            <w:noWrap/>
            <w:vAlign w:val="bottom"/>
          </w:tcPr>
          <w:p w14:paraId="3E26DD68" w14:textId="30DFD0B5" w:rsidR="00C04064" w:rsidRPr="00061491" w:rsidRDefault="00C04064" w:rsidP="00C04064">
            <w:pPr>
              <w:contextualSpacing/>
            </w:pPr>
            <w:r>
              <w:rPr>
                <w:rFonts w:ascii="Calibri" w:hAnsi="Calibri" w:cs="Calibri"/>
                <w:color w:val="000000"/>
              </w:rPr>
              <w:t>(-46.5)</w:t>
            </w:r>
          </w:p>
        </w:tc>
      </w:tr>
      <w:tr w:rsidR="00C04064" w:rsidRPr="00061491" w14:paraId="12618719" w14:textId="77777777" w:rsidTr="00BC211D">
        <w:trPr>
          <w:cantSplit/>
          <w:trHeight w:val="283"/>
          <w:jc w:val="center"/>
        </w:trPr>
        <w:tc>
          <w:tcPr>
            <w:tcW w:w="1711" w:type="dxa"/>
            <w:vMerge/>
            <w:tcBorders>
              <w:left w:val="nil"/>
              <w:right w:val="nil"/>
            </w:tcBorders>
            <w:shd w:val="clear" w:color="auto" w:fill="auto"/>
            <w:vAlign w:val="center"/>
          </w:tcPr>
          <w:p w14:paraId="0A720209"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52C4D5BB" w14:textId="15568EB1"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Low</w:t>
            </w:r>
          </w:p>
        </w:tc>
        <w:tc>
          <w:tcPr>
            <w:tcW w:w="893" w:type="dxa"/>
            <w:tcBorders>
              <w:top w:val="nil"/>
              <w:left w:val="nil"/>
              <w:bottom w:val="nil"/>
              <w:right w:val="nil"/>
            </w:tcBorders>
            <w:shd w:val="clear" w:color="auto" w:fill="auto"/>
            <w:vAlign w:val="bottom"/>
          </w:tcPr>
          <w:p w14:paraId="439355F9" w14:textId="34ACD519" w:rsidR="00C04064" w:rsidRPr="00061491" w:rsidRDefault="00C04064" w:rsidP="00C04064">
            <w:pPr>
              <w:contextualSpacing/>
              <w:jc w:val="center"/>
            </w:pPr>
            <w:r>
              <w:rPr>
                <w:rFonts w:ascii="Calibri" w:hAnsi="Calibri" w:cs="Calibri"/>
                <w:color w:val="000000"/>
              </w:rPr>
              <w:t>32.44</w:t>
            </w:r>
          </w:p>
        </w:tc>
        <w:tc>
          <w:tcPr>
            <w:tcW w:w="940" w:type="dxa"/>
            <w:tcBorders>
              <w:top w:val="nil"/>
              <w:left w:val="nil"/>
              <w:bottom w:val="nil"/>
              <w:right w:val="nil"/>
            </w:tcBorders>
            <w:shd w:val="clear" w:color="auto" w:fill="auto"/>
            <w:noWrap/>
            <w:vAlign w:val="bottom"/>
          </w:tcPr>
          <w:p w14:paraId="0655FDE3" w14:textId="6577EDC8" w:rsidR="00C04064" w:rsidRPr="00061491" w:rsidRDefault="00C04064" w:rsidP="00C04064">
            <w:pPr>
              <w:contextualSpacing/>
              <w:jc w:val="right"/>
            </w:pPr>
            <w:r>
              <w:rPr>
                <w:rFonts w:ascii="Calibri" w:hAnsi="Calibri" w:cs="Calibri"/>
                <w:color w:val="000000"/>
              </w:rPr>
              <w:t>19,238</w:t>
            </w:r>
          </w:p>
        </w:tc>
        <w:tc>
          <w:tcPr>
            <w:tcW w:w="851" w:type="dxa"/>
            <w:tcBorders>
              <w:top w:val="nil"/>
              <w:left w:val="nil"/>
              <w:bottom w:val="nil"/>
              <w:right w:val="nil"/>
            </w:tcBorders>
            <w:shd w:val="clear" w:color="auto" w:fill="auto"/>
            <w:vAlign w:val="bottom"/>
          </w:tcPr>
          <w:p w14:paraId="2BF9AB6F" w14:textId="44E9F95B" w:rsidR="00C04064" w:rsidRPr="00061491" w:rsidRDefault="00C04064" w:rsidP="00C04064">
            <w:pPr>
              <w:contextualSpacing/>
            </w:pPr>
            <w:r>
              <w:rPr>
                <w:rFonts w:ascii="Calibri" w:hAnsi="Calibri" w:cs="Calibri"/>
                <w:color w:val="000000"/>
              </w:rPr>
              <w:t>(4.1)</w:t>
            </w:r>
          </w:p>
        </w:tc>
        <w:tc>
          <w:tcPr>
            <w:tcW w:w="992" w:type="dxa"/>
            <w:tcBorders>
              <w:top w:val="nil"/>
              <w:left w:val="nil"/>
              <w:bottom w:val="nil"/>
              <w:right w:val="nil"/>
            </w:tcBorders>
            <w:shd w:val="clear" w:color="auto" w:fill="auto"/>
            <w:noWrap/>
            <w:vAlign w:val="bottom"/>
          </w:tcPr>
          <w:p w14:paraId="24327D1E" w14:textId="5F1000E2" w:rsidR="00C04064" w:rsidRPr="00061491" w:rsidRDefault="00C04064" w:rsidP="00C04064">
            <w:pPr>
              <w:contextualSpacing/>
              <w:jc w:val="right"/>
            </w:pPr>
            <w:r>
              <w:rPr>
                <w:rFonts w:ascii="Calibri" w:hAnsi="Calibri" w:cs="Calibri"/>
                <w:color w:val="000000"/>
              </w:rPr>
              <w:t>12,310</w:t>
            </w:r>
          </w:p>
        </w:tc>
        <w:tc>
          <w:tcPr>
            <w:tcW w:w="851" w:type="dxa"/>
            <w:tcBorders>
              <w:top w:val="nil"/>
              <w:left w:val="nil"/>
              <w:bottom w:val="nil"/>
              <w:right w:val="nil"/>
            </w:tcBorders>
            <w:shd w:val="clear" w:color="auto" w:fill="auto"/>
            <w:vAlign w:val="bottom"/>
          </w:tcPr>
          <w:p w14:paraId="3FF6BFCA" w14:textId="03FEBC5E" w:rsidR="00C04064" w:rsidRPr="00061491" w:rsidRDefault="00C04064" w:rsidP="00C04064">
            <w:pPr>
              <w:contextualSpacing/>
            </w:pPr>
            <w:r>
              <w:rPr>
                <w:rFonts w:ascii="Calibri" w:hAnsi="Calibri" w:cs="Calibri"/>
                <w:color w:val="000000"/>
              </w:rPr>
              <w:t>(4.1)</w:t>
            </w:r>
          </w:p>
        </w:tc>
        <w:tc>
          <w:tcPr>
            <w:tcW w:w="992" w:type="dxa"/>
            <w:tcBorders>
              <w:top w:val="nil"/>
              <w:left w:val="nil"/>
              <w:bottom w:val="nil"/>
              <w:right w:val="nil"/>
            </w:tcBorders>
            <w:shd w:val="clear" w:color="auto" w:fill="auto"/>
            <w:noWrap/>
            <w:vAlign w:val="bottom"/>
          </w:tcPr>
          <w:p w14:paraId="782884B1" w14:textId="5E8D0297" w:rsidR="00C04064" w:rsidRPr="00061491" w:rsidRDefault="00C04064" w:rsidP="00C04064">
            <w:pPr>
              <w:contextualSpacing/>
              <w:jc w:val="right"/>
            </w:pPr>
            <w:r>
              <w:rPr>
                <w:rFonts w:ascii="Calibri" w:hAnsi="Calibri" w:cs="Calibri"/>
                <w:color w:val="000000"/>
              </w:rPr>
              <w:t>-6,928</w:t>
            </w:r>
          </w:p>
        </w:tc>
        <w:tc>
          <w:tcPr>
            <w:tcW w:w="851" w:type="dxa"/>
            <w:tcBorders>
              <w:top w:val="nil"/>
              <w:left w:val="nil"/>
              <w:bottom w:val="nil"/>
              <w:right w:val="nil"/>
            </w:tcBorders>
            <w:shd w:val="clear" w:color="auto" w:fill="auto"/>
            <w:noWrap/>
            <w:vAlign w:val="bottom"/>
          </w:tcPr>
          <w:p w14:paraId="4577721C" w14:textId="62A94DA5" w:rsidR="00C04064" w:rsidRPr="00061491" w:rsidRDefault="00C04064" w:rsidP="00C04064">
            <w:pPr>
              <w:contextualSpacing/>
            </w:pPr>
            <w:r>
              <w:rPr>
                <w:rFonts w:ascii="Calibri" w:hAnsi="Calibri" w:cs="Calibri"/>
                <w:color w:val="000000"/>
              </w:rPr>
              <w:t>(-36)</w:t>
            </w:r>
          </w:p>
        </w:tc>
      </w:tr>
      <w:tr w:rsidR="00C04064" w:rsidRPr="00061491" w14:paraId="415E571F" w14:textId="77777777" w:rsidTr="00BC211D">
        <w:trPr>
          <w:cantSplit/>
          <w:trHeight w:val="283"/>
          <w:jc w:val="center"/>
        </w:trPr>
        <w:tc>
          <w:tcPr>
            <w:tcW w:w="1711" w:type="dxa"/>
            <w:vMerge/>
            <w:tcBorders>
              <w:left w:val="nil"/>
              <w:right w:val="nil"/>
            </w:tcBorders>
            <w:shd w:val="clear" w:color="auto" w:fill="auto"/>
            <w:vAlign w:val="center"/>
          </w:tcPr>
          <w:p w14:paraId="42888547"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nil"/>
              <w:right w:val="nil"/>
            </w:tcBorders>
            <w:shd w:val="clear" w:color="auto" w:fill="auto"/>
            <w:noWrap/>
            <w:vAlign w:val="bottom"/>
          </w:tcPr>
          <w:p w14:paraId="0A6DBB4E" w14:textId="14149746"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High</w:t>
            </w:r>
          </w:p>
        </w:tc>
        <w:tc>
          <w:tcPr>
            <w:tcW w:w="893" w:type="dxa"/>
            <w:tcBorders>
              <w:top w:val="nil"/>
              <w:left w:val="nil"/>
              <w:bottom w:val="nil"/>
              <w:right w:val="nil"/>
            </w:tcBorders>
            <w:shd w:val="clear" w:color="auto" w:fill="auto"/>
            <w:vAlign w:val="bottom"/>
          </w:tcPr>
          <w:p w14:paraId="4980AC47" w14:textId="74FC1438" w:rsidR="00C04064" w:rsidRPr="00061491" w:rsidRDefault="00C04064" w:rsidP="00C04064">
            <w:pPr>
              <w:contextualSpacing/>
              <w:jc w:val="center"/>
            </w:pPr>
            <w:r>
              <w:rPr>
                <w:rFonts w:ascii="Calibri" w:hAnsi="Calibri" w:cs="Calibri"/>
                <w:color w:val="000000"/>
              </w:rPr>
              <w:t>28.19</w:t>
            </w:r>
          </w:p>
        </w:tc>
        <w:tc>
          <w:tcPr>
            <w:tcW w:w="940" w:type="dxa"/>
            <w:tcBorders>
              <w:top w:val="nil"/>
              <w:left w:val="nil"/>
              <w:bottom w:val="nil"/>
              <w:right w:val="nil"/>
            </w:tcBorders>
            <w:shd w:val="clear" w:color="auto" w:fill="auto"/>
            <w:noWrap/>
            <w:vAlign w:val="bottom"/>
          </w:tcPr>
          <w:p w14:paraId="685E0073" w14:textId="05A0A69A" w:rsidR="00C04064" w:rsidRPr="00061491" w:rsidRDefault="00C04064" w:rsidP="00C04064">
            <w:pPr>
              <w:contextualSpacing/>
              <w:jc w:val="right"/>
            </w:pPr>
            <w:r>
              <w:rPr>
                <w:rFonts w:ascii="Calibri" w:hAnsi="Calibri" w:cs="Calibri"/>
                <w:color w:val="000000"/>
              </w:rPr>
              <w:t>158,079</w:t>
            </w:r>
          </w:p>
        </w:tc>
        <w:tc>
          <w:tcPr>
            <w:tcW w:w="851" w:type="dxa"/>
            <w:tcBorders>
              <w:top w:val="nil"/>
              <w:left w:val="nil"/>
              <w:bottom w:val="nil"/>
              <w:right w:val="nil"/>
            </w:tcBorders>
            <w:shd w:val="clear" w:color="auto" w:fill="auto"/>
            <w:vAlign w:val="bottom"/>
          </w:tcPr>
          <w:p w14:paraId="794421C0" w14:textId="7F2417F7" w:rsidR="00C04064" w:rsidRPr="00061491" w:rsidRDefault="00C04064" w:rsidP="00C04064">
            <w:pPr>
              <w:contextualSpacing/>
            </w:pPr>
            <w:r>
              <w:rPr>
                <w:rFonts w:ascii="Calibri" w:hAnsi="Calibri" w:cs="Calibri"/>
                <w:color w:val="000000"/>
              </w:rPr>
              <w:t>(34.1)</w:t>
            </w:r>
          </w:p>
        </w:tc>
        <w:tc>
          <w:tcPr>
            <w:tcW w:w="992" w:type="dxa"/>
            <w:tcBorders>
              <w:top w:val="nil"/>
              <w:left w:val="nil"/>
              <w:bottom w:val="nil"/>
              <w:right w:val="nil"/>
            </w:tcBorders>
            <w:shd w:val="clear" w:color="auto" w:fill="auto"/>
            <w:noWrap/>
            <w:vAlign w:val="bottom"/>
          </w:tcPr>
          <w:p w14:paraId="45CFCB1F" w14:textId="26B85D83" w:rsidR="00C04064" w:rsidRPr="00061491" w:rsidRDefault="00C04064" w:rsidP="00C04064">
            <w:pPr>
              <w:contextualSpacing/>
              <w:jc w:val="right"/>
            </w:pPr>
            <w:r>
              <w:rPr>
                <w:rFonts w:ascii="Calibri" w:hAnsi="Calibri" w:cs="Calibri"/>
                <w:color w:val="000000"/>
              </w:rPr>
              <w:t>113,909</w:t>
            </w:r>
          </w:p>
        </w:tc>
        <w:tc>
          <w:tcPr>
            <w:tcW w:w="851" w:type="dxa"/>
            <w:tcBorders>
              <w:top w:val="nil"/>
              <w:left w:val="nil"/>
              <w:bottom w:val="nil"/>
              <w:right w:val="nil"/>
            </w:tcBorders>
            <w:shd w:val="clear" w:color="auto" w:fill="auto"/>
            <w:vAlign w:val="bottom"/>
          </w:tcPr>
          <w:p w14:paraId="4FB02E37" w14:textId="09E82AF5" w:rsidR="00C04064" w:rsidRPr="00061491" w:rsidRDefault="00C04064" w:rsidP="00C04064">
            <w:pPr>
              <w:contextualSpacing/>
            </w:pPr>
            <w:r>
              <w:rPr>
                <w:rFonts w:ascii="Calibri" w:hAnsi="Calibri" w:cs="Calibri"/>
                <w:color w:val="000000"/>
              </w:rPr>
              <w:t>(37.6)</w:t>
            </w:r>
          </w:p>
        </w:tc>
        <w:tc>
          <w:tcPr>
            <w:tcW w:w="992" w:type="dxa"/>
            <w:tcBorders>
              <w:top w:val="nil"/>
              <w:left w:val="nil"/>
              <w:bottom w:val="nil"/>
              <w:right w:val="nil"/>
            </w:tcBorders>
            <w:shd w:val="clear" w:color="auto" w:fill="auto"/>
            <w:noWrap/>
            <w:vAlign w:val="bottom"/>
          </w:tcPr>
          <w:p w14:paraId="34E9D889" w14:textId="2AC4AD9B" w:rsidR="00C04064" w:rsidRPr="00061491" w:rsidRDefault="00C04064" w:rsidP="00C04064">
            <w:pPr>
              <w:contextualSpacing/>
              <w:jc w:val="right"/>
            </w:pPr>
            <w:r>
              <w:rPr>
                <w:rFonts w:ascii="Calibri" w:hAnsi="Calibri" w:cs="Calibri"/>
                <w:color w:val="000000"/>
              </w:rPr>
              <w:t>-44,170</w:t>
            </w:r>
          </w:p>
        </w:tc>
        <w:tc>
          <w:tcPr>
            <w:tcW w:w="851" w:type="dxa"/>
            <w:tcBorders>
              <w:top w:val="nil"/>
              <w:left w:val="nil"/>
              <w:bottom w:val="nil"/>
              <w:right w:val="nil"/>
            </w:tcBorders>
            <w:shd w:val="clear" w:color="auto" w:fill="auto"/>
            <w:noWrap/>
            <w:vAlign w:val="bottom"/>
          </w:tcPr>
          <w:p w14:paraId="0A24D079" w14:textId="5644DA6A" w:rsidR="00C04064" w:rsidRPr="00061491" w:rsidRDefault="00C04064" w:rsidP="00C04064">
            <w:pPr>
              <w:contextualSpacing/>
            </w:pPr>
            <w:r>
              <w:rPr>
                <w:rFonts w:ascii="Calibri" w:hAnsi="Calibri" w:cs="Calibri"/>
                <w:color w:val="000000"/>
              </w:rPr>
              <w:t>(-27.9)</w:t>
            </w:r>
          </w:p>
        </w:tc>
      </w:tr>
      <w:tr w:rsidR="00C04064" w:rsidRPr="00061491" w14:paraId="385353FE" w14:textId="77777777" w:rsidTr="00C04064">
        <w:trPr>
          <w:cantSplit/>
          <w:trHeight w:val="283"/>
          <w:jc w:val="center"/>
        </w:trPr>
        <w:tc>
          <w:tcPr>
            <w:tcW w:w="1711" w:type="dxa"/>
            <w:vMerge/>
            <w:tcBorders>
              <w:left w:val="nil"/>
              <w:right w:val="nil"/>
            </w:tcBorders>
            <w:shd w:val="clear" w:color="auto" w:fill="auto"/>
            <w:vAlign w:val="center"/>
          </w:tcPr>
          <w:p w14:paraId="5B411DB2"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right w:val="nil"/>
            </w:tcBorders>
            <w:shd w:val="clear" w:color="auto" w:fill="auto"/>
            <w:noWrap/>
            <w:vAlign w:val="bottom"/>
          </w:tcPr>
          <w:p w14:paraId="6C1D22E8" w14:textId="2A7BFCCF"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Very High</w:t>
            </w:r>
          </w:p>
        </w:tc>
        <w:tc>
          <w:tcPr>
            <w:tcW w:w="893" w:type="dxa"/>
            <w:tcBorders>
              <w:top w:val="nil"/>
              <w:left w:val="nil"/>
              <w:right w:val="nil"/>
            </w:tcBorders>
            <w:shd w:val="clear" w:color="auto" w:fill="auto"/>
            <w:vAlign w:val="bottom"/>
          </w:tcPr>
          <w:p w14:paraId="549417EA" w14:textId="719E650B" w:rsidR="00C04064" w:rsidRPr="00061491" w:rsidRDefault="00C04064" w:rsidP="00C04064">
            <w:pPr>
              <w:contextualSpacing/>
              <w:jc w:val="center"/>
            </w:pPr>
            <w:r>
              <w:rPr>
                <w:rFonts w:ascii="Calibri" w:hAnsi="Calibri" w:cs="Calibri"/>
                <w:color w:val="000000"/>
              </w:rPr>
              <w:t>2.70</w:t>
            </w:r>
          </w:p>
        </w:tc>
        <w:tc>
          <w:tcPr>
            <w:tcW w:w="940" w:type="dxa"/>
            <w:tcBorders>
              <w:top w:val="nil"/>
              <w:left w:val="nil"/>
              <w:right w:val="nil"/>
            </w:tcBorders>
            <w:shd w:val="clear" w:color="auto" w:fill="auto"/>
            <w:noWrap/>
            <w:vAlign w:val="bottom"/>
          </w:tcPr>
          <w:p w14:paraId="50665582" w14:textId="64973AA6" w:rsidR="00C04064" w:rsidRPr="00061491" w:rsidRDefault="00C04064" w:rsidP="00C04064">
            <w:pPr>
              <w:contextualSpacing/>
              <w:jc w:val="right"/>
            </w:pPr>
            <w:r>
              <w:rPr>
                <w:rFonts w:ascii="Calibri" w:hAnsi="Calibri" w:cs="Calibri"/>
                <w:color w:val="000000"/>
              </w:rPr>
              <w:t>78,193</w:t>
            </w:r>
          </w:p>
        </w:tc>
        <w:tc>
          <w:tcPr>
            <w:tcW w:w="851" w:type="dxa"/>
            <w:tcBorders>
              <w:top w:val="nil"/>
              <w:left w:val="nil"/>
              <w:right w:val="nil"/>
            </w:tcBorders>
            <w:shd w:val="clear" w:color="auto" w:fill="auto"/>
            <w:vAlign w:val="bottom"/>
          </w:tcPr>
          <w:p w14:paraId="00EB2C7B" w14:textId="18B1E2A0" w:rsidR="00C04064" w:rsidRPr="00061491" w:rsidRDefault="00C04064" w:rsidP="00C04064">
            <w:pPr>
              <w:contextualSpacing/>
            </w:pPr>
            <w:r>
              <w:rPr>
                <w:rFonts w:ascii="Calibri" w:hAnsi="Calibri" w:cs="Calibri"/>
                <w:color w:val="000000"/>
              </w:rPr>
              <w:t>(16.9)</w:t>
            </w:r>
          </w:p>
        </w:tc>
        <w:tc>
          <w:tcPr>
            <w:tcW w:w="992" w:type="dxa"/>
            <w:tcBorders>
              <w:top w:val="nil"/>
              <w:left w:val="nil"/>
              <w:right w:val="nil"/>
            </w:tcBorders>
            <w:shd w:val="clear" w:color="auto" w:fill="auto"/>
            <w:noWrap/>
            <w:vAlign w:val="bottom"/>
          </w:tcPr>
          <w:p w14:paraId="59160C66" w14:textId="7B4FD250" w:rsidR="00C04064" w:rsidRPr="00061491" w:rsidRDefault="00C04064" w:rsidP="00C04064">
            <w:pPr>
              <w:contextualSpacing/>
              <w:jc w:val="right"/>
            </w:pPr>
            <w:r>
              <w:rPr>
                <w:rFonts w:ascii="Calibri" w:hAnsi="Calibri" w:cs="Calibri"/>
                <w:color w:val="000000"/>
              </w:rPr>
              <w:t>65,137</w:t>
            </w:r>
          </w:p>
        </w:tc>
        <w:tc>
          <w:tcPr>
            <w:tcW w:w="851" w:type="dxa"/>
            <w:tcBorders>
              <w:top w:val="nil"/>
              <w:left w:val="nil"/>
              <w:right w:val="nil"/>
            </w:tcBorders>
            <w:shd w:val="clear" w:color="auto" w:fill="auto"/>
            <w:vAlign w:val="bottom"/>
          </w:tcPr>
          <w:p w14:paraId="3DE69B38" w14:textId="40443E20" w:rsidR="00C04064" w:rsidRPr="00061491" w:rsidRDefault="00C04064" w:rsidP="00C04064">
            <w:pPr>
              <w:contextualSpacing/>
            </w:pPr>
            <w:r>
              <w:rPr>
                <w:rFonts w:ascii="Calibri" w:hAnsi="Calibri" w:cs="Calibri"/>
                <w:color w:val="000000"/>
              </w:rPr>
              <w:t>(21.5)</w:t>
            </w:r>
          </w:p>
        </w:tc>
        <w:tc>
          <w:tcPr>
            <w:tcW w:w="992" w:type="dxa"/>
            <w:tcBorders>
              <w:top w:val="nil"/>
              <w:left w:val="nil"/>
              <w:right w:val="nil"/>
            </w:tcBorders>
            <w:shd w:val="clear" w:color="auto" w:fill="auto"/>
            <w:noWrap/>
            <w:vAlign w:val="bottom"/>
          </w:tcPr>
          <w:p w14:paraId="52DD8371" w14:textId="15101D3B" w:rsidR="00C04064" w:rsidRPr="00061491" w:rsidRDefault="00C04064" w:rsidP="00C04064">
            <w:pPr>
              <w:contextualSpacing/>
              <w:jc w:val="right"/>
            </w:pPr>
            <w:r>
              <w:rPr>
                <w:rFonts w:ascii="Calibri" w:hAnsi="Calibri" w:cs="Calibri"/>
                <w:color w:val="000000"/>
              </w:rPr>
              <w:t>-13,056</w:t>
            </w:r>
          </w:p>
        </w:tc>
        <w:tc>
          <w:tcPr>
            <w:tcW w:w="851" w:type="dxa"/>
            <w:tcBorders>
              <w:top w:val="nil"/>
              <w:left w:val="nil"/>
              <w:right w:val="nil"/>
            </w:tcBorders>
            <w:shd w:val="clear" w:color="auto" w:fill="auto"/>
            <w:noWrap/>
            <w:vAlign w:val="bottom"/>
          </w:tcPr>
          <w:p w14:paraId="17086690" w14:textId="263E1E7A" w:rsidR="00C04064" w:rsidRPr="00061491" w:rsidRDefault="00C04064" w:rsidP="00C04064">
            <w:pPr>
              <w:contextualSpacing/>
            </w:pPr>
            <w:r>
              <w:rPr>
                <w:rFonts w:ascii="Calibri" w:hAnsi="Calibri" w:cs="Calibri"/>
                <w:color w:val="000000"/>
              </w:rPr>
              <w:t>(-16.7)</w:t>
            </w:r>
          </w:p>
        </w:tc>
      </w:tr>
      <w:tr w:rsidR="00C04064" w:rsidRPr="00061491" w14:paraId="0D64401F" w14:textId="77777777" w:rsidTr="00C04064">
        <w:trPr>
          <w:cantSplit/>
          <w:trHeight w:val="283"/>
          <w:jc w:val="center"/>
        </w:trPr>
        <w:tc>
          <w:tcPr>
            <w:tcW w:w="1711" w:type="dxa"/>
            <w:vMerge/>
            <w:tcBorders>
              <w:left w:val="nil"/>
              <w:bottom w:val="single" w:sz="12" w:space="0" w:color="auto"/>
              <w:right w:val="nil"/>
            </w:tcBorders>
            <w:shd w:val="clear" w:color="auto" w:fill="auto"/>
            <w:vAlign w:val="center"/>
          </w:tcPr>
          <w:p w14:paraId="6FC9FB28" w14:textId="77777777" w:rsidR="00C04064" w:rsidRPr="00061491" w:rsidRDefault="00C04064" w:rsidP="00C04064">
            <w:pPr>
              <w:spacing w:after="0" w:line="240" w:lineRule="auto"/>
              <w:jc w:val="center"/>
              <w:rPr>
                <w:rFonts w:eastAsia="Times New Roman" w:cstheme="minorHAnsi"/>
                <w:color w:val="000000"/>
                <w:lang w:eastAsia="en-GB"/>
              </w:rPr>
            </w:pPr>
          </w:p>
        </w:tc>
        <w:tc>
          <w:tcPr>
            <w:tcW w:w="2835" w:type="dxa"/>
            <w:tcBorders>
              <w:top w:val="nil"/>
              <w:left w:val="nil"/>
              <w:bottom w:val="single" w:sz="12" w:space="0" w:color="auto"/>
              <w:right w:val="nil"/>
            </w:tcBorders>
            <w:shd w:val="clear" w:color="auto" w:fill="auto"/>
            <w:noWrap/>
            <w:vAlign w:val="bottom"/>
          </w:tcPr>
          <w:p w14:paraId="32B51D1A" w14:textId="4ED8E384"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Unclassified</w:t>
            </w:r>
          </w:p>
        </w:tc>
        <w:tc>
          <w:tcPr>
            <w:tcW w:w="893" w:type="dxa"/>
            <w:tcBorders>
              <w:top w:val="nil"/>
              <w:left w:val="nil"/>
              <w:bottom w:val="single" w:sz="12" w:space="0" w:color="auto"/>
              <w:right w:val="nil"/>
            </w:tcBorders>
            <w:shd w:val="clear" w:color="auto" w:fill="auto"/>
            <w:vAlign w:val="bottom"/>
          </w:tcPr>
          <w:p w14:paraId="13104DA1" w14:textId="55E48666" w:rsidR="00C04064" w:rsidRPr="00061491" w:rsidRDefault="00C04064" w:rsidP="00C04064">
            <w:pPr>
              <w:contextualSpacing/>
              <w:jc w:val="center"/>
            </w:pPr>
            <w:r>
              <w:rPr>
                <w:rFonts w:ascii="Calibri" w:hAnsi="Calibri" w:cs="Calibri"/>
                <w:color w:val="000000"/>
              </w:rPr>
              <w:t>1.63</w:t>
            </w:r>
          </w:p>
        </w:tc>
        <w:tc>
          <w:tcPr>
            <w:tcW w:w="940" w:type="dxa"/>
            <w:tcBorders>
              <w:top w:val="nil"/>
              <w:left w:val="nil"/>
              <w:bottom w:val="single" w:sz="12" w:space="0" w:color="auto"/>
              <w:right w:val="nil"/>
            </w:tcBorders>
            <w:shd w:val="clear" w:color="auto" w:fill="auto"/>
            <w:noWrap/>
            <w:vAlign w:val="bottom"/>
          </w:tcPr>
          <w:p w14:paraId="737EDD25" w14:textId="3B04D3BE" w:rsidR="00C04064" w:rsidRPr="00061491" w:rsidRDefault="00C04064" w:rsidP="00C04064">
            <w:pPr>
              <w:contextualSpacing/>
              <w:jc w:val="right"/>
            </w:pPr>
            <w:r>
              <w:rPr>
                <w:rFonts w:ascii="Calibri" w:hAnsi="Calibri" w:cs="Calibri"/>
                <w:color w:val="000000"/>
              </w:rPr>
              <w:t>449</w:t>
            </w:r>
          </w:p>
        </w:tc>
        <w:tc>
          <w:tcPr>
            <w:tcW w:w="851" w:type="dxa"/>
            <w:tcBorders>
              <w:top w:val="nil"/>
              <w:left w:val="nil"/>
              <w:bottom w:val="single" w:sz="12" w:space="0" w:color="auto"/>
              <w:right w:val="nil"/>
            </w:tcBorders>
            <w:shd w:val="clear" w:color="auto" w:fill="auto"/>
            <w:vAlign w:val="bottom"/>
          </w:tcPr>
          <w:p w14:paraId="64F6D577" w14:textId="433BEDF3" w:rsidR="00C04064" w:rsidRPr="00061491" w:rsidRDefault="00C04064" w:rsidP="00C04064">
            <w:pPr>
              <w:contextualSpacing/>
            </w:pPr>
            <w:r>
              <w:rPr>
                <w:rFonts w:ascii="Calibri" w:hAnsi="Calibri" w:cs="Calibri"/>
                <w:color w:val="000000"/>
              </w:rPr>
              <w:t>(0.1)</w:t>
            </w:r>
          </w:p>
        </w:tc>
        <w:tc>
          <w:tcPr>
            <w:tcW w:w="992" w:type="dxa"/>
            <w:tcBorders>
              <w:top w:val="nil"/>
              <w:left w:val="nil"/>
              <w:bottom w:val="single" w:sz="12" w:space="0" w:color="auto"/>
              <w:right w:val="nil"/>
            </w:tcBorders>
            <w:shd w:val="clear" w:color="auto" w:fill="auto"/>
            <w:noWrap/>
            <w:vAlign w:val="bottom"/>
          </w:tcPr>
          <w:p w14:paraId="6C682E57" w14:textId="6D245984" w:rsidR="00C04064" w:rsidRPr="00061491" w:rsidRDefault="00C04064" w:rsidP="00C04064">
            <w:pPr>
              <w:contextualSpacing/>
              <w:jc w:val="right"/>
            </w:pPr>
            <w:r>
              <w:rPr>
                <w:rFonts w:ascii="Calibri" w:hAnsi="Calibri" w:cs="Calibri"/>
                <w:color w:val="000000"/>
              </w:rPr>
              <w:t>296</w:t>
            </w:r>
          </w:p>
        </w:tc>
        <w:tc>
          <w:tcPr>
            <w:tcW w:w="851" w:type="dxa"/>
            <w:tcBorders>
              <w:top w:val="nil"/>
              <w:left w:val="nil"/>
              <w:bottom w:val="single" w:sz="12" w:space="0" w:color="auto"/>
              <w:right w:val="nil"/>
            </w:tcBorders>
            <w:shd w:val="clear" w:color="auto" w:fill="auto"/>
            <w:vAlign w:val="bottom"/>
          </w:tcPr>
          <w:p w14:paraId="73C69FF6" w14:textId="268B1FC8" w:rsidR="00C04064" w:rsidRPr="00061491" w:rsidRDefault="00C04064" w:rsidP="00C04064">
            <w:pPr>
              <w:contextualSpacing/>
            </w:pPr>
            <w:r>
              <w:rPr>
                <w:rFonts w:ascii="Calibri" w:hAnsi="Calibri" w:cs="Calibri"/>
                <w:color w:val="000000"/>
              </w:rPr>
              <w:t>(0.1)</w:t>
            </w:r>
          </w:p>
        </w:tc>
        <w:tc>
          <w:tcPr>
            <w:tcW w:w="992" w:type="dxa"/>
            <w:tcBorders>
              <w:top w:val="nil"/>
              <w:left w:val="nil"/>
              <w:bottom w:val="single" w:sz="12" w:space="0" w:color="auto"/>
              <w:right w:val="nil"/>
            </w:tcBorders>
            <w:shd w:val="clear" w:color="auto" w:fill="auto"/>
            <w:noWrap/>
            <w:vAlign w:val="bottom"/>
          </w:tcPr>
          <w:p w14:paraId="25F390FD" w14:textId="424EF4D4" w:rsidR="00C04064" w:rsidRPr="00061491" w:rsidRDefault="00C04064" w:rsidP="00C04064">
            <w:pPr>
              <w:contextualSpacing/>
              <w:jc w:val="right"/>
            </w:pPr>
            <w:r>
              <w:rPr>
                <w:rFonts w:ascii="Calibri" w:hAnsi="Calibri" w:cs="Calibri"/>
                <w:color w:val="000000"/>
              </w:rPr>
              <w:t>-154</w:t>
            </w:r>
          </w:p>
        </w:tc>
        <w:tc>
          <w:tcPr>
            <w:tcW w:w="851" w:type="dxa"/>
            <w:tcBorders>
              <w:top w:val="nil"/>
              <w:left w:val="nil"/>
              <w:bottom w:val="single" w:sz="12" w:space="0" w:color="auto"/>
              <w:right w:val="nil"/>
            </w:tcBorders>
            <w:shd w:val="clear" w:color="auto" w:fill="auto"/>
            <w:noWrap/>
            <w:vAlign w:val="bottom"/>
          </w:tcPr>
          <w:p w14:paraId="0C0DEDB0" w14:textId="6A133331" w:rsidR="00C04064" w:rsidRPr="00061491" w:rsidRDefault="00C04064" w:rsidP="00C04064">
            <w:pPr>
              <w:contextualSpacing/>
            </w:pPr>
            <w:r>
              <w:rPr>
                <w:rFonts w:ascii="Calibri" w:hAnsi="Calibri" w:cs="Calibri"/>
                <w:color w:val="000000"/>
              </w:rPr>
              <w:t>(-34.2)</w:t>
            </w:r>
          </w:p>
        </w:tc>
      </w:tr>
      <w:tr w:rsidR="00C04064" w:rsidRPr="00061491" w14:paraId="1A86AEE0" w14:textId="77777777" w:rsidTr="00725723">
        <w:trPr>
          <w:cantSplit/>
          <w:trHeight w:val="283"/>
          <w:jc w:val="center"/>
        </w:trPr>
        <w:tc>
          <w:tcPr>
            <w:tcW w:w="10916" w:type="dxa"/>
            <w:gridSpan w:val="9"/>
            <w:tcBorders>
              <w:top w:val="single" w:sz="12" w:space="0" w:color="auto"/>
              <w:left w:val="nil"/>
              <w:right w:val="nil"/>
            </w:tcBorders>
            <w:shd w:val="clear" w:color="auto" w:fill="auto"/>
            <w:vAlign w:val="center"/>
          </w:tcPr>
          <w:p w14:paraId="453B99C3" w14:textId="21B58DD5" w:rsidR="00C04064" w:rsidRDefault="00C04064" w:rsidP="00A12E5A">
            <w:pPr>
              <w:contextualSpacing/>
              <w:jc w:val="center"/>
              <w:rPr>
                <w:rFonts w:ascii="Calibri" w:hAnsi="Calibri" w:cs="Calibri"/>
                <w:color w:val="000000"/>
              </w:rPr>
            </w:pPr>
            <w:r>
              <w:rPr>
                <w:rFonts w:eastAsia="Times New Roman" w:cstheme="minorHAnsi"/>
                <w:color w:val="000000"/>
                <w:lang w:eastAsia="en-GB"/>
              </w:rPr>
              <w:t>† Scaling factor = (total 2015 regional or HDI populations in IICC-3 countries</w:t>
            </w:r>
            <w:r w:rsidR="00FE395C">
              <w:rPr>
                <w:rFonts w:eastAsia="Times New Roman" w:cstheme="minorHAnsi"/>
                <w:color w:val="000000"/>
                <w:lang w:eastAsia="en-GB"/>
              </w:rPr>
              <w:t xml:space="preserve"> based</w:t>
            </w:r>
            <w:r w:rsidR="009E25EB">
              <w:rPr>
                <w:rFonts w:eastAsia="Times New Roman" w:cstheme="minorHAnsi"/>
                <w:color w:val="000000"/>
                <w:lang w:eastAsia="en-GB"/>
              </w:rPr>
              <w:fldChar w:fldCharType="begin"/>
            </w:r>
            <w:r w:rsidR="00124231">
              <w:rPr>
                <w:rFonts w:eastAsia="Times New Roman" w:cstheme="minorHAnsi"/>
                <w:color w:val="000000"/>
                <w:lang w:eastAsia="en-GB"/>
              </w:rPr>
              <w:instrText xml:space="preserve"> ADDIN ZOTERO_ITEM CSL_CITATION {"citationID":"T0zre4EI","properties":{"formattedCitation":"[19]","plainCitation":"[19]","noteIndex":0},"citationItems":[{"id":10827,"uris":["http://zotero.org/groups/23637/items/FIWQ6E3H"],"uri":["http://zotero.org/groups/23637/items/FIWQ6E3H"],"itemData":{"id":10827,"type":"webpage","container-title":"World Population Prospects 2017","note":"Data downloaded 25 Sep 2017\n\nMedium Variant projections of popultaion in 5-year age groups for males, females and total\n\nWPP2017_PopulationByAgeSex_Medium.csv","title":"World Population Prospects 2017","URL":"https://population.un.org/wpp/Download/Standard/CSV/","author":[{"literal":"United Nations DESA / Population Division"}],"accessed":{"date-parts":[["2017",9,25]]},"issued":{"date-parts":[["2017"]]}}}],"schema":"https://github.com/citation-style-language/schema/raw/master/csl-citation.json"} </w:instrText>
            </w:r>
            <w:r w:rsidR="009E25EB">
              <w:rPr>
                <w:rFonts w:eastAsia="Times New Roman" w:cstheme="minorHAnsi"/>
                <w:color w:val="000000"/>
                <w:lang w:eastAsia="en-GB"/>
              </w:rPr>
              <w:fldChar w:fldCharType="separate"/>
            </w:r>
            <w:r w:rsidR="0050368D" w:rsidRPr="0050368D">
              <w:rPr>
                <w:rFonts w:ascii="Calibri" w:hAnsi="Calibri" w:cs="Calibri"/>
              </w:rPr>
              <w:t>[19]</w:t>
            </w:r>
            <w:r w:rsidR="009E25EB">
              <w:rPr>
                <w:rFonts w:eastAsia="Times New Roman" w:cstheme="minorHAnsi"/>
                <w:color w:val="000000"/>
                <w:lang w:eastAsia="en-GB"/>
              </w:rPr>
              <w:fldChar w:fldCharType="end"/>
            </w:r>
            <w:r>
              <w:rPr>
                <w:rFonts w:eastAsia="Times New Roman" w:cstheme="minorHAnsi"/>
                <w:color w:val="000000"/>
                <w:lang w:eastAsia="en-GB"/>
              </w:rPr>
              <w:t>)/(</w:t>
            </w:r>
            <w:r w:rsidR="009E25EB">
              <w:rPr>
                <w:rFonts w:eastAsia="Times New Roman" w:cstheme="minorHAnsi"/>
                <w:color w:val="000000"/>
                <w:lang w:eastAsia="en-GB"/>
              </w:rPr>
              <w:t xml:space="preserve">sum of </w:t>
            </w:r>
            <w:r w:rsidR="004A7E2A">
              <w:rPr>
                <w:rFonts w:eastAsia="Times New Roman" w:cstheme="minorHAnsi"/>
                <w:color w:val="000000"/>
                <w:lang w:eastAsia="en-GB"/>
              </w:rPr>
              <w:t>average annual population</w:t>
            </w:r>
            <w:r w:rsidR="009E25EB">
              <w:rPr>
                <w:rFonts w:eastAsia="Times New Roman" w:cstheme="minorHAnsi"/>
                <w:color w:val="000000"/>
                <w:lang w:eastAsia="en-GB"/>
              </w:rPr>
              <w:t>s</w:t>
            </w:r>
            <w:r w:rsidR="004A7E2A">
              <w:rPr>
                <w:rFonts w:eastAsia="Times New Roman" w:cstheme="minorHAnsi"/>
                <w:color w:val="000000"/>
                <w:lang w:eastAsia="en-GB"/>
              </w:rPr>
              <w:t xml:space="preserve"> covered</w:t>
            </w:r>
            <w:r w:rsidR="009E25EB">
              <w:rPr>
                <w:rFonts w:eastAsia="Times New Roman" w:cstheme="minorHAnsi"/>
                <w:color w:val="000000"/>
                <w:lang w:eastAsia="en-GB"/>
              </w:rPr>
              <w:t xml:space="preserve"> by registries in IICC-3</w:t>
            </w:r>
            <w:r w:rsidR="004A7E2A">
              <w:rPr>
                <w:rFonts w:eastAsia="Times New Roman" w:cstheme="minorHAnsi"/>
                <w:color w:val="000000"/>
                <w:lang w:eastAsia="en-GB"/>
              </w:rPr>
              <w:fldChar w:fldCharType="begin"/>
            </w:r>
            <w:r w:rsidR="00124231">
              <w:rPr>
                <w:rFonts w:eastAsia="Times New Roman" w:cstheme="minorHAnsi"/>
                <w:color w:val="000000"/>
                <w:lang w:eastAsia="en-GB"/>
              </w:rPr>
              <w:instrText xml:space="preserve"> ADDIN ZOTERO_ITEM CSL_CITATION {"citationID":"C6TYiqKX","properties":{"formattedCitation":"[32]","plainCitation":"[32]","noteIndex":0},"citationItems":[{"id":10829,"uris":["http://zotero.org/groups/23637/items/GWPJWBM6"],"uri":["http://zotero.org/groups/23637/items/GWPJWBM6"],"itemData":{"id":10829,"type":"book","event-place":"Lyon, France","publisher":"International Agency for Research on Cancer","publisher-place":"Lyon, France","title":"International Incidence of Childhood Cancer Volume III (electronic version)","title-short":"IICC-3","URL":"http://iicc.iarc.fr/results/index.php","author":[{"literal":"Steliarova-Foucher, E"},{"literal":"Colombet, M"},{"literal":"Ries, LAG"},{"literal":"Hesseling, P"},{"literal":"Moreno, F"},{"literal":"Shin, HY"},{"literal":"Stiller, CA"},{"literal":"editors"}],"accessed":{"date-parts":[["2017",9,11]]},"issued":{"date-parts":[["2017"]]}}}],"schema":"https://github.com/citation-style-language/schema/raw/master/csl-citation.json"} </w:instrText>
            </w:r>
            <w:r w:rsidR="004A7E2A">
              <w:rPr>
                <w:rFonts w:eastAsia="Times New Roman" w:cstheme="minorHAnsi"/>
                <w:color w:val="000000"/>
                <w:lang w:eastAsia="en-GB"/>
              </w:rPr>
              <w:fldChar w:fldCharType="separate"/>
            </w:r>
            <w:r w:rsidR="004D24B7" w:rsidRPr="004D24B7">
              <w:rPr>
                <w:rFonts w:ascii="Calibri" w:hAnsi="Calibri" w:cs="Calibri"/>
              </w:rPr>
              <w:t>[32]</w:t>
            </w:r>
            <w:r w:rsidR="004A7E2A">
              <w:rPr>
                <w:rFonts w:eastAsia="Times New Roman" w:cstheme="minorHAnsi"/>
                <w:color w:val="000000"/>
                <w:lang w:eastAsia="en-GB"/>
              </w:rPr>
              <w:fldChar w:fldCharType="end"/>
            </w:r>
            <w:r>
              <w:rPr>
                <w:rFonts w:eastAsia="Times New Roman" w:cstheme="minorHAnsi"/>
                <w:color w:val="000000"/>
                <w:lang w:eastAsia="en-GB"/>
              </w:rPr>
              <w:t>)</w:t>
            </w:r>
          </w:p>
        </w:tc>
      </w:tr>
    </w:tbl>
    <w:p w14:paraId="26B265DE" w14:textId="24FACA8B" w:rsidR="002569CD" w:rsidRDefault="002569CD">
      <w:pPr>
        <w:rPr>
          <w:bCs/>
        </w:rPr>
      </w:pPr>
    </w:p>
    <w:p w14:paraId="3E8D80FF" w14:textId="77777777" w:rsidR="008E69C8" w:rsidRDefault="008E69C8"/>
    <w:p w14:paraId="6FEB3543" w14:textId="24DE6BC9" w:rsidR="008E69C8" w:rsidRDefault="008E69C8">
      <w:r>
        <w:br w:type="page"/>
      </w:r>
    </w:p>
    <w:p w14:paraId="69A4662E" w14:textId="328197EB" w:rsidR="00AE1074" w:rsidRDefault="00AE1074">
      <w:pPr>
        <w:rPr>
          <w:b/>
          <w:bCs/>
        </w:rPr>
      </w:pPr>
    </w:p>
    <w:p w14:paraId="4C5C9DF4" w14:textId="145D1FFB" w:rsidR="00AE1074" w:rsidRDefault="002C22F1">
      <w:pPr>
        <w:rPr>
          <w:b/>
          <w:bCs/>
        </w:rPr>
      </w:pPr>
      <w:r>
        <w:rPr>
          <w:b/>
          <w:bCs/>
          <w:noProof/>
        </w:rPr>
        <w:drawing>
          <wp:inline distT="0" distB="0" distL="0" distR="0" wp14:anchorId="7D3B2E11" wp14:editId="6A987B8D">
            <wp:extent cx="5731510" cy="45853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5 - IICC Region HeatMap - Prop of WPP tot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37B77002" w14:textId="48D80893" w:rsidR="00B93BBA" w:rsidRDefault="008E69C8">
      <w:pPr>
        <w:rPr>
          <w:bCs/>
        </w:rPr>
      </w:pPr>
      <w:r w:rsidRPr="000D2FC5">
        <w:rPr>
          <w:b/>
          <w:bCs/>
        </w:rPr>
        <w:t xml:space="preserve">Figure </w:t>
      </w:r>
      <w:r w:rsidR="00BA4083">
        <w:rPr>
          <w:b/>
          <w:bCs/>
        </w:rPr>
        <w:t>5</w:t>
      </w:r>
      <w:r w:rsidRPr="000D2FC5">
        <w:rPr>
          <w:b/>
          <w:bCs/>
        </w:rPr>
        <w:t xml:space="preserve"> </w:t>
      </w:r>
      <w:r w:rsidRPr="000D2FC5">
        <w:rPr>
          <w:bCs/>
        </w:rPr>
        <w:t xml:space="preserve">– </w:t>
      </w:r>
      <w:r w:rsidR="00B372DD">
        <w:rPr>
          <w:bCs/>
        </w:rPr>
        <w:t>Estimated incidence in children aged &lt;15 years in 2015, based on IICC-3 reported rates and extrapolated to the countries represented in IICC-3 (Table S5)</w:t>
      </w:r>
      <w:r w:rsidR="00844967">
        <w:rPr>
          <w:bCs/>
        </w:rPr>
        <w:t xml:space="preserve">; </w:t>
      </w:r>
      <w:r w:rsidR="00B555DC">
        <w:rPr>
          <w:bCs/>
        </w:rPr>
        <w:t xml:space="preserve">distribution of estimated cancers by ICCC-3 main diagnostic group showing total cancers and crude </w:t>
      </w:r>
      <w:r w:rsidR="002C22F1">
        <w:rPr>
          <w:bCs/>
        </w:rPr>
        <w:t xml:space="preserve">and age-standardised (WHO) </w:t>
      </w:r>
      <w:r w:rsidR="00B555DC">
        <w:rPr>
          <w:bCs/>
        </w:rPr>
        <w:t xml:space="preserve">rates </w:t>
      </w:r>
      <w:r w:rsidR="00B555DC" w:rsidRPr="008F081C">
        <w:rPr>
          <w:bCs/>
        </w:rPr>
        <w:t>(per million)</w:t>
      </w:r>
      <w:r w:rsidR="00B555DC">
        <w:rPr>
          <w:bCs/>
        </w:rPr>
        <w:t xml:space="preserve"> in UN regions.</w:t>
      </w:r>
      <w:r w:rsidR="005C1F30">
        <w:rPr>
          <w:bCs/>
        </w:rPr>
        <w:t xml:space="preserve"> </w:t>
      </w:r>
    </w:p>
    <w:p w14:paraId="5F637269" w14:textId="1F167E20" w:rsidR="00844967" w:rsidRDefault="00844967">
      <w:pPr>
        <w:rPr>
          <w:bCs/>
        </w:rPr>
      </w:pPr>
    </w:p>
    <w:p w14:paraId="568E7D0B" w14:textId="127AAEC2" w:rsidR="003B0B43" w:rsidRDefault="00A43BFC">
      <w:pPr>
        <w:rPr>
          <w:b/>
          <w:bCs/>
        </w:rPr>
      </w:pPr>
      <w:r>
        <w:rPr>
          <w:b/>
          <w:bCs/>
          <w:noProof/>
          <w:lang w:val="en-US"/>
        </w:rPr>
        <w:lastRenderedPageBreak/>
        <w:drawing>
          <wp:inline distT="0" distB="0" distL="0" distR="0" wp14:anchorId="27E53C99" wp14:editId="742EDC3A">
            <wp:extent cx="5731510" cy="57315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6 - Bubble - ASR v Prop Under 15 by Dia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843625E" w14:textId="3A9D53A1" w:rsidR="002B0E24" w:rsidRDefault="00D542B7">
      <w:pPr>
        <w:rPr>
          <w:bCs/>
        </w:rPr>
      </w:pPr>
      <w:r w:rsidRPr="00F54F93">
        <w:rPr>
          <w:b/>
          <w:bCs/>
        </w:rPr>
        <w:t xml:space="preserve">Figure </w:t>
      </w:r>
      <w:r w:rsidR="00BA4083">
        <w:rPr>
          <w:b/>
          <w:bCs/>
        </w:rPr>
        <w:t>6</w:t>
      </w:r>
      <w:r w:rsidRPr="00F54F93">
        <w:rPr>
          <w:b/>
          <w:bCs/>
        </w:rPr>
        <w:t xml:space="preserve"> </w:t>
      </w:r>
      <w:r w:rsidRPr="00F54F93">
        <w:rPr>
          <w:bCs/>
        </w:rPr>
        <w:t xml:space="preserve">– </w:t>
      </w:r>
      <w:r w:rsidR="00DB43C6">
        <w:rPr>
          <w:bCs/>
        </w:rPr>
        <w:t>A</w:t>
      </w:r>
      <w:r w:rsidRPr="00844967">
        <w:rPr>
          <w:bCs/>
        </w:rPr>
        <w:t>ge-</w:t>
      </w:r>
      <w:r w:rsidRPr="00DC2159">
        <w:rPr>
          <w:bCs/>
        </w:rPr>
        <w:t>standardised (</w:t>
      </w:r>
      <w:r w:rsidR="00A43BFC" w:rsidRPr="00DC2159">
        <w:rPr>
          <w:bCs/>
        </w:rPr>
        <w:t>WHO</w:t>
      </w:r>
      <w:r w:rsidRPr="00DC2159">
        <w:rPr>
          <w:bCs/>
        </w:rPr>
        <w:t xml:space="preserve">) </w:t>
      </w:r>
      <w:r w:rsidR="004C1B8C" w:rsidRPr="00DC2159">
        <w:rPr>
          <w:bCs/>
        </w:rPr>
        <w:t xml:space="preserve">cancer </w:t>
      </w:r>
      <w:r w:rsidR="005A1B93" w:rsidRPr="00DC2159">
        <w:rPr>
          <w:bCs/>
        </w:rPr>
        <w:t>incidence</w:t>
      </w:r>
      <w:r w:rsidR="008F36DE" w:rsidRPr="00DC2159">
        <w:rPr>
          <w:bCs/>
        </w:rPr>
        <w:t xml:space="preserve"> in 2015</w:t>
      </w:r>
      <w:r w:rsidR="00DB43C6" w:rsidRPr="00DC2159">
        <w:rPr>
          <w:bCs/>
        </w:rPr>
        <w:t xml:space="preserve"> based on national extrapolation of data from </w:t>
      </w:r>
      <w:r w:rsidRPr="00DC2159">
        <w:rPr>
          <w:bCs/>
        </w:rPr>
        <w:t xml:space="preserve">IICC-3 </w:t>
      </w:r>
      <w:r w:rsidR="00DB43C6" w:rsidRPr="00DC2159">
        <w:rPr>
          <w:bCs/>
        </w:rPr>
        <w:t xml:space="preserve">registries </w:t>
      </w:r>
      <w:r w:rsidRPr="00DC2159">
        <w:rPr>
          <w:bCs/>
        </w:rPr>
        <w:t xml:space="preserve">against the </w:t>
      </w:r>
      <w:r w:rsidR="00CD54C4" w:rsidRPr="00DC2159">
        <w:rPr>
          <w:bCs/>
        </w:rPr>
        <w:t xml:space="preserve">2015 </w:t>
      </w:r>
      <w:r w:rsidR="00D312C9" w:rsidRPr="00DC2159">
        <w:rPr>
          <w:bCs/>
        </w:rPr>
        <w:t>h</w:t>
      </w:r>
      <w:r w:rsidR="00BC2B6F" w:rsidRPr="00DC2159">
        <w:rPr>
          <w:bCs/>
        </w:rPr>
        <w:t>uman</w:t>
      </w:r>
      <w:r w:rsidR="00BC2B6F">
        <w:rPr>
          <w:bCs/>
        </w:rPr>
        <w:t xml:space="preserve"> </w:t>
      </w:r>
      <w:r w:rsidR="00D312C9">
        <w:rPr>
          <w:bCs/>
        </w:rPr>
        <w:t>d</w:t>
      </w:r>
      <w:r w:rsidR="00BC2B6F">
        <w:rPr>
          <w:bCs/>
        </w:rPr>
        <w:t xml:space="preserve">evelopment </w:t>
      </w:r>
      <w:r w:rsidR="00D312C9">
        <w:rPr>
          <w:bCs/>
        </w:rPr>
        <w:t>i</w:t>
      </w:r>
      <w:r w:rsidR="00BC2B6F">
        <w:rPr>
          <w:bCs/>
        </w:rPr>
        <w:t>ndex (HDI)</w:t>
      </w:r>
      <w:r w:rsidR="00CD54C4">
        <w:rPr>
          <w:bCs/>
        </w:rPr>
        <w:t xml:space="preserve"> </w:t>
      </w:r>
      <w:r w:rsidRPr="00844967">
        <w:rPr>
          <w:bCs/>
        </w:rPr>
        <w:t xml:space="preserve">by ICCC-3.  </w:t>
      </w:r>
      <w:r w:rsidR="00F54F93" w:rsidRPr="00844967">
        <w:rPr>
          <w:bCs/>
        </w:rPr>
        <w:t>HDI</w:t>
      </w:r>
      <w:r w:rsidRPr="00844967">
        <w:rPr>
          <w:bCs/>
        </w:rPr>
        <w:t xml:space="preserve"> indicated by colour, </w:t>
      </w:r>
      <w:r w:rsidR="00F17BDC">
        <w:rPr>
          <w:bCs/>
        </w:rPr>
        <w:t xml:space="preserve">with </w:t>
      </w:r>
      <w:r w:rsidR="005A1B93">
        <w:rPr>
          <w:bCs/>
        </w:rPr>
        <w:t>circles</w:t>
      </w:r>
      <w:r w:rsidR="005A1B93" w:rsidRPr="00844967">
        <w:rPr>
          <w:bCs/>
        </w:rPr>
        <w:t xml:space="preserve"> </w:t>
      </w:r>
      <w:r w:rsidR="00F17BDC">
        <w:rPr>
          <w:bCs/>
        </w:rPr>
        <w:t xml:space="preserve">proportional to the number </w:t>
      </w:r>
      <w:r w:rsidR="008C1B1F">
        <w:rPr>
          <w:bCs/>
        </w:rPr>
        <w:t>of cases</w:t>
      </w:r>
      <w:r w:rsidRPr="00844967">
        <w:rPr>
          <w:bCs/>
        </w:rPr>
        <w:t xml:space="preserve">.  Linear regression </w:t>
      </w:r>
      <w:r w:rsidR="008C1B1F">
        <w:rPr>
          <w:bCs/>
        </w:rPr>
        <w:t>line</w:t>
      </w:r>
      <w:r w:rsidR="008C1B1F" w:rsidRPr="00844967">
        <w:rPr>
          <w:bCs/>
        </w:rPr>
        <w:t xml:space="preserve"> </w:t>
      </w:r>
      <w:r w:rsidRPr="00844967">
        <w:rPr>
          <w:bCs/>
        </w:rPr>
        <w:t>and Pearson correlation values shown</w:t>
      </w:r>
      <w:r w:rsidR="00BC2B6F">
        <w:rPr>
          <w:bCs/>
        </w:rPr>
        <w:t>, with those in bold having p&lt;0.0</w:t>
      </w:r>
      <w:r w:rsidR="006F4293">
        <w:rPr>
          <w:bCs/>
        </w:rPr>
        <w:t>0</w:t>
      </w:r>
      <w:r w:rsidR="00DB43C6">
        <w:rPr>
          <w:bCs/>
        </w:rPr>
        <w:t>4 (Bonferroni adjustment)</w:t>
      </w:r>
      <w:r w:rsidRPr="00844967">
        <w:rPr>
          <w:bCs/>
        </w:rPr>
        <w:t>.</w:t>
      </w:r>
      <w:r w:rsidRPr="002B0E24">
        <w:rPr>
          <w:bCs/>
        </w:rPr>
        <w:t xml:space="preserve">  </w:t>
      </w:r>
    </w:p>
    <w:p w14:paraId="09097F90" w14:textId="12E0FC04" w:rsidR="005A1B93" w:rsidRDefault="005A1B93" w:rsidP="00BA4083"/>
    <w:p w14:paraId="405D79E0" w14:textId="77777777" w:rsidR="00385DE9" w:rsidRDefault="00385DE9">
      <w:r>
        <w:br w:type="page"/>
      </w:r>
    </w:p>
    <w:p w14:paraId="2E268EFD" w14:textId="4BF970DA" w:rsidR="004F2262" w:rsidRDefault="008D6428" w:rsidP="0059408F">
      <w:pPr>
        <w:tabs>
          <w:tab w:val="center" w:pos="7699"/>
        </w:tabs>
        <w:jc w:val="center"/>
      </w:pPr>
      <w:r>
        <w:rPr>
          <w:noProof/>
        </w:rPr>
        <w:lastRenderedPageBreak/>
        <w:drawing>
          <wp:inline distT="0" distB="0" distL="0" distR="0" wp14:anchorId="3B6B4A8A" wp14:editId="3122ACF3">
            <wp:extent cx="5731510" cy="802386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7 - IICC v XXX dist scatt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023860"/>
                    </a:xfrm>
                    <a:prstGeom prst="rect">
                      <a:avLst/>
                    </a:prstGeom>
                  </pic:spPr>
                </pic:pic>
              </a:graphicData>
            </a:graphic>
          </wp:inline>
        </w:drawing>
      </w:r>
    </w:p>
    <w:p w14:paraId="7DA50FAF" w14:textId="60BD496A" w:rsidR="002A5437" w:rsidRDefault="00D542B7" w:rsidP="00097A59">
      <w:pPr>
        <w:spacing w:after="0" w:line="240" w:lineRule="auto"/>
        <w:rPr>
          <w:bCs/>
        </w:rPr>
      </w:pPr>
      <w:r w:rsidRPr="006675C5">
        <w:rPr>
          <w:b/>
          <w:bCs/>
        </w:rPr>
        <w:t xml:space="preserve">Figure </w:t>
      </w:r>
      <w:r w:rsidR="00415FA5">
        <w:rPr>
          <w:b/>
          <w:bCs/>
        </w:rPr>
        <w:t>7</w:t>
      </w:r>
      <w:r>
        <w:rPr>
          <w:b/>
          <w:bCs/>
        </w:rPr>
        <w:t xml:space="preserve"> </w:t>
      </w:r>
      <w:r w:rsidRPr="006675C5">
        <w:rPr>
          <w:bCs/>
        </w:rPr>
        <w:t>–</w:t>
      </w:r>
      <w:r w:rsidR="00D97448">
        <w:rPr>
          <w:bCs/>
        </w:rPr>
        <w:t xml:space="preserve"> C</w:t>
      </w:r>
      <w:r>
        <w:rPr>
          <w:bCs/>
        </w:rPr>
        <w:t>ountry-level ratios</w:t>
      </w:r>
      <w:r w:rsidR="00CD54C4">
        <w:rPr>
          <w:bCs/>
        </w:rPr>
        <w:t xml:space="preserve"> of IICC-3</w:t>
      </w:r>
      <w:r w:rsidR="000112C4">
        <w:rPr>
          <w:bCs/>
        </w:rPr>
        <w:t>-based</w:t>
      </w:r>
      <w:r w:rsidR="00D97448">
        <w:rPr>
          <w:bCs/>
        </w:rPr>
        <w:t xml:space="preserve"> estimates</w:t>
      </w:r>
      <w:r w:rsidR="00CD54C4">
        <w:rPr>
          <w:bCs/>
        </w:rPr>
        <w:t xml:space="preserve"> </w:t>
      </w:r>
      <w:r w:rsidR="002A5437">
        <w:rPr>
          <w:bCs/>
        </w:rPr>
        <w:t xml:space="preserve">to </w:t>
      </w:r>
      <w:r w:rsidR="00CD54C4">
        <w:rPr>
          <w:bCs/>
        </w:rPr>
        <w:t>BM estimate</w:t>
      </w:r>
      <w:r w:rsidR="00D97448">
        <w:rPr>
          <w:bCs/>
        </w:rPr>
        <w:t xml:space="preserve">s of childhood cancers in 2015.  A) Total cancers, countries coloured by ratio. </w:t>
      </w:r>
      <w:r w:rsidR="00415FA5">
        <w:rPr>
          <w:bCs/>
        </w:rPr>
        <w:t xml:space="preserve">B) </w:t>
      </w:r>
      <w:r w:rsidR="00D97448">
        <w:rPr>
          <w:bCs/>
        </w:rPr>
        <w:t xml:space="preserve">Median and range of ratios for each </w:t>
      </w:r>
      <w:r>
        <w:rPr>
          <w:bCs/>
        </w:rPr>
        <w:t xml:space="preserve">ICCC-3 </w:t>
      </w:r>
      <w:r w:rsidR="00D02AA4">
        <w:rPr>
          <w:bCs/>
        </w:rPr>
        <w:t xml:space="preserve">main </w:t>
      </w:r>
      <w:r>
        <w:rPr>
          <w:bCs/>
        </w:rPr>
        <w:t>diagnos</w:t>
      </w:r>
      <w:r w:rsidR="00D02AA4">
        <w:rPr>
          <w:bCs/>
        </w:rPr>
        <w:t>tic group</w:t>
      </w:r>
      <w:r w:rsidR="00425AF6">
        <w:rPr>
          <w:bCs/>
        </w:rPr>
        <w:t xml:space="preserve">, grouped by </w:t>
      </w:r>
      <w:r w:rsidR="00D312C9">
        <w:rPr>
          <w:bCs/>
        </w:rPr>
        <w:t>h</w:t>
      </w:r>
      <w:r w:rsidR="000253D9">
        <w:rPr>
          <w:bCs/>
        </w:rPr>
        <w:t xml:space="preserve">uman </w:t>
      </w:r>
      <w:r w:rsidR="00D312C9">
        <w:rPr>
          <w:bCs/>
        </w:rPr>
        <w:t>d</w:t>
      </w:r>
      <w:r w:rsidR="000253D9">
        <w:rPr>
          <w:bCs/>
        </w:rPr>
        <w:t xml:space="preserve">evelopment </w:t>
      </w:r>
      <w:r w:rsidR="00D312C9">
        <w:rPr>
          <w:bCs/>
        </w:rPr>
        <w:t>i</w:t>
      </w:r>
      <w:r w:rsidR="000253D9">
        <w:rPr>
          <w:bCs/>
        </w:rPr>
        <w:t>ndex</w:t>
      </w:r>
      <w:r w:rsidR="001D31CF">
        <w:rPr>
          <w:bCs/>
        </w:rPr>
        <w:t xml:space="preserve"> (HDI)</w:t>
      </w:r>
      <w:r w:rsidR="00CD54C4">
        <w:rPr>
          <w:bCs/>
        </w:rPr>
        <w:t>.</w:t>
      </w:r>
      <w:r w:rsidR="00D97448">
        <w:rPr>
          <w:bCs/>
        </w:rPr>
        <w:t xml:space="preserve">  </w:t>
      </w:r>
      <w:r>
        <w:rPr>
          <w:bCs/>
        </w:rPr>
        <w:t xml:space="preserve">All ratios have been log10 transformed. </w:t>
      </w:r>
    </w:p>
    <w:p w14:paraId="272CD484" w14:textId="7EBF2922" w:rsidR="0096703D" w:rsidRDefault="0096703D" w:rsidP="00097A59">
      <w:pPr>
        <w:spacing w:after="0" w:line="240" w:lineRule="auto"/>
        <w:rPr>
          <w:rFonts w:asciiTheme="majorHAnsi" w:eastAsiaTheme="majorEastAsia" w:hAnsiTheme="majorHAnsi" w:cstheme="majorBidi"/>
          <w:i/>
          <w:sz w:val="26"/>
          <w:szCs w:val="26"/>
        </w:rPr>
      </w:pPr>
    </w:p>
    <w:p w14:paraId="7DE18A84" w14:textId="64920096" w:rsidR="0038359D" w:rsidRPr="0096703D" w:rsidRDefault="00125759" w:rsidP="00125759">
      <w:pPr>
        <w:pStyle w:val="Heading2"/>
        <w:numPr>
          <w:ilvl w:val="1"/>
          <w:numId w:val="23"/>
        </w:numPr>
      </w:pPr>
      <w:r>
        <w:t>Global Childhood Cancer (GCC) and BM compared</w:t>
      </w:r>
      <w:r w:rsidR="00FD09AC">
        <w:t xml:space="preserve"> </w:t>
      </w:r>
    </w:p>
    <w:p w14:paraId="79AD9E1D" w14:textId="748B2F74" w:rsidR="000B13B0" w:rsidRDefault="00AC05F5" w:rsidP="00C01F4E">
      <w:pPr>
        <w:rPr>
          <w:highlight w:val="yellow"/>
        </w:rPr>
      </w:pPr>
      <w:r>
        <w:t>The</w:t>
      </w:r>
      <w:r w:rsidR="00B51156">
        <w:t xml:space="preserve"> </w:t>
      </w:r>
      <w:r w:rsidR="00F957F1">
        <w:t xml:space="preserve">GCC </w:t>
      </w:r>
      <w:r w:rsidR="00B51156">
        <w:t>model</w:t>
      </w:r>
      <w:r>
        <w:t xml:space="preserve"> </w:t>
      </w:r>
      <w:r w:rsidR="00B51156">
        <w:t xml:space="preserve">estimated </w:t>
      </w:r>
      <w:r w:rsidR="00AB5DEE">
        <w:t xml:space="preserve">a </w:t>
      </w:r>
      <w:r w:rsidR="00B51156">
        <w:t xml:space="preserve">total </w:t>
      </w:r>
      <w:r w:rsidR="00AB5DEE">
        <w:t xml:space="preserve">worldwide </w:t>
      </w:r>
      <w:r w:rsidR="00B51156">
        <w:t xml:space="preserve">childhood cancer </w:t>
      </w:r>
      <w:r w:rsidR="00AB5DEE">
        <w:t xml:space="preserve">incidence </w:t>
      </w:r>
      <w:r w:rsidR="00B51156">
        <w:t xml:space="preserve">of 396,670 </w:t>
      </w:r>
      <w:r w:rsidR="002E1080">
        <w:t xml:space="preserve">cases </w:t>
      </w:r>
      <w:r w:rsidR="00B51156">
        <w:t>in 2015</w:t>
      </w:r>
      <w:r>
        <w:t xml:space="preserve"> </w:t>
      </w:r>
      <w:r>
        <w:fldChar w:fldCharType="begin"/>
      </w:r>
      <w:r w:rsidR="00124231">
        <w:instrText xml:space="preserve"> ADDIN ZOTERO_ITEM CSL_CITATION {"citationID":"wbFV4pha","properties":{"formattedCitation":"[23]","plainCitation":"[23]","noteIndex":0},"citationItems":[{"id":12402,"uris":["http://zotero.org/groups/23637/items/5BJ5RHP6"],"uri":["http://zotero.org/groups/23637/items/5BJ5RHP6"],"itemData":{"id":12402,"type":"article-journal","abstract":"BACKGROUND: Accurate estimates of childhood cancer incidence are important for policy makers to inform priority setting and planning decisions. However, many countries do not have cancer registries that quantify the incidence of childhood cancer. Moreover, even when registries do exist, they might substantially underestimate the true incidence, since children with cancer might not be diagnosed. We therefore aimed to provide estimates of total childhood cancer incidence accounting for underdiagnosis.\nMETHODS: We developed a microsimulation model to simulate childhood cancer incidence for 200 countries and territories worldwide, taking into account trends in population growth and urbanicity, geographical variation in cancer incidence, and health system barriers to access and referral that contribute to underdiagnosis. To ensure model results were consistent with epidemiological data, we calibrated the model to publicly available cancer registry data using a Bayesian approach in which the observed data are fixed and the model parameters (cancer incidence and probabilities of health system access and referral) are random variables. We estimated the total incidence of childhood cancer (diagnosed and undiagnosed) in each country in 2015 and projected the number of cases from 2015 to 2030.\nFINDINGS: Our model estimated that there were 397 000 (95% uncertainty interval [UI] 377 000-426 000) incident cases of childhood cancer worldwide in 2015, of which only 224 000 (95% UI 216 000-237 000) were diagnosed. This finding suggests that 43% (172 000 of 397 000) of childhood cancer cases were undiagnosed globally, with substantial variation by region, ranging from 3% in western Europe (120 of 4300) and North America (300 of 10 900) to 57% (43 000 of 76 000) in western Africa. In south Asia (including southeastern Asia and south-central Asia), the overall proportion of undiagnosed cases was estimated to be 49% (67 000 of 137 000). Taking into account population projections, we estimated that there will be 6·7 million (95% UI 6·3-7·2) cases of childhood cancer worldwide from 2015 to 2030. At current levels of health system performance, we estimated that 2·9 million (95% UI 2·7-3·3) cases of childhood cancer will be missed between 2015 and 2030.\nINTERPRETATION: Childhood cancer is substantially underdiagnosed, especially in south Asia and sub-Saharan Africa (including western, eastern, and southern Africa). In addition to improving treatment for childhood cancer, health systems must be strengthened to accurately diagnose and effectively care for all children with cancer. As countries expand universal health coverage, these estimates of total incidence will hopefully help guide efforts to appropriately increase health system capacity to ensure access to effective childhood cancer care.\nFUNDING: Boston Children's Hospital, Dana-Farber Cancer Institute, Harvard T H Chan School of Public Health, Harvard Medical School, National Cancer Institute, SickKids, St Jude Children's Research Hospital, and Union for International Cancer Control.","container-title":"The Lancet. Oncology","DOI":"10.1016/S1470-2045(18)30909-4","ISSN":"1474-5488","issue":"4","journalAbbreviation":"Lancet Oncol.","language":"eng","note":"PMID: 30824204","page":"483-493","source":"PubMed","title":"Estimating the total incidence of global childhood cancer: a simulation-based analysis","title-short":"Estimating the total incidence of global childhood cancer","volume":"20","author":[{"family":"Ward","given":"Zachary J."},{"family":"Yeh","given":"Jennifer M."},{"family":"Bhakta","given":"Nickhill"},{"family":"Frazier","given":"A. Lindsay"},{"family":"Atun","given":"Rifat"}],"issued":{"date-parts":[["2019",4]]}},"suppress-author":true}],"schema":"https://github.com/citation-style-language/schema/raw/master/csl-citation.json"} </w:instrText>
      </w:r>
      <w:r>
        <w:fldChar w:fldCharType="separate"/>
      </w:r>
      <w:r w:rsidR="0050368D" w:rsidRPr="0050368D">
        <w:rPr>
          <w:rFonts w:ascii="Calibri" w:hAnsi="Calibri" w:cs="Calibri"/>
        </w:rPr>
        <w:t>[23]</w:t>
      </w:r>
      <w:r>
        <w:fldChar w:fldCharType="end"/>
      </w:r>
      <w:r w:rsidR="00B51156">
        <w:t xml:space="preserve">; </w:t>
      </w:r>
      <w:r w:rsidR="008C1C95">
        <w:t>36,556</w:t>
      </w:r>
      <w:r w:rsidR="00B51156">
        <w:t xml:space="preserve"> (</w:t>
      </w:r>
      <w:r w:rsidR="008C1C95">
        <w:t>10.2</w:t>
      </w:r>
      <w:r w:rsidR="00B51156">
        <w:t xml:space="preserve">%) higher than </w:t>
      </w:r>
      <w:r w:rsidR="00523B50">
        <w:t xml:space="preserve">the </w:t>
      </w:r>
      <w:r w:rsidR="00AB5DEE">
        <w:t>B</w:t>
      </w:r>
      <w:r w:rsidR="002F0479">
        <w:t>M</w:t>
      </w:r>
      <w:r w:rsidR="00523B50">
        <w:t xml:space="preserve"> </w:t>
      </w:r>
      <w:r w:rsidR="008D21E7">
        <w:t xml:space="preserve">(Table </w:t>
      </w:r>
      <w:r w:rsidR="00A42226">
        <w:t>3</w:t>
      </w:r>
      <w:r w:rsidR="001B3895">
        <w:t>)</w:t>
      </w:r>
      <w:r w:rsidR="00581AE2">
        <w:t xml:space="preserve">.  There was widespread agreement at the national level (Figure </w:t>
      </w:r>
      <w:r w:rsidR="008C1859">
        <w:t>8</w:t>
      </w:r>
      <w:r w:rsidR="00581AE2">
        <w:t>)</w:t>
      </w:r>
      <w:r w:rsidR="00807035">
        <w:t>,</w:t>
      </w:r>
      <w:r w:rsidR="00581AE2">
        <w:t xml:space="preserve"> with BM estimate</w:t>
      </w:r>
      <w:r>
        <w:t>s</w:t>
      </w:r>
      <w:r w:rsidR="00581AE2">
        <w:t xml:space="preserve"> falling within the </w:t>
      </w:r>
      <w:r>
        <w:t xml:space="preserve">GCC </w:t>
      </w:r>
      <w:r w:rsidR="00581AE2">
        <w:t xml:space="preserve">95% uncertainty interval for </w:t>
      </w:r>
      <w:r w:rsidR="00F01186">
        <w:t>1</w:t>
      </w:r>
      <w:r w:rsidR="002818D1">
        <w:t>21</w:t>
      </w:r>
      <w:r w:rsidR="00F01186">
        <w:t xml:space="preserve"> </w:t>
      </w:r>
      <w:r w:rsidR="00581AE2">
        <w:t>countries (</w:t>
      </w:r>
      <w:r w:rsidR="002818D1">
        <w:t>60.</w:t>
      </w:r>
      <w:r w:rsidR="00F01186">
        <w:t>5</w:t>
      </w:r>
      <w:r w:rsidR="00581AE2">
        <w:t>%</w:t>
      </w:r>
      <w:r w:rsidR="006B5993">
        <w:t xml:space="preserve"> of </w:t>
      </w:r>
      <w:r w:rsidR="002818D1">
        <w:t>200</w:t>
      </w:r>
      <w:r w:rsidR="006B5993">
        <w:t xml:space="preserve"> countries in both estimates</w:t>
      </w:r>
      <w:r w:rsidR="00581AE2">
        <w:t>; Figure S1</w:t>
      </w:r>
      <w:r w:rsidR="00236850">
        <w:t>6</w:t>
      </w:r>
      <w:r w:rsidR="00581AE2">
        <w:t>).</w:t>
      </w:r>
      <w:r w:rsidR="0073171B">
        <w:t xml:space="preserve">  </w:t>
      </w:r>
      <w:r w:rsidR="00581AE2">
        <w:t xml:space="preserve"> </w:t>
      </w:r>
      <w:r w:rsidR="00C01F4E">
        <w:t xml:space="preserve">Regions where estimates differed most were primarily those requiring larger extrapolations of </w:t>
      </w:r>
      <w:r>
        <w:t xml:space="preserve">underpinning </w:t>
      </w:r>
      <w:r w:rsidR="00C01F4E">
        <w:t xml:space="preserve">IICC-3 </w:t>
      </w:r>
      <w:r w:rsidR="0089466F">
        <w:t>rates</w:t>
      </w:r>
      <w:r w:rsidR="00C01F4E">
        <w:t xml:space="preserve"> (Table 3)</w:t>
      </w:r>
      <w:r w:rsidR="00807035">
        <w:t>.</w:t>
      </w:r>
      <w:r w:rsidR="0073171B">
        <w:t xml:space="preserve"> </w:t>
      </w:r>
      <w:r w:rsidR="0089466F">
        <w:t xml:space="preserve"> </w:t>
      </w:r>
      <w:r w:rsidR="00702A91">
        <w:t>Most notably</w:t>
      </w:r>
      <w:r w:rsidR="0073171B">
        <w:t xml:space="preserve"> </w:t>
      </w:r>
      <w:r w:rsidR="00B778AF">
        <w:t xml:space="preserve">Western </w:t>
      </w:r>
      <w:r w:rsidR="00C01F4E">
        <w:t>Africa</w:t>
      </w:r>
      <w:r w:rsidR="0089466F">
        <w:t>,</w:t>
      </w:r>
      <w:r w:rsidR="00C01F4E">
        <w:t xml:space="preserve"> </w:t>
      </w:r>
      <w:r>
        <w:t xml:space="preserve">where </w:t>
      </w:r>
      <w:r w:rsidR="00581AE2">
        <w:t xml:space="preserve">the GCC estimate was </w:t>
      </w:r>
      <w:r w:rsidR="00F01186">
        <w:t xml:space="preserve">nearly </w:t>
      </w:r>
      <w:r w:rsidR="00C01F4E">
        <w:t xml:space="preserve">twice </w:t>
      </w:r>
      <w:r w:rsidR="00702A91">
        <w:t xml:space="preserve">that of </w:t>
      </w:r>
      <w:r w:rsidR="00581AE2">
        <w:t>the BM</w:t>
      </w:r>
      <w:r w:rsidR="0089466F">
        <w:t xml:space="preserve">; </w:t>
      </w:r>
      <w:r w:rsidR="0073171B">
        <w:t xml:space="preserve">the IICC-3 scaling factor </w:t>
      </w:r>
      <w:r w:rsidR="00FE5175">
        <w:t xml:space="preserve">here </w:t>
      </w:r>
      <w:r w:rsidR="0073171B">
        <w:t xml:space="preserve">was </w:t>
      </w:r>
      <w:r w:rsidR="00702A91">
        <w:t>213.04</w:t>
      </w:r>
      <w:r w:rsidR="0089466F">
        <w:t>,</w:t>
      </w:r>
      <w:r w:rsidR="00702A91">
        <w:t xml:space="preserve"> more than double that of any other region </w:t>
      </w:r>
      <w:r w:rsidR="0073171B">
        <w:t xml:space="preserve">(Figure </w:t>
      </w:r>
      <w:r w:rsidR="008C1859">
        <w:t>8</w:t>
      </w:r>
      <w:r w:rsidR="0073171B">
        <w:t xml:space="preserve">, Table 3).  </w:t>
      </w:r>
      <w:r w:rsidR="00702A91">
        <w:t xml:space="preserve">By contrast, </w:t>
      </w:r>
      <w:r>
        <w:t>the GCC estimate for</w:t>
      </w:r>
      <w:r w:rsidR="00702A91">
        <w:t xml:space="preserve"> </w:t>
      </w:r>
      <w:r w:rsidR="00B778AF">
        <w:t xml:space="preserve">Southern Africa was </w:t>
      </w:r>
      <w:r w:rsidR="00F01186">
        <w:t>nearly 41</w:t>
      </w:r>
      <w:r w:rsidR="00B778AF">
        <w:t xml:space="preserve">% </w:t>
      </w:r>
      <w:r>
        <w:t xml:space="preserve">lower </w:t>
      </w:r>
      <w:r w:rsidR="00B778AF">
        <w:t xml:space="preserve">than the </w:t>
      </w:r>
      <w:r w:rsidR="00B778AF" w:rsidRPr="00844967">
        <w:t>BM</w:t>
      </w:r>
      <w:r w:rsidR="00F70558">
        <w:t xml:space="preserve">; </w:t>
      </w:r>
      <w:r w:rsidR="0073171B">
        <w:t xml:space="preserve">the IICC-3 scaling factor was </w:t>
      </w:r>
      <w:r w:rsidR="00702A91">
        <w:t>only 1.25</w:t>
      </w:r>
      <w:r w:rsidR="00F70558">
        <w:t>,</w:t>
      </w:r>
      <w:r w:rsidR="00702A91">
        <w:t xml:space="preserve"> similar to countries with very high HDI</w:t>
      </w:r>
      <w:r w:rsidR="0073171B">
        <w:t xml:space="preserve"> </w:t>
      </w:r>
      <w:r w:rsidR="0073171B" w:rsidRPr="0073171B">
        <w:t>(</w:t>
      </w:r>
      <w:r w:rsidR="0073171B">
        <w:t xml:space="preserve">Table 3, Figure </w:t>
      </w:r>
      <w:r w:rsidR="008C1859">
        <w:t>8</w:t>
      </w:r>
      <w:r w:rsidR="0073171B">
        <w:t>)</w:t>
      </w:r>
      <w:r w:rsidR="00581AE2">
        <w:t>.</w:t>
      </w:r>
      <w:r w:rsidR="00C01F4E">
        <w:t xml:space="preserve"> </w:t>
      </w:r>
      <w:r w:rsidR="0073171B">
        <w:t>These two regional differences were reflected in differ</w:t>
      </w:r>
      <w:r w:rsidR="009260EE">
        <w:t>ent ranks for these region</w:t>
      </w:r>
      <w:r w:rsidR="00702A91">
        <w:t xml:space="preserve">s </w:t>
      </w:r>
      <w:r w:rsidR="0073171B" w:rsidRPr="0073171B">
        <w:t xml:space="preserve">(Figure </w:t>
      </w:r>
      <w:r w:rsidR="008C1859">
        <w:t>9</w:t>
      </w:r>
      <w:r w:rsidR="00702A91">
        <w:t>).</w:t>
      </w:r>
    </w:p>
    <w:p w14:paraId="40236986" w14:textId="7415C091" w:rsidR="0024790E" w:rsidRPr="00844967" w:rsidRDefault="00BD6199">
      <w:r w:rsidRPr="00844967">
        <w:t xml:space="preserve">As expected, regional patterns </w:t>
      </w:r>
      <w:r w:rsidR="00AC05F5">
        <w:t xml:space="preserve">seen within </w:t>
      </w:r>
      <w:r w:rsidR="0024790E" w:rsidRPr="00844967">
        <w:t xml:space="preserve">IICC-3 (Figure </w:t>
      </w:r>
      <w:r w:rsidR="008C1859">
        <w:t>5</w:t>
      </w:r>
      <w:r w:rsidR="0024790E" w:rsidRPr="00844967">
        <w:t>) were apparent in GCC estimates (Figure 1</w:t>
      </w:r>
      <w:r w:rsidR="00D312C9">
        <w:t>0</w:t>
      </w:r>
      <w:r w:rsidR="0024790E" w:rsidRPr="00844967">
        <w:t>)</w:t>
      </w:r>
      <w:r w:rsidR="00E4514B">
        <w:t xml:space="preserve">; </w:t>
      </w:r>
      <w:proofErr w:type="spellStart"/>
      <w:r w:rsidR="0024790E" w:rsidRPr="00844967">
        <w:t>leukaemias</w:t>
      </w:r>
      <w:proofErr w:type="spellEnd"/>
      <w:r w:rsidR="0024790E" w:rsidRPr="00844967">
        <w:t xml:space="preserve"> </w:t>
      </w:r>
      <w:r w:rsidR="002E1080">
        <w:t xml:space="preserve">as the </w:t>
      </w:r>
      <w:r w:rsidR="00E4514B">
        <w:t xml:space="preserve">dominating </w:t>
      </w:r>
      <w:r w:rsidR="002E1080" w:rsidRPr="00DC2159">
        <w:t xml:space="preserve">cancer type </w:t>
      </w:r>
      <w:r w:rsidR="0024790E" w:rsidRPr="00DC2159">
        <w:t>in many regions</w:t>
      </w:r>
      <w:r w:rsidR="00E4514B" w:rsidRPr="00DC2159">
        <w:t xml:space="preserve">. </w:t>
      </w:r>
      <w:r w:rsidR="00F70558" w:rsidRPr="00DC2159">
        <w:t xml:space="preserve"> </w:t>
      </w:r>
      <w:r w:rsidR="0024790E" w:rsidRPr="00DC2159">
        <w:t>African regions show</w:t>
      </w:r>
      <w:r w:rsidR="00E4514B" w:rsidRPr="00DC2159">
        <w:t>ed</w:t>
      </w:r>
      <w:r w:rsidR="0024790E" w:rsidRPr="00DC2159">
        <w:t xml:space="preserve"> fewer </w:t>
      </w:r>
      <w:proofErr w:type="spellStart"/>
      <w:r w:rsidR="0024790E" w:rsidRPr="00DC2159">
        <w:t>leukaemias</w:t>
      </w:r>
      <w:proofErr w:type="spellEnd"/>
      <w:r w:rsidR="0024790E" w:rsidRPr="00DC2159">
        <w:t xml:space="preserve"> and more </w:t>
      </w:r>
      <w:r w:rsidR="002E1080" w:rsidRPr="00DC2159">
        <w:t xml:space="preserve">cases of </w:t>
      </w:r>
      <w:r w:rsidR="0024790E" w:rsidRPr="00DC2159">
        <w:t xml:space="preserve">lymphoma, retinoblastoma and other and unspecified tumours.  Southern Africa had the lowest estimated </w:t>
      </w:r>
      <w:r w:rsidR="00E320D1" w:rsidRPr="00DC2159">
        <w:t>childhood cancer incidence,</w:t>
      </w:r>
      <w:r w:rsidR="00E4514B" w:rsidRPr="00DC2159">
        <w:t xml:space="preserve"> 107.</w:t>
      </w:r>
      <w:r w:rsidR="00F01186" w:rsidRPr="00DC2159">
        <w:t>2</w:t>
      </w:r>
      <w:r w:rsidR="00E4514B" w:rsidRPr="00DC2159">
        <w:t xml:space="preserve"> cases per million</w:t>
      </w:r>
      <w:r w:rsidR="0024790E" w:rsidRPr="00DC2159">
        <w:t xml:space="preserve"> (</w:t>
      </w:r>
      <w:r w:rsidR="00A43BFC" w:rsidRPr="00DC2159">
        <w:t xml:space="preserve">crude rate; </w:t>
      </w:r>
      <w:r w:rsidR="0024790E" w:rsidRPr="00DC2159">
        <w:t>Figure 1</w:t>
      </w:r>
      <w:r w:rsidR="00806C62" w:rsidRPr="00DC2159">
        <w:t>0</w:t>
      </w:r>
      <w:r w:rsidR="0024790E" w:rsidRPr="00DC2159">
        <w:t>).</w:t>
      </w:r>
    </w:p>
    <w:p w14:paraId="508BDD7E" w14:textId="1CE3DFC5" w:rsidR="0096703D" w:rsidRDefault="00E320D1">
      <w:r>
        <w:t>A</w:t>
      </w:r>
      <w:r w:rsidR="0024790E" w:rsidRPr="00844967">
        <w:t xml:space="preserve">greement between GCC and BM estimates </w:t>
      </w:r>
      <w:r>
        <w:t xml:space="preserve">on the level of diagnostic groups </w:t>
      </w:r>
      <w:r w:rsidR="0024790E" w:rsidRPr="00844967">
        <w:t xml:space="preserve">varied </w:t>
      </w:r>
      <w:r w:rsidR="00F70558">
        <w:t>with</w:t>
      </w:r>
      <w:r w:rsidR="0024790E" w:rsidRPr="00844967">
        <w:t xml:space="preserve"> HDI (Figure </w:t>
      </w:r>
      <w:r w:rsidR="00806C62">
        <w:t>8</w:t>
      </w:r>
      <w:r w:rsidR="0024790E" w:rsidRPr="00844967">
        <w:t xml:space="preserve">). Among countries with </w:t>
      </w:r>
      <w:r w:rsidR="00E4514B">
        <w:t xml:space="preserve">high and very </w:t>
      </w:r>
      <w:r w:rsidR="0024790E" w:rsidRPr="00844967">
        <w:t>high HDI</w:t>
      </w:r>
      <w:r w:rsidR="00E4514B">
        <w:t>,</w:t>
      </w:r>
      <w:r w:rsidR="0024790E" w:rsidRPr="00844967">
        <w:t xml:space="preserve"> agreement was </w:t>
      </w:r>
      <w:r w:rsidR="00E4514B">
        <w:t>generally good</w:t>
      </w:r>
      <w:r w:rsidR="0024790E" w:rsidRPr="00844967">
        <w:t xml:space="preserve">. </w:t>
      </w:r>
      <w:r w:rsidR="00F70558">
        <w:t xml:space="preserve"> </w:t>
      </w:r>
      <w:r w:rsidR="00E4514B">
        <w:t>However, i</w:t>
      </w:r>
      <w:r w:rsidR="008606E9" w:rsidRPr="00844967">
        <w:t>n countries</w:t>
      </w:r>
      <w:r w:rsidR="00A052DD" w:rsidRPr="00844967">
        <w:t xml:space="preserve"> with </w:t>
      </w:r>
      <w:r w:rsidR="00E4514B">
        <w:t xml:space="preserve">medium and </w:t>
      </w:r>
      <w:r w:rsidR="00A052DD" w:rsidRPr="00844967">
        <w:t>low HDI</w:t>
      </w:r>
      <w:r w:rsidR="008606E9" w:rsidRPr="00844967">
        <w:t xml:space="preserve">, the GCC </w:t>
      </w:r>
      <w:r w:rsidR="00E4514B">
        <w:t xml:space="preserve">model </w:t>
      </w:r>
      <w:r w:rsidR="008606E9" w:rsidRPr="00844967">
        <w:t>estimate</w:t>
      </w:r>
      <w:r w:rsidR="00AC05F5">
        <w:t>d</w:t>
      </w:r>
      <w:r w:rsidR="008606E9" w:rsidRPr="00844967">
        <w:t xml:space="preserve"> </w:t>
      </w:r>
      <w:r w:rsidR="00A052DD" w:rsidRPr="00844967">
        <w:t xml:space="preserve">fewer </w:t>
      </w:r>
      <w:r>
        <w:t xml:space="preserve">cases of </w:t>
      </w:r>
      <w:r w:rsidR="00630753" w:rsidRPr="00844967">
        <w:t>leukaemia, CNS tumour</w:t>
      </w:r>
      <w:r w:rsidR="00A052DD" w:rsidRPr="00844967">
        <w:t>s</w:t>
      </w:r>
      <w:r w:rsidR="00630753" w:rsidRPr="00844967">
        <w:t xml:space="preserve"> and neuroblastoma </w:t>
      </w:r>
      <w:r w:rsidR="00A052DD" w:rsidRPr="00844967">
        <w:t>than the BM</w:t>
      </w:r>
      <w:r w:rsidR="00E4514B">
        <w:t>,</w:t>
      </w:r>
      <w:r w:rsidR="00A052DD" w:rsidRPr="00844967">
        <w:t xml:space="preserve"> but more </w:t>
      </w:r>
      <w:r w:rsidR="008606E9" w:rsidRPr="00844967">
        <w:t>cancer</w:t>
      </w:r>
      <w:r w:rsidR="00E4514B">
        <w:t>s</w:t>
      </w:r>
      <w:r w:rsidR="008606E9" w:rsidRPr="00844967">
        <w:t xml:space="preserve"> </w:t>
      </w:r>
      <w:r w:rsidR="00A052DD" w:rsidRPr="00844967">
        <w:t>o</w:t>
      </w:r>
      <w:r w:rsidR="00E4514B">
        <w:t>f</w:t>
      </w:r>
      <w:r w:rsidR="00A052DD" w:rsidRPr="00844967">
        <w:t xml:space="preserve"> other </w:t>
      </w:r>
      <w:r w:rsidR="008606E9" w:rsidRPr="00844967">
        <w:t>types</w:t>
      </w:r>
      <w:r w:rsidR="00AC05F5">
        <w:t>;</w:t>
      </w:r>
      <w:r w:rsidR="00630753" w:rsidRPr="00844967">
        <w:t xml:space="preserve"> particular</w:t>
      </w:r>
      <w:r w:rsidR="001C3E2E" w:rsidRPr="00844967">
        <w:t>ly</w:t>
      </w:r>
      <w:r w:rsidR="00630753" w:rsidRPr="00844967">
        <w:t xml:space="preserve"> retinoblastoma and other and unspecified tumours </w:t>
      </w:r>
      <w:r w:rsidR="00F23C56" w:rsidRPr="00844967">
        <w:t>(Fig</w:t>
      </w:r>
      <w:r w:rsidR="008606E9" w:rsidRPr="00844967">
        <w:t>ure</w:t>
      </w:r>
      <w:r w:rsidR="00F23C56" w:rsidRPr="00844967">
        <w:t xml:space="preserve"> </w:t>
      </w:r>
      <w:r w:rsidR="00806C62">
        <w:t>8</w:t>
      </w:r>
      <w:r w:rsidR="00FE63AB" w:rsidRPr="00844967">
        <w:t>, Figure S1</w:t>
      </w:r>
      <w:r w:rsidR="00236850">
        <w:t>7</w:t>
      </w:r>
      <w:r w:rsidR="00F23C56" w:rsidRPr="00844967">
        <w:t>).</w:t>
      </w:r>
      <w:r w:rsidR="00BA0478">
        <w:t xml:space="preserve">  </w:t>
      </w:r>
    </w:p>
    <w:p w14:paraId="7BE8A31C" w14:textId="07F4BF6F" w:rsidR="00D312C9" w:rsidRDefault="00D312C9">
      <w:r>
        <w:br w:type="page"/>
      </w:r>
    </w:p>
    <w:p w14:paraId="5360C1A4" w14:textId="77777777" w:rsidR="0059408F" w:rsidRDefault="0059408F"/>
    <w:tbl>
      <w:tblPr>
        <w:tblpPr w:leftFromText="180" w:rightFromText="180" w:vertAnchor="text" w:horzAnchor="margin" w:tblpXSpec="center" w:tblpY="76"/>
        <w:tblW w:w="11038" w:type="dxa"/>
        <w:tblLayout w:type="fixed"/>
        <w:tblLook w:val="04A0" w:firstRow="1" w:lastRow="0" w:firstColumn="1" w:lastColumn="0" w:noHBand="0" w:noVBand="1"/>
      </w:tblPr>
      <w:tblGrid>
        <w:gridCol w:w="1578"/>
        <w:gridCol w:w="2654"/>
        <w:gridCol w:w="1138"/>
        <w:gridCol w:w="947"/>
        <w:gridCol w:w="948"/>
        <w:gridCol w:w="948"/>
        <w:gridCol w:w="948"/>
        <w:gridCol w:w="960"/>
        <w:gridCol w:w="917"/>
      </w:tblGrid>
      <w:tr w:rsidR="0059408F" w:rsidRPr="0006021C" w14:paraId="1FF09FD9" w14:textId="77777777" w:rsidTr="009970C7">
        <w:trPr>
          <w:cantSplit/>
          <w:trHeight w:val="283"/>
        </w:trPr>
        <w:tc>
          <w:tcPr>
            <w:tcW w:w="11038" w:type="dxa"/>
            <w:gridSpan w:val="9"/>
            <w:tcBorders>
              <w:left w:val="nil"/>
              <w:right w:val="nil"/>
            </w:tcBorders>
            <w:vAlign w:val="center"/>
          </w:tcPr>
          <w:p w14:paraId="64BC1EA6" w14:textId="212B3E46" w:rsidR="0059408F" w:rsidRPr="0006021C" w:rsidRDefault="0059408F" w:rsidP="00FE395C">
            <w:pPr>
              <w:spacing w:after="0" w:line="240" w:lineRule="auto"/>
              <w:rPr>
                <w:rFonts w:eastAsia="Times New Roman" w:cstheme="minorHAnsi"/>
                <w:color w:val="000000"/>
                <w:lang w:eastAsia="en-GB"/>
              </w:rPr>
            </w:pPr>
            <w:bookmarkStart w:id="10" w:name="_Hlk15899682"/>
            <w:r w:rsidRPr="00581AE2">
              <w:rPr>
                <w:rFonts w:eastAsia="Times New Roman" w:cstheme="minorHAnsi"/>
                <w:b/>
                <w:color w:val="000000"/>
                <w:lang w:eastAsia="en-GB"/>
              </w:rPr>
              <w:t>Table 3</w:t>
            </w:r>
            <w:r w:rsidRPr="0006021C">
              <w:rPr>
                <w:rFonts w:eastAsia="Times New Roman" w:cstheme="minorHAnsi"/>
                <w:color w:val="000000"/>
                <w:lang w:eastAsia="en-GB"/>
              </w:rPr>
              <w:t xml:space="preserve"> –</w:t>
            </w:r>
            <w:r>
              <w:rPr>
                <w:rFonts w:eastAsia="Times New Roman" w:cstheme="minorHAnsi"/>
                <w:color w:val="000000"/>
                <w:lang w:eastAsia="en-GB"/>
              </w:rPr>
              <w:t xml:space="preserve"> </w:t>
            </w:r>
            <w:r w:rsidR="00E320D1">
              <w:rPr>
                <w:rFonts w:eastAsia="Times New Roman" w:cstheme="minorHAnsi"/>
                <w:color w:val="000000"/>
                <w:lang w:eastAsia="en-GB"/>
              </w:rPr>
              <w:t xml:space="preserve">Incidence of cancer in children aged &lt;15 years </w:t>
            </w:r>
            <w:r w:rsidR="002522C8">
              <w:rPr>
                <w:rFonts w:eastAsia="Times New Roman" w:cstheme="minorHAnsi"/>
                <w:color w:val="000000"/>
                <w:lang w:eastAsia="en-GB"/>
              </w:rPr>
              <w:t xml:space="preserve">in 2015 </w:t>
            </w:r>
            <w:r w:rsidR="00E320D1">
              <w:rPr>
                <w:rFonts w:eastAsia="Times New Roman" w:cstheme="minorHAnsi"/>
                <w:color w:val="000000"/>
                <w:lang w:eastAsia="en-GB"/>
              </w:rPr>
              <w:t xml:space="preserve">as estimated by </w:t>
            </w:r>
            <w:r w:rsidR="00D312C9">
              <w:rPr>
                <w:rFonts w:eastAsia="Times New Roman" w:cstheme="minorHAnsi"/>
                <w:color w:val="000000"/>
                <w:lang w:eastAsia="en-GB"/>
              </w:rPr>
              <w:t xml:space="preserve">the </w:t>
            </w:r>
            <w:r w:rsidR="00FE395C">
              <w:rPr>
                <w:rFonts w:eastAsia="Times New Roman" w:cstheme="minorHAnsi"/>
                <w:color w:val="000000"/>
                <w:lang w:eastAsia="en-GB"/>
              </w:rPr>
              <w:t xml:space="preserve">Baseline Model (BM) and the </w:t>
            </w:r>
            <w:r w:rsidR="00E320D1">
              <w:rPr>
                <w:rFonts w:eastAsia="Times New Roman" w:cstheme="minorHAnsi"/>
                <w:color w:val="000000"/>
                <w:lang w:eastAsia="en-GB"/>
              </w:rPr>
              <w:t>Global Childhood Cancer (</w:t>
            </w:r>
            <w:r>
              <w:rPr>
                <w:rFonts w:eastAsia="Times New Roman" w:cstheme="minorHAnsi"/>
                <w:color w:val="000000"/>
                <w:lang w:eastAsia="en-GB"/>
              </w:rPr>
              <w:t>GCC</w:t>
            </w:r>
            <w:r w:rsidR="00E320D1">
              <w:rPr>
                <w:rFonts w:eastAsia="Times New Roman" w:cstheme="minorHAnsi"/>
                <w:color w:val="000000"/>
                <w:lang w:eastAsia="en-GB"/>
              </w:rPr>
              <w:t>)</w:t>
            </w:r>
            <w:r>
              <w:rPr>
                <w:rFonts w:eastAsia="Times New Roman" w:cstheme="minorHAnsi"/>
                <w:color w:val="000000"/>
                <w:lang w:eastAsia="en-GB"/>
              </w:rPr>
              <w:t xml:space="preserve"> model </w:t>
            </w:r>
            <w:r w:rsidR="006831EF">
              <w:rPr>
                <w:rFonts w:eastAsia="Times New Roman" w:cstheme="minorHAnsi"/>
                <w:color w:val="000000"/>
                <w:lang w:eastAsia="en-GB"/>
              </w:rPr>
              <w:t>b</w:t>
            </w:r>
            <w:r>
              <w:rPr>
                <w:rFonts w:eastAsia="Times New Roman" w:cstheme="minorHAnsi"/>
                <w:color w:val="000000"/>
                <w:lang w:eastAsia="en-GB"/>
              </w:rPr>
              <w:t xml:space="preserve">y UN region and </w:t>
            </w:r>
            <w:r w:rsidR="00D312C9">
              <w:rPr>
                <w:rFonts w:eastAsia="Times New Roman" w:cstheme="minorHAnsi"/>
                <w:color w:val="000000"/>
                <w:lang w:eastAsia="en-GB"/>
              </w:rPr>
              <w:t>h</w:t>
            </w:r>
            <w:r w:rsidR="00E320D1">
              <w:rPr>
                <w:rFonts w:eastAsia="Times New Roman" w:cstheme="minorHAnsi"/>
                <w:color w:val="000000"/>
                <w:lang w:eastAsia="en-GB"/>
              </w:rPr>
              <w:t xml:space="preserve">uman </w:t>
            </w:r>
            <w:r w:rsidR="00D312C9">
              <w:rPr>
                <w:rFonts w:eastAsia="Times New Roman" w:cstheme="minorHAnsi"/>
                <w:color w:val="000000"/>
                <w:lang w:eastAsia="en-GB"/>
              </w:rPr>
              <w:t>d</w:t>
            </w:r>
            <w:r w:rsidR="00E320D1">
              <w:rPr>
                <w:rFonts w:eastAsia="Times New Roman" w:cstheme="minorHAnsi"/>
                <w:color w:val="000000"/>
                <w:lang w:eastAsia="en-GB"/>
              </w:rPr>
              <w:t xml:space="preserve">evelopment </w:t>
            </w:r>
            <w:r w:rsidR="00D312C9">
              <w:rPr>
                <w:rFonts w:eastAsia="Times New Roman" w:cstheme="minorHAnsi"/>
                <w:color w:val="000000"/>
                <w:lang w:eastAsia="en-GB"/>
              </w:rPr>
              <w:t>i</w:t>
            </w:r>
            <w:r w:rsidR="00E320D1">
              <w:rPr>
                <w:rFonts w:eastAsia="Times New Roman" w:cstheme="minorHAnsi"/>
                <w:color w:val="000000"/>
                <w:lang w:eastAsia="en-GB"/>
              </w:rPr>
              <w:t>ndex (</w:t>
            </w:r>
            <w:r>
              <w:rPr>
                <w:rFonts w:eastAsia="Times New Roman" w:cstheme="minorHAnsi"/>
                <w:color w:val="000000"/>
                <w:lang w:eastAsia="en-GB"/>
              </w:rPr>
              <w:t>HDI</w:t>
            </w:r>
            <w:r w:rsidR="00E320D1">
              <w:rPr>
                <w:rFonts w:eastAsia="Times New Roman" w:cstheme="minorHAnsi"/>
                <w:color w:val="000000"/>
                <w:lang w:eastAsia="en-GB"/>
              </w:rPr>
              <w:t>)</w:t>
            </w:r>
            <w:r>
              <w:rPr>
                <w:rFonts w:eastAsia="Times New Roman" w:cstheme="minorHAnsi"/>
                <w:color w:val="000000"/>
                <w:lang w:eastAsia="en-GB"/>
              </w:rPr>
              <w:t xml:space="preserve"> ordered by </w:t>
            </w:r>
            <w:r w:rsidR="007A6709">
              <w:rPr>
                <w:rFonts w:eastAsia="Times New Roman" w:cstheme="minorHAnsi"/>
                <w:color w:val="000000"/>
                <w:lang w:eastAsia="en-GB"/>
              </w:rPr>
              <w:t xml:space="preserve">the </w:t>
            </w:r>
            <w:r>
              <w:rPr>
                <w:rFonts w:eastAsia="Times New Roman" w:cstheme="minorHAnsi"/>
                <w:color w:val="000000"/>
                <w:lang w:eastAsia="en-GB"/>
              </w:rPr>
              <w:t>scaling factor</w:t>
            </w:r>
            <w:r w:rsidR="007A6709">
              <w:rPr>
                <w:rFonts w:eastAsia="Times New Roman" w:cstheme="minorHAnsi"/>
                <w:color w:val="000000"/>
                <w:lang w:eastAsia="en-GB"/>
              </w:rPr>
              <w:t>†</w:t>
            </w:r>
            <w:r>
              <w:rPr>
                <w:rFonts w:eastAsia="Times New Roman" w:cstheme="minorHAnsi"/>
                <w:color w:val="000000"/>
                <w:lang w:eastAsia="en-GB"/>
              </w:rPr>
              <w:t xml:space="preserve"> required </w:t>
            </w:r>
            <w:r w:rsidR="007A6709">
              <w:rPr>
                <w:rFonts w:eastAsia="Times New Roman" w:cstheme="minorHAnsi"/>
                <w:color w:val="000000"/>
                <w:lang w:eastAsia="en-GB"/>
              </w:rPr>
              <w:t xml:space="preserve">to extrapolate </w:t>
            </w:r>
            <w:r>
              <w:rPr>
                <w:rFonts w:eastAsia="Times New Roman" w:cstheme="minorHAnsi"/>
                <w:color w:val="000000"/>
                <w:lang w:eastAsia="en-GB"/>
              </w:rPr>
              <w:t xml:space="preserve">IICC-3 </w:t>
            </w:r>
            <w:r w:rsidR="007A6709">
              <w:rPr>
                <w:rFonts w:eastAsia="Times New Roman" w:cstheme="minorHAnsi"/>
                <w:color w:val="000000"/>
                <w:lang w:eastAsia="en-GB"/>
              </w:rPr>
              <w:t xml:space="preserve">registry </w:t>
            </w:r>
            <w:r>
              <w:rPr>
                <w:rFonts w:eastAsia="Times New Roman" w:cstheme="minorHAnsi"/>
                <w:color w:val="000000"/>
                <w:lang w:eastAsia="en-GB"/>
              </w:rPr>
              <w:t>data</w:t>
            </w:r>
            <w:r w:rsidR="007A6709">
              <w:rPr>
                <w:rFonts w:eastAsia="Times New Roman" w:cstheme="minorHAnsi"/>
                <w:color w:val="000000"/>
                <w:lang w:eastAsia="en-GB"/>
              </w:rPr>
              <w:t xml:space="preserve"> to all countries in a UN region or HDI group</w:t>
            </w:r>
            <w:r>
              <w:rPr>
                <w:rFonts w:eastAsia="Times New Roman" w:cstheme="minorHAnsi"/>
                <w:color w:val="000000"/>
                <w:lang w:eastAsia="en-GB"/>
              </w:rPr>
              <w:t xml:space="preserve">. </w:t>
            </w:r>
            <w:bookmarkEnd w:id="10"/>
          </w:p>
        </w:tc>
      </w:tr>
      <w:tr w:rsidR="0059408F" w:rsidRPr="0006021C" w14:paraId="2F8EC186" w14:textId="77777777" w:rsidTr="009970C7">
        <w:trPr>
          <w:cantSplit/>
          <w:trHeight w:val="283"/>
        </w:trPr>
        <w:tc>
          <w:tcPr>
            <w:tcW w:w="4232" w:type="dxa"/>
            <w:gridSpan w:val="2"/>
            <w:vMerge w:val="restart"/>
            <w:tcBorders>
              <w:top w:val="single" w:sz="12" w:space="0" w:color="auto"/>
              <w:left w:val="nil"/>
              <w:right w:val="nil"/>
            </w:tcBorders>
            <w:vAlign w:val="center"/>
          </w:tcPr>
          <w:p w14:paraId="6D30FDA1" w14:textId="77777777" w:rsidR="0059408F" w:rsidRPr="0006021C" w:rsidRDefault="0059408F" w:rsidP="003442F4">
            <w:pPr>
              <w:spacing w:after="0" w:line="240" w:lineRule="auto"/>
              <w:jc w:val="center"/>
              <w:rPr>
                <w:rFonts w:eastAsia="Times New Roman" w:cstheme="minorHAnsi"/>
                <w:color w:val="000000"/>
                <w:lang w:eastAsia="en-GB"/>
              </w:rPr>
            </w:pPr>
            <w:r w:rsidRPr="0006021C">
              <w:rPr>
                <w:rFonts w:eastAsia="Times New Roman" w:cstheme="minorHAnsi"/>
                <w:color w:val="000000"/>
                <w:lang w:eastAsia="en-GB"/>
              </w:rPr>
              <w:t>Region</w:t>
            </w:r>
          </w:p>
        </w:tc>
        <w:tc>
          <w:tcPr>
            <w:tcW w:w="1138" w:type="dxa"/>
            <w:vMerge w:val="restart"/>
            <w:tcBorders>
              <w:top w:val="single" w:sz="12" w:space="0" w:color="auto"/>
              <w:left w:val="nil"/>
              <w:right w:val="nil"/>
            </w:tcBorders>
            <w:vAlign w:val="center"/>
          </w:tcPr>
          <w:p w14:paraId="0B7EF35E" w14:textId="77777777" w:rsidR="0059408F" w:rsidRPr="0006021C" w:rsidRDefault="0059408F" w:rsidP="003442F4">
            <w:pPr>
              <w:spacing w:after="0" w:line="240" w:lineRule="auto"/>
              <w:jc w:val="center"/>
              <w:rPr>
                <w:rFonts w:eastAsia="Times New Roman" w:cstheme="minorHAnsi"/>
                <w:color w:val="000000"/>
                <w:lang w:eastAsia="en-GB"/>
              </w:rPr>
            </w:pPr>
            <w:r>
              <w:rPr>
                <w:rFonts w:eastAsia="Times New Roman" w:cstheme="minorHAnsi"/>
                <w:color w:val="000000"/>
                <w:lang w:eastAsia="en-GB"/>
              </w:rPr>
              <w:t>Scaling Factor†</w:t>
            </w:r>
          </w:p>
        </w:tc>
        <w:tc>
          <w:tcPr>
            <w:tcW w:w="3791" w:type="dxa"/>
            <w:gridSpan w:val="4"/>
            <w:tcBorders>
              <w:top w:val="single" w:sz="12" w:space="0" w:color="auto"/>
              <w:left w:val="nil"/>
              <w:bottom w:val="nil"/>
              <w:right w:val="nil"/>
            </w:tcBorders>
            <w:shd w:val="clear" w:color="auto" w:fill="auto"/>
            <w:noWrap/>
            <w:vAlign w:val="center"/>
          </w:tcPr>
          <w:p w14:paraId="204B0397" w14:textId="2344E3D2" w:rsidR="0059408F" w:rsidRPr="0006021C" w:rsidRDefault="0059408F" w:rsidP="003442F4">
            <w:pPr>
              <w:spacing w:after="0" w:line="240" w:lineRule="auto"/>
              <w:jc w:val="center"/>
              <w:rPr>
                <w:rFonts w:eastAsia="Times New Roman" w:cstheme="minorHAnsi"/>
                <w:color w:val="000000"/>
                <w:lang w:eastAsia="en-GB"/>
              </w:rPr>
            </w:pPr>
            <w:r w:rsidRPr="0006021C">
              <w:rPr>
                <w:rFonts w:eastAsia="Times New Roman" w:cstheme="minorHAnsi"/>
                <w:color w:val="000000"/>
                <w:lang w:eastAsia="en-GB"/>
              </w:rPr>
              <w:t xml:space="preserve">Estimated </w:t>
            </w:r>
            <w:r>
              <w:rPr>
                <w:rFonts w:eastAsia="Times New Roman" w:cstheme="minorHAnsi"/>
                <w:color w:val="000000"/>
                <w:lang w:eastAsia="en-GB"/>
              </w:rPr>
              <w:t>cancers</w:t>
            </w:r>
            <w:r w:rsidRPr="0006021C">
              <w:rPr>
                <w:rFonts w:eastAsia="Times New Roman" w:cstheme="minorHAnsi"/>
                <w:color w:val="000000"/>
                <w:lang w:eastAsia="en-GB"/>
              </w:rPr>
              <w:t xml:space="preserve"> </w:t>
            </w:r>
          </w:p>
        </w:tc>
        <w:tc>
          <w:tcPr>
            <w:tcW w:w="1877" w:type="dxa"/>
            <w:gridSpan w:val="2"/>
            <w:tcBorders>
              <w:top w:val="single" w:sz="12" w:space="0" w:color="auto"/>
              <w:left w:val="nil"/>
              <w:bottom w:val="nil"/>
              <w:right w:val="nil"/>
            </w:tcBorders>
            <w:shd w:val="clear" w:color="auto" w:fill="auto"/>
            <w:noWrap/>
            <w:vAlign w:val="center"/>
          </w:tcPr>
          <w:p w14:paraId="78D5724C" w14:textId="41740EFD" w:rsidR="0059408F" w:rsidRPr="0006021C" w:rsidRDefault="0059408F" w:rsidP="004732CE">
            <w:pPr>
              <w:spacing w:after="0" w:line="240" w:lineRule="auto"/>
              <w:jc w:val="center"/>
              <w:rPr>
                <w:rFonts w:eastAsia="Times New Roman" w:cstheme="minorHAnsi"/>
                <w:color w:val="000000"/>
                <w:lang w:eastAsia="en-GB"/>
              </w:rPr>
            </w:pPr>
            <w:r w:rsidRPr="0006021C">
              <w:rPr>
                <w:rFonts w:eastAsia="Times New Roman" w:cstheme="minorHAnsi"/>
                <w:color w:val="000000"/>
                <w:lang w:eastAsia="en-GB"/>
              </w:rPr>
              <w:t>Difference</w:t>
            </w:r>
          </w:p>
        </w:tc>
      </w:tr>
      <w:tr w:rsidR="0059408F" w:rsidRPr="0006021C" w14:paraId="74294B21" w14:textId="77777777" w:rsidTr="009970C7">
        <w:trPr>
          <w:cantSplit/>
          <w:trHeight w:val="283"/>
        </w:trPr>
        <w:tc>
          <w:tcPr>
            <w:tcW w:w="4232" w:type="dxa"/>
            <w:gridSpan w:val="2"/>
            <w:vMerge/>
            <w:tcBorders>
              <w:left w:val="nil"/>
              <w:bottom w:val="single" w:sz="12" w:space="0" w:color="auto"/>
              <w:right w:val="nil"/>
            </w:tcBorders>
            <w:vAlign w:val="center"/>
          </w:tcPr>
          <w:p w14:paraId="12A30B86" w14:textId="77777777" w:rsidR="0059408F" w:rsidRPr="0006021C" w:rsidRDefault="0059408F" w:rsidP="003442F4">
            <w:pPr>
              <w:spacing w:after="0" w:line="240" w:lineRule="auto"/>
              <w:jc w:val="center"/>
              <w:rPr>
                <w:rFonts w:eastAsia="Times New Roman" w:cstheme="minorHAnsi"/>
                <w:color w:val="000000"/>
                <w:lang w:eastAsia="en-GB"/>
              </w:rPr>
            </w:pPr>
          </w:p>
        </w:tc>
        <w:tc>
          <w:tcPr>
            <w:tcW w:w="1138" w:type="dxa"/>
            <w:vMerge/>
            <w:tcBorders>
              <w:left w:val="nil"/>
              <w:bottom w:val="single" w:sz="12" w:space="0" w:color="auto"/>
              <w:right w:val="nil"/>
            </w:tcBorders>
            <w:vAlign w:val="center"/>
          </w:tcPr>
          <w:p w14:paraId="13FDBEFE" w14:textId="77777777" w:rsidR="0059408F" w:rsidRPr="0006021C" w:rsidRDefault="0059408F" w:rsidP="003442F4">
            <w:pPr>
              <w:spacing w:after="0" w:line="240" w:lineRule="auto"/>
              <w:jc w:val="center"/>
              <w:rPr>
                <w:rFonts w:eastAsia="Times New Roman" w:cstheme="minorHAnsi"/>
                <w:color w:val="000000"/>
                <w:lang w:eastAsia="en-GB"/>
              </w:rPr>
            </w:pPr>
          </w:p>
        </w:tc>
        <w:tc>
          <w:tcPr>
            <w:tcW w:w="1895" w:type="dxa"/>
            <w:gridSpan w:val="2"/>
            <w:tcBorders>
              <w:top w:val="nil"/>
              <w:left w:val="nil"/>
              <w:bottom w:val="single" w:sz="12" w:space="0" w:color="auto"/>
              <w:right w:val="nil"/>
            </w:tcBorders>
            <w:shd w:val="clear" w:color="auto" w:fill="auto"/>
            <w:noWrap/>
            <w:vAlign w:val="center"/>
            <w:hideMark/>
          </w:tcPr>
          <w:p w14:paraId="0894C94E" w14:textId="37473BCA" w:rsidR="0059408F" w:rsidRPr="0006021C" w:rsidRDefault="0059408F" w:rsidP="003442F4">
            <w:pPr>
              <w:spacing w:after="0" w:line="240" w:lineRule="auto"/>
              <w:jc w:val="center"/>
              <w:rPr>
                <w:rFonts w:eastAsia="Times New Roman" w:cstheme="minorHAnsi"/>
                <w:color w:val="000000"/>
                <w:lang w:eastAsia="en-GB"/>
              </w:rPr>
            </w:pPr>
            <w:r>
              <w:rPr>
                <w:rFonts w:eastAsia="Times New Roman" w:cstheme="minorHAnsi"/>
                <w:color w:val="000000"/>
                <w:lang w:eastAsia="en-GB"/>
              </w:rPr>
              <w:t>BM</w:t>
            </w:r>
            <w:r w:rsidR="00FE395C">
              <w:rPr>
                <w:rFonts w:eastAsia="Times New Roman" w:cstheme="minorHAnsi"/>
                <w:color w:val="000000"/>
                <w:lang w:eastAsia="en-GB"/>
              </w:rPr>
              <w:t xml:space="preserve"> (%)</w:t>
            </w:r>
          </w:p>
        </w:tc>
        <w:tc>
          <w:tcPr>
            <w:tcW w:w="1896" w:type="dxa"/>
            <w:gridSpan w:val="2"/>
            <w:tcBorders>
              <w:top w:val="nil"/>
              <w:left w:val="nil"/>
              <w:bottom w:val="single" w:sz="12" w:space="0" w:color="auto"/>
              <w:right w:val="nil"/>
            </w:tcBorders>
            <w:shd w:val="clear" w:color="auto" w:fill="auto"/>
            <w:noWrap/>
            <w:vAlign w:val="center"/>
            <w:hideMark/>
          </w:tcPr>
          <w:p w14:paraId="4EFB5D32" w14:textId="11B0A9F0" w:rsidR="0059408F" w:rsidRPr="0006021C" w:rsidRDefault="00FE395C" w:rsidP="003442F4">
            <w:pPr>
              <w:spacing w:after="0" w:line="240" w:lineRule="auto"/>
              <w:jc w:val="center"/>
              <w:rPr>
                <w:rFonts w:eastAsia="Times New Roman" w:cstheme="minorHAnsi"/>
                <w:color w:val="000000"/>
                <w:lang w:eastAsia="en-GB"/>
              </w:rPr>
            </w:pPr>
            <w:r>
              <w:rPr>
                <w:rFonts w:eastAsia="Times New Roman" w:cstheme="minorHAnsi"/>
                <w:color w:val="000000"/>
                <w:lang w:eastAsia="en-GB"/>
              </w:rPr>
              <w:t>GCC model (%)</w:t>
            </w:r>
          </w:p>
        </w:tc>
        <w:tc>
          <w:tcPr>
            <w:tcW w:w="1877" w:type="dxa"/>
            <w:gridSpan w:val="2"/>
            <w:tcBorders>
              <w:top w:val="nil"/>
              <w:left w:val="nil"/>
              <w:bottom w:val="single" w:sz="12" w:space="0" w:color="auto"/>
              <w:right w:val="nil"/>
            </w:tcBorders>
            <w:shd w:val="clear" w:color="auto" w:fill="auto"/>
            <w:noWrap/>
            <w:vAlign w:val="center"/>
            <w:hideMark/>
          </w:tcPr>
          <w:p w14:paraId="1C333948" w14:textId="77777777" w:rsidR="0059408F" w:rsidRPr="0006021C" w:rsidRDefault="0059408F" w:rsidP="003442F4">
            <w:pPr>
              <w:spacing w:after="0" w:line="240" w:lineRule="auto"/>
              <w:jc w:val="center"/>
              <w:rPr>
                <w:rFonts w:eastAsia="Times New Roman" w:cstheme="minorHAnsi"/>
                <w:color w:val="000000"/>
                <w:lang w:eastAsia="en-GB"/>
              </w:rPr>
            </w:pPr>
            <w:r w:rsidRPr="0006021C">
              <w:rPr>
                <w:rFonts w:eastAsia="Times New Roman" w:cstheme="minorHAnsi"/>
                <w:color w:val="000000"/>
                <w:lang w:eastAsia="en-GB"/>
              </w:rPr>
              <w:t>N</w:t>
            </w:r>
            <w:r>
              <w:rPr>
                <w:rFonts w:eastAsia="Times New Roman" w:cstheme="minorHAnsi"/>
                <w:color w:val="000000"/>
                <w:lang w:eastAsia="en-GB"/>
              </w:rPr>
              <w:t xml:space="preserve"> (</w:t>
            </w:r>
            <w:r w:rsidRPr="0006021C">
              <w:rPr>
                <w:rFonts w:eastAsia="Times New Roman" w:cstheme="minorHAnsi"/>
                <w:color w:val="000000"/>
                <w:lang w:eastAsia="en-GB"/>
              </w:rPr>
              <w:t>%</w:t>
            </w:r>
            <w:r>
              <w:rPr>
                <w:rFonts w:eastAsia="Times New Roman" w:cstheme="minorHAnsi"/>
                <w:color w:val="000000"/>
                <w:lang w:eastAsia="en-GB"/>
              </w:rPr>
              <w:t>)</w:t>
            </w:r>
          </w:p>
        </w:tc>
      </w:tr>
      <w:tr w:rsidR="00C04064" w:rsidRPr="00061491" w14:paraId="70CC1902" w14:textId="77777777" w:rsidTr="009970C7">
        <w:trPr>
          <w:cantSplit/>
          <w:trHeight w:val="283"/>
        </w:trPr>
        <w:tc>
          <w:tcPr>
            <w:tcW w:w="1578" w:type="dxa"/>
            <w:tcBorders>
              <w:top w:val="nil"/>
              <w:left w:val="nil"/>
              <w:bottom w:val="nil"/>
              <w:right w:val="nil"/>
            </w:tcBorders>
            <w:shd w:val="clear" w:color="auto" w:fill="auto"/>
            <w:vAlign w:val="center"/>
          </w:tcPr>
          <w:p w14:paraId="6F34383B" w14:textId="77777777" w:rsidR="00C04064" w:rsidRPr="00061491" w:rsidRDefault="00C04064" w:rsidP="00C04064">
            <w:pPr>
              <w:spacing w:after="0" w:line="240" w:lineRule="auto"/>
              <w:jc w:val="center"/>
              <w:rPr>
                <w:rFonts w:eastAsia="Times New Roman" w:cstheme="minorHAnsi"/>
                <w:color w:val="000000"/>
                <w:lang w:eastAsia="en-GB"/>
              </w:rPr>
            </w:pPr>
            <w:r>
              <w:rPr>
                <w:rFonts w:eastAsia="Times New Roman" w:cstheme="minorHAnsi"/>
                <w:color w:val="000000"/>
                <w:lang w:eastAsia="en-GB"/>
              </w:rPr>
              <w:t>World</w:t>
            </w:r>
          </w:p>
        </w:tc>
        <w:tc>
          <w:tcPr>
            <w:tcW w:w="2654" w:type="dxa"/>
            <w:tcBorders>
              <w:top w:val="nil"/>
              <w:left w:val="nil"/>
              <w:bottom w:val="nil"/>
              <w:right w:val="nil"/>
            </w:tcBorders>
            <w:shd w:val="clear" w:color="auto" w:fill="auto"/>
            <w:vAlign w:val="center"/>
          </w:tcPr>
          <w:p w14:paraId="415E2A64" w14:textId="77777777" w:rsidR="00C04064" w:rsidRPr="00061491" w:rsidRDefault="00C04064" w:rsidP="00C04064">
            <w:pPr>
              <w:spacing w:after="0" w:line="240" w:lineRule="auto"/>
              <w:jc w:val="center"/>
              <w:rPr>
                <w:rFonts w:eastAsia="Times New Roman" w:cstheme="minorHAnsi"/>
                <w:color w:val="000000"/>
                <w:lang w:eastAsia="en-GB"/>
              </w:rPr>
            </w:pPr>
          </w:p>
        </w:tc>
        <w:tc>
          <w:tcPr>
            <w:tcW w:w="1138" w:type="dxa"/>
            <w:tcBorders>
              <w:top w:val="nil"/>
              <w:left w:val="nil"/>
              <w:bottom w:val="nil"/>
              <w:right w:val="nil"/>
            </w:tcBorders>
            <w:shd w:val="clear" w:color="auto" w:fill="auto"/>
            <w:vAlign w:val="bottom"/>
          </w:tcPr>
          <w:p w14:paraId="548D1B03" w14:textId="41F46C1F" w:rsidR="00C04064" w:rsidRPr="00061491" w:rsidRDefault="00C04064" w:rsidP="00C04064">
            <w:pPr>
              <w:contextualSpacing/>
              <w:jc w:val="center"/>
            </w:pPr>
            <w:r>
              <w:rPr>
                <w:rFonts w:ascii="Calibri" w:hAnsi="Calibri" w:cs="Calibri"/>
                <w:color w:val="000000"/>
              </w:rPr>
              <w:t>8.34</w:t>
            </w:r>
          </w:p>
        </w:tc>
        <w:tc>
          <w:tcPr>
            <w:tcW w:w="947" w:type="dxa"/>
            <w:tcBorders>
              <w:top w:val="nil"/>
              <w:left w:val="nil"/>
              <w:bottom w:val="nil"/>
              <w:right w:val="nil"/>
            </w:tcBorders>
            <w:shd w:val="clear" w:color="auto" w:fill="auto"/>
            <w:noWrap/>
            <w:vAlign w:val="bottom"/>
          </w:tcPr>
          <w:p w14:paraId="44523661" w14:textId="58E4B33B" w:rsidR="00C04064" w:rsidRPr="00061491" w:rsidRDefault="00C04064" w:rsidP="00C04064">
            <w:pPr>
              <w:contextualSpacing/>
              <w:jc w:val="center"/>
            </w:pPr>
            <w:r>
              <w:rPr>
                <w:rFonts w:ascii="Calibri" w:hAnsi="Calibri" w:cs="Calibri"/>
                <w:color w:val="000000"/>
              </w:rPr>
              <w:t>360,114</w:t>
            </w:r>
          </w:p>
        </w:tc>
        <w:tc>
          <w:tcPr>
            <w:tcW w:w="948" w:type="dxa"/>
            <w:tcBorders>
              <w:top w:val="nil"/>
              <w:left w:val="nil"/>
              <w:bottom w:val="nil"/>
              <w:right w:val="nil"/>
            </w:tcBorders>
            <w:shd w:val="clear" w:color="auto" w:fill="auto"/>
            <w:vAlign w:val="bottom"/>
          </w:tcPr>
          <w:p w14:paraId="20FCFD7C" w14:textId="58BCD3B2" w:rsidR="00C04064" w:rsidRPr="00061491" w:rsidRDefault="00C04064" w:rsidP="00C04064">
            <w:pPr>
              <w:contextualSpacing/>
            </w:pPr>
            <w:r>
              <w:rPr>
                <w:rFonts w:ascii="Calibri" w:hAnsi="Calibri" w:cs="Calibri"/>
                <w:color w:val="000000"/>
              </w:rPr>
              <w:t>(100.0)</w:t>
            </w:r>
          </w:p>
        </w:tc>
        <w:tc>
          <w:tcPr>
            <w:tcW w:w="948" w:type="dxa"/>
            <w:tcBorders>
              <w:top w:val="nil"/>
              <w:left w:val="nil"/>
              <w:bottom w:val="nil"/>
              <w:right w:val="nil"/>
            </w:tcBorders>
            <w:shd w:val="clear" w:color="auto" w:fill="auto"/>
            <w:noWrap/>
            <w:vAlign w:val="bottom"/>
          </w:tcPr>
          <w:p w14:paraId="24953426" w14:textId="5F1237C4" w:rsidR="00C04064" w:rsidRPr="00061491" w:rsidRDefault="00C04064" w:rsidP="00C04064">
            <w:pPr>
              <w:contextualSpacing/>
              <w:jc w:val="center"/>
            </w:pPr>
            <w:r>
              <w:rPr>
                <w:rFonts w:ascii="Calibri" w:hAnsi="Calibri" w:cs="Calibri"/>
                <w:color w:val="000000"/>
              </w:rPr>
              <w:t>396,670</w:t>
            </w:r>
          </w:p>
        </w:tc>
        <w:tc>
          <w:tcPr>
            <w:tcW w:w="948" w:type="dxa"/>
            <w:tcBorders>
              <w:top w:val="nil"/>
              <w:left w:val="nil"/>
              <w:bottom w:val="nil"/>
              <w:right w:val="nil"/>
            </w:tcBorders>
            <w:shd w:val="clear" w:color="auto" w:fill="auto"/>
            <w:vAlign w:val="bottom"/>
          </w:tcPr>
          <w:p w14:paraId="0AFE4ED4" w14:textId="58F24DD1" w:rsidR="00C04064" w:rsidRPr="00061491" w:rsidRDefault="00C04064" w:rsidP="00C04064">
            <w:pPr>
              <w:contextualSpacing/>
            </w:pPr>
            <w:r>
              <w:rPr>
                <w:rFonts w:ascii="Calibri" w:hAnsi="Calibri" w:cs="Calibri"/>
                <w:color w:val="000000"/>
              </w:rPr>
              <w:t>(100.0)</w:t>
            </w:r>
          </w:p>
        </w:tc>
        <w:tc>
          <w:tcPr>
            <w:tcW w:w="960" w:type="dxa"/>
            <w:tcBorders>
              <w:top w:val="nil"/>
              <w:left w:val="nil"/>
              <w:bottom w:val="nil"/>
              <w:right w:val="nil"/>
            </w:tcBorders>
            <w:shd w:val="clear" w:color="auto" w:fill="auto"/>
            <w:noWrap/>
            <w:vAlign w:val="bottom"/>
          </w:tcPr>
          <w:p w14:paraId="5922D742" w14:textId="62A02F2E" w:rsidR="00C04064" w:rsidRPr="00061491" w:rsidRDefault="00C04064" w:rsidP="00C04064">
            <w:pPr>
              <w:contextualSpacing/>
              <w:jc w:val="center"/>
            </w:pPr>
            <w:r>
              <w:rPr>
                <w:rFonts w:ascii="Calibri" w:hAnsi="Calibri" w:cs="Calibri"/>
                <w:color w:val="000000"/>
              </w:rPr>
              <w:t>36,556</w:t>
            </w:r>
          </w:p>
        </w:tc>
        <w:tc>
          <w:tcPr>
            <w:tcW w:w="917" w:type="dxa"/>
            <w:tcBorders>
              <w:top w:val="nil"/>
              <w:left w:val="nil"/>
              <w:bottom w:val="nil"/>
              <w:right w:val="nil"/>
            </w:tcBorders>
            <w:shd w:val="clear" w:color="auto" w:fill="auto"/>
            <w:noWrap/>
            <w:vAlign w:val="bottom"/>
          </w:tcPr>
          <w:p w14:paraId="28A8DA51" w14:textId="363ED2E6" w:rsidR="00C04064" w:rsidRPr="00061491" w:rsidRDefault="00C04064" w:rsidP="00C04064">
            <w:pPr>
              <w:contextualSpacing/>
            </w:pPr>
            <w:r>
              <w:rPr>
                <w:rFonts w:ascii="Calibri" w:hAnsi="Calibri" w:cs="Calibri"/>
                <w:color w:val="000000"/>
              </w:rPr>
              <w:t>(10.2)</w:t>
            </w:r>
          </w:p>
        </w:tc>
      </w:tr>
      <w:tr w:rsidR="00C04064" w:rsidRPr="00061491" w14:paraId="4DDD3C9B" w14:textId="77777777" w:rsidTr="009970C7">
        <w:trPr>
          <w:cantSplit/>
          <w:trHeight w:val="283"/>
        </w:trPr>
        <w:tc>
          <w:tcPr>
            <w:tcW w:w="4232" w:type="dxa"/>
            <w:gridSpan w:val="2"/>
            <w:tcBorders>
              <w:top w:val="nil"/>
              <w:left w:val="nil"/>
              <w:bottom w:val="nil"/>
              <w:right w:val="nil"/>
            </w:tcBorders>
            <w:shd w:val="clear" w:color="auto" w:fill="auto"/>
            <w:vAlign w:val="center"/>
          </w:tcPr>
          <w:p w14:paraId="60E85BC8" w14:textId="77777777" w:rsidR="00C04064" w:rsidRDefault="00C04064" w:rsidP="00C04064">
            <w:pPr>
              <w:spacing w:after="0" w:line="240" w:lineRule="auto"/>
              <w:jc w:val="center"/>
              <w:rPr>
                <w:rFonts w:eastAsia="Times New Roman" w:cstheme="minorHAnsi"/>
                <w:color w:val="000000"/>
                <w:lang w:eastAsia="en-GB"/>
              </w:rPr>
            </w:pPr>
          </w:p>
        </w:tc>
        <w:tc>
          <w:tcPr>
            <w:tcW w:w="1138" w:type="dxa"/>
            <w:tcBorders>
              <w:left w:val="nil"/>
              <w:right w:val="nil"/>
            </w:tcBorders>
            <w:vAlign w:val="center"/>
          </w:tcPr>
          <w:p w14:paraId="4D1603D0" w14:textId="77777777" w:rsidR="00C04064" w:rsidRPr="00061491" w:rsidRDefault="00C04064" w:rsidP="00C04064">
            <w:pPr>
              <w:contextualSpacing/>
              <w:jc w:val="center"/>
            </w:pPr>
          </w:p>
        </w:tc>
        <w:tc>
          <w:tcPr>
            <w:tcW w:w="947" w:type="dxa"/>
            <w:tcBorders>
              <w:top w:val="nil"/>
              <w:left w:val="nil"/>
              <w:bottom w:val="nil"/>
              <w:right w:val="nil"/>
            </w:tcBorders>
            <w:shd w:val="clear" w:color="auto" w:fill="auto"/>
            <w:noWrap/>
            <w:vAlign w:val="center"/>
          </w:tcPr>
          <w:p w14:paraId="609D1B93" w14:textId="77777777" w:rsidR="00C04064" w:rsidRPr="00061491" w:rsidRDefault="00C04064" w:rsidP="00C04064">
            <w:pPr>
              <w:contextualSpacing/>
              <w:jc w:val="center"/>
            </w:pPr>
          </w:p>
        </w:tc>
        <w:tc>
          <w:tcPr>
            <w:tcW w:w="948" w:type="dxa"/>
            <w:tcBorders>
              <w:top w:val="nil"/>
              <w:left w:val="nil"/>
              <w:bottom w:val="nil"/>
              <w:right w:val="nil"/>
            </w:tcBorders>
            <w:shd w:val="clear" w:color="auto" w:fill="auto"/>
            <w:vAlign w:val="center"/>
          </w:tcPr>
          <w:p w14:paraId="0637CE84" w14:textId="77777777" w:rsidR="00C04064" w:rsidRPr="00061491" w:rsidRDefault="00C04064" w:rsidP="00C04064">
            <w:pPr>
              <w:contextualSpacing/>
            </w:pPr>
          </w:p>
        </w:tc>
        <w:tc>
          <w:tcPr>
            <w:tcW w:w="948" w:type="dxa"/>
            <w:tcBorders>
              <w:top w:val="nil"/>
              <w:left w:val="nil"/>
              <w:bottom w:val="nil"/>
              <w:right w:val="nil"/>
            </w:tcBorders>
            <w:shd w:val="clear" w:color="auto" w:fill="auto"/>
            <w:noWrap/>
            <w:vAlign w:val="center"/>
          </w:tcPr>
          <w:p w14:paraId="25FA57F3" w14:textId="77777777" w:rsidR="00C04064" w:rsidRPr="00061491" w:rsidRDefault="00C04064" w:rsidP="00C04064">
            <w:pPr>
              <w:contextualSpacing/>
              <w:jc w:val="center"/>
            </w:pPr>
          </w:p>
        </w:tc>
        <w:tc>
          <w:tcPr>
            <w:tcW w:w="948" w:type="dxa"/>
            <w:tcBorders>
              <w:top w:val="nil"/>
              <w:left w:val="nil"/>
              <w:bottom w:val="nil"/>
              <w:right w:val="nil"/>
            </w:tcBorders>
            <w:shd w:val="clear" w:color="auto" w:fill="auto"/>
            <w:vAlign w:val="center"/>
          </w:tcPr>
          <w:p w14:paraId="100CCF62" w14:textId="77777777" w:rsidR="00C04064" w:rsidRPr="00061491" w:rsidRDefault="00C04064" w:rsidP="00C04064">
            <w:pPr>
              <w:contextualSpacing/>
            </w:pPr>
          </w:p>
        </w:tc>
        <w:tc>
          <w:tcPr>
            <w:tcW w:w="960" w:type="dxa"/>
            <w:tcBorders>
              <w:top w:val="nil"/>
              <w:left w:val="nil"/>
              <w:bottom w:val="nil"/>
              <w:right w:val="nil"/>
            </w:tcBorders>
            <w:shd w:val="clear" w:color="auto" w:fill="auto"/>
            <w:noWrap/>
            <w:vAlign w:val="center"/>
          </w:tcPr>
          <w:p w14:paraId="567CAEBA" w14:textId="77777777" w:rsidR="00C04064" w:rsidRPr="00061491" w:rsidRDefault="00C04064" w:rsidP="00C04064">
            <w:pPr>
              <w:contextualSpacing/>
              <w:jc w:val="center"/>
            </w:pPr>
          </w:p>
        </w:tc>
        <w:tc>
          <w:tcPr>
            <w:tcW w:w="917" w:type="dxa"/>
            <w:tcBorders>
              <w:top w:val="nil"/>
              <w:left w:val="nil"/>
              <w:bottom w:val="nil"/>
              <w:right w:val="nil"/>
            </w:tcBorders>
            <w:shd w:val="clear" w:color="auto" w:fill="auto"/>
            <w:noWrap/>
            <w:vAlign w:val="center"/>
          </w:tcPr>
          <w:p w14:paraId="08480465" w14:textId="77777777" w:rsidR="00C04064" w:rsidRPr="00061491" w:rsidRDefault="00C04064" w:rsidP="00C04064">
            <w:pPr>
              <w:contextualSpacing/>
            </w:pPr>
          </w:p>
        </w:tc>
      </w:tr>
      <w:tr w:rsidR="00C04064" w:rsidRPr="00061491" w14:paraId="6FAB5099" w14:textId="77777777" w:rsidTr="009970C7">
        <w:trPr>
          <w:cantSplit/>
          <w:trHeight w:val="283"/>
        </w:trPr>
        <w:tc>
          <w:tcPr>
            <w:tcW w:w="1578" w:type="dxa"/>
            <w:vMerge w:val="restart"/>
            <w:tcBorders>
              <w:top w:val="nil"/>
              <w:left w:val="nil"/>
              <w:right w:val="nil"/>
            </w:tcBorders>
            <w:shd w:val="clear" w:color="auto" w:fill="auto"/>
          </w:tcPr>
          <w:p w14:paraId="3B6ADCB4" w14:textId="77777777" w:rsidR="00C04064" w:rsidRPr="00061491" w:rsidRDefault="00C04064" w:rsidP="00C04064">
            <w:pPr>
              <w:spacing w:after="0" w:line="240" w:lineRule="auto"/>
              <w:jc w:val="center"/>
              <w:rPr>
                <w:rFonts w:eastAsia="Times New Roman" w:cstheme="minorHAnsi"/>
                <w:color w:val="000000"/>
                <w:lang w:eastAsia="en-GB"/>
              </w:rPr>
            </w:pPr>
            <w:r w:rsidRPr="00061491">
              <w:rPr>
                <w:rFonts w:eastAsia="Times New Roman" w:cstheme="minorHAnsi"/>
                <w:color w:val="000000"/>
                <w:lang w:eastAsia="en-GB"/>
              </w:rPr>
              <w:t>UN Region</w:t>
            </w:r>
          </w:p>
        </w:tc>
        <w:tc>
          <w:tcPr>
            <w:tcW w:w="2654" w:type="dxa"/>
            <w:tcBorders>
              <w:top w:val="nil"/>
              <w:left w:val="nil"/>
              <w:bottom w:val="nil"/>
              <w:right w:val="nil"/>
            </w:tcBorders>
            <w:shd w:val="clear" w:color="auto" w:fill="auto"/>
            <w:noWrap/>
            <w:vAlign w:val="bottom"/>
          </w:tcPr>
          <w:p w14:paraId="0DA1A96E" w14:textId="77245363"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Western Africa</w:t>
            </w:r>
          </w:p>
        </w:tc>
        <w:tc>
          <w:tcPr>
            <w:tcW w:w="1138" w:type="dxa"/>
            <w:tcBorders>
              <w:top w:val="nil"/>
              <w:left w:val="nil"/>
              <w:bottom w:val="nil"/>
              <w:right w:val="nil"/>
            </w:tcBorders>
            <w:shd w:val="clear" w:color="auto" w:fill="auto"/>
            <w:vAlign w:val="bottom"/>
          </w:tcPr>
          <w:p w14:paraId="0DED91BE" w14:textId="479FED82" w:rsidR="00C04064" w:rsidRPr="00061491" w:rsidRDefault="00C04064" w:rsidP="00C04064">
            <w:pPr>
              <w:contextualSpacing/>
              <w:jc w:val="center"/>
            </w:pPr>
            <w:r>
              <w:rPr>
                <w:rFonts w:ascii="Calibri" w:hAnsi="Calibri" w:cs="Calibri"/>
                <w:color w:val="000000"/>
              </w:rPr>
              <w:t>213.04</w:t>
            </w:r>
          </w:p>
        </w:tc>
        <w:tc>
          <w:tcPr>
            <w:tcW w:w="947" w:type="dxa"/>
            <w:tcBorders>
              <w:top w:val="nil"/>
              <w:left w:val="nil"/>
              <w:bottom w:val="nil"/>
              <w:right w:val="nil"/>
            </w:tcBorders>
            <w:shd w:val="clear" w:color="auto" w:fill="auto"/>
            <w:noWrap/>
            <w:vAlign w:val="bottom"/>
          </w:tcPr>
          <w:p w14:paraId="6DFCE303" w14:textId="5D676778" w:rsidR="00C04064" w:rsidRPr="00061491" w:rsidRDefault="00C04064" w:rsidP="00C04064">
            <w:pPr>
              <w:contextualSpacing/>
              <w:jc w:val="center"/>
            </w:pPr>
            <w:r>
              <w:rPr>
                <w:rFonts w:ascii="Calibri" w:hAnsi="Calibri" w:cs="Calibri"/>
                <w:color w:val="000000"/>
              </w:rPr>
              <w:t>34,145</w:t>
            </w:r>
          </w:p>
        </w:tc>
        <w:tc>
          <w:tcPr>
            <w:tcW w:w="948" w:type="dxa"/>
            <w:tcBorders>
              <w:top w:val="nil"/>
              <w:left w:val="nil"/>
              <w:bottom w:val="nil"/>
              <w:right w:val="nil"/>
            </w:tcBorders>
            <w:shd w:val="clear" w:color="auto" w:fill="auto"/>
            <w:vAlign w:val="bottom"/>
          </w:tcPr>
          <w:p w14:paraId="199DE4C0" w14:textId="62F95F3A" w:rsidR="00C04064" w:rsidRPr="00061491" w:rsidRDefault="00C04064" w:rsidP="00C04064">
            <w:pPr>
              <w:contextualSpacing/>
            </w:pPr>
            <w:r>
              <w:rPr>
                <w:rFonts w:ascii="Calibri" w:hAnsi="Calibri" w:cs="Calibri"/>
                <w:color w:val="000000"/>
              </w:rPr>
              <w:t>(9.5)</w:t>
            </w:r>
          </w:p>
        </w:tc>
        <w:tc>
          <w:tcPr>
            <w:tcW w:w="948" w:type="dxa"/>
            <w:tcBorders>
              <w:top w:val="nil"/>
              <w:left w:val="nil"/>
              <w:bottom w:val="nil"/>
              <w:right w:val="nil"/>
            </w:tcBorders>
            <w:shd w:val="clear" w:color="auto" w:fill="auto"/>
            <w:noWrap/>
            <w:vAlign w:val="bottom"/>
          </w:tcPr>
          <w:p w14:paraId="595D5A90" w14:textId="13C71ED9" w:rsidR="00C04064" w:rsidRPr="00061491" w:rsidRDefault="00C04064" w:rsidP="00C04064">
            <w:pPr>
              <w:contextualSpacing/>
              <w:jc w:val="center"/>
            </w:pPr>
            <w:r>
              <w:rPr>
                <w:rFonts w:ascii="Calibri" w:hAnsi="Calibri" w:cs="Calibri"/>
                <w:color w:val="000000"/>
              </w:rPr>
              <w:t>66,977</w:t>
            </w:r>
          </w:p>
        </w:tc>
        <w:tc>
          <w:tcPr>
            <w:tcW w:w="948" w:type="dxa"/>
            <w:tcBorders>
              <w:top w:val="nil"/>
              <w:left w:val="nil"/>
              <w:bottom w:val="nil"/>
              <w:right w:val="nil"/>
            </w:tcBorders>
            <w:shd w:val="clear" w:color="auto" w:fill="auto"/>
            <w:vAlign w:val="bottom"/>
          </w:tcPr>
          <w:p w14:paraId="6D6824B8" w14:textId="58F71816" w:rsidR="00C04064" w:rsidRPr="00061491" w:rsidRDefault="00C04064" w:rsidP="00C04064">
            <w:pPr>
              <w:contextualSpacing/>
            </w:pPr>
            <w:r>
              <w:rPr>
                <w:rFonts w:ascii="Calibri" w:hAnsi="Calibri" w:cs="Calibri"/>
                <w:color w:val="000000"/>
              </w:rPr>
              <w:t>(16.9)</w:t>
            </w:r>
          </w:p>
        </w:tc>
        <w:tc>
          <w:tcPr>
            <w:tcW w:w="960" w:type="dxa"/>
            <w:tcBorders>
              <w:top w:val="nil"/>
              <w:left w:val="nil"/>
              <w:bottom w:val="nil"/>
              <w:right w:val="nil"/>
            </w:tcBorders>
            <w:shd w:val="clear" w:color="auto" w:fill="auto"/>
            <w:noWrap/>
            <w:vAlign w:val="bottom"/>
          </w:tcPr>
          <w:p w14:paraId="4F55A1F3" w14:textId="1A63F91C" w:rsidR="00C04064" w:rsidRPr="00061491" w:rsidRDefault="00C04064" w:rsidP="00C04064">
            <w:pPr>
              <w:contextualSpacing/>
              <w:jc w:val="center"/>
            </w:pPr>
            <w:r>
              <w:rPr>
                <w:rFonts w:ascii="Calibri" w:hAnsi="Calibri" w:cs="Calibri"/>
                <w:color w:val="000000"/>
              </w:rPr>
              <w:t>32,832</w:t>
            </w:r>
          </w:p>
        </w:tc>
        <w:tc>
          <w:tcPr>
            <w:tcW w:w="917" w:type="dxa"/>
            <w:tcBorders>
              <w:top w:val="nil"/>
              <w:left w:val="nil"/>
              <w:bottom w:val="nil"/>
              <w:right w:val="nil"/>
            </w:tcBorders>
            <w:shd w:val="clear" w:color="auto" w:fill="auto"/>
            <w:noWrap/>
            <w:vAlign w:val="bottom"/>
          </w:tcPr>
          <w:p w14:paraId="2332D1E7" w14:textId="085856FB" w:rsidR="00C04064" w:rsidRPr="00061491" w:rsidRDefault="00C04064" w:rsidP="00C04064">
            <w:pPr>
              <w:contextualSpacing/>
            </w:pPr>
            <w:r>
              <w:rPr>
                <w:rFonts w:ascii="Calibri" w:hAnsi="Calibri" w:cs="Calibri"/>
                <w:color w:val="000000"/>
              </w:rPr>
              <w:t>(96.2)</w:t>
            </w:r>
          </w:p>
        </w:tc>
      </w:tr>
      <w:tr w:rsidR="00C04064" w:rsidRPr="00061491" w14:paraId="432C238D" w14:textId="77777777" w:rsidTr="009970C7">
        <w:trPr>
          <w:cantSplit/>
          <w:trHeight w:val="283"/>
        </w:trPr>
        <w:tc>
          <w:tcPr>
            <w:tcW w:w="1578" w:type="dxa"/>
            <w:vMerge/>
            <w:tcBorders>
              <w:left w:val="nil"/>
              <w:right w:val="nil"/>
            </w:tcBorders>
            <w:shd w:val="clear" w:color="auto" w:fill="auto"/>
          </w:tcPr>
          <w:p w14:paraId="1A3FFAF1"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238A9EAF" w14:textId="400D8A50"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Middle Africa</w:t>
            </w:r>
          </w:p>
        </w:tc>
        <w:tc>
          <w:tcPr>
            <w:tcW w:w="1138" w:type="dxa"/>
            <w:tcBorders>
              <w:top w:val="nil"/>
              <w:left w:val="nil"/>
              <w:bottom w:val="nil"/>
              <w:right w:val="nil"/>
            </w:tcBorders>
            <w:shd w:val="clear" w:color="auto" w:fill="auto"/>
            <w:vAlign w:val="bottom"/>
          </w:tcPr>
          <w:p w14:paraId="17F65CB8" w14:textId="62800291" w:rsidR="00C04064" w:rsidRPr="00061491" w:rsidRDefault="00C04064" w:rsidP="00C04064">
            <w:pPr>
              <w:contextualSpacing/>
              <w:jc w:val="center"/>
            </w:pPr>
            <w:r>
              <w:rPr>
                <w:rFonts w:ascii="Calibri" w:hAnsi="Calibri" w:cs="Calibri"/>
                <w:color w:val="000000"/>
              </w:rPr>
              <w:t>88.48</w:t>
            </w:r>
          </w:p>
        </w:tc>
        <w:tc>
          <w:tcPr>
            <w:tcW w:w="947" w:type="dxa"/>
            <w:tcBorders>
              <w:top w:val="nil"/>
              <w:left w:val="nil"/>
              <w:bottom w:val="nil"/>
              <w:right w:val="nil"/>
            </w:tcBorders>
            <w:shd w:val="clear" w:color="auto" w:fill="auto"/>
            <w:noWrap/>
            <w:vAlign w:val="bottom"/>
          </w:tcPr>
          <w:p w14:paraId="614FBAB6" w14:textId="63EF56E8" w:rsidR="00C04064" w:rsidRPr="00061491" w:rsidRDefault="00C04064" w:rsidP="00C04064">
            <w:pPr>
              <w:contextualSpacing/>
              <w:jc w:val="center"/>
            </w:pPr>
            <w:r>
              <w:rPr>
                <w:rFonts w:ascii="Calibri" w:hAnsi="Calibri" w:cs="Calibri"/>
                <w:color w:val="000000"/>
              </w:rPr>
              <w:t>15,461</w:t>
            </w:r>
          </w:p>
        </w:tc>
        <w:tc>
          <w:tcPr>
            <w:tcW w:w="948" w:type="dxa"/>
            <w:tcBorders>
              <w:top w:val="nil"/>
              <w:left w:val="nil"/>
              <w:bottom w:val="nil"/>
              <w:right w:val="nil"/>
            </w:tcBorders>
            <w:shd w:val="clear" w:color="auto" w:fill="auto"/>
            <w:vAlign w:val="bottom"/>
          </w:tcPr>
          <w:p w14:paraId="4ABAB6FA" w14:textId="6FE5E123" w:rsidR="00C04064" w:rsidRPr="00061491" w:rsidRDefault="00C04064" w:rsidP="00C04064">
            <w:pPr>
              <w:contextualSpacing/>
            </w:pPr>
            <w:r>
              <w:rPr>
                <w:rFonts w:ascii="Calibri" w:hAnsi="Calibri" w:cs="Calibri"/>
                <w:color w:val="000000"/>
              </w:rPr>
              <w:t>(4.3)</w:t>
            </w:r>
          </w:p>
        </w:tc>
        <w:tc>
          <w:tcPr>
            <w:tcW w:w="948" w:type="dxa"/>
            <w:tcBorders>
              <w:top w:val="nil"/>
              <w:left w:val="nil"/>
              <w:bottom w:val="nil"/>
              <w:right w:val="nil"/>
            </w:tcBorders>
            <w:shd w:val="clear" w:color="auto" w:fill="auto"/>
            <w:noWrap/>
            <w:vAlign w:val="bottom"/>
          </w:tcPr>
          <w:p w14:paraId="780A6D02" w14:textId="60FAFA44" w:rsidR="00C04064" w:rsidRPr="00061491" w:rsidRDefault="00C04064" w:rsidP="00C04064">
            <w:pPr>
              <w:contextualSpacing/>
              <w:jc w:val="center"/>
            </w:pPr>
            <w:r>
              <w:rPr>
                <w:rFonts w:ascii="Calibri" w:hAnsi="Calibri" w:cs="Calibri"/>
                <w:color w:val="000000"/>
              </w:rPr>
              <w:t>20,121</w:t>
            </w:r>
          </w:p>
        </w:tc>
        <w:tc>
          <w:tcPr>
            <w:tcW w:w="948" w:type="dxa"/>
            <w:tcBorders>
              <w:top w:val="nil"/>
              <w:left w:val="nil"/>
              <w:bottom w:val="nil"/>
              <w:right w:val="nil"/>
            </w:tcBorders>
            <w:shd w:val="clear" w:color="auto" w:fill="auto"/>
            <w:vAlign w:val="bottom"/>
          </w:tcPr>
          <w:p w14:paraId="4304DDE9" w14:textId="175FFAF7" w:rsidR="00C04064" w:rsidRPr="00061491" w:rsidRDefault="00C04064" w:rsidP="00C04064">
            <w:pPr>
              <w:contextualSpacing/>
            </w:pPr>
            <w:r>
              <w:rPr>
                <w:rFonts w:ascii="Calibri" w:hAnsi="Calibri" w:cs="Calibri"/>
                <w:color w:val="000000"/>
              </w:rPr>
              <w:t>(5.1)</w:t>
            </w:r>
          </w:p>
        </w:tc>
        <w:tc>
          <w:tcPr>
            <w:tcW w:w="960" w:type="dxa"/>
            <w:tcBorders>
              <w:top w:val="nil"/>
              <w:left w:val="nil"/>
              <w:bottom w:val="nil"/>
              <w:right w:val="nil"/>
            </w:tcBorders>
            <w:shd w:val="clear" w:color="auto" w:fill="auto"/>
            <w:noWrap/>
            <w:vAlign w:val="bottom"/>
          </w:tcPr>
          <w:p w14:paraId="2CC21AF9" w14:textId="582B9DA9" w:rsidR="00C04064" w:rsidRPr="00061491" w:rsidRDefault="00C04064" w:rsidP="00C04064">
            <w:pPr>
              <w:contextualSpacing/>
              <w:jc w:val="center"/>
            </w:pPr>
            <w:r>
              <w:rPr>
                <w:rFonts w:ascii="Calibri" w:hAnsi="Calibri" w:cs="Calibri"/>
                <w:color w:val="000000"/>
              </w:rPr>
              <w:t>4,660</w:t>
            </w:r>
          </w:p>
        </w:tc>
        <w:tc>
          <w:tcPr>
            <w:tcW w:w="917" w:type="dxa"/>
            <w:tcBorders>
              <w:top w:val="nil"/>
              <w:left w:val="nil"/>
              <w:bottom w:val="nil"/>
              <w:right w:val="nil"/>
            </w:tcBorders>
            <w:shd w:val="clear" w:color="auto" w:fill="auto"/>
            <w:noWrap/>
            <w:vAlign w:val="bottom"/>
          </w:tcPr>
          <w:p w14:paraId="2D918871" w14:textId="1C4C449F" w:rsidR="00C04064" w:rsidRPr="00061491" w:rsidRDefault="00C04064" w:rsidP="00C04064">
            <w:pPr>
              <w:contextualSpacing/>
            </w:pPr>
            <w:r>
              <w:rPr>
                <w:rFonts w:ascii="Calibri" w:hAnsi="Calibri" w:cs="Calibri"/>
                <w:color w:val="000000"/>
              </w:rPr>
              <w:t>(30.1)</w:t>
            </w:r>
          </w:p>
        </w:tc>
      </w:tr>
      <w:tr w:rsidR="00C04064" w:rsidRPr="00061491" w14:paraId="15B92DC9" w14:textId="77777777" w:rsidTr="009970C7">
        <w:trPr>
          <w:cantSplit/>
          <w:trHeight w:val="283"/>
        </w:trPr>
        <w:tc>
          <w:tcPr>
            <w:tcW w:w="1578" w:type="dxa"/>
            <w:vMerge/>
            <w:tcBorders>
              <w:left w:val="nil"/>
              <w:right w:val="nil"/>
            </w:tcBorders>
            <w:shd w:val="clear" w:color="auto" w:fill="auto"/>
          </w:tcPr>
          <w:p w14:paraId="0F5CC386"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74C5A359" w14:textId="34F154A4"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Eastern Africa</w:t>
            </w:r>
          </w:p>
        </w:tc>
        <w:tc>
          <w:tcPr>
            <w:tcW w:w="1138" w:type="dxa"/>
            <w:tcBorders>
              <w:top w:val="nil"/>
              <w:left w:val="nil"/>
              <w:bottom w:val="nil"/>
              <w:right w:val="nil"/>
            </w:tcBorders>
            <w:shd w:val="clear" w:color="auto" w:fill="auto"/>
            <w:vAlign w:val="bottom"/>
          </w:tcPr>
          <w:p w14:paraId="5D188BF6" w14:textId="2948D8FE" w:rsidR="00C04064" w:rsidRPr="00061491" w:rsidRDefault="00C04064" w:rsidP="00C04064">
            <w:pPr>
              <w:contextualSpacing/>
              <w:jc w:val="center"/>
            </w:pPr>
            <w:r>
              <w:rPr>
                <w:rFonts w:ascii="Calibri" w:hAnsi="Calibri" w:cs="Calibri"/>
                <w:color w:val="000000"/>
              </w:rPr>
              <w:t>68.77</w:t>
            </w:r>
          </w:p>
        </w:tc>
        <w:tc>
          <w:tcPr>
            <w:tcW w:w="947" w:type="dxa"/>
            <w:tcBorders>
              <w:top w:val="nil"/>
              <w:left w:val="nil"/>
              <w:bottom w:val="nil"/>
              <w:right w:val="nil"/>
            </w:tcBorders>
            <w:shd w:val="clear" w:color="auto" w:fill="auto"/>
            <w:noWrap/>
            <w:vAlign w:val="bottom"/>
          </w:tcPr>
          <w:p w14:paraId="11BE354F" w14:textId="6AB951B3" w:rsidR="00C04064" w:rsidRPr="00061491" w:rsidRDefault="00C04064" w:rsidP="00C04064">
            <w:pPr>
              <w:contextualSpacing/>
              <w:jc w:val="center"/>
            </w:pPr>
            <w:r>
              <w:rPr>
                <w:rFonts w:ascii="Calibri" w:hAnsi="Calibri" w:cs="Calibri"/>
                <w:color w:val="000000"/>
              </w:rPr>
              <w:t>35,278</w:t>
            </w:r>
          </w:p>
        </w:tc>
        <w:tc>
          <w:tcPr>
            <w:tcW w:w="948" w:type="dxa"/>
            <w:tcBorders>
              <w:top w:val="nil"/>
              <w:left w:val="nil"/>
              <w:bottom w:val="nil"/>
              <w:right w:val="nil"/>
            </w:tcBorders>
            <w:shd w:val="clear" w:color="auto" w:fill="auto"/>
            <w:vAlign w:val="bottom"/>
          </w:tcPr>
          <w:p w14:paraId="490FE27A" w14:textId="62804087" w:rsidR="00C04064" w:rsidRPr="00061491" w:rsidRDefault="00C04064" w:rsidP="00C04064">
            <w:pPr>
              <w:contextualSpacing/>
            </w:pPr>
            <w:r>
              <w:rPr>
                <w:rFonts w:ascii="Calibri" w:hAnsi="Calibri" w:cs="Calibri"/>
                <w:color w:val="000000"/>
              </w:rPr>
              <w:t>(9.8)</w:t>
            </w:r>
          </w:p>
        </w:tc>
        <w:tc>
          <w:tcPr>
            <w:tcW w:w="948" w:type="dxa"/>
            <w:tcBorders>
              <w:top w:val="nil"/>
              <w:left w:val="nil"/>
              <w:bottom w:val="nil"/>
              <w:right w:val="nil"/>
            </w:tcBorders>
            <w:shd w:val="clear" w:color="auto" w:fill="auto"/>
            <w:noWrap/>
            <w:vAlign w:val="bottom"/>
          </w:tcPr>
          <w:p w14:paraId="017046CE" w14:textId="6D386896" w:rsidR="00C04064" w:rsidRPr="00061491" w:rsidRDefault="00C04064" w:rsidP="00C04064">
            <w:pPr>
              <w:contextualSpacing/>
              <w:jc w:val="center"/>
            </w:pPr>
            <w:r>
              <w:rPr>
                <w:rFonts w:ascii="Calibri" w:hAnsi="Calibri" w:cs="Calibri"/>
                <w:color w:val="000000"/>
              </w:rPr>
              <w:t>41,599</w:t>
            </w:r>
          </w:p>
        </w:tc>
        <w:tc>
          <w:tcPr>
            <w:tcW w:w="948" w:type="dxa"/>
            <w:tcBorders>
              <w:top w:val="nil"/>
              <w:left w:val="nil"/>
              <w:bottom w:val="nil"/>
              <w:right w:val="nil"/>
            </w:tcBorders>
            <w:shd w:val="clear" w:color="auto" w:fill="auto"/>
            <w:vAlign w:val="bottom"/>
          </w:tcPr>
          <w:p w14:paraId="4B58F034" w14:textId="281131C3" w:rsidR="00C04064" w:rsidRPr="00061491" w:rsidRDefault="00C04064" w:rsidP="00C04064">
            <w:pPr>
              <w:contextualSpacing/>
            </w:pPr>
            <w:r>
              <w:rPr>
                <w:rFonts w:ascii="Calibri" w:hAnsi="Calibri" w:cs="Calibri"/>
                <w:color w:val="000000"/>
              </w:rPr>
              <w:t>(10.5)</w:t>
            </w:r>
          </w:p>
        </w:tc>
        <w:tc>
          <w:tcPr>
            <w:tcW w:w="960" w:type="dxa"/>
            <w:tcBorders>
              <w:top w:val="nil"/>
              <w:left w:val="nil"/>
              <w:bottom w:val="nil"/>
              <w:right w:val="nil"/>
            </w:tcBorders>
            <w:shd w:val="clear" w:color="auto" w:fill="auto"/>
            <w:noWrap/>
            <w:vAlign w:val="bottom"/>
          </w:tcPr>
          <w:p w14:paraId="2E03CA8B" w14:textId="36AED5A4" w:rsidR="00C04064" w:rsidRPr="00061491" w:rsidRDefault="00C04064" w:rsidP="00C04064">
            <w:pPr>
              <w:contextualSpacing/>
              <w:jc w:val="center"/>
            </w:pPr>
            <w:r>
              <w:rPr>
                <w:rFonts w:ascii="Calibri" w:hAnsi="Calibri" w:cs="Calibri"/>
                <w:color w:val="000000"/>
              </w:rPr>
              <w:t>6,321</w:t>
            </w:r>
          </w:p>
        </w:tc>
        <w:tc>
          <w:tcPr>
            <w:tcW w:w="917" w:type="dxa"/>
            <w:tcBorders>
              <w:top w:val="nil"/>
              <w:left w:val="nil"/>
              <w:bottom w:val="nil"/>
              <w:right w:val="nil"/>
            </w:tcBorders>
            <w:shd w:val="clear" w:color="auto" w:fill="auto"/>
            <w:noWrap/>
            <w:vAlign w:val="bottom"/>
          </w:tcPr>
          <w:p w14:paraId="627DF8A8" w14:textId="6C46B936" w:rsidR="00C04064" w:rsidRPr="00061491" w:rsidRDefault="00C04064" w:rsidP="00C04064">
            <w:pPr>
              <w:contextualSpacing/>
            </w:pPr>
            <w:r>
              <w:rPr>
                <w:rFonts w:ascii="Calibri" w:hAnsi="Calibri" w:cs="Calibri"/>
                <w:color w:val="000000"/>
              </w:rPr>
              <w:t>(17.9)</w:t>
            </w:r>
          </w:p>
        </w:tc>
      </w:tr>
      <w:tr w:rsidR="00C04064" w:rsidRPr="00061491" w14:paraId="3430D199" w14:textId="77777777" w:rsidTr="009970C7">
        <w:trPr>
          <w:cantSplit/>
          <w:trHeight w:val="283"/>
        </w:trPr>
        <w:tc>
          <w:tcPr>
            <w:tcW w:w="1578" w:type="dxa"/>
            <w:vMerge/>
            <w:tcBorders>
              <w:left w:val="nil"/>
              <w:right w:val="nil"/>
            </w:tcBorders>
            <w:shd w:val="clear" w:color="auto" w:fill="auto"/>
          </w:tcPr>
          <w:p w14:paraId="7C1E28F2"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2C15BD35" w14:textId="703C3524"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South-Central Asia</w:t>
            </w:r>
          </w:p>
        </w:tc>
        <w:tc>
          <w:tcPr>
            <w:tcW w:w="1138" w:type="dxa"/>
            <w:tcBorders>
              <w:top w:val="nil"/>
              <w:left w:val="nil"/>
              <w:bottom w:val="nil"/>
              <w:right w:val="nil"/>
            </w:tcBorders>
            <w:shd w:val="clear" w:color="auto" w:fill="auto"/>
            <w:vAlign w:val="bottom"/>
          </w:tcPr>
          <w:p w14:paraId="5908664E" w14:textId="50CF8EE7" w:rsidR="00C04064" w:rsidRPr="00061491" w:rsidRDefault="00C04064" w:rsidP="00C04064">
            <w:pPr>
              <w:contextualSpacing/>
              <w:jc w:val="center"/>
            </w:pPr>
            <w:r>
              <w:rPr>
                <w:rFonts w:ascii="Calibri" w:hAnsi="Calibri" w:cs="Calibri"/>
                <w:color w:val="000000"/>
              </w:rPr>
              <w:t>58.87</w:t>
            </w:r>
          </w:p>
        </w:tc>
        <w:tc>
          <w:tcPr>
            <w:tcW w:w="947" w:type="dxa"/>
            <w:tcBorders>
              <w:top w:val="nil"/>
              <w:left w:val="nil"/>
              <w:bottom w:val="nil"/>
              <w:right w:val="nil"/>
            </w:tcBorders>
            <w:shd w:val="clear" w:color="auto" w:fill="auto"/>
            <w:noWrap/>
            <w:vAlign w:val="bottom"/>
          </w:tcPr>
          <w:p w14:paraId="3249A630" w14:textId="45AA1241" w:rsidR="00C04064" w:rsidRPr="00061491" w:rsidRDefault="00C04064" w:rsidP="00C04064">
            <w:pPr>
              <w:contextualSpacing/>
              <w:jc w:val="center"/>
            </w:pPr>
            <w:r>
              <w:rPr>
                <w:rFonts w:ascii="Calibri" w:hAnsi="Calibri" w:cs="Calibri"/>
                <w:color w:val="000000"/>
              </w:rPr>
              <w:t>100,084</w:t>
            </w:r>
          </w:p>
        </w:tc>
        <w:tc>
          <w:tcPr>
            <w:tcW w:w="948" w:type="dxa"/>
            <w:tcBorders>
              <w:top w:val="nil"/>
              <w:left w:val="nil"/>
              <w:bottom w:val="nil"/>
              <w:right w:val="nil"/>
            </w:tcBorders>
            <w:shd w:val="clear" w:color="auto" w:fill="auto"/>
            <w:vAlign w:val="bottom"/>
          </w:tcPr>
          <w:p w14:paraId="4E794FD6" w14:textId="288B1564" w:rsidR="00C04064" w:rsidRPr="00061491" w:rsidRDefault="00C04064" w:rsidP="00C04064">
            <w:pPr>
              <w:contextualSpacing/>
            </w:pPr>
            <w:r>
              <w:rPr>
                <w:rFonts w:ascii="Calibri" w:hAnsi="Calibri" w:cs="Calibri"/>
                <w:color w:val="000000"/>
              </w:rPr>
              <w:t>(27.8)</w:t>
            </w:r>
          </w:p>
        </w:tc>
        <w:tc>
          <w:tcPr>
            <w:tcW w:w="948" w:type="dxa"/>
            <w:tcBorders>
              <w:top w:val="nil"/>
              <w:left w:val="nil"/>
              <w:bottom w:val="nil"/>
              <w:right w:val="nil"/>
            </w:tcBorders>
            <w:shd w:val="clear" w:color="auto" w:fill="auto"/>
            <w:noWrap/>
            <w:vAlign w:val="bottom"/>
          </w:tcPr>
          <w:p w14:paraId="1EF89AC3" w14:textId="7AC065A1" w:rsidR="00C04064" w:rsidRPr="00061491" w:rsidRDefault="00C04064" w:rsidP="00C04064">
            <w:pPr>
              <w:contextualSpacing/>
              <w:jc w:val="center"/>
            </w:pPr>
            <w:r>
              <w:rPr>
                <w:rFonts w:ascii="Calibri" w:hAnsi="Calibri" w:cs="Calibri"/>
                <w:color w:val="000000"/>
              </w:rPr>
              <w:t>106,448</w:t>
            </w:r>
          </w:p>
        </w:tc>
        <w:tc>
          <w:tcPr>
            <w:tcW w:w="948" w:type="dxa"/>
            <w:tcBorders>
              <w:top w:val="nil"/>
              <w:left w:val="nil"/>
              <w:bottom w:val="nil"/>
              <w:right w:val="nil"/>
            </w:tcBorders>
            <w:shd w:val="clear" w:color="auto" w:fill="auto"/>
            <w:vAlign w:val="bottom"/>
          </w:tcPr>
          <w:p w14:paraId="4255F266" w14:textId="4207DC8E" w:rsidR="00C04064" w:rsidRPr="00061491" w:rsidRDefault="00C04064" w:rsidP="00C04064">
            <w:pPr>
              <w:contextualSpacing/>
            </w:pPr>
            <w:r>
              <w:rPr>
                <w:rFonts w:ascii="Calibri" w:hAnsi="Calibri" w:cs="Calibri"/>
                <w:color w:val="000000"/>
              </w:rPr>
              <w:t>(26.8)</w:t>
            </w:r>
          </w:p>
        </w:tc>
        <w:tc>
          <w:tcPr>
            <w:tcW w:w="960" w:type="dxa"/>
            <w:tcBorders>
              <w:top w:val="nil"/>
              <w:left w:val="nil"/>
              <w:bottom w:val="nil"/>
              <w:right w:val="nil"/>
            </w:tcBorders>
            <w:shd w:val="clear" w:color="auto" w:fill="auto"/>
            <w:noWrap/>
            <w:vAlign w:val="bottom"/>
          </w:tcPr>
          <w:p w14:paraId="7640F86F" w14:textId="42A51238" w:rsidR="00C04064" w:rsidRPr="00061491" w:rsidRDefault="00C04064" w:rsidP="00C04064">
            <w:pPr>
              <w:contextualSpacing/>
              <w:jc w:val="center"/>
            </w:pPr>
            <w:r>
              <w:rPr>
                <w:rFonts w:ascii="Calibri" w:hAnsi="Calibri" w:cs="Calibri"/>
                <w:color w:val="000000"/>
              </w:rPr>
              <w:t>6,364</w:t>
            </w:r>
          </w:p>
        </w:tc>
        <w:tc>
          <w:tcPr>
            <w:tcW w:w="917" w:type="dxa"/>
            <w:tcBorders>
              <w:top w:val="nil"/>
              <w:left w:val="nil"/>
              <w:bottom w:val="nil"/>
              <w:right w:val="nil"/>
            </w:tcBorders>
            <w:shd w:val="clear" w:color="auto" w:fill="auto"/>
            <w:noWrap/>
            <w:vAlign w:val="bottom"/>
          </w:tcPr>
          <w:p w14:paraId="3587C22C" w14:textId="51B8D7FE" w:rsidR="00C04064" w:rsidRPr="00061491" w:rsidRDefault="00C04064" w:rsidP="00C04064">
            <w:pPr>
              <w:contextualSpacing/>
            </w:pPr>
            <w:r>
              <w:rPr>
                <w:rFonts w:ascii="Calibri" w:hAnsi="Calibri" w:cs="Calibri"/>
                <w:color w:val="000000"/>
              </w:rPr>
              <w:t>(6.4)</w:t>
            </w:r>
          </w:p>
        </w:tc>
      </w:tr>
      <w:tr w:rsidR="00C04064" w:rsidRPr="00061491" w14:paraId="79EDED6E" w14:textId="77777777" w:rsidTr="009970C7">
        <w:trPr>
          <w:cantSplit/>
          <w:trHeight w:val="283"/>
        </w:trPr>
        <w:tc>
          <w:tcPr>
            <w:tcW w:w="1578" w:type="dxa"/>
            <w:vMerge/>
            <w:tcBorders>
              <w:left w:val="nil"/>
              <w:right w:val="nil"/>
            </w:tcBorders>
            <w:shd w:val="clear" w:color="auto" w:fill="auto"/>
          </w:tcPr>
          <w:p w14:paraId="4FE5BC96"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3B80B6CF" w14:textId="3B430975"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South-Eastern Asia</w:t>
            </w:r>
          </w:p>
        </w:tc>
        <w:tc>
          <w:tcPr>
            <w:tcW w:w="1138" w:type="dxa"/>
            <w:tcBorders>
              <w:top w:val="nil"/>
              <w:left w:val="nil"/>
              <w:bottom w:val="nil"/>
              <w:right w:val="nil"/>
            </w:tcBorders>
            <w:shd w:val="clear" w:color="auto" w:fill="auto"/>
            <w:vAlign w:val="bottom"/>
          </w:tcPr>
          <w:p w14:paraId="53F207C1" w14:textId="15CEB3B6" w:rsidR="00C04064" w:rsidRPr="00061491" w:rsidRDefault="00C04064" w:rsidP="00C04064">
            <w:pPr>
              <w:contextualSpacing/>
              <w:jc w:val="center"/>
            </w:pPr>
            <w:r>
              <w:rPr>
                <w:rFonts w:ascii="Calibri" w:hAnsi="Calibri" w:cs="Calibri"/>
                <w:color w:val="000000"/>
              </w:rPr>
              <w:t>24.50</w:t>
            </w:r>
          </w:p>
        </w:tc>
        <w:tc>
          <w:tcPr>
            <w:tcW w:w="947" w:type="dxa"/>
            <w:tcBorders>
              <w:top w:val="nil"/>
              <w:left w:val="nil"/>
              <w:bottom w:val="nil"/>
              <w:right w:val="nil"/>
            </w:tcBorders>
            <w:shd w:val="clear" w:color="auto" w:fill="auto"/>
            <w:noWrap/>
            <w:vAlign w:val="bottom"/>
          </w:tcPr>
          <w:p w14:paraId="072047D1" w14:textId="35D0F74E" w:rsidR="00C04064" w:rsidRPr="00061491" w:rsidRDefault="00C04064" w:rsidP="00C04064">
            <w:pPr>
              <w:contextualSpacing/>
              <w:jc w:val="center"/>
            </w:pPr>
            <w:r>
              <w:rPr>
                <w:rFonts w:ascii="Calibri" w:hAnsi="Calibri" w:cs="Calibri"/>
                <w:color w:val="000000"/>
              </w:rPr>
              <w:t>30,532</w:t>
            </w:r>
          </w:p>
        </w:tc>
        <w:tc>
          <w:tcPr>
            <w:tcW w:w="948" w:type="dxa"/>
            <w:tcBorders>
              <w:top w:val="nil"/>
              <w:left w:val="nil"/>
              <w:bottom w:val="nil"/>
              <w:right w:val="nil"/>
            </w:tcBorders>
            <w:shd w:val="clear" w:color="auto" w:fill="auto"/>
            <w:vAlign w:val="bottom"/>
          </w:tcPr>
          <w:p w14:paraId="7C6FC216" w14:textId="2CAC28EE" w:rsidR="00C04064" w:rsidRPr="00061491" w:rsidRDefault="00C04064" w:rsidP="00C04064">
            <w:pPr>
              <w:contextualSpacing/>
            </w:pPr>
            <w:r>
              <w:rPr>
                <w:rFonts w:ascii="Calibri" w:hAnsi="Calibri" w:cs="Calibri"/>
                <w:color w:val="000000"/>
              </w:rPr>
              <w:t>(8.5)</w:t>
            </w:r>
          </w:p>
        </w:tc>
        <w:tc>
          <w:tcPr>
            <w:tcW w:w="948" w:type="dxa"/>
            <w:tcBorders>
              <w:top w:val="nil"/>
              <w:left w:val="nil"/>
              <w:bottom w:val="nil"/>
              <w:right w:val="nil"/>
            </w:tcBorders>
            <w:shd w:val="clear" w:color="auto" w:fill="auto"/>
            <w:noWrap/>
            <w:vAlign w:val="bottom"/>
          </w:tcPr>
          <w:p w14:paraId="6675C9CA" w14:textId="63AAF1C6" w:rsidR="00C04064" w:rsidRPr="00061491" w:rsidRDefault="00C04064" w:rsidP="00C04064">
            <w:pPr>
              <w:contextualSpacing/>
              <w:jc w:val="center"/>
            </w:pPr>
            <w:r>
              <w:rPr>
                <w:rFonts w:ascii="Calibri" w:hAnsi="Calibri" w:cs="Calibri"/>
                <w:color w:val="000000"/>
              </w:rPr>
              <w:t>30,079</w:t>
            </w:r>
          </w:p>
        </w:tc>
        <w:tc>
          <w:tcPr>
            <w:tcW w:w="948" w:type="dxa"/>
            <w:tcBorders>
              <w:top w:val="nil"/>
              <w:left w:val="nil"/>
              <w:bottom w:val="nil"/>
              <w:right w:val="nil"/>
            </w:tcBorders>
            <w:shd w:val="clear" w:color="auto" w:fill="auto"/>
            <w:vAlign w:val="bottom"/>
          </w:tcPr>
          <w:p w14:paraId="4FCB37B4" w14:textId="300A256D" w:rsidR="00C04064" w:rsidRPr="00061491" w:rsidRDefault="00C04064" w:rsidP="00C04064">
            <w:pPr>
              <w:contextualSpacing/>
            </w:pPr>
            <w:r>
              <w:rPr>
                <w:rFonts w:ascii="Calibri" w:hAnsi="Calibri" w:cs="Calibri"/>
                <w:color w:val="000000"/>
              </w:rPr>
              <w:t>(7.6)</w:t>
            </w:r>
          </w:p>
        </w:tc>
        <w:tc>
          <w:tcPr>
            <w:tcW w:w="960" w:type="dxa"/>
            <w:tcBorders>
              <w:top w:val="nil"/>
              <w:left w:val="nil"/>
              <w:bottom w:val="nil"/>
              <w:right w:val="nil"/>
            </w:tcBorders>
            <w:shd w:val="clear" w:color="auto" w:fill="auto"/>
            <w:noWrap/>
            <w:vAlign w:val="bottom"/>
          </w:tcPr>
          <w:p w14:paraId="4224CEC1" w14:textId="104AA10A" w:rsidR="00C04064" w:rsidRPr="00061491" w:rsidRDefault="00C04064" w:rsidP="00C04064">
            <w:pPr>
              <w:contextualSpacing/>
              <w:jc w:val="center"/>
            </w:pPr>
            <w:r>
              <w:rPr>
                <w:rFonts w:ascii="Calibri" w:hAnsi="Calibri" w:cs="Calibri"/>
                <w:color w:val="000000"/>
              </w:rPr>
              <w:t>-453</w:t>
            </w:r>
          </w:p>
        </w:tc>
        <w:tc>
          <w:tcPr>
            <w:tcW w:w="917" w:type="dxa"/>
            <w:tcBorders>
              <w:top w:val="nil"/>
              <w:left w:val="nil"/>
              <w:bottom w:val="nil"/>
              <w:right w:val="nil"/>
            </w:tcBorders>
            <w:shd w:val="clear" w:color="auto" w:fill="auto"/>
            <w:noWrap/>
            <w:vAlign w:val="bottom"/>
          </w:tcPr>
          <w:p w14:paraId="191C9E34" w14:textId="1A10B954" w:rsidR="00C04064" w:rsidRPr="00061491" w:rsidRDefault="00C04064" w:rsidP="00C04064">
            <w:pPr>
              <w:contextualSpacing/>
            </w:pPr>
            <w:r>
              <w:rPr>
                <w:rFonts w:ascii="Calibri" w:hAnsi="Calibri" w:cs="Calibri"/>
                <w:color w:val="000000"/>
              </w:rPr>
              <w:t>(-1.5)</w:t>
            </w:r>
          </w:p>
        </w:tc>
      </w:tr>
      <w:tr w:rsidR="00C04064" w:rsidRPr="00061491" w14:paraId="186D26EF" w14:textId="77777777" w:rsidTr="009970C7">
        <w:trPr>
          <w:cantSplit/>
          <w:trHeight w:val="283"/>
        </w:trPr>
        <w:tc>
          <w:tcPr>
            <w:tcW w:w="1578" w:type="dxa"/>
            <w:vMerge/>
            <w:tcBorders>
              <w:left w:val="nil"/>
              <w:right w:val="nil"/>
            </w:tcBorders>
            <w:shd w:val="clear" w:color="auto" w:fill="auto"/>
          </w:tcPr>
          <w:p w14:paraId="37BA8C2C"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0AA04D87" w14:textId="0EA283F1"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Eastern Asia</w:t>
            </w:r>
          </w:p>
        </w:tc>
        <w:tc>
          <w:tcPr>
            <w:tcW w:w="1138" w:type="dxa"/>
            <w:tcBorders>
              <w:top w:val="nil"/>
              <w:left w:val="nil"/>
              <w:bottom w:val="nil"/>
              <w:right w:val="nil"/>
            </w:tcBorders>
            <w:shd w:val="clear" w:color="auto" w:fill="auto"/>
            <w:vAlign w:val="bottom"/>
          </w:tcPr>
          <w:p w14:paraId="42CAE9D7" w14:textId="0BAC5F6A" w:rsidR="00C04064" w:rsidRPr="00061491" w:rsidRDefault="00C04064" w:rsidP="00C04064">
            <w:pPr>
              <w:contextualSpacing/>
              <w:jc w:val="center"/>
            </w:pPr>
            <w:r>
              <w:rPr>
                <w:rFonts w:ascii="Calibri" w:hAnsi="Calibri" w:cs="Calibri"/>
                <w:color w:val="000000"/>
              </w:rPr>
              <w:t>20.13</w:t>
            </w:r>
          </w:p>
        </w:tc>
        <w:tc>
          <w:tcPr>
            <w:tcW w:w="947" w:type="dxa"/>
            <w:tcBorders>
              <w:top w:val="nil"/>
              <w:left w:val="nil"/>
              <w:bottom w:val="nil"/>
              <w:right w:val="nil"/>
            </w:tcBorders>
            <w:shd w:val="clear" w:color="auto" w:fill="auto"/>
            <w:noWrap/>
            <w:vAlign w:val="bottom"/>
          </w:tcPr>
          <w:p w14:paraId="7D79C6FA" w14:textId="6ED51516" w:rsidR="00C04064" w:rsidRPr="00061491" w:rsidRDefault="00C04064" w:rsidP="00C04064">
            <w:pPr>
              <w:contextualSpacing/>
              <w:jc w:val="center"/>
            </w:pPr>
            <w:r>
              <w:rPr>
                <w:rFonts w:ascii="Calibri" w:hAnsi="Calibri" w:cs="Calibri"/>
                <w:color w:val="000000"/>
              </w:rPr>
              <w:t>50,655</w:t>
            </w:r>
          </w:p>
        </w:tc>
        <w:tc>
          <w:tcPr>
            <w:tcW w:w="948" w:type="dxa"/>
            <w:tcBorders>
              <w:top w:val="nil"/>
              <w:left w:val="nil"/>
              <w:bottom w:val="nil"/>
              <w:right w:val="nil"/>
            </w:tcBorders>
            <w:shd w:val="clear" w:color="auto" w:fill="auto"/>
            <w:vAlign w:val="bottom"/>
          </w:tcPr>
          <w:p w14:paraId="43D357E9" w14:textId="7F96D3F1" w:rsidR="00C04064" w:rsidRPr="00061491" w:rsidRDefault="00C04064" w:rsidP="00C04064">
            <w:pPr>
              <w:contextualSpacing/>
            </w:pPr>
            <w:r>
              <w:rPr>
                <w:rFonts w:ascii="Calibri" w:hAnsi="Calibri" w:cs="Calibri"/>
                <w:color w:val="000000"/>
              </w:rPr>
              <w:t>(14.1)</w:t>
            </w:r>
          </w:p>
        </w:tc>
        <w:tc>
          <w:tcPr>
            <w:tcW w:w="948" w:type="dxa"/>
            <w:tcBorders>
              <w:top w:val="nil"/>
              <w:left w:val="nil"/>
              <w:bottom w:val="nil"/>
              <w:right w:val="nil"/>
            </w:tcBorders>
            <w:shd w:val="clear" w:color="auto" w:fill="auto"/>
            <w:noWrap/>
            <w:vAlign w:val="bottom"/>
          </w:tcPr>
          <w:p w14:paraId="1DE05F7C" w14:textId="584DB491" w:rsidR="00C04064" w:rsidRPr="00061491" w:rsidRDefault="00C04064" w:rsidP="00C04064">
            <w:pPr>
              <w:contextualSpacing/>
              <w:jc w:val="center"/>
            </w:pPr>
            <w:r>
              <w:rPr>
                <w:rFonts w:ascii="Calibri" w:hAnsi="Calibri" w:cs="Calibri"/>
                <w:color w:val="000000"/>
              </w:rPr>
              <w:t>39,606</w:t>
            </w:r>
          </w:p>
        </w:tc>
        <w:tc>
          <w:tcPr>
            <w:tcW w:w="948" w:type="dxa"/>
            <w:tcBorders>
              <w:top w:val="nil"/>
              <w:left w:val="nil"/>
              <w:bottom w:val="nil"/>
              <w:right w:val="nil"/>
            </w:tcBorders>
            <w:shd w:val="clear" w:color="auto" w:fill="auto"/>
            <w:vAlign w:val="bottom"/>
          </w:tcPr>
          <w:p w14:paraId="43BBE9B8" w14:textId="38150DCC" w:rsidR="00C04064" w:rsidRPr="00061491" w:rsidRDefault="00C04064" w:rsidP="00C04064">
            <w:pPr>
              <w:contextualSpacing/>
            </w:pPr>
            <w:r>
              <w:rPr>
                <w:rFonts w:ascii="Calibri" w:hAnsi="Calibri" w:cs="Calibri"/>
                <w:color w:val="000000"/>
              </w:rPr>
              <w:t>(10.0)</w:t>
            </w:r>
          </w:p>
        </w:tc>
        <w:tc>
          <w:tcPr>
            <w:tcW w:w="960" w:type="dxa"/>
            <w:tcBorders>
              <w:top w:val="nil"/>
              <w:left w:val="nil"/>
              <w:bottom w:val="nil"/>
              <w:right w:val="nil"/>
            </w:tcBorders>
            <w:shd w:val="clear" w:color="auto" w:fill="auto"/>
            <w:noWrap/>
            <w:vAlign w:val="bottom"/>
          </w:tcPr>
          <w:p w14:paraId="1B02113C" w14:textId="1ABF0CE6" w:rsidR="00C04064" w:rsidRPr="00061491" w:rsidRDefault="00C04064" w:rsidP="00C04064">
            <w:pPr>
              <w:contextualSpacing/>
              <w:jc w:val="center"/>
            </w:pPr>
            <w:r>
              <w:rPr>
                <w:rFonts w:ascii="Calibri" w:hAnsi="Calibri" w:cs="Calibri"/>
                <w:color w:val="000000"/>
              </w:rPr>
              <w:t>-11,049</w:t>
            </w:r>
          </w:p>
        </w:tc>
        <w:tc>
          <w:tcPr>
            <w:tcW w:w="917" w:type="dxa"/>
            <w:tcBorders>
              <w:top w:val="nil"/>
              <w:left w:val="nil"/>
              <w:bottom w:val="nil"/>
              <w:right w:val="nil"/>
            </w:tcBorders>
            <w:shd w:val="clear" w:color="auto" w:fill="auto"/>
            <w:noWrap/>
            <w:vAlign w:val="bottom"/>
          </w:tcPr>
          <w:p w14:paraId="395BF906" w14:textId="2E5E9977" w:rsidR="00C04064" w:rsidRPr="00061491" w:rsidRDefault="00C04064" w:rsidP="00C04064">
            <w:pPr>
              <w:contextualSpacing/>
            </w:pPr>
            <w:r>
              <w:rPr>
                <w:rFonts w:ascii="Calibri" w:hAnsi="Calibri" w:cs="Calibri"/>
                <w:color w:val="000000"/>
              </w:rPr>
              <w:t>(-21.8)</w:t>
            </w:r>
          </w:p>
        </w:tc>
      </w:tr>
      <w:tr w:rsidR="00C04064" w:rsidRPr="00061491" w14:paraId="4F046BBB" w14:textId="77777777" w:rsidTr="009970C7">
        <w:trPr>
          <w:cantSplit/>
          <w:trHeight w:val="283"/>
        </w:trPr>
        <w:tc>
          <w:tcPr>
            <w:tcW w:w="1578" w:type="dxa"/>
            <w:vMerge/>
            <w:tcBorders>
              <w:left w:val="nil"/>
              <w:right w:val="nil"/>
            </w:tcBorders>
            <w:shd w:val="clear" w:color="auto" w:fill="auto"/>
          </w:tcPr>
          <w:p w14:paraId="2E7B6ACE"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4FBD1B5B" w14:textId="7E322FC3"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Northern Africa</w:t>
            </w:r>
          </w:p>
        </w:tc>
        <w:tc>
          <w:tcPr>
            <w:tcW w:w="1138" w:type="dxa"/>
            <w:tcBorders>
              <w:top w:val="nil"/>
              <w:left w:val="nil"/>
              <w:bottom w:val="nil"/>
              <w:right w:val="nil"/>
            </w:tcBorders>
            <w:shd w:val="clear" w:color="auto" w:fill="auto"/>
            <w:vAlign w:val="bottom"/>
          </w:tcPr>
          <w:p w14:paraId="24CF4694" w14:textId="665F3B42" w:rsidR="00C04064" w:rsidRPr="00061491" w:rsidRDefault="00C04064" w:rsidP="00C04064">
            <w:pPr>
              <w:contextualSpacing/>
              <w:jc w:val="center"/>
            </w:pPr>
            <w:r>
              <w:rPr>
                <w:rFonts w:ascii="Calibri" w:hAnsi="Calibri" w:cs="Calibri"/>
                <w:color w:val="000000"/>
              </w:rPr>
              <w:t>14.39</w:t>
            </w:r>
          </w:p>
        </w:tc>
        <w:tc>
          <w:tcPr>
            <w:tcW w:w="947" w:type="dxa"/>
            <w:tcBorders>
              <w:top w:val="nil"/>
              <w:left w:val="nil"/>
              <w:bottom w:val="nil"/>
              <w:right w:val="nil"/>
            </w:tcBorders>
            <w:shd w:val="clear" w:color="auto" w:fill="auto"/>
            <w:noWrap/>
            <w:vAlign w:val="bottom"/>
          </w:tcPr>
          <w:p w14:paraId="3ED37169" w14:textId="6E7130B6" w:rsidR="00C04064" w:rsidRPr="00061491" w:rsidRDefault="00C04064" w:rsidP="00C04064">
            <w:pPr>
              <w:contextualSpacing/>
              <w:jc w:val="center"/>
            </w:pPr>
            <w:r>
              <w:rPr>
                <w:rFonts w:ascii="Calibri" w:hAnsi="Calibri" w:cs="Calibri"/>
                <w:color w:val="000000"/>
              </w:rPr>
              <w:t>13,273</w:t>
            </w:r>
          </w:p>
        </w:tc>
        <w:tc>
          <w:tcPr>
            <w:tcW w:w="948" w:type="dxa"/>
            <w:tcBorders>
              <w:top w:val="nil"/>
              <w:left w:val="nil"/>
              <w:bottom w:val="nil"/>
              <w:right w:val="nil"/>
            </w:tcBorders>
            <w:shd w:val="clear" w:color="auto" w:fill="auto"/>
            <w:vAlign w:val="bottom"/>
          </w:tcPr>
          <w:p w14:paraId="50B29439" w14:textId="076698E0" w:rsidR="00C04064" w:rsidRPr="00061491" w:rsidRDefault="00C04064" w:rsidP="00C04064">
            <w:pPr>
              <w:contextualSpacing/>
            </w:pPr>
            <w:r>
              <w:rPr>
                <w:rFonts w:ascii="Calibri" w:hAnsi="Calibri" w:cs="Calibri"/>
                <w:color w:val="000000"/>
              </w:rPr>
              <w:t>(3.7)</w:t>
            </w:r>
          </w:p>
        </w:tc>
        <w:tc>
          <w:tcPr>
            <w:tcW w:w="948" w:type="dxa"/>
            <w:tcBorders>
              <w:top w:val="nil"/>
              <w:left w:val="nil"/>
              <w:bottom w:val="nil"/>
              <w:right w:val="nil"/>
            </w:tcBorders>
            <w:shd w:val="clear" w:color="auto" w:fill="auto"/>
            <w:noWrap/>
            <w:vAlign w:val="bottom"/>
          </w:tcPr>
          <w:p w14:paraId="6DED28B2" w14:textId="06038C71" w:rsidR="00C04064" w:rsidRPr="00061491" w:rsidRDefault="00C04064" w:rsidP="00C04064">
            <w:pPr>
              <w:contextualSpacing/>
              <w:jc w:val="center"/>
            </w:pPr>
            <w:r>
              <w:rPr>
                <w:rFonts w:ascii="Calibri" w:hAnsi="Calibri" w:cs="Calibri"/>
                <w:color w:val="000000"/>
              </w:rPr>
              <w:t>15,542</w:t>
            </w:r>
          </w:p>
        </w:tc>
        <w:tc>
          <w:tcPr>
            <w:tcW w:w="948" w:type="dxa"/>
            <w:tcBorders>
              <w:top w:val="nil"/>
              <w:left w:val="nil"/>
              <w:bottom w:val="nil"/>
              <w:right w:val="nil"/>
            </w:tcBorders>
            <w:shd w:val="clear" w:color="auto" w:fill="auto"/>
            <w:vAlign w:val="bottom"/>
          </w:tcPr>
          <w:p w14:paraId="3E3F1446" w14:textId="512F6DF7" w:rsidR="00C04064" w:rsidRPr="00061491" w:rsidRDefault="00C04064" w:rsidP="00C04064">
            <w:pPr>
              <w:contextualSpacing/>
            </w:pPr>
            <w:r>
              <w:rPr>
                <w:rFonts w:ascii="Calibri" w:hAnsi="Calibri" w:cs="Calibri"/>
                <w:color w:val="000000"/>
              </w:rPr>
              <w:t>(3.9)</w:t>
            </w:r>
          </w:p>
        </w:tc>
        <w:tc>
          <w:tcPr>
            <w:tcW w:w="960" w:type="dxa"/>
            <w:tcBorders>
              <w:top w:val="nil"/>
              <w:left w:val="nil"/>
              <w:bottom w:val="nil"/>
              <w:right w:val="nil"/>
            </w:tcBorders>
            <w:shd w:val="clear" w:color="auto" w:fill="auto"/>
            <w:noWrap/>
            <w:vAlign w:val="bottom"/>
          </w:tcPr>
          <w:p w14:paraId="14F99294" w14:textId="239A8F4C" w:rsidR="00C04064" w:rsidRPr="00061491" w:rsidRDefault="00C04064" w:rsidP="00C04064">
            <w:pPr>
              <w:contextualSpacing/>
              <w:jc w:val="center"/>
            </w:pPr>
            <w:r>
              <w:rPr>
                <w:rFonts w:ascii="Calibri" w:hAnsi="Calibri" w:cs="Calibri"/>
                <w:color w:val="000000"/>
              </w:rPr>
              <w:t>2,269</w:t>
            </w:r>
          </w:p>
        </w:tc>
        <w:tc>
          <w:tcPr>
            <w:tcW w:w="917" w:type="dxa"/>
            <w:tcBorders>
              <w:top w:val="nil"/>
              <w:left w:val="nil"/>
              <w:bottom w:val="nil"/>
              <w:right w:val="nil"/>
            </w:tcBorders>
            <w:shd w:val="clear" w:color="auto" w:fill="auto"/>
            <w:noWrap/>
            <w:vAlign w:val="bottom"/>
          </w:tcPr>
          <w:p w14:paraId="457906BD" w14:textId="7B782608" w:rsidR="00C04064" w:rsidRPr="00061491" w:rsidRDefault="00C04064" w:rsidP="00C04064">
            <w:pPr>
              <w:contextualSpacing/>
            </w:pPr>
            <w:r>
              <w:rPr>
                <w:rFonts w:ascii="Calibri" w:hAnsi="Calibri" w:cs="Calibri"/>
                <w:color w:val="000000"/>
              </w:rPr>
              <w:t>(17.1)</w:t>
            </w:r>
          </w:p>
        </w:tc>
      </w:tr>
      <w:tr w:rsidR="00C04064" w:rsidRPr="00061491" w14:paraId="26858DC0" w14:textId="77777777" w:rsidTr="009970C7">
        <w:trPr>
          <w:cantSplit/>
          <w:trHeight w:val="283"/>
        </w:trPr>
        <w:tc>
          <w:tcPr>
            <w:tcW w:w="1578" w:type="dxa"/>
            <w:vMerge/>
            <w:tcBorders>
              <w:left w:val="nil"/>
              <w:right w:val="nil"/>
            </w:tcBorders>
            <w:shd w:val="clear" w:color="auto" w:fill="auto"/>
          </w:tcPr>
          <w:p w14:paraId="77A5D46C"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2FD33E3A" w14:textId="4B57EF6D"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Western Asia</w:t>
            </w:r>
          </w:p>
        </w:tc>
        <w:tc>
          <w:tcPr>
            <w:tcW w:w="1138" w:type="dxa"/>
            <w:tcBorders>
              <w:top w:val="nil"/>
              <w:left w:val="nil"/>
              <w:bottom w:val="nil"/>
              <w:right w:val="nil"/>
            </w:tcBorders>
            <w:shd w:val="clear" w:color="auto" w:fill="auto"/>
            <w:vAlign w:val="bottom"/>
          </w:tcPr>
          <w:p w14:paraId="56070ECF" w14:textId="0788FF71" w:rsidR="00C04064" w:rsidRPr="00061491" w:rsidRDefault="00C04064" w:rsidP="00C04064">
            <w:pPr>
              <w:contextualSpacing/>
              <w:jc w:val="center"/>
            </w:pPr>
            <w:r>
              <w:rPr>
                <w:rFonts w:ascii="Calibri" w:hAnsi="Calibri" w:cs="Calibri"/>
                <w:color w:val="000000"/>
              </w:rPr>
              <w:t>7.73</w:t>
            </w:r>
          </w:p>
        </w:tc>
        <w:tc>
          <w:tcPr>
            <w:tcW w:w="947" w:type="dxa"/>
            <w:tcBorders>
              <w:top w:val="nil"/>
              <w:left w:val="nil"/>
              <w:bottom w:val="nil"/>
              <w:right w:val="nil"/>
            </w:tcBorders>
            <w:shd w:val="clear" w:color="auto" w:fill="auto"/>
            <w:noWrap/>
            <w:vAlign w:val="bottom"/>
          </w:tcPr>
          <w:p w14:paraId="67D00FEF" w14:textId="2DBC5989" w:rsidR="00C04064" w:rsidRPr="00061491" w:rsidRDefault="00C04064" w:rsidP="00C04064">
            <w:pPr>
              <w:contextualSpacing/>
              <w:jc w:val="center"/>
            </w:pPr>
            <w:r>
              <w:rPr>
                <w:rFonts w:ascii="Calibri" w:hAnsi="Calibri" w:cs="Calibri"/>
                <w:color w:val="000000"/>
              </w:rPr>
              <w:t>13,895</w:t>
            </w:r>
          </w:p>
        </w:tc>
        <w:tc>
          <w:tcPr>
            <w:tcW w:w="948" w:type="dxa"/>
            <w:tcBorders>
              <w:top w:val="nil"/>
              <w:left w:val="nil"/>
              <w:bottom w:val="nil"/>
              <w:right w:val="nil"/>
            </w:tcBorders>
            <w:shd w:val="clear" w:color="auto" w:fill="auto"/>
            <w:vAlign w:val="bottom"/>
          </w:tcPr>
          <w:p w14:paraId="340043E1" w14:textId="2DC39B30" w:rsidR="00C04064" w:rsidRPr="00061491" w:rsidRDefault="00C04064" w:rsidP="00C04064">
            <w:pPr>
              <w:contextualSpacing/>
            </w:pPr>
            <w:r>
              <w:rPr>
                <w:rFonts w:ascii="Calibri" w:hAnsi="Calibri" w:cs="Calibri"/>
                <w:color w:val="000000"/>
              </w:rPr>
              <w:t>(3.9)</w:t>
            </w:r>
          </w:p>
        </w:tc>
        <w:tc>
          <w:tcPr>
            <w:tcW w:w="948" w:type="dxa"/>
            <w:tcBorders>
              <w:top w:val="nil"/>
              <w:left w:val="nil"/>
              <w:bottom w:val="nil"/>
              <w:right w:val="nil"/>
            </w:tcBorders>
            <w:shd w:val="clear" w:color="auto" w:fill="auto"/>
            <w:noWrap/>
            <w:vAlign w:val="bottom"/>
          </w:tcPr>
          <w:p w14:paraId="0938D27A" w14:textId="44253FAD" w:rsidR="00C04064" w:rsidRPr="00061491" w:rsidRDefault="00C04064" w:rsidP="00C04064">
            <w:pPr>
              <w:contextualSpacing/>
              <w:jc w:val="center"/>
            </w:pPr>
            <w:r>
              <w:rPr>
                <w:rFonts w:ascii="Calibri" w:hAnsi="Calibri" w:cs="Calibri"/>
                <w:color w:val="000000"/>
              </w:rPr>
              <w:t>12,222</w:t>
            </w:r>
          </w:p>
        </w:tc>
        <w:tc>
          <w:tcPr>
            <w:tcW w:w="948" w:type="dxa"/>
            <w:tcBorders>
              <w:top w:val="nil"/>
              <w:left w:val="nil"/>
              <w:bottom w:val="nil"/>
              <w:right w:val="nil"/>
            </w:tcBorders>
            <w:shd w:val="clear" w:color="auto" w:fill="auto"/>
            <w:vAlign w:val="bottom"/>
          </w:tcPr>
          <w:p w14:paraId="63EF4D96" w14:textId="6408B560" w:rsidR="00C04064" w:rsidRPr="00061491" w:rsidRDefault="00C04064" w:rsidP="00C04064">
            <w:pPr>
              <w:contextualSpacing/>
            </w:pPr>
            <w:r>
              <w:rPr>
                <w:rFonts w:ascii="Calibri" w:hAnsi="Calibri" w:cs="Calibri"/>
                <w:color w:val="000000"/>
              </w:rPr>
              <w:t>(3.1)</w:t>
            </w:r>
          </w:p>
        </w:tc>
        <w:tc>
          <w:tcPr>
            <w:tcW w:w="960" w:type="dxa"/>
            <w:tcBorders>
              <w:top w:val="nil"/>
              <w:left w:val="nil"/>
              <w:bottom w:val="nil"/>
              <w:right w:val="nil"/>
            </w:tcBorders>
            <w:shd w:val="clear" w:color="auto" w:fill="auto"/>
            <w:noWrap/>
            <w:vAlign w:val="bottom"/>
          </w:tcPr>
          <w:p w14:paraId="6E806754" w14:textId="3D23026F" w:rsidR="00C04064" w:rsidRPr="00061491" w:rsidRDefault="00C04064" w:rsidP="00C04064">
            <w:pPr>
              <w:contextualSpacing/>
              <w:jc w:val="center"/>
            </w:pPr>
            <w:r>
              <w:rPr>
                <w:rFonts w:ascii="Calibri" w:hAnsi="Calibri" w:cs="Calibri"/>
                <w:color w:val="000000"/>
              </w:rPr>
              <w:t>-1,673</w:t>
            </w:r>
          </w:p>
        </w:tc>
        <w:tc>
          <w:tcPr>
            <w:tcW w:w="917" w:type="dxa"/>
            <w:tcBorders>
              <w:top w:val="nil"/>
              <w:left w:val="nil"/>
              <w:bottom w:val="nil"/>
              <w:right w:val="nil"/>
            </w:tcBorders>
            <w:shd w:val="clear" w:color="auto" w:fill="auto"/>
            <w:noWrap/>
            <w:vAlign w:val="bottom"/>
          </w:tcPr>
          <w:p w14:paraId="4F08FAAD" w14:textId="03213F02" w:rsidR="00C04064" w:rsidRPr="00061491" w:rsidRDefault="00C04064" w:rsidP="00C04064">
            <w:pPr>
              <w:contextualSpacing/>
            </w:pPr>
            <w:r>
              <w:rPr>
                <w:rFonts w:ascii="Calibri" w:hAnsi="Calibri" w:cs="Calibri"/>
                <w:color w:val="000000"/>
              </w:rPr>
              <w:t>(-12)</w:t>
            </w:r>
          </w:p>
        </w:tc>
      </w:tr>
      <w:tr w:rsidR="00C04064" w:rsidRPr="00061491" w14:paraId="68489C4A" w14:textId="77777777" w:rsidTr="009970C7">
        <w:trPr>
          <w:cantSplit/>
          <w:trHeight w:val="283"/>
        </w:trPr>
        <w:tc>
          <w:tcPr>
            <w:tcW w:w="1578" w:type="dxa"/>
            <w:vMerge/>
            <w:tcBorders>
              <w:left w:val="nil"/>
              <w:right w:val="nil"/>
            </w:tcBorders>
            <w:shd w:val="clear" w:color="auto" w:fill="auto"/>
          </w:tcPr>
          <w:p w14:paraId="6C9BBC7D"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2D9AFB07" w14:textId="7BCE35DF"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Latin America &amp; Caribbean</w:t>
            </w:r>
          </w:p>
        </w:tc>
        <w:tc>
          <w:tcPr>
            <w:tcW w:w="1138" w:type="dxa"/>
            <w:tcBorders>
              <w:top w:val="nil"/>
              <w:left w:val="nil"/>
              <w:bottom w:val="nil"/>
              <w:right w:val="nil"/>
            </w:tcBorders>
            <w:shd w:val="clear" w:color="auto" w:fill="auto"/>
            <w:vAlign w:val="bottom"/>
          </w:tcPr>
          <w:p w14:paraId="2D9CF983" w14:textId="5FAFE4F3" w:rsidR="00C04064" w:rsidRPr="00061491" w:rsidRDefault="00C04064" w:rsidP="00C04064">
            <w:pPr>
              <w:contextualSpacing/>
              <w:jc w:val="center"/>
            </w:pPr>
            <w:r>
              <w:rPr>
                <w:rFonts w:ascii="Calibri" w:hAnsi="Calibri" w:cs="Calibri"/>
                <w:color w:val="000000"/>
              </w:rPr>
              <w:t>6.64</w:t>
            </w:r>
          </w:p>
        </w:tc>
        <w:tc>
          <w:tcPr>
            <w:tcW w:w="947" w:type="dxa"/>
            <w:tcBorders>
              <w:top w:val="nil"/>
              <w:left w:val="nil"/>
              <w:bottom w:val="nil"/>
              <w:right w:val="nil"/>
            </w:tcBorders>
            <w:shd w:val="clear" w:color="auto" w:fill="auto"/>
            <w:noWrap/>
            <w:vAlign w:val="bottom"/>
          </w:tcPr>
          <w:p w14:paraId="7A1CD261" w14:textId="79EF2959" w:rsidR="00C04064" w:rsidRPr="00061491" w:rsidRDefault="00C04064" w:rsidP="00C04064">
            <w:pPr>
              <w:contextualSpacing/>
              <w:jc w:val="center"/>
            </w:pPr>
            <w:r>
              <w:rPr>
                <w:rFonts w:ascii="Calibri" w:hAnsi="Calibri" w:cs="Calibri"/>
                <w:color w:val="000000"/>
              </w:rPr>
              <w:t>29,002</w:t>
            </w:r>
          </w:p>
        </w:tc>
        <w:tc>
          <w:tcPr>
            <w:tcW w:w="948" w:type="dxa"/>
            <w:tcBorders>
              <w:top w:val="nil"/>
              <w:left w:val="nil"/>
              <w:bottom w:val="nil"/>
              <w:right w:val="nil"/>
            </w:tcBorders>
            <w:shd w:val="clear" w:color="auto" w:fill="auto"/>
            <w:vAlign w:val="bottom"/>
          </w:tcPr>
          <w:p w14:paraId="3EBFD17E" w14:textId="67122AD3" w:rsidR="00C04064" w:rsidRPr="00061491" w:rsidRDefault="00C04064" w:rsidP="00C04064">
            <w:pPr>
              <w:contextualSpacing/>
            </w:pPr>
            <w:r>
              <w:rPr>
                <w:rFonts w:ascii="Calibri" w:hAnsi="Calibri" w:cs="Calibri"/>
                <w:color w:val="000000"/>
              </w:rPr>
              <w:t>(8.1)</w:t>
            </w:r>
          </w:p>
        </w:tc>
        <w:tc>
          <w:tcPr>
            <w:tcW w:w="948" w:type="dxa"/>
            <w:tcBorders>
              <w:top w:val="nil"/>
              <w:left w:val="nil"/>
              <w:bottom w:val="nil"/>
              <w:right w:val="nil"/>
            </w:tcBorders>
            <w:shd w:val="clear" w:color="auto" w:fill="auto"/>
            <w:noWrap/>
            <w:vAlign w:val="bottom"/>
          </w:tcPr>
          <w:p w14:paraId="5FD4AB29" w14:textId="3F01C548" w:rsidR="00C04064" w:rsidRPr="00061491" w:rsidRDefault="00C04064" w:rsidP="00C04064">
            <w:pPr>
              <w:contextualSpacing/>
              <w:jc w:val="center"/>
            </w:pPr>
            <w:r>
              <w:rPr>
                <w:rFonts w:ascii="Calibri" w:hAnsi="Calibri" w:cs="Calibri"/>
                <w:color w:val="000000"/>
              </w:rPr>
              <w:t>32,197</w:t>
            </w:r>
          </w:p>
        </w:tc>
        <w:tc>
          <w:tcPr>
            <w:tcW w:w="948" w:type="dxa"/>
            <w:tcBorders>
              <w:top w:val="nil"/>
              <w:left w:val="nil"/>
              <w:bottom w:val="nil"/>
              <w:right w:val="nil"/>
            </w:tcBorders>
            <w:shd w:val="clear" w:color="auto" w:fill="auto"/>
            <w:vAlign w:val="bottom"/>
          </w:tcPr>
          <w:p w14:paraId="7CB71C4E" w14:textId="41FA32D3" w:rsidR="00C04064" w:rsidRPr="00061491" w:rsidRDefault="00C04064" w:rsidP="00C04064">
            <w:pPr>
              <w:contextualSpacing/>
            </w:pPr>
            <w:r>
              <w:rPr>
                <w:rFonts w:ascii="Calibri" w:hAnsi="Calibri" w:cs="Calibri"/>
                <w:color w:val="000000"/>
              </w:rPr>
              <w:t>(8.1)</w:t>
            </w:r>
          </w:p>
        </w:tc>
        <w:tc>
          <w:tcPr>
            <w:tcW w:w="960" w:type="dxa"/>
            <w:tcBorders>
              <w:top w:val="nil"/>
              <w:left w:val="nil"/>
              <w:bottom w:val="nil"/>
              <w:right w:val="nil"/>
            </w:tcBorders>
            <w:shd w:val="clear" w:color="auto" w:fill="auto"/>
            <w:noWrap/>
            <w:vAlign w:val="bottom"/>
          </w:tcPr>
          <w:p w14:paraId="17C5E96E" w14:textId="367C900F" w:rsidR="00C04064" w:rsidRPr="00061491" w:rsidRDefault="00C04064" w:rsidP="00C04064">
            <w:pPr>
              <w:contextualSpacing/>
              <w:jc w:val="center"/>
            </w:pPr>
            <w:r>
              <w:rPr>
                <w:rFonts w:ascii="Calibri" w:hAnsi="Calibri" w:cs="Calibri"/>
                <w:color w:val="000000"/>
              </w:rPr>
              <w:t>3,195</w:t>
            </w:r>
          </w:p>
        </w:tc>
        <w:tc>
          <w:tcPr>
            <w:tcW w:w="917" w:type="dxa"/>
            <w:tcBorders>
              <w:top w:val="nil"/>
              <w:left w:val="nil"/>
              <w:bottom w:val="nil"/>
              <w:right w:val="nil"/>
            </w:tcBorders>
            <w:shd w:val="clear" w:color="auto" w:fill="auto"/>
            <w:noWrap/>
            <w:vAlign w:val="bottom"/>
          </w:tcPr>
          <w:p w14:paraId="1E98D5A3" w14:textId="63AF6D42" w:rsidR="00C04064" w:rsidRPr="00061491" w:rsidRDefault="00C04064" w:rsidP="00C04064">
            <w:pPr>
              <w:contextualSpacing/>
            </w:pPr>
            <w:r>
              <w:rPr>
                <w:rFonts w:ascii="Calibri" w:hAnsi="Calibri" w:cs="Calibri"/>
                <w:color w:val="000000"/>
              </w:rPr>
              <w:t>(11)</w:t>
            </w:r>
          </w:p>
        </w:tc>
      </w:tr>
      <w:tr w:rsidR="00C04064" w:rsidRPr="00061491" w14:paraId="59C7ECB0" w14:textId="77777777" w:rsidTr="009970C7">
        <w:trPr>
          <w:cantSplit/>
          <w:trHeight w:val="283"/>
        </w:trPr>
        <w:tc>
          <w:tcPr>
            <w:tcW w:w="1578" w:type="dxa"/>
            <w:vMerge/>
            <w:tcBorders>
              <w:left w:val="nil"/>
              <w:right w:val="nil"/>
            </w:tcBorders>
            <w:shd w:val="clear" w:color="auto" w:fill="auto"/>
          </w:tcPr>
          <w:p w14:paraId="44A0A710"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6235E508" w14:textId="5BFF66B3"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Southern Europe</w:t>
            </w:r>
          </w:p>
        </w:tc>
        <w:tc>
          <w:tcPr>
            <w:tcW w:w="1138" w:type="dxa"/>
            <w:tcBorders>
              <w:top w:val="nil"/>
              <w:left w:val="nil"/>
              <w:bottom w:val="nil"/>
              <w:right w:val="nil"/>
            </w:tcBorders>
            <w:shd w:val="clear" w:color="auto" w:fill="auto"/>
            <w:vAlign w:val="bottom"/>
          </w:tcPr>
          <w:p w14:paraId="48A0440A" w14:textId="7013C62E" w:rsidR="00C04064" w:rsidRPr="00061491" w:rsidRDefault="00C04064" w:rsidP="00C04064">
            <w:pPr>
              <w:contextualSpacing/>
              <w:jc w:val="center"/>
            </w:pPr>
            <w:r>
              <w:rPr>
                <w:rFonts w:ascii="Calibri" w:hAnsi="Calibri" w:cs="Calibri"/>
                <w:color w:val="000000"/>
              </w:rPr>
              <w:t>3.55</w:t>
            </w:r>
          </w:p>
        </w:tc>
        <w:tc>
          <w:tcPr>
            <w:tcW w:w="947" w:type="dxa"/>
            <w:tcBorders>
              <w:top w:val="nil"/>
              <w:left w:val="nil"/>
              <w:bottom w:val="nil"/>
              <w:right w:val="nil"/>
            </w:tcBorders>
            <w:shd w:val="clear" w:color="auto" w:fill="auto"/>
            <w:noWrap/>
            <w:vAlign w:val="bottom"/>
          </w:tcPr>
          <w:p w14:paraId="475F0F32" w14:textId="41A6B4CB" w:rsidR="00C04064" w:rsidRPr="00061491" w:rsidRDefault="00C04064" w:rsidP="00C04064">
            <w:pPr>
              <w:contextualSpacing/>
              <w:jc w:val="center"/>
            </w:pPr>
            <w:r>
              <w:rPr>
                <w:rFonts w:ascii="Calibri" w:hAnsi="Calibri" w:cs="Calibri"/>
                <w:color w:val="000000"/>
              </w:rPr>
              <w:t>3,904</w:t>
            </w:r>
          </w:p>
        </w:tc>
        <w:tc>
          <w:tcPr>
            <w:tcW w:w="948" w:type="dxa"/>
            <w:tcBorders>
              <w:top w:val="nil"/>
              <w:left w:val="nil"/>
              <w:bottom w:val="nil"/>
              <w:right w:val="nil"/>
            </w:tcBorders>
            <w:shd w:val="clear" w:color="auto" w:fill="auto"/>
            <w:vAlign w:val="bottom"/>
          </w:tcPr>
          <w:p w14:paraId="24D6C9A8" w14:textId="3372A0BF" w:rsidR="00C04064" w:rsidRPr="00061491" w:rsidRDefault="00C04064" w:rsidP="00C04064">
            <w:pPr>
              <w:contextualSpacing/>
            </w:pPr>
            <w:r>
              <w:rPr>
                <w:rFonts w:ascii="Calibri" w:hAnsi="Calibri" w:cs="Calibri"/>
                <w:color w:val="000000"/>
              </w:rPr>
              <w:t>(1.1)</w:t>
            </w:r>
          </w:p>
        </w:tc>
        <w:tc>
          <w:tcPr>
            <w:tcW w:w="948" w:type="dxa"/>
            <w:tcBorders>
              <w:top w:val="nil"/>
              <w:left w:val="nil"/>
              <w:bottom w:val="nil"/>
              <w:right w:val="nil"/>
            </w:tcBorders>
            <w:shd w:val="clear" w:color="auto" w:fill="auto"/>
            <w:noWrap/>
            <w:vAlign w:val="bottom"/>
          </w:tcPr>
          <w:p w14:paraId="5F02F95D" w14:textId="4F8D806D" w:rsidR="00C04064" w:rsidRPr="00061491" w:rsidRDefault="00C04064" w:rsidP="00C04064">
            <w:pPr>
              <w:contextualSpacing/>
              <w:jc w:val="center"/>
            </w:pPr>
            <w:r>
              <w:rPr>
                <w:rFonts w:ascii="Calibri" w:hAnsi="Calibri" w:cs="Calibri"/>
                <w:color w:val="000000"/>
              </w:rPr>
              <w:t>3,655</w:t>
            </w:r>
          </w:p>
        </w:tc>
        <w:tc>
          <w:tcPr>
            <w:tcW w:w="948" w:type="dxa"/>
            <w:tcBorders>
              <w:top w:val="nil"/>
              <w:left w:val="nil"/>
              <w:bottom w:val="nil"/>
              <w:right w:val="nil"/>
            </w:tcBorders>
            <w:shd w:val="clear" w:color="auto" w:fill="auto"/>
            <w:vAlign w:val="bottom"/>
          </w:tcPr>
          <w:p w14:paraId="10253BA1" w14:textId="0284A28E" w:rsidR="00C04064" w:rsidRPr="00061491" w:rsidRDefault="00C04064" w:rsidP="00C04064">
            <w:pPr>
              <w:contextualSpacing/>
            </w:pPr>
            <w:r>
              <w:rPr>
                <w:rFonts w:ascii="Calibri" w:hAnsi="Calibri" w:cs="Calibri"/>
                <w:color w:val="000000"/>
              </w:rPr>
              <w:t>(0.9)</w:t>
            </w:r>
          </w:p>
        </w:tc>
        <w:tc>
          <w:tcPr>
            <w:tcW w:w="960" w:type="dxa"/>
            <w:tcBorders>
              <w:top w:val="nil"/>
              <w:left w:val="nil"/>
              <w:bottom w:val="nil"/>
              <w:right w:val="nil"/>
            </w:tcBorders>
            <w:shd w:val="clear" w:color="auto" w:fill="auto"/>
            <w:noWrap/>
            <w:vAlign w:val="bottom"/>
          </w:tcPr>
          <w:p w14:paraId="7F6D56F7" w14:textId="355CC39B" w:rsidR="00C04064" w:rsidRPr="00061491" w:rsidRDefault="00C04064" w:rsidP="00C04064">
            <w:pPr>
              <w:contextualSpacing/>
              <w:jc w:val="center"/>
            </w:pPr>
            <w:r>
              <w:rPr>
                <w:rFonts w:ascii="Calibri" w:hAnsi="Calibri" w:cs="Calibri"/>
                <w:color w:val="000000"/>
              </w:rPr>
              <w:t>-249</w:t>
            </w:r>
          </w:p>
        </w:tc>
        <w:tc>
          <w:tcPr>
            <w:tcW w:w="917" w:type="dxa"/>
            <w:tcBorders>
              <w:top w:val="nil"/>
              <w:left w:val="nil"/>
              <w:bottom w:val="nil"/>
              <w:right w:val="nil"/>
            </w:tcBorders>
            <w:shd w:val="clear" w:color="auto" w:fill="auto"/>
            <w:noWrap/>
            <w:vAlign w:val="bottom"/>
          </w:tcPr>
          <w:p w14:paraId="20AE4CE0" w14:textId="42C8D69F" w:rsidR="00C04064" w:rsidRPr="00061491" w:rsidRDefault="00C04064" w:rsidP="00C04064">
            <w:pPr>
              <w:contextualSpacing/>
            </w:pPr>
            <w:r>
              <w:rPr>
                <w:rFonts w:ascii="Calibri" w:hAnsi="Calibri" w:cs="Calibri"/>
                <w:color w:val="000000"/>
              </w:rPr>
              <w:t>(-6.4)</w:t>
            </w:r>
          </w:p>
        </w:tc>
      </w:tr>
      <w:tr w:rsidR="00C04064" w:rsidRPr="00061491" w14:paraId="6957E187" w14:textId="77777777" w:rsidTr="009970C7">
        <w:trPr>
          <w:cantSplit/>
          <w:trHeight w:val="283"/>
        </w:trPr>
        <w:tc>
          <w:tcPr>
            <w:tcW w:w="1578" w:type="dxa"/>
            <w:vMerge/>
            <w:tcBorders>
              <w:left w:val="nil"/>
              <w:right w:val="nil"/>
            </w:tcBorders>
            <w:shd w:val="clear" w:color="auto" w:fill="auto"/>
          </w:tcPr>
          <w:p w14:paraId="65D0086F"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78E064C2" w14:textId="2DDE5CEB"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Eastern Europe</w:t>
            </w:r>
          </w:p>
        </w:tc>
        <w:tc>
          <w:tcPr>
            <w:tcW w:w="1138" w:type="dxa"/>
            <w:tcBorders>
              <w:top w:val="nil"/>
              <w:left w:val="nil"/>
              <w:bottom w:val="nil"/>
              <w:right w:val="nil"/>
            </w:tcBorders>
            <w:shd w:val="clear" w:color="auto" w:fill="auto"/>
            <w:vAlign w:val="bottom"/>
          </w:tcPr>
          <w:p w14:paraId="53866FE5" w14:textId="469F5DF7" w:rsidR="00C04064" w:rsidRPr="00061491" w:rsidRDefault="00C04064" w:rsidP="00C04064">
            <w:pPr>
              <w:contextualSpacing/>
              <w:jc w:val="center"/>
            </w:pPr>
            <w:r>
              <w:rPr>
                <w:rFonts w:ascii="Calibri" w:hAnsi="Calibri" w:cs="Calibri"/>
                <w:color w:val="000000"/>
              </w:rPr>
              <w:t>2.22</w:t>
            </w:r>
          </w:p>
        </w:tc>
        <w:tc>
          <w:tcPr>
            <w:tcW w:w="947" w:type="dxa"/>
            <w:tcBorders>
              <w:top w:val="nil"/>
              <w:left w:val="nil"/>
              <w:bottom w:val="nil"/>
              <w:right w:val="nil"/>
            </w:tcBorders>
            <w:shd w:val="clear" w:color="auto" w:fill="auto"/>
            <w:noWrap/>
            <w:vAlign w:val="bottom"/>
          </w:tcPr>
          <w:p w14:paraId="677F8320" w14:textId="6AE4A837" w:rsidR="00C04064" w:rsidRPr="00061491" w:rsidRDefault="00C04064" w:rsidP="00C04064">
            <w:pPr>
              <w:contextualSpacing/>
              <w:jc w:val="center"/>
            </w:pPr>
            <w:r>
              <w:rPr>
                <w:rFonts w:ascii="Calibri" w:hAnsi="Calibri" w:cs="Calibri"/>
                <w:color w:val="000000"/>
              </w:rPr>
              <w:t>8,375</w:t>
            </w:r>
          </w:p>
        </w:tc>
        <w:tc>
          <w:tcPr>
            <w:tcW w:w="948" w:type="dxa"/>
            <w:tcBorders>
              <w:top w:val="nil"/>
              <w:left w:val="nil"/>
              <w:bottom w:val="nil"/>
              <w:right w:val="nil"/>
            </w:tcBorders>
            <w:shd w:val="clear" w:color="auto" w:fill="auto"/>
            <w:vAlign w:val="bottom"/>
          </w:tcPr>
          <w:p w14:paraId="21D641C9" w14:textId="61163DDD" w:rsidR="00C04064" w:rsidRPr="00061491" w:rsidRDefault="00C04064" w:rsidP="00C04064">
            <w:pPr>
              <w:contextualSpacing/>
            </w:pPr>
            <w:r>
              <w:rPr>
                <w:rFonts w:ascii="Calibri" w:hAnsi="Calibri" w:cs="Calibri"/>
                <w:color w:val="000000"/>
              </w:rPr>
              <w:t>(2.3)</w:t>
            </w:r>
          </w:p>
        </w:tc>
        <w:tc>
          <w:tcPr>
            <w:tcW w:w="948" w:type="dxa"/>
            <w:tcBorders>
              <w:top w:val="nil"/>
              <w:left w:val="nil"/>
              <w:bottom w:val="nil"/>
              <w:right w:val="nil"/>
            </w:tcBorders>
            <w:shd w:val="clear" w:color="auto" w:fill="auto"/>
            <w:noWrap/>
            <w:vAlign w:val="bottom"/>
          </w:tcPr>
          <w:p w14:paraId="33A689B9" w14:textId="2D50391A" w:rsidR="00C04064" w:rsidRPr="00061491" w:rsidRDefault="00C04064" w:rsidP="00C04064">
            <w:pPr>
              <w:contextualSpacing/>
              <w:jc w:val="center"/>
            </w:pPr>
            <w:r>
              <w:rPr>
                <w:rFonts w:ascii="Calibri" w:hAnsi="Calibri" w:cs="Calibri"/>
                <w:color w:val="000000"/>
              </w:rPr>
              <w:t>7,165</w:t>
            </w:r>
          </w:p>
        </w:tc>
        <w:tc>
          <w:tcPr>
            <w:tcW w:w="948" w:type="dxa"/>
            <w:tcBorders>
              <w:top w:val="nil"/>
              <w:left w:val="nil"/>
              <w:bottom w:val="nil"/>
              <w:right w:val="nil"/>
            </w:tcBorders>
            <w:shd w:val="clear" w:color="auto" w:fill="auto"/>
            <w:vAlign w:val="bottom"/>
          </w:tcPr>
          <w:p w14:paraId="16FE3F8C" w14:textId="79AB70E9" w:rsidR="00C04064" w:rsidRPr="00061491" w:rsidRDefault="00C04064" w:rsidP="00C04064">
            <w:pPr>
              <w:contextualSpacing/>
            </w:pPr>
            <w:r>
              <w:rPr>
                <w:rFonts w:ascii="Calibri" w:hAnsi="Calibri" w:cs="Calibri"/>
                <w:color w:val="000000"/>
              </w:rPr>
              <w:t>(1.8)</w:t>
            </w:r>
          </w:p>
        </w:tc>
        <w:tc>
          <w:tcPr>
            <w:tcW w:w="960" w:type="dxa"/>
            <w:tcBorders>
              <w:top w:val="nil"/>
              <w:left w:val="nil"/>
              <w:bottom w:val="nil"/>
              <w:right w:val="nil"/>
            </w:tcBorders>
            <w:shd w:val="clear" w:color="auto" w:fill="auto"/>
            <w:noWrap/>
            <w:vAlign w:val="bottom"/>
          </w:tcPr>
          <w:p w14:paraId="32D8A052" w14:textId="41178C03" w:rsidR="00C04064" w:rsidRPr="00061491" w:rsidRDefault="00C04064" w:rsidP="00C04064">
            <w:pPr>
              <w:contextualSpacing/>
              <w:jc w:val="center"/>
            </w:pPr>
            <w:r>
              <w:rPr>
                <w:rFonts w:ascii="Calibri" w:hAnsi="Calibri" w:cs="Calibri"/>
                <w:color w:val="000000"/>
              </w:rPr>
              <w:t>-1,210</w:t>
            </w:r>
          </w:p>
        </w:tc>
        <w:tc>
          <w:tcPr>
            <w:tcW w:w="917" w:type="dxa"/>
            <w:tcBorders>
              <w:top w:val="nil"/>
              <w:left w:val="nil"/>
              <w:bottom w:val="nil"/>
              <w:right w:val="nil"/>
            </w:tcBorders>
            <w:shd w:val="clear" w:color="auto" w:fill="auto"/>
            <w:noWrap/>
            <w:vAlign w:val="bottom"/>
          </w:tcPr>
          <w:p w14:paraId="3B8B480D" w14:textId="3F632230" w:rsidR="00C04064" w:rsidRPr="00061491" w:rsidRDefault="00C04064" w:rsidP="00C04064">
            <w:pPr>
              <w:contextualSpacing/>
            </w:pPr>
            <w:r>
              <w:rPr>
                <w:rFonts w:ascii="Calibri" w:hAnsi="Calibri" w:cs="Calibri"/>
                <w:color w:val="000000"/>
              </w:rPr>
              <w:t>(-14.5)</w:t>
            </w:r>
          </w:p>
        </w:tc>
      </w:tr>
      <w:tr w:rsidR="00C04064" w:rsidRPr="00061491" w14:paraId="1A78A757" w14:textId="77777777" w:rsidTr="009970C7">
        <w:trPr>
          <w:cantSplit/>
          <w:trHeight w:val="283"/>
        </w:trPr>
        <w:tc>
          <w:tcPr>
            <w:tcW w:w="1578" w:type="dxa"/>
            <w:vMerge/>
            <w:tcBorders>
              <w:left w:val="nil"/>
              <w:right w:val="nil"/>
            </w:tcBorders>
            <w:shd w:val="clear" w:color="auto" w:fill="auto"/>
          </w:tcPr>
          <w:p w14:paraId="6B73EAD5"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5904D1B5" w14:textId="59234FC5"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Oceania</w:t>
            </w:r>
          </w:p>
        </w:tc>
        <w:tc>
          <w:tcPr>
            <w:tcW w:w="1138" w:type="dxa"/>
            <w:tcBorders>
              <w:top w:val="nil"/>
              <w:left w:val="nil"/>
              <w:bottom w:val="nil"/>
              <w:right w:val="nil"/>
            </w:tcBorders>
            <w:shd w:val="clear" w:color="auto" w:fill="auto"/>
            <w:vAlign w:val="bottom"/>
          </w:tcPr>
          <w:p w14:paraId="28EDEEFD" w14:textId="3AB82B95" w:rsidR="00C04064" w:rsidRPr="00061491" w:rsidRDefault="00C04064" w:rsidP="00C04064">
            <w:pPr>
              <w:contextualSpacing/>
              <w:jc w:val="center"/>
            </w:pPr>
            <w:r>
              <w:rPr>
                <w:rFonts w:ascii="Calibri" w:hAnsi="Calibri" w:cs="Calibri"/>
                <w:color w:val="000000"/>
              </w:rPr>
              <w:t>1.89</w:t>
            </w:r>
          </w:p>
        </w:tc>
        <w:tc>
          <w:tcPr>
            <w:tcW w:w="947" w:type="dxa"/>
            <w:tcBorders>
              <w:top w:val="nil"/>
              <w:left w:val="nil"/>
              <w:bottom w:val="nil"/>
              <w:right w:val="nil"/>
            </w:tcBorders>
            <w:shd w:val="clear" w:color="auto" w:fill="auto"/>
            <w:noWrap/>
            <w:vAlign w:val="bottom"/>
          </w:tcPr>
          <w:p w14:paraId="4AF61868" w14:textId="466CC600" w:rsidR="00C04064" w:rsidRPr="00061491" w:rsidRDefault="00C04064" w:rsidP="00C04064">
            <w:pPr>
              <w:contextualSpacing/>
              <w:jc w:val="center"/>
            </w:pPr>
            <w:r>
              <w:rPr>
                <w:rFonts w:ascii="Calibri" w:hAnsi="Calibri" w:cs="Calibri"/>
                <w:color w:val="000000"/>
              </w:rPr>
              <w:t>1,680</w:t>
            </w:r>
          </w:p>
        </w:tc>
        <w:tc>
          <w:tcPr>
            <w:tcW w:w="948" w:type="dxa"/>
            <w:tcBorders>
              <w:top w:val="nil"/>
              <w:left w:val="nil"/>
              <w:bottom w:val="nil"/>
              <w:right w:val="nil"/>
            </w:tcBorders>
            <w:shd w:val="clear" w:color="auto" w:fill="auto"/>
            <w:vAlign w:val="bottom"/>
          </w:tcPr>
          <w:p w14:paraId="5E1325F8" w14:textId="55F4C3CB" w:rsidR="00C04064" w:rsidRPr="00061491" w:rsidRDefault="00C04064" w:rsidP="00C04064">
            <w:pPr>
              <w:contextualSpacing/>
            </w:pPr>
            <w:r>
              <w:rPr>
                <w:rFonts w:ascii="Calibri" w:hAnsi="Calibri" w:cs="Calibri"/>
                <w:color w:val="000000"/>
              </w:rPr>
              <w:t>(0.5)</w:t>
            </w:r>
          </w:p>
        </w:tc>
        <w:tc>
          <w:tcPr>
            <w:tcW w:w="948" w:type="dxa"/>
            <w:tcBorders>
              <w:top w:val="nil"/>
              <w:left w:val="nil"/>
              <w:bottom w:val="nil"/>
              <w:right w:val="nil"/>
            </w:tcBorders>
            <w:shd w:val="clear" w:color="auto" w:fill="auto"/>
            <w:noWrap/>
            <w:vAlign w:val="bottom"/>
          </w:tcPr>
          <w:p w14:paraId="1FA49348" w14:textId="2A081BC3" w:rsidR="00C04064" w:rsidRPr="00061491" w:rsidRDefault="00C04064" w:rsidP="00C04064">
            <w:pPr>
              <w:contextualSpacing/>
              <w:jc w:val="center"/>
            </w:pPr>
            <w:r>
              <w:rPr>
                <w:rFonts w:ascii="Calibri" w:hAnsi="Calibri" w:cs="Calibri"/>
                <w:color w:val="000000"/>
              </w:rPr>
              <w:t>1,300</w:t>
            </w:r>
          </w:p>
        </w:tc>
        <w:tc>
          <w:tcPr>
            <w:tcW w:w="948" w:type="dxa"/>
            <w:tcBorders>
              <w:top w:val="nil"/>
              <w:left w:val="nil"/>
              <w:bottom w:val="nil"/>
              <w:right w:val="nil"/>
            </w:tcBorders>
            <w:shd w:val="clear" w:color="auto" w:fill="auto"/>
            <w:vAlign w:val="bottom"/>
          </w:tcPr>
          <w:p w14:paraId="07B2F21F" w14:textId="141DD997" w:rsidR="00C04064" w:rsidRPr="00061491" w:rsidRDefault="00C04064" w:rsidP="00C04064">
            <w:pPr>
              <w:contextualSpacing/>
            </w:pPr>
            <w:r>
              <w:rPr>
                <w:rFonts w:ascii="Calibri" w:hAnsi="Calibri" w:cs="Calibri"/>
                <w:color w:val="000000"/>
              </w:rPr>
              <w:t>(0.3)</w:t>
            </w:r>
          </w:p>
        </w:tc>
        <w:tc>
          <w:tcPr>
            <w:tcW w:w="960" w:type="dxa"/>
            <w:tcBorders>
              <w:top w:val="nil"/>
              <w:left w:val="nil"/>
              <w:bottom w:val="nil"/>
              <w:right w:val="nil"/>
            </w:tcBorders>
            <w:shd w:val="clear" w:color="auto" w:fill="auto"/>
            <w:noWrap/>
            <w:vAlign w:val="bottom"/>
          </w:tcPr>
          <w:p w14:paraId="76FF553E" w14:textId="58312FD9" w:rsidR="00C04064" w:rsidRPr="00061491" w:rsidRDefault="00C04064" w:rsidP="00C04064">
            <w:pPr>
              <w:contextualSpacing/>
              <w:jc w:val="center"/>
            </w:pPr>
            <w:r>
              <w:rPr>
                <w:rFonts w:ascii="Calibri" w:hAnsi="Calibri" w:cs="Calibri"/>
                <w:color w:val="000000"/>
              </w:rPr>
              <w:t>-380</w:t>
            </w:r>
          </w:p>
        </w:tc>
        <w:tc>
          <w:tcPr>
            <w:tcW w:w="917" w:type="dxa"/>
            <w:tcBorders>
              <w:top w:val="nil"/>
              <w:left w:val="nil"/>
              <w:bottom w:val="nil"/>
              <w:right w:val="nil"/>
            </w:tcBorders>
            <w:shd w:val="clear" w:color="auto" w:fill="auto"/>
            <w:noWrap/>
            <w:vAlign w:val="bottom"/>
          </w:tcPr>
          <w:p w14:paraId="3C761E64" w14:textId="7205884C" w:rsidR="00C04064" w:rsidRPr="00061491" w:rsidRDefault="00C04064" w:rsidP="00C04064">
            <w:pPr>
              <w:contextualSpacing/>
            </w:pPr>
            <w:r>
              <w:rPr>
                <w:rFonts w:ascii="Calibri" w:hAnsi="Calibri" w:cs="Calibri"/>
                <w:color w:val="000000"/>
              </w:rPr>
              <w:t>(-22.6)</w:t>
            </w:r>
          </w:p>
        </w:tc>
      </w:tr>
      <w:tr w:rsidR="00C04064" w:rsidRPr="00061491" w14:paraId="378AA1C4" w14:textId="77777777" w:rsidTr="009970C7">
        <w:trPr>
          <w:cantSplit/>
          <w:trHeight w:val="283"/>
        </w:trPr>
        <w:tc>
          <w:tcPr>
            <w:tcW w:w="1578" w:type="dxa"/>
            <w:vMerge/>
            <w:tcBorders>
              <w:left w:val="nil"/>
              <w:right w:val="nil"/>
            </w:tcBorders>
            <w:shd w:val="clear" w:color="auto" w:fill="auto"/>
          </w:tcPr>
          <w:p w14:paraId="21B8733F"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3C2A0C08" w14:textId="594ABE19"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Northern Europe</w:t>
            </w:r>
          </w:p>
        </w:tc>
        <w:tc>
          <w:tcPr>
            <w:tcW w:w="1138" w:type="dxa"/>
            <w:tcBorders>
              <w:top w:val="nil"/>
              <w:left w:val="nil"/>
              <w:bottom w:val="nil"/>
              <w:right w:val="nil"/>
            </w:tcBorders>
            <w:shd w:val="clear" w:color="auto" w:fill="auto"/>
            <w:vAlign w:val="bottom"/>
          </w:tcPr>
          <w:p w14:paraId="341C6812" w14:textId="236BB3E7" w:rsidR="00C04064" w:rsidRPr="00061491" w:rsidRDefault="00C04064" w:rsidP="00C04064">
            <w:pPr>
              <w:contextualSpacing/>
              <w:jc w:val="center"/>
            </w:pPr>
            <w:r>
              <w:rPr>
                <w:rFonts w:ascii="Calibri" w:hAnsi="Calibri" w:cs="Calibri"/>
                <w:color w:val="000000"/>
              </w:rPr>
              <w:t>1.28</w:t>
            </w:r>
          </w:p>
        </w:tc>
        <w:tc>
          <w:tcPr>
            <w:tcW w:w="947" w:type="dxa"/>
            <w:tcBorders>
              <w:top w:val="nil"/>
              <w:left w:val="nil"/>
              <w:bottom w:val="nil"/>
              <w:right w:val="nil"/>
            </w:tcBorders>
            <w:shd w:val="clear" w:color="auto" w:fill="auto"/>
            <w:noWrap/>
            <w:vAlign w:val="bottom"/>
          </w:tcPr>
          <w:p w14:paraId="40D15A39" w14:textId="75E17131" w:rsidR="00C04064" w:rsidRPr="00061491" w:rsidRDefault="00C04064" w:rsidP="00C04064">
            <w:pPr>
              <w:contextualSpacing/>
              <w:jc w:val="center"/>
            </w:pPr>
            <w:r>
              <w:rPr>
                <w:rFonts w:ascii="Calibri" w:hAnsi="Calibri" w:cs="Calibri"/>
                <w:color w:val="000000"/>
              </w:rPr>
              <w:t>3,211</w:t>
            </w:r>
          </w:p>
        </w:tc>
        <w:tc>
          <w:tcPr>
            <w:tcW w:w="948" w:type="dxa"/>
            <w:tcBorders>
              <w:top w:val="nil"/>
              <w:left w:val="nil"/>
              <w:bottom w:val="nil"/>
              <w:right w:val="nil"/>
            </w:tcBorders>
            <w:shd w:val="clear" w:color="auto" w:fill="auto"/>
            <w:vAlign w:val="bottom"/>
          </w:tcPr>
          <w:p w14:paraId="3A7F14D3" w14:textId="64C0618E" w:rsidR="00C04064" w:rsidRPr="00061491" w:rsidRDefault="00C04064" w:rsidP="00C04064">
            <w:pPr>
              <w:contextualSpacing/>
            </w:pPr>
            <w:r>
              <w:rPr>
                <w:rFonts w:ascii="Calibri" w:hAnsi="Calibri" w:cs="Calibri"/>
                <w:color w:val="000000"/>
              </w:rPr>
              <w:t>(0.9)</w:t>
            </w:r>
          </w:p>
        </w:tc>
        <w:tc>
          <w:tcPr>
            <w:tcW w:w="948" w:type="dxa"/>
            <w:tcBorders>
              <w:top w:val="nil"/>
              <w:left w:val="nil"/>
              <w:bottom w:val="nil"/>
              <w:right w:val="nil"/>
            </w:tcBorders>
            <w:shd w:val="clear" w:color="auto" w:fill="auto"/>
            <w:noWrap/>
            <w:vAlign w:val="bottom"/>
          </w:tcPr>
          <w:p w14:paraId="384EAD82" w14:textId="436B6F0F" w:rsidR="00C04064" w:rsidRPr="00061491" w:rsidRDefault="00C04064" w:rsidP="00C04064">
            <w:pPr>
              <w:contextualSpacing/>
              <w:jc w:val="center"/>
            </w:pPr>
            <w:r>
              <w:rPr>
                <w:rFonts w:ascii="Calibri" w:hAnsi="Calibri" w:cs="Calibri"/>
                <w:color w:val="000000"/>
              </w:rPr>
              <w:t>2,504</w:t>
            </w:r>
          </w:p>
        </w:tc>
        <w:tc>
          <w:tcPr>
            <w:tcW w:w="948" w:type="dxa"/>
            <w:tcBorders>
              <w:top w:val="nil"/>
              <w:left w:val="nil"/>
              <w:bottom w:val="nil"/>
              <w:right w:val="nil"/>
            </w:tcBorders>
            <w:shd w:val="clear" w:color="auto" w:fill="auto"/>
            <w:vAlign w:val="bottom"/>
          </w:tcPr>
          <w:p w14:paraId="3D631950" w14:textId="0B907090" w:rsidR="00C04064" w:rsidRPr="00061491" w:rsidRDefault="00C04064" w:rsidP="00C04064">
            <w:pPr>
              <w:contextualSpacing/>
            </w:pPr>
            <w:r>
              <w:rPr>
                <w:rFonts w:ascii="Calibri" w:hAnsi="Calibri" w:cs="Calibri"/>
                <w:color w:val="000000"/>
              </w:rPr>
              <w:t>(0.6)</w:t>
            </w:r>
          </w:p>
        </w:tc>
        <w:tc>
          <w:tcPr>
            <w:tcW w:w="960" w:type="dxa"/>
            <w:tcBorders>
              <w:top w:val="nil"/>
              <w:left w:val="nil"/>
              <w:bottom w:val="nil"/>
              <w:right w:val="nil"/>
            </w:tcBorders>
            <w:shd w:val="clear" w:color="auto" w:fill="auto"/>
            <w:noWrap/>
            <w:vAlign w:val="bottom"/>
          </w:tcPr>
          <w:p w14:paraId="1DCED7AC" w14:textId="3F3AFD2F" w:rsidR="00C04064" w:rsidRPr="00061491" w:rsidRDefault="00C04064" w:rsidP="00C04064">
            <w:pPr>
              <w:contextualSpacing/>
              <w:jc w:val="center"/>
            </w:pPr>
            <w:r>
              <w:rPr>
                <w:rFonts w:ascii="Calibri" w:hAnsi="Calibri" w:cs="Calibri"/>
                <w:color w:val="000000"/>
              </w:rPr>
              <w:t>-707</w:t>
            </w:r>
          </w:p>
        </w:tc>
        <w:tc>
          <w:tcPr>
            <w:tcW w:w="917" w:type="dxa"/>
            <w:tcBorders>
              <w:top w:val="nil"/>
              <w:left w:val="nil"/>
              <w:bottom w:val="nil"/>
              <w:right w:val="nil"/>
            </w:tcBorders>
            <w:shd w:val="clear" w:color="auto" w:fill="auto"/>
            <w:noWrap/>
            <w:vAlign w:val="bottom"/>
          </w:tcPr>
          <w:p w14:paraId="2334B183" w14:textId="550FC8BE" w:rsidR="00C04064" w:rsidRPr="00061491" w:rsidRDefault="00C04064" w:rsidP="00C04064">
            <w:pPr>
              <w:contextualSpacing/>
            </w:pPr>
            <w:r>
              <w:rPr>
                <w:rFonts w:ascii="Calibri" w:hAnsi="Calibri" w:cs="Calibri"/>
                <w:color w:val="000000"/>
              </w:rPr>
              <w:t>(-22)</w:t>
            </w:r>
          </w:p>
        </w:tc>
      </w:tr>
      <w:tr w:rsidR="00C04064" w:rsidRPr="00061491" w14:paraId="03ECD2FE" w14:textId="77777777" w:rsidTr="009970C7">
        <w:trPr>
          <w:cantSplit/>
          <w:trHeight w:val="283"/>
        </w:trPr>
        <w:tc>
          <w:tcPr>
            <w:tcW w:w="1578" w:type="dxa"/>
            <w:vMerge/>
            <w:tcBorders>
              <w:left w:val="nil"/>
              <w:right w:val="nil"/>
            </w:tcBorders>
            <w:shd w:val="clear" w:color="auto" w:fill="auto"/>
          </w:tcPr>
          <w:p w14:paraId="5C6CB85D"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51E9B1A8" w14:textId="5995049A"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Southern Africa</w:t>
            </w:r>
          </w:p>
        </w:tc>
        <w:tc>
          <w:tcPr>
            <w:tcW w:w="1138" w:type="dxa"/>
            <w:tcBorders>
              <w:top w:val="nil"/>
              <w:left w:val="nil"/>
              <w:bottom w:val="nil"/>
              <w:right w:val="nil"/>
            </w:tcBorders>
            <w:shd w:val="clear" w:color="auto" w:fill="auto"/>
            <w:vAlign w:val="bottom"/>
          </w:tcPr>
          <w:p w14:paraId="0D516D20" w14:textId="44DE7125" w:rsidR="00C04064" w:rsidRPr="00061491" w:rsidRDefault="00C04064" w:rsidP="00C04064">
            <w:pPr>
              <w:contextualSpacing/>
              <w:jc w:val="center"/>
            </w:pPr>
            <w:r>
              <w:rPr>
                <w:rFonts w:ascii="Calibri" w:hAnsi="Calibri" w:cs="Calibri"/>
                <w:color w:val="000000"/>
              </w:rPr>
              <w:t>1.25</w:t>
            </w:r>
          </w:p>
        </w:tc>
        <w:tc>
          <w:tcPr>
            <w:tcW w:w="947" w:type="dxa"/>
            <w:tcBorders>
              <w:top w:val="nil"/>
              <w:left w:val="nil"/>
              <w:bottom w:val="nil"/>
              <w:right w:val="nil"/>
            </w:tcBorders>
            <w:shd w:val="clear" w:color="auto" w:fill="auto"/>
            <w:noWrap/>
            <w:vAlign w:val="bottom"/>
          </w:tcPr>
          <w:p w14:paraId="07D4181B" w14:textId="24A7732E" w:rsidR="00C04064" w:rsidRPr="00061491" w:rsidRDefault="00C04064" w:rsidP="00C04064">
            <w:pPr>
              <w:contextualSpacing/>
              <w:jc w:val="center"/>
            </w:pPr>
            <w:r>
              <w:rPr>
                <w:rFonts w:ascii="Calibri" w:hAnsi="Calibri" w:cs="Calibri"/>
                <w:color w:val="000000"/>
              </w:rPr>
              <w:t>3,446</w:t>
            </w:r>
          </w:p>
        </w:tc>
        <w:tc>
          <w:tcPr>
            <w:tcW w:w="948" w:type="dxa"/>
            <w:tcBorders>
              <w:top w:val="nil"/>
              <w:left w:val="nil"/>
              <w:bottom w:val="nil"/>
              <w:right w:val="nil"/>
            </w:tcBorders>
            <w:shd w:val="clear" w:color="auto" w:fill="auto"/>
            <w:vAlign w:val="bottom"/>
          </w:tcPr>
          <w:p w14:paraId="6EAD6F1D" w14:textId="46FA8447" w:rsidR="00C04064" w:rsidRPr="00061491" w:rsidRDefault="00C04064" w:rsidP="00C04064">
            <w:pPr>
              <w:contextualSpacing/>
            </w:pPr>
            <w:r>
              <w:rPr>
                <w:rFonts w:ascii="Calibri" w:hAnsi="Calibri" w:cs="Calibri"/>
                <w:color w:val="000000"/>
              </w:rPr>
              <w:t>(1.0)</w:t>
            </w:r>
          </w:p>
        </w:tc>
        <w:tc>
          <w:tcPr>
            <w:tcW w:w="948" w:type="dxa"/>
            <w:tcBorders>
              <w:top w:val="nil"/>
              <w:left w:val="nil"/>
              <w:bottom w:val="nil"/>
              <w:right w:val="nil"/>
            </w:tcBorders>
            <w:shd w:val="clear" w:color="auto" w:fill="auto"/>
            <w:noWrap/>
            <w:vAlign w:val="bottom"/>
          </w:tcPr>
          <w:p w14:paraId="0E8CAB4B" w14:textId="13B16619" w:rsidR="00C04064" w:rsidRPr="00061491" w:rsidRDefault="00C04064" w:rsidP="00C04064">
            <w:pPr>
              <w:contextualSpacing/>
              <w:jc w:val="center"/>
            </w:pPr>
            <w:r>
              <w:rPr>
                <w:rFonts w:ascii="Calibri" w:hAnsi="Calibri" w:cs="Calibri"/>
                <w:color w:val="000000"/>
              </w:rPr>
              <w:t>2,047</w:t>
            </w:r>
          </w:p>
        </w:tc>
        <w:tc>
          <w:tcPr>
            <w:tcW w:w="948" w:type="dxa"/>
            <w:tcBorders>
              <w:top w:val="nil"/>
              <w:left w:val="nil"/>
              <w:bottom w:val="nil"/>
              <w:right w:val="nil"/>
            </w:tcBorders>
            <w:shd w:val="clear" w:color="auto" w:fill="auto"/>
            <w:vAlign w:val="bottom"/>
          </w:tcPr>
          <w:p w14:paraId="4594042F" w14:textId="17A67971" w:rsidR="00C04064" w:rsidRPr="00061491" w:rsidRDefault="00C04064" w:rsidP="00C04064">
            <w:pPr>
              <w:contextualSpacing/>
            </w:pPr>
            <w:r>
              <w:rPr>
                <w:rFonts w:ascii="Calibri" w:hAnsi="Calibri" w:cs="Calibri"/>
                <w:color w:val="000000"/>
              </w:rPr>
              <w:t>(0.5)</w:t>
            </w:r>
          </w:p>
        </w:tc>
        <w:tc>
          <w:tcPr>
            <w:tcW w:w="960" w:type="dxa"/>
            <w:tcBorders>
              <w:top w:val="nil"/>
              <w:left w:val="nil"/>
              <w:bottom w:val="nil"/>
              <w:right w:val="nil"/>
            </w:tcBorders>
            <w:shd w:val="clear" w:color="auto" w:fill="auto"/>
            <w:noWrap/>
            <w:vAlign w:val="bottom"/>
          </w:tcPr>
          <w:p w14:paraId="5A7151CB" w14:textId="688DABE8" w:rsidR="00C04064" w:rsidRPr="00061491" w:rsidRDefault="00C04064" w:rsidP="00C04064">
            <w:pPr>
              <w:contextualSpacing/>
              <w:jc w:val="center"/>
            </w:pPr>
            <w:r>
              <w:rPr>
                <w:rFonts w:ascii="Calibri" w:hAnsi="Calibri" w:cs="Calibri"/>
                <w:color w:val="000000"/>
              </w:rPr>
              <w:t>-1,399</w:t>
            </w:r>
          </w:p>
        </w:tc>
        <w:tc>
          <w:tcPr>
            <w:tcW w:w="917" w:type="dxa"/>
            <w:tcBorders>
              <w:top w:val="nil"/>
              <w:left w:val="nil"/>
              <w:bottom w:val="nil"/>
              <w:right w:val="nil"/>
            </w:tcBorders>
            <w:shd w:val="clear" w:color="auto" w:fill="auto"/>
            <w:noWrap/>
            <w:vAlign w:val="bottom"/>
          </w:tcPr>
          <w:p w14:paraId="485BC6F7" w14:textId="1E08C48A" w:rsidR="00C04064" w:rsidRPr="00061491" w:rsidRDefault="00C04064" w:rsidP="00C04064">
            <w:pPr>
              <w:contextualSpacing/>
            </w:pPr>
            <w:r>
              <w:rPr>
                <w:rFonts w:ascii="Calibri" w:hAnsi="Calibri" w:cs="Calibri"/>
                <w:color w:val="000000"/>
              </w:rPr>
              <w:t>(-40.6)</w:t>
            </w:r>
          </w:p>
        </w:tc>
      </w:tr>
      <w:tr w:rsidR="00C04064" w:rsidRPr="00061491" w14:paraId="238F8B12" w14:textId="77777777" w:rsidTr="009970C7">
        <w:trPr>
          <w:cantSplit/>
          <w:trHeight w:val="283"/>
        </w:trPr>
        <w:tc>
          <w:tcPr>
            <w:tcW w:w="1578" w:type="dxa"/>
            <w:vMerge/>
            <w:tcBorders>
              <w:left w:val="nil"/>
              <w:right w:val="nil"/>
            </w:tcBorders>
            <w:shd w:val="clear" w:color="auto" w:fill="auto"/>
          </w:tcPr>
          <w:p w14:paraId="2F6704E9"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1E341FAF" w14:textId="5168B321"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North America</w:t>
            </w:r>
          </w:p>
        </w:tc>
        <w:tc>
          <w:tcPr>
            <w:tcW w:w="1138" w:type="dxa"/>
            <w:tcBorders>
              <w:top w:val="nil"/>
              <w:left w:val="nil"/>
              <w:bottom w:val="nil"/>
              <w:right w:val="nil"/>
            </w:tcBorders>
            <w:shd w:val="clear" w:color="auto" w:fill="auto"/>
            <w:vAlign w:val="bottom"/>
          </w:tcPr>
          <w:p w14:paraId="50B04986" w14:textId="38ACE064" w:rsidR="00C04064" w:rsidRPr="00061491" w:rsidRDefault="00C04064" w:rsidP="00C04064">
            <w:pPr>
              <w:contextualSpacing/>
              <w:jc w:val="center"/>
            </w:pPr>
            <w:r>
              <w:rPr>
                <w:rFonts w:ascii="Calibri" w:hAnsi="Calibri" w:cs="Calibri"/>
                <w:color w:val="000000"/>
              </w:rPr>
              <w:t>1.02</w:t>
            </w:r>
          </w:p>
        </w:tc>
        <w:tc>
          <w:tcPr>
            <w:tcW w:w="947" w:type="dxa"/>
            <w:tcBorders>
              <w:top w:val="nil"/>
              <w:left w:val="nil"/>
              <w:bottom w:val="nil"/>
              <w:right w:val="nil"/>
            </w:tcBorders>
            <w:shd w:val="clear" w:color="auto" w:fill="auto"/>
            <w:noWrap/>
            <w:vAlign w:val="bottom"/>
          </w:tcPr>
          <w:p w14:paraId="1601886D" w14:textId="5B292947" w:rsidR="00C04064" w:rsidRPr="00061491" w:rsidRDefault="00C04064" w:rsidP="00C04064">
            <w:pPr>
              <w:contextualSpacing/>
              <w:jc w:val="center"/>
            </w:pPr>
            <w:r>
              <w:rPr>
                <w:rFonts w:ascii="Calibri" w:hAnsi="Calibri" w:cs="Calibri"/>
                <w:color w:val="000000"/>
              </w:rPr>
              <w:t>11,889</w:t>
            </w:r>
          </w:p>
        </w:tc>
        <w:tc>
          <w:tcPr>
            <w:tcW w:w="948" w:type="dxa"/>
            <w:tcBorders>
              <w:top w:val="nil"/>
              <w:left w:val="nil"/>
              <w:bottom w:val="nil"/>
              <w:right w:val="nil"/>
            </w:tcBorders>
            <w:shd w:val="clear" w:color="auto" w:fill="auto"/>
            <w:vAlign w:val="bottom"/>
          </w:tcPr>
          <w:p w14:paraId="53DB82E8" w14:textId="55217789" w:rsidR="00C04064" w:rsidRPr="00061491" w:rsidRDefault="00C04064" w:rsidP="00C04064">
            <w:pPr>
              <w:contextualSpacing/>
            </w:pPr>
            <w:r>
              <w:rPr>
                <w:rFonts w:ascii="Calibri" w:hAnsi="Calibri" w:cs="Calibri"/>
                <w:color w:val="000000"/>
              </w:rPr>
              <w:t>(3.3)</w:t>
            </w:r>
          </w:p>
        </w:tc>
        <w:tc>
          <w:tcPr>
            <w:tcW w:w="948" w:type="dxa"/>
            <w:tcBorders>
              <w:top w:val="nil"/>
              <w:left w:val="nil"/>
              <w:bottom w:val="nil"/>
              <w:right w:val="nil"/>
            </w:tcBorders>
            <w:shd w:val="clear" w:color="auto" w:fill="auto"/>
            <w:noWrap/>
            <w:vAlign w:val="bottom"/>
          </w:tcPr>
          <w:p w14:paraId="2739D8CC" w14:textId="7FF3AE70" w:rsidR="00C04064" w:rsidRPr="00061491" w:rsidRDefault="00C04064" w:rsidP="00C04064">
            <w:pPr>
              <w:contextualSpacing/>
              <w:jc w:val="center"/>
            </w:pPr>
            <w:r>
              <w:rPr>
                <w:rFonts w:ascii="Calibri" w:hAnsi="Calibri" w:cs="Calibri"/>
                <w:color w:val="000000"/>
              </w:rPr>
              <w:t>10,882</w:t>
            </w:r>
          </w:p>
        </w:tc>
        <w:tc>
          <w:tcPr>
            <w:tcW w:w="948" w:type="dxa"/>
            <w:tcBorders>
              <w:top w:val="nil"/>
              <w:left w:val="nil"/>
              <w:bottom w:val="nil"/>
              <w:right w:val="nil"/>
            </w:tcBorders>
            <w:shd w:val="clear" w:color="auto" w:fill="auto"/>
            <w:vAlign w:val="bottom"/>
          </w:tcPr>
          <w:p w14:paraId="713ECDC4" w14:textId="4277FF90" w:rsidR="00C04064" w:rsidRPr="00061491" w:rsidRDefault="00C04064" w:rsidP="00C04064">
            <w:pPr>
              <w:contextualSpacing/>
            </w:pPr>
            <w:r>
              <w:rPr>
                <w:rFonts w:ascii="Calibri" w:hAnsi="Calibri" w:cs="Calibri"/>
                <w:color w:val="000000"/>
              </w:rPr>
              <w:t>(2.7)</w:t>
            </w:r>
          </w:p>
        </w:tc>
        <w:tc>
          <w:tcPr>
            <w:tcW w:w="960" w:type="dxa"/>
            <w:tcBorders>
              <w:top w:val="nil"/>
              <w:left w:val="nil"/>
              <w:bottom w:val="nil"/>
              <w:right w:val="nil"/>
            </w:tcBorders>
            <w:shd w:val="clear" w:color="auto" w:fill="auto"/>
            <w:noWrap/>
            <w:vAlign w:val="bottom"/>
          </w:tcPr>
          <w:p w14:paraId="1168D93C" w14:textId="10942157" w:rsidR="00C04064" w:rsidRPr="00061491" w:rsidRDefault="00C04064" w:rsidP="00C04064">
            <w:pPr>
              <w:contextualSpacing/>
              <w:jc w:val="center"/>
            </w:pPr>
            <w:r>
              <w:rPr>
                <w:rFonts w:ascii="Calibri" w:hAnsi="Calibri" w:cs="Calibri"/>
                <w:color w:val="000000"/>
              </w:rPr>
              <w:t>-1,007</w:t>
            </w:r>
          </w:p>
        </w:tc>
        <w:tc>
          <w:tcPr>
            <w:tcW w:w="917" w:type="dxa"/>
            <w:tcBorders>
              <w:top w:val="nil"/>
              <w:left w:val="nil"/>
              <w:bottom w:val="nil"/>
              <w:right w:val="nil"/>
            </w:tcBorders>
            <w:shd w:val="clear" w:color="auto" w:fill="auto"/>
            <w:noWrap/>
            <w:vAlign w:val="bottom"/>
          </w:tcPr>
          <w:p w14:paraId="7E627E2D" w14:textId="1DCFBAE8" w:rsidR="00C04064" w:rsidRPr="00061491" w:rsidRDefault="00C04064" w:rsidP="00C04064">
            <w:pPr>
              <w:contextualSpacing/>
            </w:pPr>
            <w:r>
              <w:rPr>
                <w:rFonts w:ascii="Calibri" w:hAnsi="Calibri" w:cs="Calibri"/>
                <w:color w:val="000000"/>
              </w:rPr>
              <w:t>(-8.5)</w:t>
            </w:r>
          </w:p>
        </w:tc>
      </w:tr>
      <w:tr w:rsidR="00C04064" w:rsidRPr="00061491" w14:paraId="46355827" w14:textId="77777777" w:rsidTr="009970C7">
        <w:trPr>
          <w:cantSplit/>
          <w:trHeight w:val="283"/>
        </w:trPr>
        <w:tc>
          <w:tcPr>
            <w:tcW w:w="1578" w:type="dxa"/>
            <w:vMerge/>
            <w:tcBorders>
              <w:left w:val="nil"/>
              <w:bottom w:val="nil"/>
              <w:right w:val="nil"/>
            </w:tcBorders>
            <w:shd w:val="clear" w:color="auto" w:fill="auto"/>
          </w:tcPr>
          <w:p w14:paraId="54D6FBCB"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568674CF" w14:textId="454227E1"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Western Europe</w:t>
            </w:r>
          </w:p>
        </w:tc>
        <w:tc>
          <w:tcPr>
            <w:tcW w:w="1138" w:type="dxa"/>
            <w:tcBorders>
              <w:top w:val="nil"/>
              <w:left w:val="nil"/>
              <w:bottom w:val="nil"/>
              <w:right w:val="nil"/>
            </w:tcBorders>
            <w:shd w:val="clear" w:color="auto" w:fill="auto"/>
            <w:vAlign w:val="bottom"/>
          </w:tcPr>
          <w:p w14:paraId="7F3C0FC6" w14:textId="1600B52A" w:rsidR="00C04064" w:rsidRPr="00061491" w:rsidRDefault="00C04064" w:rsidP="00C04064">
            <w:pPr>
              <w:contextualSpacing/>
              <w:jc w:val="center"/>
            </w:pPr>
            <w:r>
              <w:rPr>
                <w:rFonts w:ascii="Calibri" w:hAnsi="Calibri" w:cs="Calibri"/>
                <w:color w:val="000000"/>
              </w:rPr>
              <w:t>0.97</w:t>
            </w:r>
          </w:p>
        </w:tc>
        <w:tc>
          <w:tcPr>
            <w:tcW w:w="947" w:type="dxa"/>
            <w:tcBorders>
              <w:top w:val="nil"/>
              <w:left w:val="nil"/>
              <w:bottom w:val="nil"/>
              <w:right w:val="nil"/>
            </w:tcBorders>
            <w:shd w:val="clear" w:color="auto" w:fill="auto"/>
            <w:noWrap/>
            <w:vAlign w:val="bottom"/>
          </w:tcPr>
          <w:p w14:paraId="3E361252" w14:textId="3432B83E" w:rsidR="00C04064" w:rsidRPr="00061491" w:rsidRDefault="00C04064" w:rsidP="00C04064">
            <w:pPr>
              <w:contextualSpacing/>
              <w:jc w:val="center"/>
            </w:pPr>
            <w:r>
              <w:rPr>
                <w:rFonts w:ascii="Calibri" w:hAnsi="Calibri" w:cs="Calibri"/>
                <w:color w:val="000000"/>
              </w:rPr>
              <w:t>5,285</w:t>
            </w:r>
          </w:p>
        </w:tc>
        <w:tc>
          <w:tcPr>
            <w:tcW w:w="948" w:type="dxa"/>
            <w:tcBorders>
              <w:top w:val="nil"/>
              <w:left w:val="nil"/>
              <w:bottom w:val="nil"/>
              <w:right w:val="nil"/>
            </w:tcBorders>
            <w:shd w:val="clear" w:color="auto" w:fill="auto"/>
            <w:vAlign w:val="bottom"/>
          </w:tcPr>
          <w:p w14:paraId="3B69A324" w14:textId="18D2EDE7" w:rsidR="00C04064" w:rsidRPr="00061491" w:rsidRDefault="00C04064" w:rsidP="00C04064">
            <w:pPr>
              <w:contextualSpacing/>
            </w:pPr>
            <w:r>
              <w:rPr>
                <w:rFonts w:ascii="Calibri" w:hAnsi="Calibri" w:cs="Calibri"/>
                <w:color w:val="000000"/>
              </w:rPr>
              <w:t>(1.5)</w:t>
            </w:r>
          </w:p>
        </w:tc>
        <w:tc>
          <w:tcPr>
            <w:tcW w:w="948" w:type="dxa"/>
            <w:tcBorders>
              <w:top w:val="nil"/>
              <w:left w:val="nil"/>
              <w:bottom w:val="nil"/>
              <w:right w:val="nil"/>
            </w:tcBorders>
            <w:shd w:val="clear" w:color="auto" w:fill="auto"/>
            <w:noWrap/>
            <w:vAlign w:val="bottom"/>
          </w:tcPr>
          <w:p w14:paraId="5EA45D44" w14:textId="6EFD866A" w:rsidR="00C04064" w:rsidRPr="00061491" w:rsidRDefault="00C04064" w:rsidP="00C04064">
            <w:pPr>
              <w:contextualSpacing/>
              <w:jc w:val="center"/>
            </w:pPr>
            <w:r>
              <w:rPr>
                <w:rFonts w:ascii="Calibri" w:hAnsi="Calibri" w:cs="Calibri"/>
                <w:color w:val="000000"/>
              </w:rPr>
              <w:t>4,326</w:t>
            </w:r>
          </w:p>
        </w:tc>
        <w:tc>
          <w:tcPr>
            <w:tcW w:w="948" w:type="dxa"/>
            <w:tcBorders>
              <w:top w:val="nil"/>
              <w:left w:val="nil"/>
              <w:bottom w:val="nil"/>
              <w:right w:val="nil"/>
            </w:tcBorders>
            <w:shd w:val="clear" w:color="auto" w:fill="auto"/>
            <w:vAlign w:val="bottom"/>
          </w:tcPr>
          <w:p w14:paraId="629AD497" w14:textId="0F1A8600" w:rsidR="00C04064" w:rsidRPr="00061491" w:rsidRDefault="00C04064" w:rsidP="00C04064">
            <w:pPr>
              <w:contextualSpacing/>
            </w:pPr>
            <w:r>
              <w:rPr>
                <w:rFonts w:ascii="Calibri" w:hAnsi="Calibri" w:cs="Calibri"/>
                <w:color w:val="000000"/>
              </w:rPr>
              <w:t>(1.1)</w:t>
            </w:r>
          </w:p>
        </w:tc>
        <w:tc>
          <w:tcPr>
            <w:tcW w:w="960" w:type="dxa"/>
            <w:tcBorders>
              <w:top w:val="nil"/>
              <w:left w:val="nil"/>
              <w:bottom w:val="nil"/>
              <w:right w:val="nil"/>
            </w:tcBorders>
            <w:shd w:val="clear" w:color="auto" w:fill="auto"/>
            <w:noWrap/>
            <w:vAlign w:val="bottom"/>
          </w:tcPr>
          <w:p w14:paraId="68DA8B5B" w14:textId="07935A49" w:rsidR="00C04064" w:rsidRPr="00061491" w:rsidRDefault="00C04064" w:rsidP="00C04064">
            <w:pPr>
              <w:contextualSpacing/>
              <w:jc w:val="center"/>
            </w:pPr>
            <w:r>
              <w:rPr>
                <w:rFonts w:ascii="Calibri" w:hAnsi="Calibri" w:cs="Calibri"/>
                <w:color w:val="000000"/>
              </w:rPr>
              <w:t>-959</w:t>
            </w:r>
          </w:p>
        </w:tc>
        <w:tc>
          <w:tcPr>
            <w:tcW w:w="917" w:type="dxa"/>
            <w:tcBorders>
              <w:top w:val="nil"/>
              <w:left w:val="nil"/>
              <w:bottom w:val="nil"/>
              <w:right w:val="nil"/>
            </w:tcBorders>
            <w:shd w:val="clear" w:color="auto" w:fill="auto"/>
            <w:noWrap/>
            <w:vAlign w:val="bottom"/>
          </w:tcPr>
          <w:p w14:paraId="23210E7B" w14:textId="3AFB6368" w:rsidR="00C04064" w:rsidRPr="00061491" w:rsidRDefault="00C04064" w:rsidP="00C04064">
            <w:pPr>
              <w:contextualSpacing/>
            </w:pPr>
            <w:r>
              <w:rPr>
                <w:rFonts w:ascii="Calibri" w:hAnsi="Calibri" w:cs="Calibri"/>
                <w:color w:val="000000"/>
              </w:rPr>
              <w:t>(-18.1)</w:t>
            </w:r>
          </w:p>
        </w:tc>
      </w:tr>
      <w:tr w:rsidR="00C04064" w:rsidRPr="00061491" w14:paraId="47903A17" w14:textId="77777777" w:rsidTr="009970C7">
        <w:trPr>
          <w:cantSplit/>
          <w:trHeight w:val="283"/>
        </w:trPr>
        <w:tc>
          <w:tcPr>
            <w:tcW w:w="1578" w:type="dxa"/>
            <w:tcBorders>
              <w:top w:val="nil"/>
              <w:left w:val="nil"/>
              <w:right w:val="nil"/>
            </w:tcBorders>
            <w:shd w:val="clear" w:color="auto" w:fill="auto"/>
            <w:textDirection w:val="btLr"/>
          </w:tcPr>
          <w:p w14:paraId="0783B759" w14:textId="77777777" w:rsidR="00C04064" w:rsidRPr="00061491" w:rsidRDefault="00C04064" w:rsidP="00C04064">
            <w:pPr>
              <w:spacing w:after="0" w:line="240" w:lineRule="auto"/>
              <w:ind w:left="113" w:right="113"/>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center"/>
          </w:tcPr>
          <w:p w14:paraId="631D8960" w14:textId="77777777" w:rsidR="00C04064" w:rsidRPr="00061491" w:rsidRDefault="00C04064" w:rsidP="00C04064">
            <w:pPr>
              <w:spacing w:after="0" w:line="240" w:lineRule="auto"/>
              <w:jc w:val="center"/>
              <w:rPr>
                <w:rFonts w:eastAsia="Times New Roman" w:cstheme="minorHAnsi"/>
                <w:color w:val="000000"/>
                <w:lang w:eastAsia="en-GB"/>
              </w:rPr>
            </w:pPr>
          </w:p>
        </w:tc>
        <w:tc>
          <w:tcPr>
            <w:tcW w:w="1138" w:type="dxa"/>
            <w:tcBorders>
              <w:left w:val="nil"/>
              <w:right w:val="nil"/>
            </w:tcBorders>
            <w:vAlign w:val="center"/>
          </w:tcPr>
          <w:p w14:paraId="7F2C22FB" w14:textId="77777777" w:rsidR="00C04064" w:rsidRPr="00061491" w:rsidRDefault="00C04064" w:rsidP="00C04064">
            <w:pPr>
              <w:contextualSpacing/>
              <w:jc w:val="center"/>
            </w:pPr>
          </w:p>
        </w:tc>
        <w:tc>
          <w:tcPr>
            <w:tcW w:w="947" w:type="dxa"/>
            <w:tcBorders>
              <w:top w:val="nil"/>
              <w:left w:val="nil"/>
              <w:bottom w:val="nil"/>
              <w:right w:val="nil"/>
            </w:tcBorders>
            <w:shd w:val="clear" w:color="auto" w:fill="auto"/>
            <w:noWrap/>
            <w:vAlign w:val="center"/>
          </w:tcPr>
          <w:p w14:paraId="5B46E1BB" w14:textId="77777777" w:rsidR="00C04064" w:rsidRPr="00061491" w:rsidRDefault="00C04064" w:rsidP="00C04064">
            <w:pPr>
              <w:contextualSpacing/>
              <w:jc w:val="center"/>
            </w:pPr>
          </w:p>
        </w:tc>
        <w:tc>
          <w:tcPr>
            <w:tcW w:w="948" w:type="dxa"/>
            <w:tcBorders>
              <w:top w:val="nil"/>
              <w:left w:val="nil"/>
              <w:bottom w:val="nil"/>
              <w:right w:val="nil"/>
            </w:tcBorders>
            <w:shd w:val="clear" w:color="auto" w:fill="auto"/>
            <w:vAlign w:val="center"/>
          </w:tcPr>
          <w:p w14:paraId="494EA829" w14:textId="77777777" w:rsidR="00C04064" w:rsidRPr="00061491" w:rsidRDefault="00C04064" w:rsidP="00C04064">
            <w:pPr>
              <w:contextualSpacing/>
            </w:pPr>
          </w:p>
        </w:tc>
        <w:tc>
          <w:tcPr>
            <w:tcW w:w="948" w:type="dxa"/>
            <w:tcBorders>
              <w:top w:val="nil"/>
              <w:left w:val="nil"/>
              <w:bottom w:val="nil"/>
              <w:right w:val="nil"/>
            </w:tcBorders>
            <w:shd w:val="clear" w:color="auto" w:fill="auto"/>
            <w:noWrap/>
            <w:vAlign w:val="center"/>
          </w:tcPr>
          <w:p w14:paraId="699615F1" w14:textId="77777777" w:rsidR="00C04064" w:rsidRPr="00061491" w:rsidRDefault="00C04064" w:rsidP="00C04064">
            <w:pPr>
              <w:contextualSpacing/>
              <w:jc w:val="center"/>
            </w:pPr>
          </w:p>
        </w:tc>
        <w:tc>
          <w:tcPr>
            <w:tcW w:w="948" w:type="dxa"/>
            <w:tcBorders>
              <w:top w:val="nil"/>
              <w:left w:val="nil"/>
              <w:bottom w:val="nil"/>
              <w:right w:val="nil"/>
            </w:tcBorders>
            <w:shd w:val="clear" w:color="auto" w:fill="auto"/>
            <w:vAlign w:val="center"/>
          </w:tcPr>
          <w:p w14:paraId="3DD4B1B7" w14:textId="77777777" w:rsidR="00C04064" w:rsidRPr="00061491" w:rsidRDefault="00C04064" w:rsidP="00C04064">
            <w:pPr>
              <w:contextualSpacing/>
            </w:pPr>
          </w:p>
        </w:tc>
        <w:tc>
          <w:tcPr>
            <w:tcW w:w="960" w:type="dxa"/>
            <w:tcBorders>
              <w:top w:val="nil"/>
              <w:left w:val="nil"/>
              <w:bottom w:val="nil"/>
              <w:right w:val="nil"/>
            </w:tcBorders>
            <w:shd w:val="clear" w:color="auto" w:fill="auto"/>
            <w:noWrap/>
            <w:vAlign w:val="center"/>
          </w:tcPr>
          <w:p w14:paraId="23B29A4A" w14:textId="77777777" w:rsidR="00C04064" w:rsidRPr="00061491" w:rsidRDefault="00C04064" w:rsidP="00C04064">
            <w:pPr>
              <w:contextualSpacing/>
              <w:jc w:val="center"/>
            </w:pPr>
          </w:p>
        </w:tc>
        <w:tc>
          <w:tcPr>
            <w:tcW w:w="917" w:type="dxa"/>
            <w:tcBorders>
              <w:top w:val="nil"/>
              <w:left w:val="nil"/>
              <w:bottom w:val="nil"/>
              <w:right w:val="nil"/>
            </w:tcBorders>
            <w:shd w:val="clear" w:color="auto" w:fill="auto"/>
            <w:noWrap/>
            <w:vAlign w:val="center"/>
          </w:tcPr>
          <w:p w14:paraId="15D5D670" w14:textId="77777777" w:rsidR="00C04064" w:rsidRPr="00061491" w:rsidRDefault="00C04064" w:rsidP="00C04064">
            <w:pPr>
              <w:contextualSpacing/>
            </w:pPr>
          </w:p>
        </w:tc>
      </w:tr>
      <w:tr w:rsidR="00C04064" w:rsidRPr="00061491" w14:paraId="62C55EDD" w14:textId="77777777" w:rsidTr="009970C7">
        <w:trPr>
          <w:cantSplit/>
          <w:trHeight w:val="283"/>
        </w:trPr>
        <w:tc>
          <w:tcPr>
            <w:tcW w:w="1578" w:type="dxa"/>
            <w:vMerge w:val="restart"/>
            <w:tcBorders>
              <w:top w:val="nil"/>
              <w:left w:val="nil"/>
              <w:right w:val="nil"/>
            </w:tcBorders>
            <w:shd w:val="clear" w:color="auto" w:fill="auto"/>
          </w:tcPr>
          <w:p w14:paraId="4A12CFF6" w14:textId="565F1170" w:rsidR="00C04064" w:rsidRPr="00061491" w:rsidRDefault="00C04064" w:rsidP="001D31CF">
            <w:pPr>
              <w:spacing w:after="0" w:line="240" w:lineRule="auto"/>
              <w:jc w:val="center"/>
              <w:rPr>
                <w:rFonts w:eastAsia="Times New Roman" w:cstheme="minorHAnsi"/>
                <w:color w:val="000000"/>
                <w:lang w:eastAsia="en-GB"/>
              </w:rPr>
            </w:pPr>
            <w:r w:rsidRPr="00061491">
              <w:rPr>
                <w:rFonts w:eastAsia="Times New Roman" w:cstheme="minorHAnsi"/>
                <w:color w:val="000000"/>
                <w:lang w:eastAsia="en-GB"/>
              </w:rPr>
              <w:t xml:space="preserve">Human Development </w:t>
            </w:r>
            <w:r>
              <w:rPr>
                <w:rFonts w:eastAsia="Times New Roman" w:cstheme="minorHAnsi"/>
                <w:color w:val="000000"/>
                <w:lang w:eastAsia="en-GB"/>
              </w:rPr>
              <w:t>Index</w:t>
            </w:r>
          </w:p>
        </w:tc>
        <w:tc>
          <w:tcPr>
            <w:tcW w:w="2654" w:type="dxa"/>
            <w:tcBorders>
              <w:top w:val="nil"/>
              <w:left w:val="nil"/>
              <w:bottom w:val="nil"/>
              <w:right w:val="nil"/>
            </w:tcBorders>
            <w:shd w:val="clear" w:color="auto" w:fill="auto"/>
            <w:noWrap/>
            <w:vAlign w:val="bottom"/>
          </w:tcPr>
          <w:p w14:paraId="4EC0DE38" w14:textId="45392F28"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Low</w:t>
            </w:r>
          </w:p>
        </w:tc>
        <w:tc>
          <w:tcPr>
            <w:tcW w:w="1138" w:type="dxa"/>
            <w:tcBorders>
              <w:top w:val="nil"/>
              <w:left w:val="nil"/>
              <w:bottom w:val="nil"/>
              <w:right w:val="nil"/>
            </w:tcBorders>
            <w:shd w:val="clear" w:color="auto" w:fill="auto"/>
            <w:vAlign w:val="bottom"/>
          </w:tcPr>
          <w:p w14:paraId="5819F09F" w14:textId="3DD2DA96" w:rsidR="00C04064" w:rsidRPr="00061491" w:rsidRDefault="00C04064" w:rsidP="00C04064">
            <w:pPr>
              <w:contextualSpacing/>
              <w:jc w:val="center"/>
            </w:pPr>
            <w:r>
              <w:rPr>
                <w:rFonts w:ascii="Calibri" w:hAnsi="Calibri" w:cs="Calibri"/>
                <w:color w:val="000000"/>
              </w:rPr>
              <w:t>149.84</w:t>
            </w:r>
          </w:p>
        </w:tc>
        <w:tc>
          <w:tcPr>
            <w:tcW w:w="947" w:type="dxa"/>
            <w:tcBorders>
              <w:top w:val="nil"/>
              <w:left w:val="nil"/>
              <w:bottom w:val="nil"/>
              <w:right w:val="nil"/>
            </w:tcBorders>
            <w:shd w:val="clear" w:color="auto" w:fill="auto"/>
            <w:noWrap/>
            <w:vAlign w:val="bottom"/>
          </w:tcPr>
          <w:p w14:paraId="7630DB46" w14:textId="5D188A27" w:rsidR="00C04064" w:rsidRPr="00061491" w:rsidRDefault="00C04064" w:rsidP="00C04064">
            <w:pPr>
              <w:contextualSpacing/>
              <w:jc w:val="center"/>
            </w:pPr>
            <w:r>
              <w:rPr>
                <w:rFonts w:ascii="Calibri" w:hAnsi="Calibri" w:cs="Calibri"/>
                <w:color w:val="000000"/>
              </w:rPr>
              <w:t>85,370</w:t>
            </w:r>
          </w:p>
        </w:tc>
        <w:tc>
          <w:tcPr>
            <w:tcW w:w="948" w:type="dxa"/>
            <w:tcBorders>
              <w:top w:val="nil"/>
              <w:left w:val="nil"/>
              <w:bottom w:val="nil"/>
              <w:right w:val="nil"/>
            </w:tcBorders>
            <w:shd w:val="clear" w:color="auto" w:fill="auto"/>
            <w:vAlign w:val="bottom"/>
          </w:tcPr>
          <w:p w14:paraId="4B5912A0" w14:textId="1178D5F5" w:rsidR="00C04064" w:rsidRPr="00061491" w:rsidRDefault="00C04064" w:rsidP="00C04064">
            <w:pPr>
              <w:contextualSpacing/>
            </w:pPr>
            <w:r>
              <w:rPr>
                <w:rFonts w:ascii="Calibri" w:hAnsi="Calibri" w:cs="Calibri"/>
                <w:color w:val="000000"/>
              </w:rPr>
              <w:t>(23.7)</w:t>
            </w:r>
          </w:p>
        </w:tc>
        <w:tc>
          <w:tcPr>
            <w:tcW w:w="948" w:type="dxa"/>
            <w:tcBorders>
              <w:top w:val="nil"/>
              <w:left w:val="nil"/>
              <w:bottom w:val="nil"/>
              <w:right w:val="nil"/>
            </w:tcBorders>
            <w:shd w:val="clear" w:color="auto" w:fill="auto"/>
            <w:noWrap/>
            <w:vAlign w:val="bottom"/>
          </w:tcPr>
          <w:p w14:paraId="332C6A41" w14:textId="63B4DF09" w:rsidR="00C04064" w:rsidRPr="00061491" w:rsidRDefault="00C04064" w:rsidP="00C04064">
            <w:pPr>
              <w:contextualSpacing/>
              <w:jc w:val="center"/>
            </w:pPr>
            <w:r>
              <w:rPr>
                <w:rFonts w:ascii="Calibri" w:hAnsi="Calibri" w:cs="Calibri"/>
                <w:color w:val="000000"/>
              </w:rPr>
              <w:t>124,708</w:t>
            </w:r>
          </w:p>
        </w:tc>
        <w:tc>
          <w:tcPr>
            <w:tcW w:w="948" w:type="dxa"/>
            <w:tcBorders>
              <w:top w:val="nil"/>
              <w:left w:val="nil"/>
              <w:bottom w:val="nil"/>
              <w:right w:val="nil"/>
            </w:tcBorders>
            <w:shd w:val="clear" w:color="auto" w:fill="auto"/>
            <w:vAlign w:val="bottom"/>
          </w:tcPr>
          <w:p w14:paraId="49F50931" w14:textId="2CDD3D9A" w:rsidR="00C04064" w:rsidRPr="00061491" w:rsidRDefault="00C04064" w:rsidP="00C04064">
            <w:pPr>
              <w:contextualSpacing/>
            </w:pPr>
            <w:r>
              <w:rPr>
                <w:rFonts w:ascii="Calibri" w:hAnsi="Calibri" w:cs="Calibri"/>
                <w:color w:val="000000"/>
              </w:rPr>
              <w:t>(31.4)</w:t>
            </w:r>
          </w:p>
        </w:tc>
        <w:tc>
          <w:tcPr>
            <w:tcW w:w="960" w:type="dxa"/>
            <w:tcBorders>
              <w:top w:val="nil"/>
              <w:left w:val="nil"/>
              <w:bottom w:val="nil"/>
              <w:right w:val="nil"/>
            </w:tcBorders>
            <w:shd w:val="clear" w:color="auto" w:fill="auto"/>
            <w:noWrap/>
            <w:vAlign w:val="bottom"/>
          </w:tcPr>
          <w:p w14:paraId="586E84E0" w14:textId="3E9114E9" w:rsidR="00C04064" w:rsidRPr="00061491" w:rsidRDefault="00C04064" w:rsidP="00C04064">
            <w:pPr>
              <w:contextualSpacing/>
              <w:jc w:val="center"/>
            </w:pPr>
            <w:r>
              <w:rPr>
                <w:rFonts w:ascii="Calibri" w:hAnsi="Calibri" w:cs="Calibri"/>
                <w:color w:val="000000"/>
              </w:rPr>
              <w:t>39,338</w:t>
            </w:r>
          </w:p>
        </w:tc>
        <w:tc>
          <w:tcPr>
            <w:tcW w:w="917" w:type="dxa"/>
            <w:tcBorders>
              <w:top w:val="nil"/>
              <w:left w:val="nil"/>
              <w:bottom w:val="nil"/>
              <w:right w:val="nil"/>
            </w:tcBorders>
            <w:shd w:val="clear" w:color="auto" w:fill="auto"/>
            <w:noWrap/>
            <w:vAlign w:val="bottom"/>
          </w:tcPr>
          <w:p w14:paraId="22EC6AAE" w14:textId="5EDC11EC" w:rsidR="00C04064" w:rsidRPr="00061491" w:rsidRDefault="00C04064" w:rsidP="00C04064">
            <w:pPr>
              <w:contextualSpacing/>
            </w:pPr>
            <w:r>
              <w:rPr>
                <w:rFonts w:ascii="Calibri" w:hAnsi="Calibri" w:cs="Calibri"/>
                <w:color w:val="000000"/>
              </w:rPr>
              <w:t>(46.1)</w:t>
            </w:r>
          </w:p>
        </w:tc>
      </w:tr>
      <w:tr w:rsidR="00C04064" w:rsidRPr="00061491" w14:paraId="60FECEEF" w14:textId="77777777" w:rsidTr="009970C7">
        <w:trPr>
          <w:cantSplit/>
          <w:trHeight w:val="283"/>
        </w:trPr>
        <w:tc>
          <w:tcPr>
            <w:tcW w:w="1578" w:type="dxa"/>
            <w:vMerge/>
            <w:tcBorders>
              <w:left w:val="nil"/>
              <w:right w:val="nil"/>
            </w:tcBorders>
            <w:shd w:val="clear" w:color="auto" w:fill="auto"/>
            <w:vAlign w:val="center"/>
          </w:tcPr>
          <w:p w14:paraId="48D53354"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361EFEB3" w14:textId="3BA87E6D"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Medium</w:t>
            </w:r>
          </w:p>
        </w:tc>
        <w:tc>
          <w:tcPr>
            <w:tcW w:w="1138" w:type="dxa"/>
            <w:tcBorders>
              <w:top w:val="nil"/>
              <w:left w:val="nil"/>
              <w:bottom w:val="nil"/>
              <w:right w:val="nil"/>
            </w:tcBorders>
            <w:shd w:val="clear" w:color="auto" w:fill="auto"/>
            <w:vAlign w:val="bottom"/>
          </w:tcPr>
          <w:p w14:paraId="5E1DE30E" w14:textId="4A06E075" w:rsidR="00C04064" w:rsidRPr="00061491" w:rsidRDefault="00C04064" w:rsidP="00C04064">
            <w:pPr>
              <w:contextualSpacing/>
              <w:jc w:val="center"/>
            </w:pPr>
            <w:r>
              <w:rPr>
                <w:rFonts w:ascii="Calibri" w:hAnsi="Calibri" w:cs="Calibri"/>
                <w:color w:val="000000"/>
              </w:rPr>
              <w:t>23.72</w:t>
            </w:r>
          </w:p>
        </w:tc>
        <w:tc>
          <w:tcPr>
            <w:tcW w:w="947" w:type="dxa"/>
            <w:tcBorders>
              <w:top w:val="nil"/>
              <w:left w:val="nil"/>
              <w:bottom w:val="nil"/>
              <w:right w:val="nil"/>
            </w:tcBorders>
            <w:shd w:val="clear" w:color="auto" w:fill="auto"/>
            <w:noWrap/>
            <w:vAlign w:val="bottom"/>
          </w:tcPr>
          <w:p w14:paraId="3B9C7B9C" w14:textId="04DDBF93" w:rsidR="00C04064" w:rsidRPr="00061491" w:rsidRDefault="00C04064" w:rsidP="00C04064">
            <w:pPr>
              <w:contextualSpacing/>
              <w:jc w:val="center"/>
            </w:pPr>
            <w:r>
              <w:rPr>
                <w:rFonts w:ascii="Calibri" w:hAnsi="Calibri" w:cs="Calibri"/>
                <w:color w:val="000000"/>
              </w:rPr>
              <w:t>143,024</w:t>
            </w:r>
          </w:p>
        </w:tc>
        <w:tc>
          <w:tcPr>
            <w:tcW w:w="948" w:type="dxa"/>
            <w:tcBorders>
              <w:top w:val="nil"/>
              <w:left w:val="nil"/>
              <w:bottom w:val="nil"/>
              <w:right w:val="nil"/>
            </w:tcBorders>
            <w:shd w:val="clear" w:color="auto" w:fill="auto"/>
            <w:vAlign w:val="bottom"/>
          </w:tcPr>
          <w:p w14:paraId="7D3EDC3F" w14:textId="4A0B206D" w:rsidR="00C04064" w:rsidRPr="00061491" w:rsidRDefault="00C04064" w:rsidP="00C04064">
            <w:pPr>
              <w:contextualSpacing/>
            </w:pPr>
            <w:r>
              <w:rPr>
                <w:rFonts w:ascii="Calibri" w:hAnsi="Calibri" w:cs="Calibri"/>
                <w:color w:val="000000"/>
              </w:rPr>
              <w:t>(39.7)</w:t>
            </w:r>
          </w:p>
        </w:tc>
        <w:tc>
          <w:tcPr>
            <w:tcW w:w="948" w:type="dxa"/>
            <w:tcBorders>
              <w:top w:val="nil"/>
              <w:left w:val="nil"/>
              <w:bottom w:val="nil"/>
              <w:right w:val="nil"/>
            </w:tcBorders>
            <w:shd w:val="clear" w:color="auto" w:fill="auto"/>
            <w:noWrap/>
            <w:vAlign w:val="bottom"/>
          </w:tcPr>
          <w:p w14:paraId="6F944F26" w14:textId="27E7CE04" w:rsidR="00C04064" w:rsidRPr="00061491" w:rsidRDefault="00C04064" w:rsidP="00C04064">
            <w:pPr>
              <w:contextualSpacing/>
              <w:jc w:val="center"/>
            </w:pPr>
            <w:r>
              <w:rPr>
                <w:rFonts w:ascii="Calibri" w:hAnsi="Calibri" w:cs="Calibri"/>
                <w:color w:val="000000"/>
              </w:rPr>
              <w:t>152,545</w:t>
            </w:r>
          </w:p>
        </w:tc>
        <w:tc>
          <w:tcPr>
            <w:tcW w:w="948" w:type="dxa"/>
            <w:tcBorders>
              <w:top w:val="nil"/>
              <w:left w:val="nil"/>
              <w:bottom w:val="nil"/>
              <w:right w:val="nil"/>
            </w:tcBorders>
            <w:shd w:val="clear" w:color="auto" w:fill="auto"/>
            <w:vAlign w:val="bottom"/>
          </w:tcPr>
          <w:p w14:paraId="27AD6529" w14:textId="02D72FD2" w:rsidR="00C04064" w:rsidRPr="00061491" w:rsidRDefault="00C04064" w:rsidP="00C04064">
            <w:pPr>
              <w:contextualSpacing/>
            </w:pPr>
            <w:r>
              <w:rPr>
                <w:rFonts w:ascii="Calibri" w:hAnsi="Calibri" w:cs="Calibri"/>
                <w:color w:val="000000"/>
              </w:rPr>
              <w:t>(38.5)</w:t>
            </w:r>
          </w:p>
        </w:tc>
        <w:tc>
          <w:tcPr>
            <w:tcW w:w="960" w:type="dxa"/>
            <w:tcBorders>
              <w:top w:val="nil"/>
              <w:left w:val="nil"/>
              <w:bottom w:val="nil"/>
              <w:right w:val="nil"/>
            </w:tcBorders>
            <w:shd w:val="clear" w:color="auto" w:fill="auto"/>
            <w:noWrap/>
            <w:vAlign w:val="bottom"/>
          </w:tcPr>
          <w:p w14:paraId="420E8F37" w14:textId="14523FE4" w:rsidR="00C04064" w:rsidRPr="00061491" w:rsidRDefault="00C04064" w:rsidP="00C04064">
            <w:pPr>
              <w:contextualSpacing/>
              <w:jc w:val="center"/>
            </w:pPr>
            <w:r>
              <w:rPr>
                <w:rFonts w:ascii="Calibri" w:hAnsi="Calibri" w:cs="Calibri"/>
                <w:color w:val="000000"/>
              </w:rPr>
              <w:t>9,521</w:t>
            </w:r>
          </w:p>
        </w:tc>
        <w:tc>
          <w:tcPr>
            <w:tcW w:w="917" w:type="dxa"/>
            <w:tcBorders>
              <w:top w:val="nil"/>
              <w:left w:val="nil"/>
              <w:bottom w:val="nil"/>
              <w:right w:val="nil"/>
            </w:tcBorders>
            <w:shd w:val="clear" w:color="auto" w:fill="auto"/>
            <w:noWrap/>
            <w:vAlign w:val="bottom"/>
          </w:tcPr>
          <w:p w14:paraId="43990919" w14:textId="3269D4F0" w:rsidR="00C04064" w:rsidRPr="00061491" w:rsidRDefault="00C04064" w:rsidP="00C04064">
            <w:pPr>
              <w:contextualSpacing/>
            </w:pPr>
            <w:r>
              <w:rPr>
                <w:rFonts w:ascii="Calibri" w:hAnsi="Calibri" w:cs="Calibri"/>
                <w:color w:val="000000"/>
              </w:rPr>
              <w:t>(6.7)</w:t>
            </w:r>
          </w:p>
        </w:tc>
      </w:tr>
      <w:tr w:rsidR="00C04064" w:rsidRPr="00061491" w14:paraId="5B3B1779" w14:textId="77777777" w:rsidTr="009970C7">
        <w:trPr>
          <w:cantSplit/>
          <w:trHeight w:val="283"/>
        </w:trPr>
        <w:tc>
          <w:tcPr>
            <w:tcW w:w="1578" w:type="dxa"/>
            <w:vMerge/>
            <w:tcBorders>
              <w:left w:val="nil"/>
              <w:right w:val="nil"/>
            </w:tcBorders>
            <w:shd w:val="clear" w:color="auto" w:fill="auto"/>
            <w:vAlign w:val="center"/>
          </w:tcPr>
          <w:p w14:paraId="2A559246"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2FD94D0A" w14:textId="211AD421"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High</w:t>
            </w:r>
          </w:p>
        </w:tc>
        <w:tc>
          <w:tcPr>
            <w:tcW w:w="1138" w:type="dxa"/>
            <w:tcBorders>
              <w:top w:val="nil"/>
              <w:left w:val="nil"/>
              <w:bottom w:val="nil"/>
              <w:right w:val="nil"/>
            </w:tcBorders>
            <w:shd w:val="clear" w:color="auto" w:fill="auto"/>
            <w:vAlign w:val="bottom"/>
          </w:tcPr>
          <w:p w14:paraId="3E6D48A8" w14:textId="1D48C0C5" w:rsidR="00C04064" w:rsidRPr="00061491" w:rsidRDefault="00C04064" w:rsidP="00C04064">
            <w:pPr>
              <w:contextualSpacing/>
              <w:jc w:val="center"/>
            </w:pPr>
            <w:r>
              <w:rPr>
                <w:rFonts w:ascii="Calibri" w:hAnsi="Calibri" w:cs="Calibri"/>
                <w:color w:val="000000"/>
              </w:rPr>
              <w:t>15.66</w:t>
            </w:r>
          </w:p>
        </w:tc>
        <w:tc>
          <w:tcPr>
            <w:tcW w:w="947" w:type="dxa"/>
            <w:tcBorders>
              <w:top w:val="nil"/>
              <w:left w:val="nil"/>
              <w:bottom w:val="nil"/>
              <w:right w:val="nil"/>
            </w:tcBorders>
            <w:shd w:val="clear" w:color="auto" w:fill="auto"/>
            <w:noWrap/>
            <w:vAlign w:val="bottom"/>
          </w:tcPr>
          <w:p w14:paraId="01892E93" w14:textId="0B1803AF" w:rsidR="00C04064" w:rsidRPr="00061491" w:rsidRDefault="00C04064" w:rsidP="00C04064">
            <w:pPr>
              <w:contextualSpacing/>
              <w:jc w:val="center"/>
            </w:pPr>
            <w:r>
              <w:rPr>
                <w:rFonts w:ascii="Calibri" w:hAnsi="Calibri" w:cs="Calibri"/>
                <w:color w:val="000000"/>
              </w:rPr>
              <w:t>87,822</w:t>
            </w:r>
          </w:p>
        </w:tc>
        <w:tc>
          <w:tcPr>
            <w:tcW w:w="948" w:type="dxa"/>
            <w:tcBorders>
              <w:top w:val="nil"/>
              <w:left w:val="nil"/>
              <w:bottom w:val="nil"/>
              <w:right w:val="nil"/>
            </w:tcBorders>
            <w:shd w:val="clear" w:color="auto" w:fill="auto"/>
            <w:vAlign w:val="bottom"/>
          </w:tcPr>
          <w:p w14:paraId="06CC7334" w14:textId="33521A4E" w:rsidR="00C04064" w:rsidRPr="00061491" w:rsidRDefault="00C04064" w:rsidP="00C04064">
            <w:pPr>
              <w:contextualSpacing/>
            </w:pPr>
            <w:r>
              <w:rPr>
                <w:rFonts w:ascii="Calibri" w:hAnsi="Calibri" w:cs="Calibri"/>
                <w:color w:val="000000"/>
              </w:rPr>
              <w:t>(24.4)</w:t>
            </w:r>
          </w:p>
        </w:tc>
        <w:tc>
          <w:tcPr>
            <w:tcW w:w="948" w:type="dxa"/>
            <w:tcBorders>
              <w:top w:val="nil"/>
              <w:left w:val="nil"/>
              <w:bottom w:val="nil"/>
              <w:right w:val="nil"/>
            </w:tcBorders>
            <w:shd w:val="clear" w:color="auto" w:fill="auto"/>
            <w:noWrap/>
            <w:vAlign w:val="bottom"/>
          </w:tcPr>
          <w:p w14:paraId="6C6C5566" w14:textId="6FC7F1FB" w:rsidR="00C04064" w:rsidRPr="00061491" w:rsidRDefault="00C04064" w:rsidP="00C04064">
            <w:pPr>
              <w:contextualSpacing/>
              <w:jc w:val="center"/>
            </w:pPr>
            <w:r>
              <w:rPr>
                <w:rFonts w:ascii="Calibri" w:hAnsi="Calibri" w:cs="Calibri"/>
                <w:color w:val="000000"/>
              </w:rPr>
              <w:t>81,143</w:t>
            </w:r>
          </w:p>
        </w:tc>
        <w:tc>
          <w:tcPr>
            <w:tcW w:w="948" w:type="dxa"/>
            <w:tcBorders>
              <w:top w:val="nil"/>
              <w:left w:val="nil"/>
              <w:bottom w:val="nil"/>
              <w:right w:val="nil"/>
            </w:tcBorders>
            <w:shd w:val="clear" w:color="auto" w:fill="auto"/>
            <w:vAlign w:val="bottom"/>
          </w:tcPr>
          <w:p w14:paraId="131528A6" w14:textId="649B2D9B" w:rsidR="00C04064" w:rsidRPr="00061491" w:rsidRDefault="00C04064" w:rsidP="00C04064">
            <w:pPr>
              <w:contextualSpacing/>
            </w:pPr>
            <w:r>
              <w:rPr>
                <w:rFonts w:ascii="Calibri" w:hAnsi="Calibri" w:cs="Calibri"/>
                <w:color w:val="000000"/>
              </w:rPr>
              <w:t>(20.5)</w:t>
            </w:r>
          </w:p>
        </w:tc>
        <w:tc>
          <w:tcPr>
            <w:tcW w:w="960" w:type="dxa"/>
            <w:tcBorders>
              <w:top w:val="nil"/>
              <w:left w:val="nil"/>
              <w:bottom w:val="nil"/>
              <w:right w:val="nil"/>
            </w:tcBorders>
            <w:shd w:val="clear" w:color="auto" w:fill="auto"/>
            <w:noWrap/>
            <w:vAlign w:val="bottom"/>
          </w:tcPr>
          <w:p w14:paraId="2DC52A78" w14:textId="3031843A" w:rsidR="00C04064" w:rsidRPr="00061491" w:rsidRDefault="00C04064" w:rsidP="00C04064">
            <w:pPr>
              <w:contextualSpacing/>
              <w:jc w:val="center"/>
            </w:pPr>
            <w:r>
              <w:rPr>
                <w:rFonts w:ascii="Calibri" w:hAnsi="Calibri" w:cs="Calibri"/>
                <w:color w:val="000000"/>
              </w:rPr>
              <w:t>-6,679</w:t>
            </w:r>
          </w:p>
        </w:tc>
        <w:tc>
          <w:tcPr>
            <w:tcW w:w="917" w:type="dxa"/>
            <w:tcBorders>
              <w:top w:val="nil"/>
              <w:left w:val="nil"/>
              <w:bottom w:val="nil"/>
              <w:right w:val="nil"/>
            </w:tcBorders>
            <w:shd w:val="clear" w:color="auto" w:fill="auto"/>
            <w:noWrap/>
            <w:vAlign w:val="bottom"/>
          </w:tcPr>
          <w:p w14:paraId="7FFAFFFA" w14:textId="76AA74A4" w:rsidR="00C04064" w:rsidRPr="00061491" w:rsidRDefault="00C04064" w:rsidP="00C04064">
            <w:pPr>
              <w:contextualSpacing/>
            </w:pPr>
            <w:r>
              <w:rPr>
                <w:rFonts w:ascii="Calibri" w:hAnsi="Calibri" w:cs="Calibri"/>
                <w:color w:val="000000"/>
              </w:rPr>
              <w:t>(-7.6)</w:t>
            </w:r>
          </w:p>
        </w:tc>
      </w:tr>
      <w:tr w:rsidR="00C04064" w:rsidRPr="00061491" w14:paraId="094363B9" w14:textId="77777777" w:rsidTr="009970C7">
        <w:trPr>
          <w:cantSplit/>
          <w:trHeight w:val="283"/>
        </w:trPr>
        <w:tc>
          <w:tcPr>
            <w:tcW w:w="1578" w:type="dxa"/>
            <w:vMerge/>
            <w:tcBorders>
              <w:left w:val="nil"/>
              <w:right w:val="nil"/>
            </w:tcBorders>
            <w:shd w:val="clear" w:color="auto" w:fill="auto"/>
            <w:vAlign w:val="center"/>
          </w:tcPr>
          <w:p w14:paraId="05006E54"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7C95392B" w14:textId="6391F10A"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Unclassified</w:t>
            </w:r>
          </w:p>
        </w:tc>
        <w:tc>
          <w:tcPr>
            <w:tcW w:w="1138" w:type="dxa"/>
            <w:tcBorders>
              <w:top w:val="nil"/>
              <w:left w:val="nil"/>
              <w:bottom w:val="nil"/>
              <w:right w:val="nil"/>
            </w:tcBorders>
            <w:shd w:val="clear" w:color="auto" w:fill="auto"/>
            <w:vAlign w:val="bottom"/>
          </w:tcPr>
          <w:p w14:paraId="03BF30B8" w14:textId="1A8C8BDF" w:rsidR="00C04064" w:rsidRPr="00061491" w:rsidRDefault="00C04064" w:rsidP="00C04064">
            <w:pPr>
              <w:contextualSpacing/>
              <w:jc w:val="center"/>
            </w:pPr>
            <w:r>
              <w:rPr>
                <w:rFonts w:ascii="Calibri" w:hAnsi="Calibri" w:cs="Calibri"/>
                <w:color w:val="000000"/>
              </w:rPr>
              <w:t>11.28</w:t>
            </w:r>
          </w:p>
        </w:tc>
        <w:tc>
          <w:tcPr>
            <w:tcW w:w="947" w:type="dxa"/>
            <w:tcBorders>
              <w:top w:val="nil"/>
              <w:left w:val="nil"/>
              <w:bottom w:val="nil"/>
              <w:right w:val="nil"/>
            </w:tcBorders>
            <w:shd w:val="clear" w:color="auto" w:fill="auto"/>
            <w:noWrap/>
            <w:vAlign w:val="bottom"/>
          </w:tcPr>
          <w:p w14:paraId="58BCAD54" w14:textId="1CDEB23F" w:rsidR="00C04064" w:rsidRPr="00061491" w:rsidRDefault="00C04064" w:rsidP="00C04064">
            <w:pPr>
              <w:contextualSpacing/>
              <w:jc w:val="center"/>
            </w:pPr>
            <w:r>
              <w:rPr>
                <w:rFonts w:ascii="Calibri" w:hAnsi="Calibri" w:cs="Calibri"/>
                <w:color w:val="000000"/>
              </w:rPr>
              <w:t>3,156</w:t>
            </w:r>
          </w:p>
        </w:tc>
        <w:tc>
          <w:tcPr>
            <w:tcW w:w="948" w:type="dxa"/>
            <w:tcBorders>
              <w:top w:val="nil"/>
              <w:left w:val="nil"/>
              <w:bottom w:val="nil"/>
              <w:right w:val="nil"/>
            </w:tcBorders>
            <w:shd w:val="clear" w:color="auto" w:fill="auto"/>
            <w:vAlign w:val="bottom"/>
          </w:tcPr>
          <w:p w14:paraId="595248FB" w14:textId="2668D243" w:rsidR="00C04064" w:rsidRPr="00061491" w:rsidRDefault="00C04064" w:rsidP="00C04064">
            <w:pPr>
              <w:contextualSpacing/>
            </w:pPr>
            <w:r>
              <w:rPr>
                <w:rFonts w:ascii="Calibri" w:hAnsi="Calibri" w:cs="Calibri"/>
                <w:color w:val="000000"/>
              </w:rPr>
              <w:t>(0.9)</w:t>
            </w:r>
          </w:p>
        </w:tc>
        <w:tc>
          <w:tcPr>
            <w:tcW w:w="948" w:type="dxa"/>
            <w:tcBorders>
              <w:top w:val="nil"/>
              <w:left w:val="nil"/>
              <w:bottom w:val="nil"/>
              <w:right w:val="nil"/>
            </w:tcBorders>
            <w:shd w:val="clear" w:color="auto" w:fill="auto"/>
            <w:noWrap/>
            <w:vAlign w:val="bottom"/>
          </w:tcPr>
          <w:p w14:paraId="44C69A61" w14:textId="1E5710BC" w:rsidR="00C04064" w:rsidRPr="00061491" w:rsidRDefault="00C04064" w:rsidP="00C04064">
            <w:pPr>
              <w:contextualSpacing/>
              <w:jc w:val="center"/>
            </w:pPr>
            <w:r>
              <w:rPr>
                <w:rFonts w:ascii="Calibri" w:hAnsi="Calibri" w:cs="Calibri"/>
                <w:color w:val="000000"/>
              </w:rPr>
              <w:t>2,642</w:t>
            </w:r>
          </w:p>
        </w:tc>
        <w:tc>
          <w:tcPr>
            <w:tcW w:w="948" w:type="dxa"/>
            <w:tcBorders>
              <w:top w:val="nil"/>
              <w:left w:val="nil"/>
              <w:bottom w:val="nil"/>
              <w:right w:val="nil"/>
            </w:tcBorders>
            <w:shd w:val="clear" w:color="auto" w:fill="auto"/>
            <w:vAlign w:val="bottom"/>
          </w:tcPr>
          <w:p w14:paraId="121D42DF" w14:textId="0D29BF36" w:rsidR="00C04064" w:rsidRPr="00061491" w:rsidRDefault="00C04064" w:rsidP="00C04064">
            <w:pPr>
              <w:contextualSpacing/>
            </w:pPr>
            <w:r>
              <w:rPr>
                <w:rFonts w:ascii="Calibri" w:hAnsi="Calibri" w:cs="Calibri"/>
                <w:color w:val="000000"/>
              </w:rPr>
              <w:t>(0.7)</w:t>
            </w:r>
          </w:p>
        </w:tc>
        <w:tc>
          <w:tcPr>
            <w:tcW w:w="960" w:type="dxa"/>
            <w:tcBorders>
              <w:top w:val="nil"/>
              <w:left w:val="nil"/>
              <w:bottom w:val="nil"/>
              <w:right w:val="nil"/>
            </w:tcBorders>
            <w:shd w:val="clear" w:color="auto" w:fill="auto"/>
            <w:noWrap/>
            <w:vAlign w:val="bottom"/>
          </w:tcPr>
          <w:p w14:paraId="079B315E" w14:textId="159935F7" w:rsidR="00C04064" w:rsidRPr="00061491" w:rsidRDefault="00C04064" w:rsidP="00C04064">
            <w:pPr>
              <w:contextualSpacing/>
              <w:jc w:val="center"/>
            </w:pPr>
            <w:r>
              <w:rPr>
                <w:rFonts w:ascii="Calibri" w:hAnsi="Calibri" w:cs="Calibri"/>
                <w:color w:val="000000"/>
              </w:rPr>
              <w:t>-514</w:t>
            </w:r>
          </w:p>
        </w:tc>
        <w:tc>
          <w:tcPr>
            <w:tcW w:w="917" w:type="dxa"/>
            <w:tcBorders>
              <w:top w:val="nil"/>
              <w:left w:val="nil"/>
              <w:bottom w:val="nil"/>
              <w:right w:val="nil"/>
            </w:tcBorders>
            <w:shd w:val="clear" w:color="auto" w:fill="auto"/>
            <w:noWrap/>
            <w:vAlign w:val="bottom"/>
          </w:tcPr>
          <w:p w14:paraId="67C19A25" w14:textId="31B7F2D0" w:rsidR="00C04064" w:rsidRPr="00061491" w:rsidRDefault="00C04064" w:rsidP="00C04064">
            <w:pPr>
              <w:contextualSpacing/>
            </w:pPr>
            <w:r>
              <w:rPr>
                <w:rFonts w:ascii="Calibri" w:hAnsi="Calibri" w:cs="Calibri"/>
                <w:color w:val="000000"/>
              </w:rPr>
              <w:t>(-16.3)</w:t>
            </w:r>
          </w:p>
        </w:tc>
      </w:tr>
      <w:tr w:rsidR="00C04064" w:rsidRPr="00061491" w14:paraId="1636D350" w14:textId="77777777" w:rsidTr="009970C7">
        <w:trPr>
          <w:cantSplit/>
          <w:trHeight w:val="283"/>
        </w:trPr>
        <w:tc>
          <w:tcPr>
            <w:tcW w:w="1578" w:type="dxa"/>
            <w:vMerge/>
            <w:tcBorders>
              <w:left w:val="nil"/>
              <w:bottom w:val="single" w:sz="12" w:space="0" w:color="auto"/>
              <w:right w:val="nil"/>
            </w:tcBorders>
            <w:shd w:val="clear" w:color="auto" w:fill="auto"/>
            <w:vAlign w:val="center"/>
          </w:tcPr>
          <w:p w14:paraId="7955615B" w14:textId="77777777" w:rsidR="00C04064" w:rsidRPr="00061491" w:rsidRDefault="00C04064" w:rsidP="00C04064">
            <w:pPr>
              <w:spacing w:after="0" w:line="240" w:lineRule="auto"/>
              <w:jc w:val="center"/>
              <w:rPr>
                <w:rFonts w:eastAsia="Times New Roman" w:cstheme="minorHAnsi"/>
                <w:color w:val="000000"/>
                <w:lang w:eastAsia="en-GB"/>
              </w:rPr>
            </w:pPr>
          </w:p>
        </w:tc>
        <w:tc>
          <w:tcPr>
            <w:tcW w:w="2654" w:type="dxa"/>
            <w:tcBorders>
              <w:top w:val="nil"/>
              <w:left w:val="nil"/>
              <w:bottom w:val="nil"/>
              <w:right w:val="nil"/>
            </w:tcBorders>
            <w:shd w:val="clear" w:color="auto" w:fill="auto"/>
            <w:noWrap/>
            <w:vAlign w:val="bottom"/>
          </w:tcPr>
          <w:p w14:paraId="5B84E641" w14:textId="78EAE43C" w:rsidR="00C04064" w:rsidRPr="00061491" w:rsidRDefault="00C04064" w:rsidP="00C04064">
            <w:pPr>
              <w:spacing w:after="0" w:line="240" w:lineRule="auto"/>
              <w:jc w:val="center"/>
              <w:rPr>
                <w:rFonts w:eastAsia="Times New Roman" w:cstheme="minorHAnsi"/>
                <w:color w:val="000000"/>
                <w:lang w:eastAsia="en-GB"/>
              </w:rPr>
            </w:pPr>
            <w:r>
              <w:rPr>
                <w:rFonts w:ascii="Calibri" w:hAnsi="Calibri" w:cs="Calibri"/>
                <w:color w:val="000000"/>
              </w:rPr>
              <w:t>Very High</w:t>
            </w:r>
          </w:p>
        </w:tc>
        <w:tc>
          <w:tcPr>
            <w:tcW w:w="1138" w:type="dxa"/>
            <w:tcBorders>
              <w:top w:val="nil"/>
              <w:left w:val="nil"/>
              <w:bottom w:val="nil"/>
              <w:right w:val="nil"/>
            </w:tcBorders>
            <w:shd w:val="clear" w:color="auto" w:fill="auto"/>
            <w:vAlign w:val="bottom"/>
          </w:tcPr>
          <w:p w14:paraId="148231BE" w14:textId="6642C75B" w:rsidR="00C04064" w:rsidRPr="00061491" w:rsidRDefault="00C04064" w:rsidP="00C04064">
            <w:pPr>
              <w:contextualSpacing/>
              <w:jc w:val="center"/>
            </w:pPr>
            <w:r>
              <w:rPr>
                <w:rFonts w:ascii="Calibri" w:hAnsi="Calibri" w:cs="Calibri"/>
                <w:color w:val="000000"/>
              </w:rPr>
              <w:t>1.41</w:t>
            </w:r>
          </w:p>
        </w:tc>
        <w:tc>
          <w:tcPr>
            <w:tcW w:w="947" w:type="dxa"/>
            <w:tcBorders>
              <w:top w:val="nil"/>
              <w:left w:val="nil"/>
              <w:bottom w:val="nil"/>
              <w:right w:val="nil"/>
            </w:tcBorders>
            <w:shd w:val="clear" w:color="auto" w:fill="auto"/>
            <w:noWrap/>
            <w:vAlign w:val="bottom"/>
          </w:tcPr>
          <w:p w14:paraId="61BB0F9A" w14:textId="2AE6EE1D" w:rsidR="00C04064" w:rsidRPr="00061491" w:rsidRDefault="00C04064" w:rsidP="00C04064">
            <w:pPr>
              <w:contextualSpacing/>
              <w:jc w:val="center"/>
            </w:pPr>
            <w:r>
              <w:rPr>
                <w:rFonts w:ascii="Calibri" w:hAnsi="Calibri" w:cs="Calibri"/>
                <w:color w:val="000000"/>
              </w:rPr>
              <w:t>40,742</w:t>
            </w:r>
          </w:p>
        </w:tc>
        <w:tc>
          <w:tcPr>
            <w:tcW w:w="948" w:type="dxa"/>
            <w:tcBorders>
              <w:top w:val="nil"/>
              <w:left w:val="nil"/>
              <w:bottom w:val="nil"/>
              <w:right w:val="nil"/>
            </w:tcBorders>
            <w:shd w:val="clear" w:color="auto" w:fill="auto"/>
            <w:vAlign w:val="bottom"/>
          </w:tcPr>
          <w:p w14:paraId="60526F05" w14:textId="78499244" w:rsidR="00C04064" w:rsidRPr="00061491" w:rsidRDefault="00C04064" w:rsidP="00C04064">
            <w:pPr>
              <w:contextualSpacing/>
            </w:pPr>
            <w:r>
              <w:rPr>
                <w:rFonts w:ascii="Calibri" w:hAnsi="Calibri" w:cs="Calibri"/>
                <w:color w:val="000000"/>
              </w:rPr>
              <w:t>(11.3)</w:t>
            </w:r>
          </w:p>
        </w:tc>
        <w:tc>
          <w:tcPr>
            <w:tcW w:w="948" w:type="dxa"/>
            <w:tcBorders>
              <w:top w:val="nil"/>
              <w:left w:val="nil"/>
              <w:bottom w:val="nil"/>
              <w:right w:val="nil"/>
            </w:tcBorders>
            <w:shd w:val="clear" w:color="auto" w:fill="auto"/>
            <w:noWrap/>
            <w:vAlign w:val="bottom"/>
          </w:tcPr>
          <w:p w14:paraId="5579F81E" w14:textId="397D42B3" w:rsidR="00C04064" w:rsidRPr="00061491" w:rsidRDefault="00C04064" w:rsidP="00C04064">
            <w:pPr>
              <w:contextualSpacing/>
              <w:jc w:val="center"/>
            </w:pPr>
            <w:r>
              <w:rPr>
                <w:rFonts w:ascii="Calibri" w:hAnsi="Calibri" w:cs="Calibri"/>
                <w:color w:val="000000"/>
              </w:rPr>
              <w:t>35,632</w:t>
            </w:r>
          </w:p>
        </w:tc>
        <w:tc>
          <w:tcPr>
            <w:tcW w:w="948" w:type="dxa"/>
            <w:tcBorders>
              <w:top w:val="nil"/>
              <w:left w:val="nil"/>
              <w:bottom w:val="nil"/>
              <w:right w:val="nil"/>
            </w:tcBorders>
            <w:shd w:val="clear" w:color="auto" w:fill="auto"/>
            <w:vAlign w:val="bottom"/>
          </w:tcPr>
          <w:p w14:paraId="433086EB" w14:textId="15749A95" w:rsidR="00C04064" w:rsidRPr="00061491" w:rsidRDefault="00C04064" w:rsidP="00C04064">
            <w:pPr>
              <w:contextualSpacing/>
            </w:pPr>
            <w:r>
              <w:rPr>
                <w:rFonts w:ascii="Calibri" w:hAnsi="Calibri" w:cs="Calibri"/>
                <w:color w:val="000000"/>
              </w:rPr>
              <w:t>(9.0)</w:t>
            </w:r>
          </w:p>
        </w:tc>
        <w:tc>
          <w:tcPr>
            <w:tcW w:w="960" w:type="dxa"/>
            <w:tcBorders>
              <w:top w:val="nil"/>
              <w:left w:val="nil"/>
              <w:bottom w:val="nil"/>
              <w:right w:val="nil"/>
            </w:tcBorders>
            <w:shd w:val="clear" w:color="auto" w:fill="auto"/>
            <w:noWrap/>
            <w:vAlign w:val="bottom"/>
          </w:tcPr>
          <w:p w14:paraId="37B4AE0D" w14:textId="355AF988" w:rsidR="00C04064" w:rsidRPr="00061491" w:rsidRDefault="00C04064" w:rsidP="00C04064">
            <w:pPr>
              <w:contextualSpacing/>
              <w:jc w:val="center"/>
            </w:pPr>
            <w:r>
              <w:rPr>
                <w:rFonts w:ascii="Calibri" w:hAnsi="Calibri" w:cs="Calibri"/>
                <w:color w:val="000000"/>
              </w:rPr>
              <w:t>-5,110</w:t>
            </w:r>
          </w:p>
        </w:tc>
        <w:tc>
          <w:tcPr>
            <w:tcW w:w="917" w:type="dxa"/>
            <w:tcBorders>
              <w:top w:val="nil"/>
              <w:left w:val="nil"/>
              <w:bottom w:val="nil"/>
              <w:right w:val="nil"/>
            </w:tcBorders>
            <w:shd w:val="clear" w:color="auto" w:fill="auto"/>
            <w:noWrap/>
            <w:vAlign w:val="bottom"/>
          </w:tcPr>
          <w:p w14:paraId="298609E8" w14:textId="7E23A11B" w:rsidR="00C04064" w:rsidRPr="00061491" w:rsidRDefault="00C04064" w:rsidP="00C04064">
            <w:pPr>
              <w:contextualSpacing/>
            </w:pPr>
            <w:r>
              <w:rPr>
                <w:rFonts w:ascii="Calibri" w:hAnsi="Calibri" w:cs="Calibri"/>
                <w:color w:val="000000"/>
              </w:rPr>
              <w:t>(-12.5)</w:t>
            </w:r>
          </w:p>
        </w:tc>
      </w:tr>
      <w:tr w:rsidR="00C04064" w:rsidRPr="00061491" w14:paraId="77B27C48" w14:textId="77777777" w:rsidTr="009970C7">
        <w:trPr>
          <w:cantSplit/>
          <w:trHeight w:val="283"/>
        </w:trPr>
        <w:tc>
          <w:tcPr>
            <w:tcW w:w="11038" w:type="dxa"/>
            <w:gridSpan w:val="9"/>
            <w:tcBorders>
              <w:top w:val="single" w:sz="12" w:space="0" w:color="auto"/>
              <w:left w:val="nil"/>
              <w:right w:val="nil"/>
            </w:tcBorders>
            <w:shd w:val="clear" w:color="auto" w:fill="auto"/>
            <w:vAlign w:val="center"/>
          </w:tcPr>
          <w:p w14:paraId="50556938" w14:textId="04A2D84B" w:rsidR="00C04064" w:rsidRPr="00FD2B35" w:rsidRDefault="00C04064" w:rsidP="004732CE">
            <w:pPr>
              <w:contextualSpacing/>
              <w:jc w:val="center"/>
              <w:rPr>
                <w:rFonts w:eastAsia="Times New Roman" w:cstheme="minorHAnsi"/>
                <w:color w:val="000000"/>
                <w:lang w:eastAsia="en-GB"/>
              </w:rPr>
            </w:pPr>
            <w:r>
              <w:rPr>
                <w:rFonts w:eastAsia="Times New Roman" w:cstheme="minorHAnsi"/>
                <w:color w:val="000000"/>
                <w:lang w:eastAsia="en-GB"/>
              </w:rPr>
              <w:t>† Scaling factor = (total 2015 regional or HDI population</w:t>
            </w:r>
            <w:r w:rsidR="009E25EB">
              <w:rPr>
                <w:rFonts w:eastAsia="Times New Roman" w:cstheme="minorHAnsi"/>
                <w:color w:val="000000"/>
                <w:lang w:eastAsia="en-GB"/>
              </w:rPr>
              <w:fldChar w:fldCharType="begin"/>
            </w:r>
            <w:r w:rsidR="00124231">
              <w:rPr>
                <w:rFonts w:eastAsia="Times New Roman" w:cstheme="minorHAnsi"/>
                <w:color w:val="000000"/>
                <w:lang w:eastAsia="en-GB"/>
              </w:rPr>
              <w:instrText xml:space="preserve"> ADDIN ZOTERO_ITEM CSL_CITATION {"citationID":"ItP6FbL1","properties":{"formattedCitation":"[19]","plainCitation":"[19]","noteIndex":0},"citationItems":[{"id":10827,"uris":["http://zotero.org/groups/23637/items/FIWQ6E3H"],"uri":["http://zotero.org/groups/23637/items/FIWQ6E3H"],"itemData":{"id":10827,"type":"webpage","container-title":"World Population Prospects 2017","note":"Data downloaded 25 Sep 2017\n\nMedium Variant projections of popultaion in 5-year age groups for males, females and total\n\nWPP2017_PopulationByAgeSex_Medium.csv","title":"World Population Prospects 2017","URL":"https://population.un.org/wpp/Download/Standard/CSV/","author":[{"literal":"United Nations DESA / Population Division"}],"accessed":{"date-parts":[["2017",9,25]]},"issued":{"date-parts":[["2017"]]}}}],"schema":"https://github.com/citation-style-language/schema/raw/master/csl-citation.json"} </w:instrText>
            </w:r>
            <w:r w:rsidR="009E25EB">
              <w:rPr>
                <w:rFonts w:eastAsia="Times New Roman" w:cstheme="minorHAnsi"/>
                <w:color w:val="000000"/>
                <w:lang w:eastAsia="en-GB"/>
              </w:rPr>
              <w:fldChar w:fldCharType="separate"/>
            </w:r>
            <w:r w:rsidR="0050368D" w:rsidRPr="0050368D">
              <w:rPr>
                <w:rFonts w:ascii="Calibri" w:hAnsi="Calibri" w:cs="Calibri"/>
              </w:rPr>
              <w:t>[19]</w:t>
            </w:r>
            <w:r w:rsidR="009E25EB">
              <w:rPr>
                <w:rFonts w:eastAsia="Times New Roman" w:cstheme="minorHAnsi"/>
                <w:color w:val="000000"/>
                <w:lang w:eastAsia="en-GB"/>
              </w:rPr>
              <w:fldChar w:fldCharType="end"/>
            </w:r>
            <w:r>
              <w:rPr>
                <w:rFonts w:eastAsia="Times New Roman" w:cstheme="minorHAnsi"/>
                <w:color w:val="000000"/>
                <w:lang w:eastAsia="en-GB"/>
              </w:rPr>
              <w:t>)/</w:t>
            </w:r>
            <w:r w:rsidR="009E25EB">
              <w:rPr>
                <w:rFonts w:eastAsia="Times New Roman" w:cstheme="minorHAnsi"/>
                <w:color w:val="000000"/>
                <w:lang w:eastAsia="en-GB"/>
              </w:rPr>
              <w:t xml:space="preserve">(sum of average annual populations covered by registries in IICC-3 </w:t>
            </w:r>
            <w:r w:rsidR="009E25EB">
              <w:rPr>
                <w:rFonts w:eastAsia="Times New Roman" w:cstheme="minorHAnsi"/>
                <w:color w:val="000000"/>
                <w:lang w:eastAsia="en-GB"/>
              </w:rPr>
              <w:fldChar w:fldCharType="begin"/>
            </w:r>
            <w:r w:rsidR="00124231">
              <w:rPr>
                <w:rFonts w:eastAsia="Times New Roman" w:cstheme="minorHAnsi"/>
                <w:color w:val="000000"/>
                <w:lang w:eastAsia="en-GB"/>
              </w:rPr>
              <w:instrText xml:space="preserve"> ADDIN ZOTERO_ITEM CSL_CITATION {"citationID":"NQ8SlBPU","properties":{"formattedCitation":"[32]","plainCitation":"[32]","noteIndex":0},"citationItems":[{"id":10829,"uris":["http://zotero.org/groups/23637/items/GWPJWBM6"],"uri":["http://zotero.org/groups/23637/items/GWPJWBM6"],"itemData":{"id":10829,"type":"book","event-place":"Lyon, France","publisher":"International Agency for Research on Cancer","publisher-place":"Lyon, France","title":"International Incidence of Childhood Cancer Volume III (electronic version)","title-short":"IICC-3","URL":"http://iicc.iarc.fr/results/index.php","author":[{"literal":"Steliarova-Foucher, E"},{"literal":"Colombet, M"},{"literal":"Ries, LAG"},{"literal":"Hesseling, P"},{"literal":"Moreno, F"},{"literal":"Shin, HY"},{"literal":"Stiller, CA"},{"literal":"editors"}],"accessed":{"date-parts":[["2017",9,11]]},"issued":{"date-parts":[["2017"]]}}}],"schema":"https://github.com/citation-style-language/schema/raw/master/csl-citation.json"} </w:instrText>
            </w:r>
            <w:r w:rsidR="009E25EB">
              <w:rPr>
                <w:rFonts w:eastAsia="Times New Roman" w:cstheme="minorHAnsi"/>
                <w:color w:val="000000"/>
                <w:lang w:eastAsia="en-GB"/>
              </w:rPr>
              <w:fldChar w:fldCharType="separate"/>
            </w:r>
            <w:r w:rsidR="004D24B7" w:rsidRPr="004D24B7">
              <w:rPr>
                <w:rFonts w:ascii="Calibri" w:hAnsi="Calibri" w:cs="Calibri"/>
              </w:rPr>
              <w:t>[32]</w:t>
            </w:r>
            <w:r w:rsidR="009E25EB">
              <w:rPr>
                <w:rFonts w:eastAsia="Times New Roman" w:cstheme="minorHAnsi"/>
                <w:color w:val="000000"/>
                <w:lang w:eastAsia="en-GB"/>
              </w:rPr>
              <w:fldChar w:fldCharType="end"/>
            </w:r>
            <w:r w:rsidR="009E25EB">
              <w:rPr>
                <w:rFonts w:eastAsia="Times New Roman" w:cstheme="minorHAnsi"/>
                <w:color w:val="000000"/>
                <w:lang w:eastAsia="en-GB"/>
              </w:rPr>
              <w:t>)</w:t>
            </w:r>
          </w:p>
        </w:tc>
      </w:tr>
    </w:tbl>
    <w:p w14:paraId="4E3C1DF0" w14:textId="566A93D5" w:rsidR="00387B65" w:rsidRDefault="00387B65">
      <w:pPr>
        <w:rPr>
          <w:b/>
          <w:bCs/>
        </w:rPr>
      </w:pPr>
    </w:p>
    <w:p w14:paraId="66E01AE0" w14:textId="77777777" w:rsidR="00384FA4" w:rsidRDefault="00384FA4">
      <w:pPr>
        <w:rPr>
          <w:b/>
          <w:bCs/>
        </w:rPr>
      </w:pPr>
    </w:p>
    <w:p w14:paraId="51E1F39A" w14:textId="4EC22F8D" w:rsidR="00384FA4" w:rsidRDefault="00384FA4">
      <w:pPr>
        <w:rPr>
          <w:b/>
          <w:bCs/>
        </w:rPr>
      </w:pPr>
      <w:r>
        <w:rPr>
          <w:b/>
          <w:bCs/>
        </w:rPr>
        <w:br w:type="page"/>
      </w:r>
    </w:p>
    <w:p w14:paraId="64A44B7C" w14:textId="0E6414CC" w:rsidR="00384FA4" w:rsidRDefault="00514DC4">
      <w:pPr>
        <w:rPr>
          <w:b/>
          <w:bCs/>
        </w:rPr>
      </w:pPr>
      <w:r>
        <w:rPr>
          <w:b/>
          <w:bCs/>
          <w:noProof/>
        </w:rPr>
        <w:lastRenderedPageBreak/>
        <w:drawing>
          <wp:inline distT="0" distB="0" distL="0" distR="0" wp14:anchorId="307E9B92" wp14:editId="6587E4B7">
            <wp:extent cx="5731510" cy="80238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8 - GCC v XXX dist scatt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023860"/>
                    </a:xfrm>
                    <a:prstGeom prst="rect">
                      <a:avLst/>
                    </a:prstGeom>
                  </pic:spPr>
                </pic:pic>
              </a:graphicData>
            </a:graphic>
          </wp:inline>
        </w:drawing>
      </w:r>
    </w:p>
    <w:p w14:paraId="323F6D7F" w14:textId="544970F1" w:rsidR="003214D8" w:rsidRDefault="00D542B7">
      <w:r w:rsidRPr="00606F03">
        <w:rPr>
          <w:b/>
          <w:bCs/>
        </w:rPr>
        <w:t xml:space="preserve">Figure </w:t>
      </w:r>
      <w:r w:rsidR="00806C62">
        <w:rPr>
          <w:b/>
          <w:bCs/>
        </w:rPr>
        <w:t>8</w:t>
      </w:r>
      <w:r w:rsidRPr="00606F03">
        <w:rPr>
          <w:b/>
          <w:bCs/>
        </w:rPr>
        <w:t xml:space="preserve"> </w:t>
      </w:r>
      <w:r w:rsidRPr="00606F03">
        <w:rPr>
          <w:bCs/>
        </w:rPr>
        <w:t xml:space="preserve">– </w:t>
      </w:r>
      <w:r w:rsidR="00266857">
        <w:rPr>
          <w:bCs/>
        </w:rPr>
        <w:t xml:space="preserve">Country-level ratios of GCC estimates to BM estimates of childhood cancers in 2015.  A) Total cancers, countries coloured by ratio. B) Median and range of ratios for each ICCC-3 </w:t>
      </w:r>
      <w:r w:rsidR="002522C8">
        <w:rPr>
          <w:bCs/>
        </w:rPr>
        <w:t xml:space="preserve">main </w:t>
      </w:r>
      <w:r w:rsidR="00266857">
        <w:rPr>
          <w:bCs/>
        </w:rPr>
        <w:t>diagnos</w:t>
      </w:r>
      <w:r w:rsidR="002522C8">
        <w:rPr>
          <w:bCs/>
        </w:rPr>
        <w:t>tic group</w:t>
      </w:r>
      <w:r w:rsidR="00266857">
        <w:rPr>
          <w:bCs/>
        </w:rPr>
        <w:t>, grouped by HDI.  All ratios have been log10 transformed.</w:t>
      </w:r>
      <w:r w:rsidR="00693F59">
        <w:rPr>
          <w:bCs/>
        </w:rPr>
        <w:t xml:space="preserve"> </w:t>
      </w:r>
      <w:r w:rsidR="003214D8">
        <w:br w:type="page"/>
      </w:r>
    </w:p>
    <w:p w14:paraId="659CFD0A" w14:textId="084FDA02" w:rsidR="00581AE2" w:rsidRDefault="004160DF">
      <w:r>
        <w:rPr>
          <w:noProof/>
          <w:lang w:val="en-US"/>
        </w:rPr>
        <w:lastRenderedPageBreak/>
        <w:drawing>
          <wp:inline distT="0" distB="0" distL="0" distR="0" wp14:anchorId="7A6B338C" wp14:editId="6ADD3BA9">
            <wp:extent cx="5731510" cy="429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9 - Model v Ward - Case Dis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1946151" w14:textId="65A78753" w:rsidR="006B3793" w:rsidRDefault="00581AE2">
      <w:pPr>
        <w:rPr>
          <w:bCs/>
        </w:rPr>
      </w:pPr>
      <w:r w:rsidRPr="006675C5">
        <w:rPr>
          <w:b/>
          <w:bCs/>
        </w:rPr>
        <w:t xml:space="preserve">Figure </w:t>
      </w:r>
      <w:r w:rsidR="00806C62">
        <w:rPr>
          <w:b/>
          <w:bCs/>
        </w:rPr>
        <w:t>9</w:t>
      </w:r>
      <w:r>
        <w:rPr>
          <w:b/>
          <w:bCs/>
        </w:rPr>
        <w:t xml:space="preserve"> </w:t>
      </w:r>
      <w:r w:rsidRPr="006675C5">
        <w:rPr>
          <w:bCs/>
        </w:rPr>
        <w:t xml:space="preserve">– </w:t>
      </w:r>
      <w:r w:rsidR="006B3793">
        <w:rPr>
          <w:bCs/>
        </w:rPr>
        <w:t xml:space="preserve">Estimated numbers of </w:t>
      </w:r>
      <w:r w:rsidR="006B3793" w:rsidRPr="006675C5">
        <w:rPr>
          <w:bCs/>
        </w:rPr>
        <w:t xml:space="preserve">cancers </w:t>
      </w:r>
      <w:r w:rsidR="006B3793">
        <w:rPr>
          <w:bCs/>
        </w:rPr>
        <w:t>in children aged &lt;</w:t>
      </w:r>
      <w:r w:rsidR="006B3793" w:rsidRPr="006675C5">
        <w:rPr>
          <w:bCs/>
        </w:rPr>
        <w:t>15 years</w:t>
      </w:r>
      <w:r w:rsidR="002522C8">
        <w:rPr>
          <w:bCs/>
        </w:rPr>
        <w:t xml:space="preserve"> in 2015</w:t>
      </w:r>
      <w:r w:rsidR="006B3793">
        <w:rPr>
          <w:bCs/>
        </w:rPr>
        <w:t xml:space="preserve"> by (A) UN Region (B) human development index (HDI) from the GCC model and the BM.  Regional </w:t>
      </w:r>
      <w:r w:rsidR="006B3793" w:rsidRPr="006675C5">
        <w:rPr>
          <w:bCs/>
        </w:rPr>
        <w:t>ranking</w:t>
      </w:r>
      <w:r w:rsidR="006B3793">
        <w:rPr>
          <w:bCs/>
        </w:rPr>
        <w:t>s are indicated on the right</w:t>
      </w:r>
      <w:r w:rsidR="006B3793" w:rsidRPr="006675C5">
        <w:rPr>
          <w:bCs/>
        </w:rPr>
        <w:t>.</w:t>
      </w:r>
    </w:p>
    <w:p w14:paraId="46587D26" w14:textId="7D7AD618" w:rsidR="00942493" w:rsidRPr="00A57C77" w:rsidRDefault="00942493">
      <w:pPr>
        <w:rPr>
          <w:bCs/>
        </w:rPr>
      </w:pPr>
      <w:r>
        <w:br w:type="page"/>
      </w:r>
    </w:p>
    <w:p w14:paraId="72552060" w14:textId="4FB21DE6" w:rsidR="003214D8" w:rsidRDefault="00040064">
      <w:r>
        <w:rPr>
          <w:noProof/>
        </w:rPr>
        <w:lastRenderedPageBreak/>
        <w:drawing>
          <wp:inline distT="0" distB="0" distL="0" distR="0" wp14:anchorId="7F31E854" wp14:editId="4EE2B8CA">
            <wp:extent cx="5731510" cy="45853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0 - new colour ram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508A38F8" w14:textId="79409B66" w:rsidR="005C1F30" w:rsidRDefault="00D542B7" w:rsidP="00D542B7">
      <w:pPr>
        <w:rPr>
          <w:bCs/>
        </w:rPr>
      </w:pPr>
      <w:r w:rsidRPr="00606F03">
        <w:rPr>
          <w:b/>
          <w:bCs/>
        </w:rPr>
        <w:t xml:space="preserve">Figure </w:t>
      </w:r>
      <w:r>
        <w:rPr>
          <w:b/>
          <w:bCs/>
        </w:rPr>
        <w:t>1</w:t>
      </w:r>
      <w:r w:rsidR="00806C62">
        <w:rPr>
          <w:b/>
          <w:bCs/>
        </w:rPr>
        <w:t>0</w:t>
      </w:r>
      <w:r w:rsidRPr="00606F03">
        <w:rPr>
          <w:b/>
          <w:bCs/>
        </w:rPr>
        <w:t xml:space="preserve"> </w:t>
      </w:r>
      <w:r w:rsidRPr="00606F03">
        <w:rPr>
          <w:bCs/>
        </w:rPr>
        <w:t xml:space="preserve">– </w:t>
      </w:r>
      <w:r w:rsidR="00626F5F">
        <w:rPr>
          <w:bCs/>
        </w:rPr>
        <w:t xml:space="preserve">Estimated incidence in children aged &lt;15 years in 2015, based on the GCC model; </w:t>
      </w:r>
      <w:r w:rsidR="002522C8">
        <w:rPr>
          <w:bCs/>
        </w:rPr>
        <w:t xml:space="preserve">distribution of estimated cancers by ICCC-3 main diagnostic group showing total cancers and crude rates </w:t>
      </w:r>
      <w:r w:rsidR="002522C8" w:rsidRPr="008F081C">
        <w:rPr>
          <w:bCs/>
        </w:rPr>
        <w:t>(per million)</w:t>
      </w:r>
      <w:r w:rsidR="002522C8">
        <w:rPr>
          <w:bCs/>
        </w:rPr>
        <w:t xml:space="preserve"> in UN regions</w:t>
      </w:r>
      <w:r w:rsidR="00626F5F">
        <w:rPr>
          <w:bCs/>
        </w:rPr>
        <w:t>.</w:t>
      </w:r>
      <w:r w:rsidR="008B084A">
        <w:rPr>
          <w:bCs/>
        </w:rPr>
        <w:t xml:space="preserve">  An age-standardised rate could not be determined from the available data.</w:t>
      </w:r>
    </w:p>
    <w:p w14:paraId="374CFEED" w14:textId="21F0DC1E" w:rsidR="008358F7" w:rsidRDefault="008358F7" w:rsidP="00D542B7">
      <w:pPr>
        <w:rPr>
          <w:bCs/>
        </w:rPr>
      </w:pPr>
    </w:p>
    <w:p w14:paraId="7B9DEF23" w14:textId="28CF9856" w:rsidR="00D27BEE" w:rsidRDefault="00D27BEE">
      <w:pPr>
        <w:rPr>
          <w:rFonts w:asciiTheme="majorHAnsi" w:eastAsiaTheme="majorEastAsia" w:hAnsiTheme="majorHAnsi" w:cstheme="majorBidi"/>
          <w:b/>
          <w:sz w:val="32"/>
          <w:szCs w:val="32"/>
        </w:rPr>
      </w:pPr>
    </w:p>
    <w:p w14:paraId="72BD1269" w14:textId="77777777" w:rsidR="007D58C2" w:rsidRDefault="007D58C2">
      <w:pPr>
        <w:rPr>
          <w:rFonts w:asciiTheme="majorHAnsi" w:eastAsiaTheme="majorEastAsia" w:hAnsiTheme="majorHAnsi" w:cstheme="majorBidi"/>
          <w:b/>
          <w:sz w:val="32"/>
          <w:szCs w:val="32"/>
        </w:rPr>
      </w:pPr>
      <w:r>
        <w:br w:type="page"/>
      </w:r>
    </w:p>
    <w:p w14:paraId="3DDD0093" w14:textId="1E991B67" w:rsidR="00394E28" w:rsidRDefault="00F7318C" w:rsidP="00C072C2">
      <w:pPr>
        <w:pStyle w:val="Heading1"/>
        <w:numPr>
          <w:ilvl w:val="0"/>
          <w:numId w:val="23"/>
        </w:numPr>
      </w:pPr>
      <w:r>
        <w:lastRenderedPageBreak/>
        <w:t>D</w:t>
      </w:r>
      <w:r w:rsidR="004C5EB2">
        <w:t xml:space="preserve">iscussion </w:t>
      </w:r>
    </w:p>
    <w:p w14:paraId="687F84FB" w14:textId="6B9B6019" w:rsidR="00624AE3" w:rsidRDefault="00B84F17">
      <w:r>
        <w:t>We developed a Baseline Model</w:t>
      </w:r>
      <w:r w:rsidR="00B65C63">
        <w:t xml:space="preserve"> </w:t>
      </w:r>
      <w:r w:rsidR="004C0C44">
        <w:t xml:space="preserve">(BM) </w:t>
      </w:r>
      <w:r w:rsidR="00B65C63">
        <w:t>of child</w:t>
      </w:r>
      <w:r w:rsidR="00865AC5">
        <w:t>hood</w:t>
      </w:r>
      <w:r w:rsidR="00B65C63">
        <w:t xml:space="preserve"> cancer </w:t>
      </w:r>
      <w:r w:rsidR="004C0C44">
        <w:t xml:space="preserve">using population-based </w:t>
      </w:r>
      <w:r w:rsidR="00B65C63">
        <w:t xml:space="preserve">rates </w:t>
      </w:r>
      <w:r w:rsidR="004C0C44">
        <w:t>from the</w:t>
      </w:r>
      <w:r w:rsidR="00B65C63">
        <w:t xml:space="preserve"> US Surveillance, Epidemiology and End Results (SEER) </w:t>
      </w:r>
      <w:r w:rsidR="004C0C44">
        <w:t>programme, which are broadly similar to those of other countries with good quality registries</w:t>
      </w:r>
      <w:r w:rsidR="00D47759">
        <w:t xml:space="preserve"> and high standards of care</w:t>
      </w:r>
      <w:r w:rsidR="00DC2159">
        <w:fldChar w:fldCharType="begin"/>
      </w:r>
      <w:r w:rsidR="00124231">
        <w:instrText xml:space="preserve"> ADDIN ZOTERO_ITEM CSL_CITATION {"citationID":"Xn43gAdL","properties":{"formattedCitation":"[18,50]","plainCitation":"[18,50]","noteIndex":0},"citationItems":[{"id":12398,"uris":["http://zotero.org/groups/23637/items/WRLY76WZ"],"uri":["http://zotero.org/groups/23637/items/WRLY76WZ"],"itemData":{"id":12398,"type":"article-journal","abstract":"Summary\nBackground\nCancer is a major cause of death in children worldwide, and the recorded incidence tends to increase with time. Internationally comparable data on childhood cancer incidence in the past two decades are scarce. This study aimed to provide internationally comparable local data on the incidence of childhood cancer to promote research of causes and implementation of childhood cancer control.\nMethods\nThis population-based registry study, devised by the International Agency for Research on Cancer in collaboration with the International Association of Cancer Registries, collected data on all malignancies and non-malignant neoplasms of the CNS diagnosed before age 20 years in populations covered by high-quality cancer registries with complete data for 2001–10. Incidence rates per million person-years for the 0–14 years and 0–19 years age groups were age-adjusted using the world standard population to provide age-standardised incidence rates (WSRs), using the age-specific incidence rates (ASR) for individual age groups (0–4 years, 5–9 years, 10–14 years, and 15–19 years). All rates were reported for 19 geographical areas or ethnicities by sex, age group, and cancer type. The regional WSRs for children aged 0–14 years were compared with comparable data obtained in the 1980s.\nFindings\nOf 532 invited cancer registries, 153 registries from 62 countries, departments, and territories met quality standards, and contributed data for the entire decade of 2001–10. 385 509 incident cases in children aged 0–19 years occurring in 2·64 billion person-years were included. The overall WSR was 140·6 per million person-years in children aged 0–14 years (based on 284 649 cases), and the most common cancers were leukaemia (WSR 46·4), followed by CNS tumours (WSR 28·2), and lymphomas (WSR 15·2). In children aged 15–19 years (based on 100 860 cases), the ASR was 185·3 per million person-years, the most common being lymphomas (ASR 41·8) and the group of epithelial tumours and melanoma (ASR 39·5). Incidence varied considerably between and within the described regions, and by cancer type, sex, age, and racial and ethnic group. Since the 1980s, the global WSR of registered cancers in children aged 0–14 years has increased from 124·0 (95% CI 123·3–124·7) to 140·6 (140·1–141·1) per million person-years.\nInterpretation\nThis unique global source of childhood cancer incidence will be used for aetiological research and to inform public health policy, potentially contributing towards attaining several targets of the Sustainable Development Goals. The observed geographical, racial and ethnic, age, sex, and temporal variations require constant monitoring and research.\nFunding\nInternational Agency for Research on Cancer and the Union for International Cancer Control.","container-title":"The Lancet Oncology","DOI":"10.1016/S1470-2045(17)30186-9","ISSN":"1470-2045","issue":"6","journalAbbreviation":"The Lancet Oncology","page":"719-731","source":"ScienceDirect","title":"International incidence of childhood cancer, 2001–10: a population-based registry study","title-short":"International incidence of childhood cancer, 2001–10","volume":"18","author":[{"family":"Steliarova-Foucher","given":"Eva"},{"family":"Colombet","given":"Murielle"},{"family":"Ries","given":"Lynn A G"},{"family":"Moreno","given":"Florencia"},{"family":"Dolya","given":"Anastasia"},{"family":"Bray","given":"Freddie"},{"family":"Hesseling","given":"Peter"},{"family":"Shin","given":"Hee Young"},{"family":"Stiller","given":"Charles A"},{"family":"Bouzbid","given":"S"},{"family":"Hamdi-Cherif","given":"M"},{"family":"Hablas","given":"A"},{"family":"Chirpaz","given":"E"},{"family":"Buziba","given":"N"},{"family":"Chesumbai","given":"GC"},{"family":"Manraj","given":"SS"},{"family":"Reynders","given":"D"},{"family":"Wabinga","given":"HR"},{"family":"Chokunonga","given":"E"},{"family":"Moreno","given":"F"},{"family":"Lima","given":"CA"},{"family":"Asturian Laporte","given":"C"},{"family":"Oliveira","given":"JC","non-dropping-particle":"de"},{"family":"Aquino","given":"JA Pontes","non-dropping-particle":"de"},{"family":"Gallagher","given":"SM Vargas"},{"family":"Uribe","given":"CJ"},{"family":"Bravo","given":"LE"},{"family":"Yepez Chamorro","given":"MC"},{"family":"Torres Alvarado","given":"G"},{"family":"Galán Alvarez","given":"YH"},{"family":"Martinez Reyes","given":"FC"},{"family":"Castillo Calvas","given":"JC"},{"family":"Mendoza Alava","given":"M"},{"family":"Cueva Ayala","given":"P"},{"family":"Hanchard","given":"B"},{"family":"Fajardo-Gutiérrez","given":"A"},{"family":"Zavala Zegarra","given":"DE"},{"family":"Barrios","given":"E"},{"family":"Nikiforuk","given":"C"},{"family":"Woods","given":"R"},{"family":"Turner","given":"D"},{"family":"MacIntyre","given":"M"},{"family":"Corriveau","given":"A"},{"family":"Navaneelan","given":"T"},{"family":"Bertrand","given":"C"},{"family":"Stuart-Panko","given":"H"},{"family":"Wilson","given":"RJ"},{"family":"Kosary","given":"C"},{"family":"Shen","given":"X"},{"family":"Brockhouse","given":"J"},{"family":"Yee","given":"GA"},{"family":"Mitchell","given":"TC"},{"family":"Snipes","given":"K"},{"family":"West","given":"D"},{"family":"Rao","given":"C"},{"family":"Bolick","given":"S"},{"family":"Rycroft","given":"RK"},{"family":"Mueller","given":"L"},{"family":"Zheng","given":"Y"},{"family":"Dosch","given":"K"},{"family":"Brown","given":"H"},{"family":"Vargas","given":"A"},{"family":"Levin","given":"GM"},{"family":"Bayakly","given":"R"},{"family":"Johnson","given":"C"},{"family":"Shen","given":"T"},{"family":"Ruppert","given":"L"},{"family":"Lynch","given":"CF"},{"family":"Lai","given":"SM"},{"family":"Tucker","given":"TC"},{"family":"Wu","given":"XC"},{"family":"Schwenn","given":"M"},{"family":"Stern","given":"K"},{"family":"Gershman","given":"S"},{"family":"Copeland","given":"G"},{"family":"Bushhouse","given":"S"},{"family":"Rogers","given":"DB"},{"family":"Jackson Thompson","given":"J"},{"family":"Lemons","given":"D"},{"family":"Frederick","given":"S"},{"family":"Harris","given":"JA"},{"family":"Riddle","given":"B"},{"family":"Stroup","given":"A"},{"family":"Wiggins","given":"C"},{"family":"Schymura","given":"MJ"},{"family":"Giljahn","given":"LK"},{"family":"Sheikh","given":"A"},{"family":"Schubert","given":"S"},{"family":"Aldinger","given":"W"},{"family":"Fulton","given":"JP"},{"family":"Whiteside","given":"M"},{"family":"Nogueira","given":"L"},{"family":"Sweeney","given":"C"},{"family":"Johnson","given":"A"},{"family":"Martin","given":"J"},{"family":"Farley","given":"S"},{"family":"Harrelson","given":"D"},{"family":"Malicki","given":"R"},{"family":"Espinoza","given":"JR"},{"family":"Hernandez","given":"BY"},{"family":"Abulfateh","given":"N"},{"family":"Wang","given":"N"},{"family":"Ngan","given":"RKC"},{"family":"Lingegowda","given":"KB"},{"family":"Swaminathan","given":"R"},{"family":"Koyande","given":"SS"},{"family":"Silverman","given":"B"},{"family":"Ozasa","given":"K"},{"family":"Kanemura","given":"S"},{"family":"Soda","given":"M"},{"family":"Miyashiro","given":"I"},{"family":"Shibata","given":"A"},{"family":"Nimri","given":"O"},{"family":"Won","given":"YJ"},{"family":"Kim","given":"CH"},{"family":"Hong","given":"NS"},{"family":"Nam","given":"HS"},{"family":"Kweon","given":"S"},{"family":"Kim","given":"WC"},{"family":"Huh","given":"JS"},{"family":"Jung","given":"KW"},{"family":"Yoo","given":"CI"},{"family":"Elbasmy","given":"A"},{"family":"Laudico","given":"AV"},{"family":"Lumague","given":"MR"},{"family":"AlMutlag","given":"H"},{"family":"Buasom","given":"R"},{"family":"Srisukho","given":"S"},{"family":"Tanabodee","given":"J"},{"family":"Wiangnon","given":"S"},{"family":"Pongnikorn","given":"D"},{"family":"Sriplung","given":"H"},{"family":"Dirican","given":"O"},{"family":"Eser","given":"S"},{"family":"Le Hoang","given":"M"},{"family":"Hackl","given":"M"},{"family":"Zborovskaya","given":"A"},{"family":"Dimitrova","given":"N"},{"family":"Valerianova","given":"Z"},{"family":"Sekerija","given":"M"},{"family":"Pavlou","given":"P"},{"family":"Dušek","given":"M"},{"family":"Mägi","given":"M"},{"family":"Clavel","given":"J"},{"family":"Lacour","given":"B"},{"family":"Guizard","given":"AV"},{"family":"Bouvier","given":"V"},{"family":"Troussard","given":"X"},{"family":"Woronoff","given":"AS"},{"family":"Tretarre","given":"B"},{"family":"Colonna","given":"M"},{"family":"Molinié","given":"F"},{"family":"Bara","given":"S"},{"family":"Velten","given":"M"},{"family":"Marrer","given":"E"},{"family":"Ganry","given":"O"},{"family":"Grosclaude","given":"P"},{"family":"Kaatsch","given":"P"},{"family":"Zeissig","given":"SR"},{"family":"Holleczek","given":"B"},{"family":"Katalinic","given":"A"},{"family":"Jakab","given":"Z"},{"family":"Birgisson","given":"H"},{"family":"Walsh","given":"PM"},{"family":"Mangone","given":"L"},{"family":"Merletti","given":"F"},{"family":"Magoni","given":"M"},{"family":"Mangone","given":"L"},{"family":"Ferretti","given":"S"},{"family":"Serraino","given":"D"},{"family":"Spagnoli","given":"G"},{"family":"Fusco","given":"M"},{"family":"Michiara","given":"M"},{"family":"Tumino","given":"R"},{"family":"Falcini","given":"F"},{"family":"Sensi","given":"F"},{"family":"Tisano","given":"F"},{"family":"Piffer","given":"S"},{"family":"Stracci","given":"F"},{"family":"Tagliabue","given":"G"},{"family":"Smailyte","given":"G"},{"family":"Agius","given":"D"},{"family":"Visser","given":"O"},{"family":"Ursin","given":"G"},{"family":"Didkowska","given":"J"},{"family":"Trojanowski","given":"M"},{"family":"Wojciechowska","given":"U"},{"family":"Forjaz de Lacerda","given":"G"},{"family":"Silva","given":"MA"},{"family":"Laranja Pontes","given":"J"},{"family":"Costa Miranda","given":"A","non-dropping-particle":"da"},{"family":"Kaiserova","given":"E"},{"family":"Primic Žakelj","given":"M"},{"family":"Peris-Bonet","given":"R"},{"family":"Vicente Raneda","given":"ML"},{"family":"Almar Marqués","given":"E"},{"family":"Quirós Garcia","given":"JR"},{"family":"Ramos Monserrat","given":"M"},{"family":"Errezola Saizar","given":"M"},{"family":"Alemán Herrera","given":"A"},{"family":"Díaz García","given":"JM"},{"family":"Marcos-Gragera","given":"R"},{"family":"Sanchez-Perez","given":"MJ"},{"family":"Ardanaz Aicua","given":"E"},{"family":"Galceran","given":"J"},{"family":"Klint","given":"A"},{"family":"Kuehni","given":"CE"},{"family":"Bouchardy","given":"C"},{"family":"Levi","given":"F"},{"family":"Bordoni","given":"A"},{"family":"Konzelmann","given":"I"},{"family":"Rohrmann","given":"S"},{"family":"Stiller","given":"CA"},{"family":"Gavin","given":"AT"},{"family":"Brewster","given":"DH"},{"family":"Phung","given":"H"},{"family":"Rushton","given":"S"},{"family":"Guthridge","given":"S"},{"family":"Aitken","given":"J"},{"family":"D'Onise","given":"K"},{"family":"Venn","given":"A"},{"family":"Farrugian","given":"H"},{"family":"Threlfall","given":"TJ"},{"family":"Laumond","given":"S"},{"family":"Yen Kai Sun","given":"L"},{"family":"Hendrix","given":"J"},{"family":"Ballantine","given":"K"},{"family":"Colombet","given":"M"},{"family":"Dolya","given":"A"},{"family":"Masuyer","given":"E"},{"family":"Steliarova-Foucher","given":"E"}],"issued":{"date-parts":[["2017",6,1]]}}},{"id":11603,"uris":["http://zotero.org/groups/23637/items/V7UR2NYU"],"uri":["http://zotero.org/groups/23637/items/V7UR2NYU"],"itemData":{"id":11603,"type":"book","event-place":"Lyon, France","publisher":"International Agency for Research on Cancer","publisher-place":"Lyon, France","title":"Cancer Incidence in Five Continents, Vol XI (electronic version)","URL":"http://ci5.iarc.fr","editor":[{"family":"Bray","given":"F"},{"family":"Colombet","given":"M"},{"family":"Mery","given":"L"},{"family":"Pineros","given":"M"},{"family":"Znaor","given":"A"},{"family":"Zanetti","given":"R"},{"family":"Ferlay","given":"J"}],"accessed":{"date-parts":[["2019",1,11]]},"issued":{"date-parts":[["2017"]]}}}],"schema":"https://github.com/citation-style-language/schema/raw/master/csl-citation.json"} </w:instrText>
      </w:r>
      <w:r w:rsidR="00DC2159">
        <w:fldChar w:fldCharType="separate"/>
      </w:r>
      <w:r w:rsidR="00BA4E5A" w:rsidRPr="00BA4E5A">
        <w:rPr>
          <w:rFonts w:ascii="Calibri" w:hAnsi="Calibri" w:cs="Calibri"/>
        </w:rPr>
        <w:t>[18,50]</w:t>
      </w:r>
      <w:r w:rsidR="00DC2159">
        <w:fldChar w:fldCharType="end"/>
      </w:r>
      <w:r w:rsidR="00B65C63">
        <w:t xml:space="preserve">.  </w:t>
      </w:r>
      <w:r w:rsidR="005B301B">
        <w:t>Aetiological l</w:t>
      </w:r>
      <w:r w:rsidR="004C0C44">
        <w:t xml:space="preserve">inks between some cancers and infectious agents have been established, and two such associations were incorporated into </w:t>
      </w:r>
      <w:r w:rsidR="00DF2A05">
        <w:t xml:space="preserve">the </w:t>
      </w:r>
      <w:r w:rsidR="004C0C44">
        <w:t xml:space="preserve">current version of the BM: </w:t>
      </w:r>
      <w:r w:rsidR="00B65C63">
        <w:t>augment</w:t>
      </w:r>
      <w:r w:rsidR="004C0C44">
        <w:t>ing the SEER</w:t>
      </w:r>
      <w:r w:rsidR="00B65C63">
        <w:t xml:space="preserve"> rates </w:t>
      </w:r>
      <w:r w:rsidR="004C0C44">
        <w:t>for</w:t>
      </w:r>
      <w:r w:rsidR="00B65C63">
        <w:t xml:space="preserve"> Burkitt Lymphoma and Kaposi Sarcoma by relating locally observed rates of these cancers </w:t>
      </w:r>
      <w:r w:rsidR="008D0A00">
        <w:t>to the occurrence of an established risk factor (</w:t>
      </w:r>
      <w:r w:rsidR="008D0A00">
        <w:rPr>
          <w:i/>
        </w:rPr>
        <w:t xml:space="preserve">P. falciparum </w:t>
      </w:r>
      <w:r w:rsidR="008D0A00">
        <w:t>transmissio</w:t>
      </w:r>
      <w:r w:rsidR="005F1EAA">
        <w:t>n</w:t>
      </w:r>
      <w:r w:rsidR="008D0A00">
        <w:t xml:space="preserve">).  </w:t>
      </w:r>
      <w:r>
        <w:t xml:space="preserve">Using this </w:t>
      </w:r>
      <w:r w:rsidR="005F1EAA">
        <w:t>model,</w:t>
      </w:r>
      <w:r>
        <w:t xml:space="preserve"> we estimated that 360,</w:t>
      </w:r>
      <w:r w:rsidR="005F1EAA">
        <w:t>114</w:t>
      </w:r>
      <w:r>
        <w:t xml:space="preserve"> cases of cancer </w:t>
      </w:r>
      <w:r w:rsidR="005F1EAA">
        <w:t>would occur among children &lt;</w:t>
      </w:r>
      <w:r>
        <w:t>15 years in 2015 globally.</w:t>
      </w:r>
      <w:r w:rsidR="005F1EAA">
        <w:t xml:space="preserve"> </w:t>
      </w:r>
      <w:r w:rsidR="00FF3FDD">
        <w:t xml:space="preserve">This estimate </w:t>
      </w:r>
      <w:r w:rsidR="009442A6">
        <w:t>represent</w:t>
      </w:r>
      <w:r w:rsidR="00571AC7">
        <w:t>s</w:t>
      </w:r>
      <w:r w:rsidR="00624AE3">
        <w:t xml:space="preserve"> </w:t>
      </w:r>
      <w:r w:rsidR="00FF3FDD">
        <w:t xml:space="preserve">a significant </w:t>
      </w:r>
      <w:r w:rsidR="00624AE3">
        <w:t>increase compared to the WHO’s GLOBOCAN project and indicates &gt;40% of childhood cancers may remain undiagnosed worldwide</w:t>
      </w:r>
      <w:r w:rsidR="00FE5175">
        <w:t>,</w:t>
      </w:r>
      <w:r w:rsidR="00624AE3">
        <w:t xml:space="preserve"> with most of the undocumented cases occurring in less developed regions.  </w:t>
      </w:r>
    </w:p>
    <w:p w14:paraId="148D81E3" w14:textId="3641C02B" w:rsidR="006959A9" w:rsidRDefault="001C28AF" w:rsidP="00D47759">
      <w:r>
        <w:t xml:space="preserve">The main contribution of the BM </w:t>
      </w:r>
      <w:r w:rsidR="00FE5175">
        <w:t xml:space="preserve">relates to </w:t>
      </w:r>
      <w:r>
        <w:t xml:space="preserve">the incorporation of </w:t>
      </w:r>
      <w:r w:rsidR="00893E0D">
        <w:t xml:space="preserve">established </w:t>
      </w:r>
      <w:r>
        <w:t>aetiological factors into the model</w:t>
      </w:r>
      <w:r w:rsidR="00BF2710">
        <w:t xml:space="preserve">.  </w:t>
      </w:r>
      <w:r w:rsidR="00583FF9">
        <w:t xml:space="preserve">For childhood cancers where </w:t>
      </w:r>
      <w:r w:rsidR="00893E0D">
        <w:t>such proven determinants</w:t>
      </w:r>
      <w:r w:rsidR="00583FF9">
        <w:t xml:space="preserve"> are absent, we have assumed that </w:t>
      </w:r>
      <w:r w:rsidR="002A717C">
        <w:t xml:space="preserve">the rates </w:t>
      </w:r>
      <w:r w:rsidR="00893E0D">
        <w:t xml:space="preserve">would be </w:t>
      </w:r>
      <w:r w:rsidR="002A717C">
        <w:t>broadly similar across the globe</w:t>
      </w:r>
      <w:r w:rsidR="00893E0D">
        <w:t>.</w:t>
      </w:r>
      <w:r w:rsidR="002A717C">
        <w:t xml:space="preserve">  </w:t>
      </w:r>
      <w:r w:rsidR="00893E0D">
        <w:t>With a projected annual global total of 360,114 in 2015, the BM worldwide estimate is substantially higher than those founded on the global pattern of observed registrations: the 2018 GLOBOCAN estimate being 44.6% lower, and the IICC</w:t>
      </w:r>
      <w:r w:rsidR="006C2ED2">
        <w:t>-</w:t>
      </w:r>
      <w:r w:rsidR="00893E0D">
        <w:t xml:space="preserve">3 estimate based on extrapolations for 81 included countries, 34.7% lower </w:t>
      </w:r>
      <w:r w:rsidR="00893E0D" w:rsidRPr="001C416B">
        <w:t>(Table</w:t>
      </w:r>
      <w:r w:rsidR="006959A9" w:rsidRPr="001C416B">
        <w:t xml:space="preserve"> 4</w:t>
      </w:r>
      <w:r w:rsidR="00893E0D" w:rsidRPr="001C416B">
        <w:t>).</w:t>
      </w:r>
      <w:r w:rsidR="00DC20D3">
        <w:t xml:space="preserve"> While the estimate of 200,000 new childhood cancers in GLOBOCAN </w:t>
      </w:r>
      <w:r w:rsidR="00D47759">
        <w:t xml:space="preserve">is based upon the available data from cancer registries </w:t>
      </w:r>
      <w:r w:rsidR="00DC20D3">
        <w:t>and vital statistics in the countries</w:t>
      </w:r>
      <w:r w:rsidR="00583FF9">
        <w:t xml:space="preserve"> </w:t>
      </w:r>
      <w:r w:rsidR="00583FF9">
        <w:fldChar w:fldCharType="begin"/>
      </w:r>
      <w:r w:rsidR="00124231">
        <w:instrText xml:space="preserve"> ADDIN ZOTERO_ITEM CSL_CITATION {"citationID":"gAzE5fbx","properties":{"formattedCitation":"[1]","plainCitation":"[1]","noteIndex":0},"citationItems":[{"id":11591,"uris":["http://zotero.org/groups/23637/items/5Z9F9FD2"],"uri":["http://zotero.org/groups/23637/items/5Z9F9FD2"],"itemData":{"id":11591,"type":"article-journal","abstract":"Estimates of the worldwide incidence and mortality from 36 cancers and for all cancers combined for the year 2018 are now available in the GLOBOCAN 2018 database, compiled and disseminated by the International Agency for Research on Cancer (IARC). This paper reviews the sources and methods used in compiling the cancer statistics in 185 countries. The validity of the national estimates depends upon the representativeness of the source information, and to take into account possible sources of bias, uncertainty intervals are now provided for the estimated sex- and site-specific all-ages number of new cancer cases and cancer deaths. We briefly describe the key results globally and by world region. There were an estimated 18.1 million (95% UI: 17.5–18.7 million) new cases of cancer (17 million excluding non-melanoma skin cancer) and 9.6 million (95% UI: 9.3–9.8 million) deaths from cancer (9.5 million excluding non-melanoma skin cancer) worldwide in 2018.","container-title":"International Journal of Cancer","DOI":"10.1002/ijc.31937","ISSN":"1097-0215","issue":"8","language":"en","page":"1941-1953","source":"Wiley Online Library","title":"Estimating the global cancer incidence and mortality in 2018: GLOBOCAN sources and methods","title-short":"Estimating the global cancer incidence and mortality in 2018","volume":"144","author":[{"family":"Ferlay","given":"J."},{"family":"Colombet","given":"M."},{"family":"Soerjomataram","given":"I."},{"family":"Mathers","given":"C."},{"family":"Parkin","given":"D. M."},{"family":"Piñeros","given":"M."},{"family":"Znaor","given":"A."},{"family":"Bray","given":"F."}],"issued":{"date-parts":[["2019"]]}}}],"schema":"https://github.com/citation-style-language/schema/raw/master/csl-citation.json"} </w:instrText>
      </w:r>
      <w:r w:rsidR="00583FF9">
        <w:fldChar w:fldCharType="separate"/>
      </w:r>
      <w:r w:rsidR="00583FF9" w:rsidRPr="00583FF9">
        <w:rPr>
          <w:rFonts w:ascii="Calibri" w:hAnsi="Calibri" w:cs="Calibri"/>
        </w:rPr>
        <w:t>[1]</w:t>
      </w:r>
      <w:r w:rsidR="00583FF9">
        <w:fldChar w:fldCharType="end"/>
      </w:r>
      <w:r w:rsidR="00DC20D3">
        <w:t>, the 360,000 from the BM also include</w:t>
      </w:r>
      <w:r w:rsidR="00E970C8">
        <w:t>s</w:t>
      </w:r>
      <w:r w:rsidR="00DC20D3">
        <w:t xml:space="preserve"> </w:t>
      </w:r>
      <w:r w:rsidR="00D47759">
        <w:t xml:space="preserve">additional </w:t>
      </w:r>
      <w:r w:rsidR="00DC20D3">
        <w:t>cases,</w:t>
      </w:r>
      <w:r w:rsidR="00DF2A05">
        <w:t xml:space="preserve"> </w:t>
      </w:r>
      <w:r w:rsidR="00D47759">
        <w:t xml:space="preserve">notably those that might remain undetected in the regions where a large proportion of the population is exposed to endemic </w:t>
      </w:r>
      <w:r w:rsidR="00D47759">
        <w:rPr>
          <w:i/>
        </w:rPr>
        <w:t>P. falciparum</w:t>
      </w:r>
      <w:r w:rsidR="00D47759">
        <w:t xml:space="preserve"> infection as well as those that could </w:t>
      </w:r>
      <w:r w:rsidR="00DC20D3">
        <w:t xml:space="preserve">potentially be diagnosed in </w:t>
      </w:r>
      <w:r w:rsidR="006C2ED2">
        <w:t xml:space="preserve">a </w:t>
      </w:r>
      <w:r w:rsidR="00DC20D3">
        <w:t>well-functioning health system.</w:t>
      </w:r>
      <w:r w:rsidR="00893E0D">
        <w:t xml:space="preserve">  </w:t>
      </w:r>
    </w:p>
    <w:p w14:paraId="3A2310C0" w14:textId="1AC2A44D" w:rsidR="004C0C44" w:rsidRDefault="00DF2A05" w:rsidP="004C0C44">
      <w:r>
        <w:t xml:space="preserve">The </w:t>
      </w:r>
      <w:r w:rsidR="004C0C44">
        <w:t>GLOBOCAN and IICC-3</w:t>
      </w:r>
      <w:r>
        <w:t xml:space="preserve"> estimates</w:t>
      </w:r>
      <w:r w:rsidR="004C0C44">
        <w:t>, to differing degrees, rely on cancers diagnosed and registered from within the health care system</w:t>
      </w:r>
      <w:r w:rsidR="00D47759">
        <w:t>.  I</w:t>
      </w:r>
      <w:r w:rsidR="004C0C44">
        <w:t xml:space="preserve">n developing the GCC model, the authors </w:t>
      </w:r>
      <w:r w:rsidR="00D47759">
        <w:t xml:space="preserve">used the </w:t>
      </w:r>
      <w:r w:rsidR="004C0C44">
        <w:t xml:space="preserve">IICC-3 </w:t>
      </w:r>
      <w:r w:rsidR="00D47759">
        <w:t xml:space="preserve">rates as a baseline and estimated the levels of underdiagnosis by </w:t>
      </w:r>
      <w:r w:rsidR="004C0C44">
        <w:t xml:space="preserve">compensating for </w:t>
      </w:r>
      <w:r w:rsidR="00D47759">
        <w:t xml:space="preserve">reported </w:t>
      </w:r>
      <w:r w:rsidR="004C0C44">
        <w:t>variations in health care system</w:t>
      </w:r>
      <w:r w:rsidR="00D47759">
        <w:t>s</w:t>
      </w:r>
      <w:r w:rsidR="004C0C44">
        <w:t xml:space="preserve"> </w:t>
      </w:r>
      <w:r w:rsidR="004C0C44">
        <w:fldChar w:fldCharType="begin"/>
      </w:r>
      <w:r w:rsidR="00124231">
        <w:instrText xml:space="preserve"> ADDIN ZOTERO_ITEM CSL_CITATION {"citationID":"9prJTyN0","properties":{"formattedCitation":"[23]","plainCitation":"[23]","noteIndex":0},"citationItems":[{"id":12402,"uris":["http://zotero.org/groups/23637/items/5BJ5RHP6"],"uri":["http://zotero.org/groups/23637/items/5BJ5RHP6"],"itemData":{"id":12402,"type":"article-journal","abstract":"BACKGROUND: Accurate estimates of childhood cancer incidence are important for policy makers to inform priority setting and planning decisions. However, many countries do not have cancer registries that quantify the incidence of childhood cancer. Moreover, even when registries do exist, they might substantially underestimate the true incidence, since children with cancer might not be diagnosed. We therefore aimed to provide estimates of total childhood cancer incidence accounting for underdiagnosis.\nMETHODS: We developed a microsimulation model to simulate childhood cancer incidence for 200 countries and territories worldwide, taking into account trends in population growth and urbanicity, geographical variation in cancer incidence, and health system barriers to access and referral that contribute to underdiagnosis. To ensure model results were consistent with epidemiological data, we calibrated the model to publicly available cancer registry data using a Bayesian approach in which the observed data are fixed and the model parameters (cancer incidence and probabilities of health system access and referral) are random variables. We estimated the total incidence of childhood cancer (diagnosed and undiagnosed) in each country in 2015 and projected the number of cases from 2015 to 2030.\nFINDINGS: Our model estimated that there were 397 000 (95% uncertainty interval [UI] 377 000-426 000) incident cases of childhood cancer worldwide in 2015, of which only 224 000 (95% UI 216 000-237 000) were diagnosed. This finding suggests that 43% (172 000 of 397 000) of childhood cancer cases were undiagnosed globally, with substantial variation by region, ranging from 3% in western Europe (120 of 4300) and North America (300 of 10 900) to 57% (43 000 of 76 000) in western Africa. In south Asia (including southeastern Asia and south-central Asia), the overall proportion of undiagnosed cases was estimated to be 49% (67 000 of 137 000). Taking into account population projections, we estimated that there will be 6·7 million (95% UI 6·3-7·2) cases of childhood cancer worldwide from 2015 to 2030. At current levels of health system performance, we estimated that 2·9 million (95% UI 2·7-3·3) cases of childhood cancer will be missed between 2015 and 2030.\nINTERPRETATION: Childhood cancer is substantially underdiagnosed, especially in south Asia and sub-Saharan Africa (including western, eastern, and southern Africa). In addition to improving treatment for childhood cancer, health systems must be strengthened to accurately diagnose and effectively care for all children with cancer. As countries expand universal health coverage, these estimates of total incidence will hopefully help guide efforts to appropriately increase health system capacity to ensure access to effective childhood cancer care.\nFUNDING: Boston Children's Hospital, Dana-Farber Cancer Institute, Harvard T H Chan School of Public Health, Harvard Medical School, National Cancer Institute, SickKids, St Jude Children's Research Hospital, and Union for International Cancer Control.","container-title":"The Lancet. Oncology","DOI":"10.1016/S1470-2045(18)30909-4","ISSN":"1474-5488","issue":"4","journalAbbreviation":"Lancet Oncol.","language":"eng","note":"PMID: 30824204","page":"483-493","source":"PubMed","title":"Estimating the total incidence of global childhood cancer: a simulation-based analysis","title-short":"Estimating the total incidence of global childhood cancer","volume":"20","author":[{"family":"Ward","given":"Zachary J."},{"family":"Yeh","given":"Jennifer M."},{"family":"Bhakta","given":"Nickhill"},{"family":"Frazier","given":"A. Lindsay"},{"family":"Atun","given":"Rifat"}],"issued":{"date-parts":[["2019",4]]}},"suppress-author":true}],"schema":"https://github.com/citation-style-language/schema/raw/master/csl-citation.json"} </w:instrText>
      </w:r>
      <w:r w:rsidR="004C0C44">
        <w:fldChar w:fldCharType="separate"/>
      </w:r>
      <w:r w:rsidR="0050368D" w:rsidRPr="0050368D">
        <w:rPr>
          <w:rFonts w:ascii="Calibri" w:hAnsi="Calibri" w:cs="Calibri"/>
        </w:rPr>
        <w:t>[23]</w:t>
      </w:r>
      <w:r w:rsidR="004C0C44">
        <w:fldChar w:fldCharType="end"/>
      </w:r>
      <w:r w:rsidR="004C0C44">
        <w:t xml:space="preserve">. Overall, the resulting GCC </w:t>
      </w:r>
      <w:r w:rsidR="006959A9">
        <w:t>estimates</w:t>
      </w:r>
      <w:r w:rsidR="004C0C44">
        <w:t>, at 396,670, is 50.0% higher than GLOBOCAN and 10.2% higher than the BM</w:t>
      </w:r>
      <w:r w:rsidR="006959A9">
        <w:t xml:space="preserve"> (Table 4)</w:t>
      </w:r>
      <w:r w:rsidR="00D47759">
        <w:t xml:space="preserve">. </w:t>
      </w:r>
      <w:r w:rsidR="006959A9">
        <w:t xml:space="preserve"> </w:t>
      </w:r>
      <w:r w:rsidR="00D47759">
        <w:t>T</w:t>
      </w:r>
      <w:r w:rsidR="004C0C44">
        <w:t>he major discrepancies emanat</w:t>
      </w:r>
      <w:r w:rsidR="00D47759">
        <w:t>ed</w:t>
      </w:r>
      <w:r w:rsidR="004C0C44">
        <w:t xml:space="preserve"> from countries with low HDIs</w:t>
      </w:r>
      <w:r w:rsidR="006959A9">
        <w:t>,</w:t>
      </w:r>
      <w:r w:rsidR="004C0C44">
        <w:t xml:space="preserve"> being particularly pronounced</w:t>
      </w:r>
      <w:r w:rsidR="004C0C44" w:rsidDel="00F7318C">
        <w:t xml:space="preserve"> </w:t>
      </w:r>
      <w:r w:rsidR="004C0C44">
        <w:t xml:space="preserve">for cancers with complex symptom profiles and no obvious visible presenting signs (e.g. </w:t>
      </w:r>
      <w:r w:rsidR="00ED2F2F">
        <w:t>CNS</w:t>
      </w:r>
      <w:r w:rsidR="004C0C44">
        <w:t xml:space="preserve"> tumours and </w:t>
      </w:r>
      <w:proofErr w:type="spellStart"/>
      <w:r w:rsidR="004C0C44">
        <w:t>leukaemias</w:t>
      </w:r>
      <w:proofErr w:type="spellEnd"/>
      <w:r w:rsidR="004C0C44">
        <w:t xml:space="preserve">) where diagnosis requires access to highly trained personnel and front-line diagnostics </w:t>
      </w:r>
      <w:r w:rsidR="004C0C44">
        <w:fldChar w:fldCharType="begin"/>
      </w:r>
      <w:r w:rsidR="00124231">
        <w:instrText xml:space="preserve"> ADDIN ZOTERO_ITEM CSL_CITATION {"citationID":"IyUG4hF8","properties":{"formattedCitation":"[8]","plainCitation":"[8]","noteIndex":0},"citationItems":[{"id":11466,"uris":["http://zotero.org/groups/23637/items/6XFJR4DR"],"uri":["http://zotero.org/groups/23637/items/6XFJR4DR"],"itemData":{"id":11466,"type":"article-journal","abstract":"&lt;h2&gt;Summary&lt;/h2&gt;&lt;p&gt;Cancer in children and adolescents is rare and biologically very different from cancer in adults. It accounts for 1·4% of all cancers worldwide, although this proportion ranges from 0·5% in Europe to 4·8% in Africa, largely because of differences in age composition and life expectancy. In high-income countries, survival from childhood cancer has reached 80% through a continuous focus on the integration of clinical research into front-line care for nearly all children affected by malignant disease. However, further improvement must entail new biology-driven approaches, since optimisation of conventional treatments has in many cases reached its limits. In many instances, such approaches can only be achieved through international collaborative research, since rare cancers are being subdivided into increasingly smaller subgroups on the basis of their molecular characteristics. The long-term effect of anticancer treatment on quality of life must also be taken into account because more than one in 1000 adults in high-income countries are thought to be survivors of cancer in childhood or adolescence. The introduction of drugs that are less toxic and more targeted than those currently used necessitates a partnership between clinical and translational researchers, the pharmaceutical industry, drug regulators, and patients and their families. This therapeutic alliance will ensure that efforts are focused on the unmet clinical needs of young people with cancer. Most children with cancer live in low-income and middle-income countries, and these countries account for 94% of all deaths from cancer in people aged 0–14 years. The immediate priority for these children is to improve access to an affordable, best standard of care in each country. Every country should have a national cancer plan that recognises the unique demographic characteristics and care needs of young people with cancer. Centralisation of the complex components of treatment of these rare diseases is essential to improve survival, accelerate research, and train the future specialist workforce. Referral routes and care pathways must take account of the large geographical distances between many patients' homes and treatment centres, and the economic, cultural, and linguistic diversity of the populations served.&lt;/p&gt;","container-title":"The Lancet Oncology","DOI":"10.1016/S1470-2045(13)70010-X","ISSN":"1470-2045, 1474-5488","issue":"3","journalAbbreviation":"The Lancet Oncology","language":"English","note":"PMID: 23434338","page":"e95-e103","source":"www.thelancet.com","title":"Sustaining innovation and improvement in the treatment of childhood cancer: lessons from high-income countries","title-short":"Sustaining innovation and improvement in the treatment of childhood cancer","volume":"14","author":[{"family":"Pritchard-Jones","given":"Kathy"},{"family":"Pieters","given":"Rob"},{"family":"Reaman","given":"Gregory H."},{"family":"Hjorth","given":"Lars"},{"family":"Downie","given":"Peter"},{"family":"Calaminus","given":"Gabriele"},{"family":"Naafs-Wilstra","given":"Marianne C."},{"family":"Steliarova-Foucher","given":"Eva"}],"issued":{"date-parts":[["2013",3,1]]}}}],"schema":"https://github.com/citation-style-language/schema/raw/master/csl-citation.json"} </w:instrText>
      </w:r>
      <w:r w:rsidR="004C0C44">
        <w:fldChar w:fldCharType="separate"/>
      </w:r>
      <w:r w:rsidR="004C0C44" w:rsidRPr="00D4079C">
        <w:rPr>
          <w:rFonts w:ascii="Calibri" w:hAnsi="Calibri" w:cs="Calibri"/>
        </w:rPr>
        <w:t>[8]</w:t>
      </w:r>
      <w:r w:rsidR="004C0C44">
        <w:fldChar w:fldCharType="end"/>
      </w:r>
      <w:r w:rsidR="004C0C44">
        <w:t xml:space="preserve">. </w:t>
      </w:r>
    </w:p>
    <w:p w14:paraId="2B86CB80" w14:textId="5078F20D" w:rsidR="00504E7F" w:rsidRDefault="00504E7F">
      <w:r>
        <w:t xml:space="preserve">The GCC African pattern of total cancer rates </w:t>
      </w:r>
      <w:r w:rsidRPr="00ED2F2F">
        <w:t>(Figure S14)</w:t>
      </w:r>
      <w:r>
        <w:t xml:space="preserve"> is largely due to fact that it was seeded by IICC-3 data; which contains both the highest (Mali), and the lowest (Southern Africa), estimates of total childhood cancer among the IICC-3 registries. Hence, the highest GCC rates were in Western Africa, the region where Mali’s </w:t>
      </w:r>
      <w:r w:rsidRPr="00DC2159">
        <w:t xml:space="preserve">comparatively small Bamako registry rate is the seed used to extrapolate to the entire region;  the 16 affected countries includes Nigeria which, with an estimated 79.9 million &lt;15 years in 2015, is the third most populous childhood nation </w:t>
      </w:r>
      <w:r w:rsidRPr="00DC2159">
        <w:fldChar w:fldCharType="begin"/>
      </w:r>
      <w:r w:rsidR="00124231">
        <w:instrText xml:space="preserve"> ADDIN ZOTERO_ITEM CSL_CITATION {"citationID":"NK4BbGdU","properties":{"formattedCitation":"[18,19]","plainCitation":"[18,19]","noteIndex":0},"citationItems":[{"id":12398,"uris":["http://zotero.org/groups/23637/items/WRLY76WZ"],"uri":["http://zotero.org/groups/23637/items/WRLY76WZ"],"itemData":{"id":12398,"type":"article-journal","abstract":"Summary\nBackground\nCancer is a major cause of death in children worldwide, and the recorded incidence tends to increase with time. Internationally comparable data on childhood cancer incidence in the past two decades are scarce. This study aimed to provide internationally comparable local data on the incidence of childhood cancer to promote research of causes and implementation of childhood cancer control.\nMethods\nThis population-based registry study, devised by the International Agency for Research on Cancer in collaboration with the International Association of Cancer Registries, collected data on all malignancies and non-malignant neoplasms of the CNS diagnosed before age 20 years in populations covered by high-quality cancer registries with complete data for 2001–10. Incidence rates per million person-years for the 0–14 years and 0–19 years age groups were age-adjusted using the world standard population to provide age-standardised incidence rates (WSRs), using the age-specific incidence rates (ASR) for individual age groups (0–4 years, 5–9 years, 10–14 years, and 15–19 years). All rates were reported for 19 geographical areas or ethnicities by sex, age group, and cancer type. The regional WSRs for children aged 0–14 years were compared with comparable data obtained in the 1980s.\nFindings\nOf 532 invited cancer registries, 153 registries from 62 countries, departments, and territories met quality standards, and contributed data for the entire decade of 2001–10. 385 509 incident cases in children aged 0–19 years occurring in 2·64 billion person-years were included. The overall WSR was 140·6 per million person-years in children aged 0–14 years (based on 284 649 cases), and the most common cancers were leukaemia (WSR 46·4), followed by CNS tumours (WSR 28·2), and lymphomas (WSR 15·2). In children aged 15–19 years (based on 100 860 cases), the ASR was 185·3 per million person-years, the most common being lymphomas (ASR 41·8) and the group of epithelial tumours and melanoma (ASR 39·5). Incidence varied considerably between and within the described regions, and by cancer type, sex, age, and racial and ethnic group. Since the 1980s, the global WSR of registered cancers in children aged 0–14 years has increased from 124·0 (95% CI 123·3–124·7) to 140·6 (140·1–141·1) per million person-years.\nInterpretation\nThis unique global source of childhood cancer incidence will be used for aetiological research and to inform public health policy, potentially contributing towards attaining several targets of the Sustainable Development Goals. The observed geographical, racial and ethnic, age, sex, and temporal variations require constant monitoring and research.\nFunding\nInternational Agency for Research on Cancer and the Union for International Cancer Control.","container-title":"The Lancet Oncology","DOI":"10.1016/S1470-2045(17)30186-9","ISSN":"1470-2045","issue":"6","journalAbbreviation":"The Lancet Oncology","page":"719-731","source":"ScienceDirect","title":"International incidence of childhood cancer, 2001–10: a population-based registry study","title-short":"International incidence of childhood cancer, 2001–10","volume":"18","author":[{"family":"Steliarova-Foucher","given":"Eva"},{"family":"Colombet","given":"Murielle"},{"family":"Ries","given":"Lynn A G"},{"family":"Moreno","given":"Florencia"},{"family":"Dolya","given":"Anastasia"},{"family":"Bray","given":"Freddie"},{"family":"Hesseling","given":"Peter"},{"family":"Shin","given":"Hee Young"},{"family":"Stiller","given":"Charles A"},{"family":"Bouzbid","given":"S"},{"family":"Hamdi-Cherif","given":"M"},{"family":"Hablas","given":"A"},{"family":"Chirpaz","given":"E"},{"family":"Buziba","given":"N"},{"family":"Chesumbai","given":"GC"},{"family":"Manraj","given":"SS"},{"family":"Reynders","given":"D"},{"family":"Wabinga","given":"HR"},{"family":"Chokunonga","given":"E"},{"family":"Moreno","given":"F"},{"family":"Lima","given":"CA"},{"family":"Asturian Laporte","given":"C"},{"family":"Oliveira","given":"JC","non-dropping-particle":"de"},{"family":"Aquino","given":"JA Pontes","non-dropping-particle":"de"},{"family":"Gallagher","given":"SM Vargas"},{"family":"Uribe","given":"CJ"},{"family":"Bravo","given":"LE"},{"family":"Yepez Chamorro","given":"MC"},{"family":"Torres Alvarado","given":"G"},{"family":"Galán Alvarez","given":"YH"},{"family":"Martinez Reyes","given":"FC"},{"family":"Castillo Calvas","given":"JC"},{"family":"Mendoza Alava","given":"M"},{"family":"Cueva Ayala","given":"P"},{"family":"Hanchard","given":"B"},{"family":"Fajardo-Gutiérrez","given":"A"},{"family":"Zavala Zegarra","given":"DE"},{"family":"Barrios","given":"E"},{"family":"Nikiforuk","given":"C"},{"family":"Woods","given":"R"},{"family":"Turner","given":"D"},{"family":"MacIntyre","given":"M"},{"family":"Corriveau","given":"A"},{"family":"Navaneelan","given":"T"},{"family":"Bertrand","given":"C"},{"family":"Stuart-Panko","given":"H"},{"family":"Wilson","given":"RJ"},{"family":"Kosary","given":"C"},{"family":"Shen","given":"X"},{"family":"Brockhouse","given":"J"},{"family":"Yee","given":"GA"},{"family":"Mitchell","given":"TC"},{"family":"Snipes","given":"K"},{"family":"West","given":"D"},{"family":"Rao","given":"C"},{"family":"Bolick","given":"S"},{"family":"Rycroft","given":"RK"},{"family":"Mueller","given":"L"},{"family":"Zheng","given":"Y"},{"family":"Dosch","given":"K"},{"family":"Brown","given":"H"},{"family":"Vargas","given":"A"},{"family":"Levin","given":"GM"},{"family":"Bayakly","given":"R"},{"family":"Johnson","given":"C"},{"family":"Shen","given":"T"},{"family":"Ruppert","given":"L"},{"family":"Lynch","given":"CF"},{"family":"Lai","given":"SM"},{"family":"Tucker","given":"TC"},{"family":"Wu","given":"XC"},{"family":"Schwenn","given":"M"},{"family":"Stern","given":"K"},{"family":"Gershman","given":"S"},{"family":"Copeland","given":"G"},{"family":"Bushhouse","given":"S"},{"family":"Rogers","given":"DB"},{"family":"Jackson Thompson","given":"J"},{"family":"Lemons","given":"D"},{"family":"Frederick","given":"S"},{"family":"Harris","given":"JA"},{"family":"Riddle","given":"B"},{"family":"Stroup","given":"A"},{"family":"Wiggins","given":"C"},{"family":"Schymura","given":"MJ"},{"family":"Giljahn","given":"LK"},{"family":"Sheikh","given":"A"},{"family":"Schubert","given":"S"},{"family":"Aldinger","given":"W"},{"family":"Fulton","given":"JP"},{"family":"Whiteside","given":"M"},{"family":"Nogueira","given":"L"},{"family":"Sweeney","given":"C"},{"family":"Johnson","given":"A"},{"family":"Martin","given":"J"},{"family":"Farley","given":"S"},{"family":"Harrelson","given":"D"},{"family":"Malicki","given":"R"},{"family":"Espinoza","given":"JR"},{"family":"Hernandez","given":"BY"},{"family":"Abulfateh","given":"N"},{"family":"Wang","given":"N"},{"family":"Ngan","given":"RKC"},{"family":"Lingegowda","given":"KB"},{"family":"Swaminathan","given":"R"},{"family":"Koyande","given":"SS"},{"family":"Silverman","given":"B"},{"family":"Ozasa","given":"K"},{"family":"Kanemura","given":"S"},{"family":"Soda","given":"M"},{"family":"Miyashiro","given":"I"},{"family":"Shibata","given":"A"},{"family":"Nimri","given":"O"},{"family":"Won","given":"YJ"},{"family":"Kim","given":"CH"},{"family":"Hong","given":"NS"},{"family":"Nam","given":"HS"},{"family":"Kweon","given":"S"},{"family":"Kim","given":"WC"},{"family":"Huh","given":"JS"},{"family":"Jung","given":"KW"},{"family":"Yoo","given":"CI"},{"family":"Elbasmy","given":"A"},{"family":"Laudico","given":"AV"},{"family":"Lumague","given":"MR"},{"family":"AlMutlag","given":"H"},{"family":"Buasom","given":"R"},{"family":"Srisukho","given":"S"},{"family":"Tanabodee","given":"J"},{"family":"Wiangnon","given":"S"},{"family":"Pongnikorn","given":"D"},{"family":"Sriplung","given":"H"},{"family":"Dirican","given":"O"},{"family":"Eser","given":"S"},{"family":"Le Hoang","given":"M"},{"family":"Hackl","given":"M"},{"family":"Zborovskaya","given":"A"},{"family":"Dimitrova","given":"N"},{"family":"Valerianova","given":"Z"},{"family":"Sekerija","given":"M"},{"family":"Pavlou","given":"P"},{"family":"Dušek","given":"M"},{"family":"Mägi","given":"M"},{"family":"Clavel","given":"J"},{"family":"Lacour","given":"B"},{"family":"Guizard","given":"AV"},{"family":"Bouvier","given":"V"},{"family":"Troussard","given":"X"},{"family":"Woronoff","given":"AS"},{"family":"Tretarre","given":"B"},{"family":"Colonna","given":"M"},{"family":"Molinié","given":"F"},{"family":"Bara","given":"S"},{"family":"Velten","given":"M"},{"family":"Marrer","given":"E"},{"family":"Ganry","given":"O"},{"family":"Grosclaude","given":"P"},{"family":"Kaatsch","given":"P"},{"family":"Zeissig","given":"SR"},{"family":"Holleczek","given":"B"},{"family":"Katalinic","given":"A"},{"family":"Jakab","given":"Z"},{"family":"Birgisson","given":"H"},{"family":"Walsh","given":"PM"},{"family":"Mangone","given":"L"},{"family":"Merletti","given":"F"},{"family":"Magoni","given":"M"},{"family":"Mangone","given":"L"},{"family":"Ferretti","given":"S"},{"family":"Serraino","given":"D"},{"family":"Spagnoli","given":"G"},{"family":"Fusco","given":"M"},{"family":"Michiara","given":"M"},{"family":"Tumino","given":"R"},{"family":"Falcini","given":"F"},{"family":"Sensi","given":"F"},{"family":"Tisano","given":"F"},{"family":"Piffer","given":"S"},{"family":"Stracci","given":"F"},{"family":"Tagliabue","given":"G"},{"family":"Smailyte","given":"G"},{"family":"Agius","given":"D"},{"family":"Visser","given":"O"},{"family":"Ursin","given":"G"},{"family":"Didkowska","given":"J"},{"family":"Trojanowski","given":"M"},{"family":"Wojciechowska","given":"U"},{"family":"Forjaz de Lacerda","given":"G"},{"family":"Silva","given":"MA"},{"family":"Laranja Pontes","given":"J"},{"family":"Costa Miranda","given":"A","non-dropping-particle":"da"},{"family":"Kaiserova","given":"E"},{"family":"Primic Žakelj","given":"M"},{"family":"Peris-Bonet","given":"R"},{"family":"Vicente Raneda","given":"ML"},{"family":"Almar Marqués","given":"E"},{"family":"Quirós Garcia","given":"JR"},{"family":"Ramos Monserrat","given":"M"},{"family":"Errezola Saizar","given":"M"},{"family":"Alemán Herrera","given":"A"},{"family":"Díaz García","given":"JM"},{"family":"Marcos-Gragera","given":"R"},{"family":"Sanchez-Perez","given":"MJ"},{"family":"Ardanaz Aicua","given":"E"},{"family":"Galceran","given":"J"},{"family":"Klint","given":"A"},{"family":"Kuehni","given":"CE"},{"family":"Bouchardy","given":"C"},{"family":"Levi","given":"F"},{"family":"Bordoni","given":"A"},{"family":"Konzelmann","given":"I"},{"family":"Rohrmann","given":"S"},{"family":"Stiller","given":"CA"},{"family":"Gavin","given":"AT"},{"family":"Brewster","given":"DH"},{"family":"Phung","given":"H"},{"family":"Rushton","given":"S"},{"family":"Guthridge","given":"S"},{"family":"Aitken","given":"J"},{"family":"D'Onise","given":"K"},{"family":"Venn","given":"A"},{"family":"Farrugian","given":"H"},{"family":"Threlfall","given":"TJ"},{"family":"Laumond","given":"S"},{"family":"Yen Kai Sun","given":"L"},{"family":"Hendrix","given":"J"},{"family":"Ballantine","given":"K"},{"family":"Colombet","given":"M"},{"family":"Dolya","given":"A"},{"family":"Masuyer","given":"E"},{"family":"Steliarova-Foucher","given":"E"}],"issued":{"date-parts":[["2017",6,1]]}}},{"id":10827,"uris":["http://zotero.org/groups/23637/items/FIWQ6E3H"],"uri":["http://zotero.org/groups/23637/items/FIWQ6E3H"],"itemData":{"id":10827,"type":"webpage","container-title":"World Population Prospects 2017","note":"Data downloaded 25 Sep 2017\n\nMedium Variant projections of popultaion in 5-year age groups for males, females and total\n\nWPP2017_PopulationByAgeSex_Medium.csv","title":"World Population Prospects 2017","URL":"https://population.un.org/wpp/Download/Standard/CSV/","author":[{"literal":"United Nations DESA / Population Division"}],"accessed":{"date-parts":[["2017",9,25]]},"issued":{"date-parts":[["2017"]]}}}],"schema":"https://github.com/citation-style-language/schema/raw/master/csl-citation.json"} </w:instrText>
      </w:r>
      <w:r w:rsidRPr="00DC2159">
        <w:fldChar w:fldCharType="separate"/>
      </w:r>
      <w:r w:rsidRPr="00DC2159">
        <w:rPr>
          <w:rFonts w:ascii="Calibri" w:hAnsi="Calibri" w:cs="Calibri"/>
        </w:rPr>
        <w:t>[18,19]</w:t>
      </w:r>
      <w:r w:rsidRPr="00DC2159">
        <w:fldChar w:fldCharType="end"/>
      </w:r>
      <w:r w:rsidRPr="00DC2159">
        <w:t xml:space="preserve">.  Apart from having a comparatively high overall </w:t>
      </w:r>
      <w:r w:rsidR="003D5E6B" w:rsidRPr="00DC2159">
        <w:t xml:space="preserve">standardised </w:t>
      </w:r>
      <w:r w:rsidRPr="00DC2159">
        <w:t>rate (159.</w:t>
      </w:r>
      <w:r w:rsidR="00EA239C" w:rsidRPr="00DC2159">
        <w:t>5</w:t>
      </w:r>
      <w:r w:rsidRPr="00DC2159">
        <w:t xml:space="preserve"> per million), which</w:t>
      </w:r>
      <w:r>
        <w:t xml:space="preserve"> could reflect numerator/denominator incompatibility, the Bamako registry</w:t>
      </w:r>
      <w:r w:rsidRPr="00F76039">
        <w:t xml:space="preserve"> </w:t>
      </w:r>
      <w:r>
        <w:t>has by far the highest level of other and unspecified cancers (28.2 per million</w:t>
      </w:r>
      <w:r w:rsidRPr="00F40CDF">
        <w:t>; 56.4 times larger than in SEER</w:t>
      </w:r>
      <w:r>
        <w:t xml:space="preserve">) of all IICC-3 datasets, and an unusual cancer distribution; a reflection of the capacity to adequately diagnose cancer in childhood.  By contrast, at the other end of the scale, Southern Africa presents the other extreme </w:t>
      </w:r>
      <w:r>
        <w:fldChar w:fldCharType="begin"/>
      </w:r>
      <w:r w:rsidR="00124231">
        <w:instrText xml:space="preserve"> ADDIN ZOTERO_ITEM CSL_CITATION {"citationID":"AD242hUQ","properties":{"formattedCitation":"[18]","plainCitation":"[18]","noteIndex":0},"citationItems":[{"id":12398,"uris":["http://zotero.org/groups/23637/items/WRLY76WZ"],"uri":["http://zotero.org/groups/23637/items/WRLY76WZ"],"itemData":{"id":12398,"type":"article-journal","abstract":"Summary\nBackground\nCancer is a major cause of death in children worldwide, and the recorded incidence tends to increase with time. Internationally comparable data on childhood cancer incidence in the past two decades are scarce. This study aimed to provide internationally comparable local data on the incidence of childhood cancer to promote research of causes and implementation of childhood cancer control.\nMethods\nThis population-based registry study, devised by the International Agency for Research on Cancer in collaboration with the International Association of Cancer Registries, collected data on all malignancies and non-malignant neoplasms of the CNS diagnosed before age 20 years in populations covered by high-quality cancer registries with complete data for 2001–10. Incidence rates per million person-years for the 0–14 years and 0–19 years age groups were age-adjusted using the world standard population to provide age-standardised incidence rates (WSRs), using the age-specific incidence rates (ASR) for individual age groups (0–4 years, 5–9 years, 10–14 years, and 15–19 years). All rates were reported for 19 geographical areas or ethnicities by sex, age group, and cancer type. The regional WSRs for children aged 0–14 years were compared with comparable data obtained in the 1980s.\nFindings\nOf 532 invited cancer registries, 153 registries from 62 countries, departments, and territories met quality standards, and contributed data for the entire decade of 2001–10. 385 509 incident cases in children aged 0–19 years occurring in 2·64 billion person-years were included. The overall WSR was 140·6 per million person-years in children aged 0–14 years (based on 284 649 cases), and the most common cancers were leukaemia (WSR 46·4), followed by CNS tumours (WSR 28·2), and lymphomas (WSR 15·2). In children aged 15–19 years (based on 100 860 cases), the ASR was 185·3 per million person-years, the most common being lymphomas (ASR 41·8) and the group of epithelial tumours and melanoma (ASR 39·5). Incidence varied considerably between and within the described regions, and by cancer type, sex, age, and racial and ethnic group. Since the 1980s, the global WSR of registered cancers in children aged 0–14 years has increased from 124·0 (95% CI 123·3–124·7) to 140·6 (140·1–141·1) per million person-years.\nInterpretation\nThis unique global source of childhood cancer incidence will be used for aetiological research and to inform public health policy, potentially contributing towards attaining several targets of the Sustainable Development Goals. The observed geographical, racial and ethnic, age, sex, and temporal variations require constant monitoring and research.\nFunding\nInternational Agency for Research on Cancer and the Union for International Cancer Control.","container-title":"The Lancet Oncology","DOI":"10.1016/S1470-2045(17)30186-9","ISSN":"1470-2045","issue":"6","journalAbbreviation":"The Lancet Oncology","page":"719-731","source":"ScienceDirect","title":"International incidence of childhood cancer, 2001–10: a population-based registry study","title-short":"International incidence of childhood cancer, 2001–10","volume":"18","author":[{"family":"Steliarova-Foucher","given":"Eva"},{"family":"Colombet","given":"Murielle"},{"family":"Ries","given":"Lynn A G"},{"family":"Moreno","given":"Florencia"},{"family":"Dolya","given":"Anastasia"},{"family":"Bray","given":"Freddie"},{"family":"Hesseling","given":"Peter"},{"family":"Shin","given":"Hee Young"},{"family":"Stiller","given":"Charles A"},{"family":"Bouzbid","given":"S"},{"family":"Hamdi-Cherif","given":"M"},{"family":"Hablas","given":"A"},{"family":"Chirpaz","given":"E"},{"family":"Buziba","given":"N"},{"family":"Chesumbai","given":"GC"},{"family":"Manraj","given":"SS"},{"family":"Reynders","given":"D"},{"family":"Wabinga","given":"HR"},{"family":"Chokunonga","given":"E"},{"family":"Moreno","given":"F"},{"family":"Lima","given":"CA"},{"family":"Asturian Laporte","given":"C"},{"family":"Oliveira","given":"JC","non-dropping-particle":"de"},{"family":"Aquino","given":"JA Pontes","non-dropping-particle":"de"},{"family":"Gallagher","given":"SM Vargas"},{"family":"Uribe","given":"CJ"},{"family":"Bravo","given":"LE"},{"family":"Yepez Chamorro","given":"MC"},{"family":"Torres Alvarado","given":"G"},{"family":"Galán Alvarez","given":"YH"},{"family":"Martinez Reyes","given":"FC"},{"family":"Castillo Calvas","given":"JC"},{"family":"Mendoza Alava","given":"M"},{"family":"Cueva Ayala","given":"P"},{"family":"Hanchard","given":"B"},{"family":"Fajardo-Gutiérrez","given":"A"},{"family":"Zavala Zegarra","given":"DE"},{"family":"Barrios","given":"E"},{"family":"Nikiforuk","given":"C"},{"family":"Woods","given":"R"},{"family":"Turner","given":"D"},{"family":"MacIntyre","given":"M"},{"family":"Corriveau","given":"A"},{"family":"Navaneelan","given":"T"},{"family":"Bertrand","given":"C"},{"family":"Stuart-Panko","given":"H"},{"family":"Wilson","given":"RJ"},{"family":"Kosary","given":"C"},{"family":"Shen","given":"X"},{"family":"Brockhouse","given":"J"},{"family":"Yee","given":"GA"},{"family":"Mitchell","given":"TC"},{"family":"Snipes","given":"K"},{"family":"West","given":"D"},{"family":"Rao","given":"C"},{"family":"Bolick","given":"S"},{"family":"Rycroft","given":"RK"},{"family":"Mueller","given":"L"},{"family":"Zheng","given":"Y"},{"family":"Dosch","given":"K"},{"family":"Brown","given":"H"},{"family":"Vargas","given":"A"},{"family":"Levin","given":"GM"},{"family":"Bayakly","given":"R"},{"family":"Johnson","given":"C"},{"family":"Shen","given":"T"},{"family":"Ruppert","given":"L"},{"family":"Lynch","given":"CF"},{"family":"Lai","given":"SM"},{"family":"Tucker","given":"TC"},{"family":"Wu","given":"XC"},{"family":"Schwenn","given":"M"},{"family":"Stern","given":"K"},{"family":"Gershman","given":"S"},{"family":"Copeland","given":"G"},{"family":"Bushhouse","given":"S"},{"family":"Rogers","given":"DB"},{"family":"Jackson Thompson","given":"J"},{"family":"Lemons","given":"D"},{"family":"Frederick","given":"S"},{"family":"Harris","given":"JA"},{"family":"Riddle","given":"B"},{"family":"Stroup","given":"A"},{"family":"Wiggins","given":"C"},{"family":"Schymura","given":"MJ"},{"family":"Giljahn","given":"LK"},{"family":"Sheikh","given":"A"},{"family":"Schubert","given":"S"},{"family":"Aldinger","given":"W"},{"family":"Fulton","given":"JP"},{"family":"Whiteside","given":"M"},{"family":"Nogueira","given":"L"},{"family":"Sweeney","given":"C"},{"family":"Johnson","given":"A"},{"family":"Martin","given":"J"},{"family":"Farley","given":"S"},{"family":"Harrelson","given":"D"},{"family":"Malicki","given":"R"},{"family":"Espinoza","given":"JR"},{"family":"Hernandez","given":"BY"},{"family":"Abulfateh","given":"N"},{"family":"Wang","given":"N"},{"family":"Ngan","given":"RKC"},{"family":"Lingegowda","given":"KB"},{"family":"Swaminathan","given":"R"},{"family":"Koyande","given":"SS"},{"family":"Silverman","given":"B"},{"family":"Ozasa","given":"K"},{"family":"Kanemura","given":"S"},{"family":"Soda","given":"M"},{"family":"Miyashiro","given":"I"},{"family":"Shibata","given":"A"},{"family":"Nimri","given":"O"},{"family":"Won","given":"YJ"},{"family":"Kim","given":"CH"},{"family":"Hong","given":"NS"},{"family":"Nam","given":"HS"},{"family":"Kweon","given":"S"},{"family":"Kim","given":"WC"},{"family":"Huh","given":"JS"},{"family":"Jung","given":"KW"},{"family":"Yoo","given":"CI"},{"family":"Elbasmy","given":"A"},{"family":"Laudico","given":"AV"},{"family":"Lumague","given":"MR"},{"family":"AlMutlag","given":"H"},{"family":"Buasom","given":"R"},{"family":"Srisukho","given":"S"},{"family":"Tanabodee","given":"J"},{"family":"Wiangnon","given":"S"},{"family":"Pongnikorn","given":"D"},{"family":"Sriplung","given":"H"},{"family":"Dirican","given":"O"},{"family":"Eser","given":"S"},{"family":"Le Hoang","given":"M"},{"family":"Hackl","given":"M"},{"family":"Zborovskaya","given":"A"},{"family":"Dimitrova","given":"N"},{"family":"Valerianova","given":"Z"},{"family":"Sekerija","given":"M"},{"family":"Pavlou","given":"P"},{"family":"Dušek","given":"M"},{"family":"Mägi","given":"M"},{"family":"Clavel","given":"J"},{"family":"Lacour","given":"B"},{"family":"Guizard","given":"AV"},{"family":"Bouvier","given":"V"},{"family":"Troussard","given":"X"},{"family":"Woronoff","given":"AS"},{"family":"Tretarre","given":"B"},{"family":"Colonna","given":"M"},{"family":"Molinié","given":"F"},{"family":"Bara","given":"S"},{"family":"Velten","given":"M"},{"family":"Marrer","given":"E"},{"family":"Ganry","given":"O"},{"family":"Grosclaude","given":"P"},{"family":"Kaatsch","given":"P"},{"family":"Zeissig","given":"SR"},{"family":"Holleczek","given":"B"},{"family":"Katalinic","given":"A"},{"family":"Jakab","given":"Z"},{"family":"Birgisson","given":"H"},{"family":"Walsh","given":"PM"},{"family":"Mangone","given":"L"},{"family":"Merletti","given":"F"},{"family":"Magoni","given":"M"},{"family":"Mangone","given":"L"},{"family":"Ferretti","given":"S"},{"family":"Serraino","given":"D"},{"family":"Spagnoli","given":"G"},{"family":"Fusco","given":"M"},{"family":"Michiara","given":"M"},{"family":"Tumino","given":"R"},{"family":"Falcini","given":"F"},{"family":"Sensi","given":"F"},{"family":"Tisano","given":"F"},{"family":"Piffer","given":"S"},{"family":"Stracci","given":"F"},{"family":"Tagliabue","given":"G"},{"family":"Smailyte","given":"G"},{"family":"Agius","given":"D"},{"family":"Visser","given":"O"},{"family":"Ursin","given":"G"},{"family":"Didkowska","given":"J"},{"family":"Trojanowski","given":"M"},{"family":"Wojciechowska","given":"U"},{"family":"Forjaz de Lacerda","given":"G"},{"family":"Silva","given":"MA"},{"family":"Laranja Pontes","given":"J"},{"family":"Costa Miranda","given":"A","non-dropping-particle":"da"},{"family":"Kaiserova","given":"E"},{"family":"Primic Žakelj","given":"M"},{"family":"Peris-Bonet","given":"R"},{"family":"Vicente Raneda","given":"ML"},{"family":"Almar Marqués","given":"E"},{"family":"Quirós Garcia","given":"JR"},{"family":"Ramos Monserrat","given":"M"},{"family":"Errezola Saizar","given":"M"},{"family":"Alemán Herrera","given":"A"},{"family":"Díaz García","given":"JM"},{"family":"Marcos-Gragera","given":"R"},{"family":"Sanchez-Perez","given":"MJ"},{"family":"Ardanaz Aicua","given":"E"},{"family":"Galceran","given":"J"},{"family":"Klint","given":"A"},{"family":"Kuehni","given":"CE"},{"family":"Bouchardy","given":"C"},{"family":"Levi","given":"F"},{"family":"Bordoni","given":"A"},{"family":"Konzelmann","given":"I"},{"family":"Rohrmann","given":"S"},{"family":"Stiller","given":"CA"},{"family":"Gavin","given":"AT"},{"family":"Brewster","given":"DH"},{"family":"Phung","given":"H"},{"family":"Rushton","given":"S"},{"family":"Guthridge","given":"S"},{"family":"Aitken","given":"J"},{"family":"D'Onise","given":"K"},{"family":"Venn","given":"A"},{"family":"Farrugian","given":"H"},{"family":"Threlfall","given":"TJ"},{"family":"Laumond","given":"S"},{"family":"Yen Kai Sun","given":"L"},{"family":"Hendrix","given":"J"},{"family":"Ballantine","given":"K"},{"family":"Colombet","given":"M"},{"family":"Dolya","given":"A"},{"family":"Masuyer","given":"E"},{"family":"Steliarova-Foucher","given":"E"}],"issued":{"date-parts":[["2017",6,1]]}}}],"schema":"https://github.com/citation-style-language/schema/raw/master/csl-citation.json"} </w:instrText>
      </w:r>
      <w:r>
        <w:fldChar w:fldCharType="separate"/>
      </w:r>
      <w:r w:rsidRPr="001426AB">
        <w:rPr>
          <w:rFonts w:ascii="Calibri" w:hAnsi="Calibri" w:cs="Calibri"/>
        </w:rPr>
        <w:t>[18]</w:t>
      </w:r>
      <w:r>
        <w:fldChar w:fldCharType="end"/>
      </w:r>
      <w:r>
        <w:t xml:space="preserve">.  With two seed registries, the average annual population of </w:t>
      </w:r>
      <w:r w:rsidRPr="0071043B">
        <w:t>14,640,692 covered</w:t>
      </w:r>
      <w:r>
        <w:t xml:space="preserve"> by the South African national paediatric registry, represents 77% of the total childhood population of the Southern Africa region.  Hence, cancer rates across the region (5 countries, 19.1 million children) are heavily weighted towards data submitted by South Africa, which has the lowest incidence of all </w:t>
      </w:r>
      <w:r>
        <w:lastRenderedPageBreak/>
        <w:t xml:space="preserve">registries accepted to IICC-3 (Figure 8).  As both South Africa and Botswana reported data from the whole country (while most other African cancer registries covered urban areas), under-ascertainment from rural areas or under-reporting from certain data sources seems a likely explanation </w:t>
      </w:r>
      <w:r>
        <w:fldChar w:fldCharType="begin"/>
      </w:r>
      <w:r w:rsidR="00124231">
        <w:instrText xml:space="preserve"> ADDIN ZOTERO_ITEM CSL_CITATION {"citationID":"hVrXh9Kt","properties":{"formattedCitation":"[51]","plainCitation":"[51]","noteIndex":0},"citationItems":[{"id":12871,"uris":["http://zotero.org/groups/23637/items/S43DQGNG"],"uri":["http://zotero.org/groups/23637/items/S43DQGNG"],"itemData":{"id":12871,"type":"article-journal","abstract":"BACKGROUND: Childhood cancer is an emerging problem in Africa. Its extent is hazy because data are scarce, but it should be addressed. This is the first report from the South African Children's Tumour Registry (SACTR), which covers the whole of South Africa (SA). It provides minimal estimates of cancer incidence and discusses the challenges of cancer surveillance and control in a child population in a middle-income country. Only about 2% of the African population is covered by cancer registries producing comparable incidence data.\nOBJECTIVE: To present and interpret incidence patterns and trends of childhood cancer over a 21-year period. The results should raise awareness of the problem of childhood cancer in an African population and provide sensible data for taking this problem in hand.\nMETHODS: All eligible and validated cancer cases registered in the SACTR over the period 1987-2007 and classified according to the International Classification of Childhood Cancer were included. Population data were retrieved from official sources and estimated for the population subcategories. Incidence rates were standardised to the world standard and time trends were evaluated using joinpoint models, adjusting for sex and age.\nRESULTS: Based on the 11,699 cases, the overall age-standardised average annual incidence rate was 45 per million. Threefold differences in the overall incidence rates were observed between the ethnic groups, ranging from 116 for whites to 37 for black Africans, and they differed by diagnostic group. Differences between the nine provinces of SA relate to the ethnic composition and prevailing socioeconomic status. The overall incidence rate declined by 1.2% per year for the whole country (p&lt;0.01). However, the decline was mainly observed during the first few years of the study period, after which rates stabilised or increased.\nCONCLUSIONS: Diagnosis and notification of childhood cancer should improve. The differences in incidence between ethnic groups suggest the priorities for cancer control.","container-title":"South African Medical Journal = Suid-Afrikaanse Tydskrif Vir Geneeskunde","DOI":"10.7196/SAMJ.2015.v105i11.9780","ISSN":"0256-9574","issue":"11","journalAbbreviation":"S. Afr. Med. J.","language":"eng","note":"PMID: 26632323","page":"939-947","source":"PubMed","title":"Childhood cancer incidence in South Africa, 1987-2007","volume":"105","author":[{"family":"Stefan","given":"D. C."},{"family":"Stones","given":"D. K."},{"family":"Wainwright","given":"R. D."},{"family":"Kruger","given":"M."},{"family":"Davidson","given":"A."},{"family":"Poole","given":"J."},{"family":"Hadley","given":"G. P."},{"family":"Forman","given":"D."},{"family":"Colombet","given":"M."},{"family":"Steliarova-Foucher","given":"E."}],"issued":{"date-parts":[["2015",11]]}}}],"schema":"https://github.com/citation-style-language/schema/raw/master/csl-citation.json"} </w:instrText>
      </w:r>
      <w:r>
        <w:fldChar w:fldCharType="separate"/>
      </w:r>
      <w:r w:rsidR="000F408C" w:rsidRPr="00DC2159">
        <w:rPr>
          <w:rFonts w:ascii="Calibri" w:hAnsi="Calibri" w:cs="Calibri"/>
        </w:rPr>
        <w:t>[51]</w:t>
      </w:r>
      <w:r>
        <w:fldChar w:fldCharType="end"/>
      </w:r>
      <w:r>
        <w:t>.</w:t>
      </w:r>
    </w:p>
    <w:p w14:paraId="370DEF31" w14:textId="77777777" w:rsidR="00DC20D3" w:rsidRDefault="00DC20D3" w:rsidP="004C0C4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118"/>
        <w:gridCol w:w="1701"/>
        <w:gridCol w:w="1134"/>
        <w:gridCol w:w="1513"/>
      </w:tblGrid>
      <w:tr w:rsidR="009468FF" w14:paraId="13F06780" w14:textId="77777777" w:rsidTr="009468FF">
        <w:tc>
          <w:tcPr>
            <w:tcW w:w="8884" w:type="dxa"/>
            <w:gridSpan w:val="5"/>
            <w:tcBorders>
              <w:bottom w:val="single" w:sz="12" w:space="0" w:color="auto"/>
            </w:tcBorders>
          </w:tcPr>
          <w:p w14:paraId="2B2DB7C9" w14:textId="762D0E0F" w:rsidR="009468FF" w:rsidRDefault="009468FF" w:rsidP="009468FF">
            <w:pPr>
              <w:jc w:val="center"/>
            </w:pPr>
            <w:r>
              <w:t>Table 4 – Summary of inputs and outputs for estimates being compared</w:t>
            </w:r>
          </w:p>
        </w:tc>
      </w:tr>
      <w:tr w:rsidR="009468FF" w14:paraId="29762316" w14:textId="77777777" w:rsidTr="00DC2159">
        <w:tc>
          <w:tcPr>
            <w:tcW w:w="1418" w:type="dxa"/>
            <w:vMerge w:val="restart"/>
            <w:tcBorders>
              <w:top w:val="single" w:sz="12" w:space="0" w:color="auto"/>
            </w:tcBorders>
          </w:tcPr>
          <w:p w14:paraId="74F6E254" w14:textId="77777777" w:rsidR="009468FF" w:rsidRDefault="009468FF" w:rsidP="001E241B">
            <w:pPr>
              <w:jc w:val="center"/>
            </w:pPr>
            <w:r>
              <w:t>Name</w:t>
            </w:r>
          </w:p>
        </w:tc>
        <w:tc>
          <w:tcPr>
            <w:tcW w:w="3118" w:type="dxa"/>
            <w:vMerge w:val="restart"/>
            <w:tcBorders>
              <w:top w:val="single" w:sz="12" w:space="0" w:color="auto"/>
            </w:tcBorders>
          </w:tcPr>
          <w:p w14:paraId="3E55A39B" w14:textId="77777777" w:rsidR="009468FF" w:rsidRDefault="009468FF" w:rsidP="001E241B">
            <w:pPr>
              <w:jc w:val="center"/>
            </w:pPr>
            <w:r>
              <w:t>Inputs</w:t>
            </w:r>
          </w:p>
        </w:tc>
        <w:tc>
          <w:tcPr>
            <w:tcW w:w="1701" w:type="dxa"/>
            <w:vMerge w:val="restart"/>
            <w:tcBorders>
              <w:top w:val="single" w:sz="12" w:space="0" w:color="auto"/>
            </w:tcBorders>
          </w:tcPr>
          <w:p w14:paraId="76724B25" w14:textId="77777777" w:rsidR="009468FF" w:rsidRDefault="009468FF" w:rsidP="001E241B">
            <w:pPr>
              <w:jc w:val="center"/>
            </w:pPr>
            <w:r>
              <w:t>Extent</w:t>
            </w:r>
          </w:p>
        </w:tc>
        <w:tc>
          <w:tcPr>
            <w:tcW w:w="2647" w:type="dxa"/>
            <w:gridSpan w:val="2"/>
            <w:tcBorders>
              <w:top w:val="single" w:sz="12" w:space="0" w:color="auto"/>
            </w:tcBorders>
          </w:tcPr>
          <w:p w14:paraId="06669BDD" w14:textId="656BA1BA" w:rsidR="009468FF" w:rsidRDefault="009468FF" w:rsidP="001E241B">
            <w:pPr>
              <w:jc w:val="center"/>
            </w:pPr>
            <w:r>
              <w:t>Total Cancers</w:t>
            </w:r>
          </w:p>
        </w:tc>
      </w:tr>
      <w:tr w:rsidR="009468FF" w14:paraId="03D2AFD2" w14:textId="77777777" w:rsidTr="00DC2159">
        <w:tc>
          <w:tcPr>
            <w:tcW w:w="1418" w:type="dxa"/>
            <w:vMerge/>
            <w:tcBorders>
              <w:bottom w:val="single" w:sz="12" w:space="0" w:color="auto"/>
            </w:tcBorders>
          </w:tcPr>
          <w:p w14:paraId="342CC681" w14:textId="77777777" w:rsidR="009468FF" w:rsidRDefault="009468FF" w:rsidP="001E241B">
            <w:pPr>
              <w:jc w:val="center"/>
            </w:pPr>
          </w:p>
        </w:tc>
        <w:tc>
          <w:tcPr>
            <w:tcW w:w="3118" w:type="dxa"/>
            <w:vMerge/>
            <w:tcBorders>
              <w:bottom w:val="single" w:sz="12" w:space="0" w:color="auto"/>
            </w:tcBorders>
          </w:tcPr>
          <w:p w14:paraId="34C80F97" w14:textId="77777777" w:rsidR="009468FF" w:rsidRDefault="009468FF" w:rsidP="001E241B">
            <w:pPr>
              <w:jc w:val="center"/>
            </w:pPr>
          </w:p>
        </w:tc>
        <w:tc>
          <w:tcPr>
            <w:tcW w:w="1701" w:type="dxa"/>
            <w:vMerge/>
            <w:tcBorders>
              <w:bottom w:val="single" w:sz="12" w:space="0" w:color="auto"/>
            </w:tcBorders>
          </w:tcPr>
          <w:p w14:paraId="7A0AEDB1" w14:textId="77777777" w:rsidR="009468FF" w:rsidRDefault="009468FF" w:rsidP="001E241B">
            <w:pPr>
              <w:jc w:val="center"/>
            </w:pPr>
          </w:p>
        </w:tc>
        <w:tc>
          <w:tcPr>
            <w:tcW w:w="1134" w:type="dxa"/>
            <w:tcBorders>
              <w:bottom w:val="single" w:sz="12" w:space="0" w:color="auto"/>
            </w:tcBorders>
          </w:tcPr>
          <w:p w14:paraId="104D9757" w14:textId="77777777" w:rsidR="009468FF" w:rsidRDefault="009468FF" w:rsidP="001E241B">
            <w:pPr>
              <w:jc w:val="center"/>
            </w:pPr>
            <w:r>
              <w:t>N</w:t>
            </w:r>
          </w:p>
        </w:tc>
        <w:tc>
          <w:tcPr>
            <w:tcW w:w="1513" w:type="dxa"/>
            <w:tcBorders>
              <w:bottom w:val="single" w:sz="12" w:space="0" w:color="auto"/>
            </w:tcBorders>
          </w:tcPr>
          <w:p w14:paraId="716AA879" w14:textId="788F7AC4" w:rsidR="001E241B" w:rsidRDefault="002522C8" w:rsidP="001E241B">
            <w:pPr>
              <w:jc w:val="center"/>
            </w:pPr>
            <w:r>
              <w:t xml:space="preserve">Crude </w:t>
            </w:r>
            <w:r w:rsidR="009468FF">
              <w:t xml:space="preserve">Rate </w:t>
            </w:r>
          </w:p>
          <w:p w14:paraId="0BB397C9" w14:textId="5A5C2D74" w:rsidR="009468FF" w:rsidRDefault="009468FF" w:rsidP="001E241B">
            <w:pPr>
              <w:jc w:val="center"/>
            </w:pPr>
            <w:r>
              <w:t xml:space="preserve">(per </w:t>
            </w:r>
            <w:proofErr w:type="gramStart"/>
            <w:r>
              <w:t>million)</w:t>
            </w:r>
            <w:r w:rsidR="008B084A">
              <w:rPr>
                <w:rFonts w:cstheme="minorHAnsi"/>
              </w:rPr>
              <w:t>†</w:t>
            </w:r>
            <w:proofErr w:type="gramEnd"/>
          </w:p>
        </w:tc>
      </w:tr>
      <w:tr w:rsidR="00F41BFC" w14:paraId="76DB6E6F" w14:textId="77777777" w:rsidTr="00DC2159">
        <w:tc>
          <w:tcPr>
            <w:tcW w:w="1418" w:type="dxa"/>
            <w:tcBorders>
              <w:top w:val="single" w:sz="12" w:space="0" w:color="auto"/>
            </w:tcBorders>
          </w:tcPr>
          <w:p w14:paraId="44AFCECD" w14:textId="77777777" w:rsidR="00F41BFC" w:rsidRDefault="00F41BFC" w:rsidP="001E241B">
            <w:pPr>
              <w:jc w:val="center"/>
            </w:pPr>
            <w:r>
              <w:t>BM</w:t>
            </w:r>
          </w:p>
        </w:tc>
        <w:tc>
          <w:tcPr>
            <w:tcW w:w="3118" w:type="dxa"/>
            <w:tcBorders>
              <w:top w:val="single" w:sz="12" w:space="0" w:color="auto"/>
            </w:tcBorders>
          </w:tcPr>
          <w:p w14:paraId="3D0B5E66" w14:textId="77777777" w:rsidR="001E241B" w:rsidRDefault="00F41BFC" w:rsidP="00593DFC">
            <w:r>
              <w:t>SEER 2014 rates</w:t>
            </w:r>
          </w:p>
          <w:p w14:paraId="6FFF017E" w14:textId="14FA340C" w:rsidR="009468FF" w:rsidRDefault="001E241B" w:rsidP="00593DFC">
            <w:r>
              <w:t>M</w:t>
            </w:r>
            <w:r w:rsidR="00F41BFC">
              <w:t xml:space="preserve">odelled </w:t>
            </w:r>
            <w:r w:rsidR="00F41BFC">
              <w:rPr>
                <w:i/>
              </w:rPr>
              <w:t>P. falciparum</w:t>
            </w:r>
            <w:r w:rsidR="00F41BFC">
              <w:t xml:space="preserve"> incidence </w:t>
            </w:r>
          </w:p>
          <w:p w14:paraId="279D5B33" w14:textId="16AE318D" w:rsidR="00F41BFC" w:rsidRPr="000855A3" w:rsidRDefault="001E241B" w:rsidP="00593DFC">
            <w:r>
              <w:t>S</w:t>
            </w:r>
            <w:r w:rsidR="00F41BFC">
              <w:t>pecific IICC-3 registry data</w:t>
            </w:r>
          </w:p>
        </w:tc>
        <w:tc>
          <w:tcPr>
            <w:tcW w:w="1701" w:type="dxa"/>
            <w:tcBorders>
              <w:top w:val="single" w:sz="12" w:space="0" w:color="auto"/>
            </w:tcBorders>
          </w:tcPr>
          <w:p w14:paraId="5AC08D5D" w14:textId="54C91C2D" w:rsidR="00F41BFC" w:rsidRDefault="00F41BFC" w:rsidP="001E241B">
            <w:pPr>
              <w:jc w:val="center"/>
            </w:pPr>
            <w:r>
              <w:t>Worldwide</w:t>
            </w:r>
            <w:r w:rsidR="002522C8">
              <w:t>, 2015</w:t>
            </w:r>
          </w:p>
        </w:tc>
        <w:tc>
          <w:tcPr>
            <w:tcW w:w="1134" w:type="dxa"/>
            <w:tcBorders>
              <w:top w:val="single" w:sz="12" w:space="0" w:color="auto"/>
            </w:tcBorders>
          </w:tcPr>
          <w:p w14:paraId="27FC20D2" w14:textId="77777777" w:rsidR="00F41BFC" w:rsidRDefault="00F41BFC" w:rsidP="001E241B">
            <w:pPr>
              <w:jc w:val="center"/>
            </w:pPr>
            <w:r>
              <w:t>360,114</w:t>
            </w:r>
          </w:p>
        </w:tc>
        <w:tc>
          <w:tcPr>
            <w:tcW w:w="1513" w:type="dxa"/>
            <w:tcBorders>
              <w:top w:val="single" w:sz="12" w:space="0" w:color="auto"/>
            </w:tcBorders>
          </w:tcPr>
          <w:p w14:paraId="0E83F1AF" w14:textId="77777777" w:rsidR="00F41BFC" w:rsidRDefault="00F41BFC" w:rsidP="001E241B">
            <w:pPr>
              <w:jc w:val="center"/>
            </w:pPr>
            <w:r>
              <w:t>186.6</w:t>
            </w:r>
          </w:p>
        </w:tc>
      </w:tr>
      <w:tr w:rsidR="00F41BFC" w14:paraId="603E02F1" w14:textId="77777777" w:rsidTr="00DC2159">
        <w:tc>
          <w:tcPr>
            <w:tcW w:w="1418" w:type="dxa"/>
            <w:shd w:val="clear" w:color="auto" w:fill="D9D9D9" w:themeFill="background1" w:themeFillShade="D9"/>
          </w:tcPr>
          <w:p w14:paraId="5B288A70" w14:textId="77777777" w:rsidR="00F41BFC" w:rsidRDefault="00F41BFC" w:rsidP="001E241B">
            <w:pPr>
              <w:jc w:val="center"/>
            </w:pPr>
            <w:r>
              <w:t>GCC</w:t>
            </w:r>
          </w:p>
        </w:tc>
        <w:tc>
          <w:tcPr>
            <w:tcW w:w="3118" w:type="dxa"/>
            <w:shd w:val="clear" w:color="auto" w:fill="D9D9D9" w:themeFill="background1" w:themeFillShade="D9"/>
          </w:tcPr>
          <w:p w14:paraId="09F76730" w14:textId="77777777" w:rsidR="009468FF" w:rsidRDefault="00F41BFC" w:rsidP="00593DFC">
            <w:r>
              <w:t>IICC-3 registry data</w:t>
            </w:r>
          </w:p>
          <w:p w14:paraId="1D6DF9D4" w14:textId="741A5EDA" w:rsidR="009468FF" w:rsidRDefault="001E241B" w:rsidP="00593DFC">
            <w:r>
              <w:t>H</w:t>
            </w:r>
            <w:r w:rsidR="00F41BFC">
              <w:t>ealth system surveys</w:t>
            </w:r>
          </w:p>
          <w:p w14:paraId="3D53DD1A" w14:textId="1F160266" w:rsidR="00F41BFC" w:rsidRDefault="00F41BFC" w:rsidP="00593DFC">
            <w:r>
              <w:t>WHO indicators</w:t>
            </w:r>
          </w:p>
        </w:tc>
        <w:tc>
          <w:tcPr>
            <w:tcW w:w="1701" w:type="dxa"/>
            <w:shd w:val="clear" w:color="auto" w:fill="D9D9D9" w:themeFill="background1" w:themeFillShade="D9"/>
          </w:tcPr>
          <w:p w14:paraId="4F898B37" w14:textId="77777777" w:rsidR="00F41BFC" w:rsidRDefault="00F41BFC" w:rsidP="001E241B">
            <w:pPr>
              <w:jc w:val="center"/>
            </w:pPr>
            <w:r>
              <w:t>Worldwide</w:t>
            </w:r>
            <w:r w:rsidR="002522C8">
              <w:t>,</w:t>
            </w:r>
          </w:p>
          <w:p w14:paraId="5556164C" w14:textId="2EFAB002" w:rsidR="002522C8" w:rsidRDefault="002522C8" w:rsidP="001E241B">
            <w:pPr>
              <w:jc w:val="center"/>
            </w:pPr>
            <w:r>
              <w:t>2015</w:t>
            </w:r>
          </w:p>
        </w:tc>
        <w:tc>
          <w:tcPr>
            <w:tcW w:w="1134" w:type="dxa"/>
            <w:shd w:val="clear" w:color="auto" w:fill="D9D9D9" w:themeFill="background1" w:themeFillShade="D9"/>
          </w:tcPr>
          <w:p w14:paraId="62A23201" w14:textId="77777777" w:rsidR="00F41BFC" w:rsidRDefault="00F41BFC" w:rsidP="001E241B">
            <w:pPr>
              <w:jc w:val="center"/>
            </w:pPr>
            <w:r>
              <w:t>396,670</w:t>
            </w:r>
          </w:p>
        </w:tc>
        <w:tc>
          <w:tcPr>
            <w:tcW w:w="1513" w:type="dxa"/>
            <w:shd w:val="clear" w:color="auto" w:fill="D9D9D9" w:themeFill="background1" w:themeFillShade="D9"/>
          </w:tcPr>
          <w:p w14:paraId="03654CC0" w14:textId="77777777" w:rsidR="00F41BFC" w:rsidRDefault="00F41BFC" w:rsidP="001E241B">
            <w:pPr>
              <w:jc w:val="center"/>
            </w:pPr>
            <w:r>
              <w:t>207.7</w:t>
            </w:r>
          </w:p>
        </w:tc>
      </w:tr>
      <w:tr w:rsidR="00F41BFC" w14:paraId="727D1538" w14:textId="77777777" w:rsidTr="00DC2159">
        <w:tc>
          <w:tcPr>
            <w:tcW w:w="1418" w:type="dxa"/>
          </w:tcPr>
          <w:p w14:paraId="4603C34C" w14:textId="77777777" w:rsidR="00F41BFC" w:rsidRDefault="00F41BFC" w:rsidP="001E241B">
            <w:pPr>
              <w:jc w:val="center"/>
            </w:pPr>
            <w:r>
              <w:t>IICC-3</w:t>
            </w:r>
          </w:p>
        </w:tc>
        <w:tc>
          <w:tcPr>
            <w:tcW w:w="3118" w:type="dxa"/>
          </w:tcPr>
          <w:p w14:paraId="19681C18" w14:textId="586587AD" w:rsidR="00F41BFC" w:rsidRDefault="00F41BFC" w:rsidP="00593DFC">
            <w:r>
              <w:t>Cancer registr</w:t>
            </w:r>
            <w:r w:rsidR="001E241B">
              <w:t>y data</w:t>
            </w:r>
            <w:r w:rsidR="006461BE">
              <w:t>, extrapolated to the represented countries</w:t>
            </w:r>
          </w:p>
        </w:tc>
        <w:tc>
          <w:tcPr>
            <w:tcW w:w="1701" w:type="dxa"/>
          </w:tcPr>
          <w:p w14:paraId="4A0A8442" w14:textId="5F991B94" w:rsidR="00F41BFC" w:rsidRDefault="00F41BFC" w:rsidP="001E241B">
            <w:pPr>
              <w:jc w:val="center"/>
            </w:pPr>
            <w:r>
              <w:t>81 represented countries</w:t>
            </w:r>
            <w:r w:rsidR="002522C8">
              <w:t>, 2015</w:t>
            </w:r>
          </w:p>
        </w:tc>
        <w:tc>
          <w:tcPr>
            <w:tcW w:w="1134" w:type="dxa"/>
          </w:tcPr>
          <w:p w14:paraId="1080B305" w14:textId="77777777" w:rsidR="00F41BFC" w:rsidRDefault="00F41BFC" w:rsidP="001E241B">
            <w:pPr>
              <w:jc w:val="center"/>
            </w:pPr>
            <w:r>
              <w:t>151,435</w:t>
            </w:r>
          </w:p>
        </w:tc>
        <w:tc>
          <w:tcPr>
            <w:tcW w:w="1513" w:type="dxa"/>
          </w:tcPr>
          <w:p w14:paraId="34606E88" w14:textId="77777777" w:rsidR="00F41BFC" w:rsidRDefault="00F41BFC" w:rsidP="001E241B">
            <w:pPr>
              <w:jc w:val="center"/>
            </w:pPr>
            <w:r>
              <w:t>118.3</w:t>
            </w:r>
          </w:p>
        </w:tc>
      </w:tr>
      <w:tr w:rsidR="00F41BFC" w14:paraId="0B7A4DA2" w14:textId="77777777" w:rsidTr="00DC2159">
        <w:tc>
          <w:tcPr>
            <w:tcW w:w="1418" w:type="dxa"/>
            <w:tcBorders>
              <w:bottom w:val="single" w:sz="12" w:space="0" w:color="auto"/>
            </w:tcBorders>
            <w:shd w:val="clear" w:color="auto" w:fill="D9D9D9" w:themeFill="background1" w:themeFillShade="D9"/>
          </w:tcPr>
          <w:p w14:paraId="43A3FFED" w14:textId="77777777" w:rsidR="00F41BFC" w:rsidRDefault="00F41BFC" w:rsidP="001E241B">
            <w:pPr>
              <w:jc w:val="center"/>
            </w:pPr>
            <w:r>
              <w:t>GLOBOCAN</w:t>
            </w:r>
          </w:p>
        </w:tc>
        <w:tc>
          <w:tcPr>
            <w:tcW w:w="3118" w:type="dxa"/>
            <w:tcBorders>
              <w:bottom w:val="single" w:sz="12" w:space="0" w:color="auto"/>
            </w:tcBorders>
            <w:shd w:val="clear" w:color="auto" w:fill="D9D9D9" w:themeFill="background1" w:themeFillShade="D9"/>
          </w:tcPr>
          <w:p w14:paraId="059E073C" w14:textId="262714D5" w:rsidR="00F41BFC" w:rsidRDefault="00F41BFC" w:rsidP="00593DFC">
            <w:r>
              <w:t>Cancer registr</w:t>
            </w:r>
            <w:r w:rsidR="001E241B">
              <w:t>y data</w:t>
            </w:r>
            <w:r>
              <w:t xml:space="preserve"> and/or national vital statistics</w:t>
            </w:r>
          </w:p>
        </w:tc>
        <w:tc>
          <w:tcPr>
            <w:tcW w:w="1701" w:type="dxa"/>
            <w:tcBorders>
              <w:bottom w:val="single" w:sz="12" w:space="0" w:color="auto"/>
            </w:tcBorders>
            <w:shd w:val="clear" w:color="auto" w:fill="D9D9D9" w:themeFill="background1" w:themeFillShade="D9"/>
          </w:tcPr>
          <w:p w14:paraId="1A883E00" w14:textId="4D0B871F" w:rsidR="00F41BFC" w:rsidRDefault="00F41BFC" w:rsidP="001E241B">
            <w:pPr>
              <w:jc w:val="center"/>
            </w:pPr>
            <w:r>
              <w:t>Worldwide</w:t>
            </w:r>
            <w:r w:rsidR="002522C8">
              <w:t>, 2018</w:t>
            </w:r>
          </w:p>
        </w:tc>
        <w:tc>
          <w:tcPr>
            <w:tcW w:w="1134" w:type="dxa"/>
            <w:tcBorders>
              <w:bottom w:val="single" w:sz="12" w:space="0" w:color="auto"/>
            </w:tcBorders>
            <w:shd w:val="clear" w:color="auto" w:fill="D9D9D9" w:themeFill="background1" w:themeFillShade="D9"/>
          </w:tcPr>
          <w:p w14:paraId="77BF3820" w14:textId="77777777" w:rsidR="00F41BFC" w:rsidRDefault="00F41BFC" w:rsidP="001E241B">
            <w:pPr>
              <w:jc w:val="center"/>
            </w:pPr>
            <w:r>
              <w:t>199,645</w:t>
            </w:r>
          </w:p>
        </w:tc>
        <w:tc>
          <w:tcPr>
            <w:tcW w:w="1513" w:type="dxa"/>
            <w:tcBorders>
              <w:bottom w:val="single" w:sz="12" w:space="0" w:color="auto"/>
            </w:tcBorders>
            <w:shd w:val="clear" w:color="auto" w:fill="D9D9D9" w:themeFill="background1" w:themeFillShade="D9"/>
          </w:tcPr>
          <w:p w14:paraId="7DD91151" w14:textId="77777777" w:rsidR="00F41BFC" w:rsidRDefault="00F41BFC" w:rsidP="001E241B">
            <w:pPr>
              <w:jc w:val="center"/>
            </w:pPr>
            <w:r>
              <w:t>103.4</w:t>
            </w:r>
          </w:p>
        </w:tc>
      </w:tr>
      <w:tr w:rsidR="008B084A" w14:paraId="30844A74" w14:textId="77777777" w:rsidTr="00A87972">
        <w:tc>
          <w:tcPr>
            <w:tcW w:w="8884" w:type="dxa"/>
            <w:gridSpan w:val="5"/>
            <w:tcBorders>
              <w:top w:val="single" w:sz="12" w:space="0" w:color="auto"/>
            </w:tcBorders>
            <w:shd w:val="clear" w:color="auto" w:fill="D9D9D9" w:themeFill="background1" w:themeFillShade="D9"/>
          </w:tcPr>
          <w:p w14:paraId="39C75E95" w14:textId="21FF9DAD" w:rsidR="008B084A" w:rsidRDefault="008B084A" w:rsidP="001E241B">
            <w:pPr>
              <w:jc w:val="center"/>
            </w:pPr>
            <w:r>
              <w:rPr>
                <w:rFonts w:cstheme="minorHAnsi"/>
              </w:rPr>
              <w:t>†</w:t>
            </w:r>
            <w:r>
              <w:t xml:space="preserve"> Appropriate data to allow </w:t>
            </w:r>
            <w:r w:rsidR="00D51655">
              <w:t xml:space="preserve">age </w:t>
            </w:r>
            <w:r>
              <w:t xml:space="preserve">standardisation </w:t>
            </w:r>
            <w:r w:rsidR="00D51655">
              <w:t xml:space="preserve">to the WHO 2000-2025 standard </w:t>
            </w:r>
            <w:r>
              <w:t>were not available for the GLOBOCAN or GCC model estimates.</w:t>
            </w:r>
          </w:p>
        </w:tc>
      </w:tr>
    </w:tbl>
    <w:p w14:paraId="6150CDC7" w14:textId="73F34220" w:rsidR="00F41BFC" w:rsidRDefault="00F41BFC"/>
    <w:p w14:paraId="37F50E94" w14:textId="6BFD3E84" w:rsidR="00253622" w:rsidRDefault="0067450E">
      <w:pPr>
        <w:rPr>
          <w:i/>
        </w:rPr>
      </w:pPr>
      <w:r>
        <w:t>A major</w:t>
      </w:r>
      <w:r w:rsidR="00031D27">
        <w:t xml:space="preserve"> advantage of the </w:t>
      </w:r>
      <w:r w:rsidR="00394E28">
        <w:t>B</w:t>
      </w:r>
      <w:r w:rsidR="00C478E5">
        <w:t xml:space="preserve">aseline </w:t>
      </w:r>
      <w:r w:rsidR="00394E28">
        <w:t>M</w:t>
      </w:r>
      <w:r w:rsidR="00C478E5">
        <w:t>odel</w:t>
      </w:r>
      <w:r w:rsidR="00394E28">
        <w:t xml:space="preserve"> </w:t>
      </w:r>
      <w:r w:rsidR="002551AF">
        <w:t xml:space="preserve">relates to </w:t>
      </w:r>
      <w:r w:rsidR="00031D27">
        <w:t xml:space="preserve">its </w:t>
      </w:r>
      <w:r w:rsidR="00824EE9">
        <w:t>adaptab</w:t>
      </w:r>
      <w:r w:rsidR="00031D27">
        <w:t>ility</w:t>
      </w:r>
      <w:r w:rsidR="002551AF">
        <w:t xml:space="preserve"> and comparatively simple structure; the</w:t>
      </w:r>
      <w:r w:rsidR="00394E28">
        <w:t xml:space="preserve"> key co</w:t>
      </w:r>
      <w:r w:rsidR="00370A59">
        <w:t xml:space="preserve">mponents </w:t>
      </w:r>
      <w:r w:rsidR="002551AF">
        <w:t>being</w:t>
      </w:r>
      <w:r w:rsidR="00031D27">
        <w:t xml:space="preserve"> </w:t>
      </w:r>
      <w:r w:rsidR="00394E28">
        <w:t>a</w:t>
      </w:r>
      <w:r w:rsidR="004F33E7">
        <w:t>n initial</w:t>
      </w:r>
      <w:r w:rsidR="00394E28">
        <w:t xml:space="preserve"> set of </w:t>
      </w:r>
      <w:r w:rsidR="002551AF">
        <w:t>sex-</w:t>
      </w:r>
      <w:r w:rsidR="00ED2F2F">
        <w:t>, and</w:t>
      </w:r>
      <w:r w:rsidR="002551AF">
        <w:t xml:space="preserve"> </w:t>
      </w:r>
      <w:r w:rsidR="00394E28">
        <w:t>age-specific cancer rates</w:t>
      </w:r>
      <w:r w:rsidR="005B1391">
        <w:t xml:space="preserve"> and </w:t>
      </w:r>
      <w:r w:rsidR="002551AF">
        <w:t xml:space="preserve">some </w:t>
      </w:r>
      <w:r w:rsidR="00394E28">
        <w:t>information on known risk factors for specific cancers</w:t>
      </w:r>
      <w:r w:rsidR="00C478E5">
        <w:t xml:space="preserve">.  </w:t>
      </w:r>
      <w:r w:rsidR="00115C34">
        <w:t xml:space="preserve">Both elements can be changed: a different </w:t>
      </w:r>
      <w:r w:rsidR="00EF79B7">
        <w:t xml:space="preserve">set </w:t>
      </w:r>
      <w:r w:rsidR="00115C34">
        <w:t>of</w:t>
      </w:r>
      <w:r>
        <w:t xml:space="preserve"> base</w:t>
      </w:r>
      <w:r w:rsidR="00115C34">
        <w:t xml:space="preserve"> rates could be selected or constructed</w:t>
      </w:r>
      <w:r>
        <w:t>,</w:t>
      </w:r>
      <w:r w:rsidR="00115C34">
        <w:t xml:space="preserve"> and further </w:t>
      </w:r>
      <w:r w:rsidR="00370A59">
        <w:t xml:space="preserve">geographically varying </w:t>
      </w:r>
      <w:r w:rsidR="00115C34">
        <w:t xml:space="preserve">risk factors </w:t>
      </w:r>
      <w:r w:rsidR="00370A59">
        <w:t xml:space="preserve">could be added, as and when they emerge.  For example, </w:t>
      </w:r>
      <w:r w:rsidR="00EF79B7">
        <w:t>like BL and KS, r</w:t>
      </w:r>
      <w:r w:rsidR="00EF79B7" w:rsidRPr="002840BC">
        <w:t>etinoblastoma</w:t>
      </w:r>
      <w:r w:rsidR="00EF79B7">
        <w:t xml:space="preserve"> has relatively high reported levels in less economically developed regions of the world </w:t>
      </w:r>
      <w:r w:rsidR="00EF79B7">
        <w:fldChar w:fldCharType="begin"/>
      </w:r>
      <w:r w:rsidR="00124231">
        <w:instrText xml:space="preserve"> ADDIN ZOTERO_ITEM CSL_CITATION {"citationID":"BhnRFUek","properties":{"formattedCitation":"[18]","plainCitation":"[18]","noteIndex":0},"citationItems":[{"id":12398,"uris":["http://zotero.org/groups/23637/items/WRLY76WZ"],"uri":["http://zotero.org/groups/23637/items/WRLY76WZ"],"itemData":{"id":12398,"type":"article-journal","abstract":"Summary\nBackground\nCancer is a major cause of death in children worldwide, and the recorded incidence tends to increase with time. Internationally comparable data on childhood cancer incidence in the past two decades are scarce. This study aimed to provide internationally comparable local data on the incidence of childhood cancer to promote research of causes and implementation of childhood cancer control.\nMethods\nThis population-based registry study, devised by the International Agency for Research on Cancer in collaboration with the International Association of Cancer Registries, collected data on all malignancies and non-malignant neoplasms of the CNS diagnosed before age 20 years in populations covered by high-quality cancer registries with complete data for 2001–10. Incidence rates per million person-years for the 0–14 years and 0–19 years age groups were age-adjusted using the world standard population to provide age-standardised incidence rates (WSRs), using the age-specific incidence rates (ASR) for individual age groups (0–4 years, 5–9 years, 10–14 years, and 15–19 years). All rates were reported for 19 geographical areas or ethnicities by sex, age group, and cancer type. The regional WSRs for children aged 0–14 years were compared with comparable data obtained in the 1980s.\nFindings\nOf 532 invited cancer registries, 153 registries from 62 countries, departments, and territories met quality standards, and contributed data for the entire decade of 2001–10. 385 509 incident cases in children aged 0–19 years occurring in 2·64 billion person-years were included. The overall WSR was 140·6 per million person-years in children aged 0–14 years (based on 284 649 cases), and the most common cancers were leukaemia (WSR 46·4), followed by CNS tumours (WSR 28·2), and lymphomas (WSR 15·2). In children aged 15–19 years (based on 100 860 cases), the ASR was 185·3 per million person-years, the most common being lymphomas (ASR 41·8) and the group of epithelial tumours and melanoma (ASR 39·5). Incidence varied considerably between and within the described regions, and by cancer type, sex, age, and racial and ethnic group. Since the 1980s, the global WSR of registered cancers in children aged 0–14 years has increased from 124·0 (95% CI 123·3–124·7) to 140·6 (140·1–141·1) per million person-years.\nInterpretation\nThis unique global source of childhood cancer incidence will be used for aetiological research and to inform public health policy, potentially contributing towards attaining several targets of the Sustainable Development Goals. The observed geographical, racial and ethnic, age, sex, and temporal variations require constant monitoring and research.\nFunding\nInternational Agency for Research on Cancer and the Union for International Cancer Control.","container-title":"The Lancet Oncology","DOI":"10.1016/S1470-2045(17)30186-9","ISSN":"1470-2045","issue":"6","journalAbbreviation":"The Lancet Oncology","page":"719-731","source":"ScienceDirect","title":"International incidence of childhood cancer, 2001–10: a population-based registry study","title-short":"International incidence of childhood cancer, 2001–10","volume":"18","author":[{"family":"Steliarova-Foucher","given":"Eva"},{"family":"Colombet","given":"Murielle"},{"family":"Ries","given":"Lynn A G"},{"family":"Moreno","given":"Florencia"},{"family":"Dolya","given":"Anastasia"},{"family":"Bray","given":"Freddie"},{"family":"Hesseling","given":"Peter"},{"family":"Shin","given":"Hee Young"},{"family":"Stiller","given":"Charles A"},{"family":"Bouzbid","given":"S"},{"family":"Hamdi-Cherif","given":"M"},{"family":"Hablas","given":"A"},{"family":"Chirpaz","given":"E"},{"family":"Buziba","given":"N"},{"family":"Chesumbai","given":"GC"},{"family":"Manraj","given":"SS"},{"family":"Reynders","given":"D"},{"family":"Wabinga","given":"HR"},{"family":"Chokunonga","given":"E"},{"family":"Moreno","given":"F"},{"family":"Lima","given":"CA"},{"family":"Asturian Laporte","given":"C"},{"family":"Oliveira","given":"JC","non-dropping-particle":"de"},{"family":"Aquino","given":"JA Pontes","non-dropping-particle":"de"},{"family":"Gallagher","given":"SM Vargas"},{"family":"Uribe","given":"CJ"},{"family":"Bravo","given":"LE"},{"family":"Yepez Chamorro","given":"MC"},{"family":"Torres Alvarado","given":"G"},{"family":"Galán Alvarez","given":"YH"},{"family":"Martinez Reyes","given":"FC"},{"family":"Castillo Calvas","given":"JC"},{"family":"Mendoza Alava","given":"M"},{"family":"Cueva Ayala","given":"P"},{"family":"Hanchard","given":"B"},{"family":"Fajardo-Gutiérrez","given":"A"},{"family":"Zavala Zegarra","given":"DE"},{"family":"Barrios","given":"E"},{"family":"Nikiforuk","given":"C"},{"family":"Woods","given":"R"},{"family":"Turner","given":"D"},{"family":"MacIntyre","given":"M"},{"family":"Corriveau","given":"A"},{"family":"Navaneelan","given":"T"},{"family":"Bertrand","given":"C"},{"family":"Stuart-Panko","given":"H"},{"family":"Wilson","given":"RJ"},{"family":"Kosary","given":"C"},{"family":"Shen","given":"X"},{"family":"Brockhouse","given":"J"},{"family":"Yee","given":"GA"},{"family":"Mitchell","given":"TC"},{"family":"Snipes","given":"K"},{"family":"West","given":"D"},{"family":"Rao","given":"C"},{"family":"Bolick","given":"S"},{"family":"Rycroft","given":"RK"},{"family":"Mueller","given":"L"},{"family":"Zheng","given":"Y"},{"family":"Dosch","given":"K"},{"family":"Brown","given":"H"},{"family":"Vargas","given":"A"},{"family":"Levin","given":"GM"},{"family":"Bayakly","given":"R"},{"family":"Johnson","given":"C"},{"family":"Shen","given":"T"},{"family":"Ruppert","given":"L"},{"family":"Lynch","given":"CF"},{"family":"Lai","given":"SM"},{"family":"Tucker","given":"TC"},{"family":"Wu","given":"XC"},{"family":"Schwenn","given":"M"},{"family":"Stern","given":"K"},{"family":"Gershman","given":"S"},{"family":"Copeland","given":"G"},{"family":"Bushhouse","given":"S"},{"family":"Rogers","given":"DB"},{"family":"Jackson Thompson","given":"J"},{"family":"Lemons","given":"D"},{"family":"Frederick","given":"S"},{"family":"Harris","given":"JA"},{"family":"Riddle","given":"B"},{"family":"Stroup","given":"A"},{"family":"Wiggins","given":"C"},{"family":"Schymura","given":"MJ"},{"family":"Giljahn","given":"LK"},{"family":"Sheikh","given":"A"},{"family":"Schubert","given":"S"},{"family":"Aldinger","given":"W"},{"family":"Fulton","given":"JP"},{"family":"Whiteside","given":"M"},{"family":"Nogueira","given":"L"},{"family":"Sweeney","given":"C"},{"family":"Johnson","given":"A"},{"family":"Martin","given":"J"},{"family":"Farley","given":"S"},{"family":"Harrelson","given":"D"},{"family":"Malicki","given":"R"},{"family":"Espinoza","given":"JR"},{"family":"Hernandez","given":"BY"},{"family":"Abulfateh","given":"N"},{"family":"Wang","given":"N"},{"family":"Ngan","given":"RKC"},{"family":"Lingegowda","given":"KB"},{"family":"Swaminathan","given":"R"},{"family":"Koyande","given":"SS"},{"family":"Silverman","given":"B"},{"family":"Ozasa","given":"K"},{"family":"Kanemura","given":"S"},{"family":"Soda","given":"M"},{"family":"Miyashiro","given":"I"},{"family":"Shibata","given":"A"},{"family":"Nimri","given":"O"},{"family":"Won","given":"YJ"},{"family":"Kim","given":"CH"},{"family":"Hong","given":"NS"},{"family":"Nam","given":"HS"},{"family":"Kweon","given":"S"},{"family":"Kim","given":"WC"},{"family":"Huh","given":"JS"},{"family":"Jung","given":"KW"},{"family":"Yoo","given":"CI"},{"family":"Elbasmy","given":"A"},{"family":"Laudico","given":"AV"},{"family":"Lumague","given":"MR"},{"family":"AlMutlag","given":"H"},{"family":"Buasom","given":"R"},{"family":"Srisukho","given":"S"},{"family":"Tanabodee","given":"J"},{"family":"Wiangnon","given":"S"},{"family":"Pongnikorn","given":"D"},{"family":"Sriplung","given":"H"},{"family":"Dirican","given":"O"},{"family":"Eser","given":"S"},{"family":"Le Hoang","given":"M"},{"family":"Hackl","given":"M"},{"family":"Zborovskaya","given":"A"},{"family":"Dimitrova","given":"N"},{"family":"Valerianova","given":"Z"},{"family":"Sekerija","given":"M"},{"family":"Pavlou","given":"P"},{"family":"Dušek","given":"M"},{"family":"Mägi","given":"M"},{"family":"Clavel","given":"J"},{"family":"Lacour","given":"B"},{"family":"Guizard","given":"AV"},{"family":"Bouvier","given":"V"},{"family":"Troussard","given":"X"},{"family":"Woronoff","given":"AS"},{"family":"Tretarre","given":"B"},{"family":"Colonna","given":"M"},{"family":"Molinié","given":"F"},{"family":"Bara","given":"S"},{"family":"Velten","given":"M"},{"family":"Marrer","given":"E"},{"family":"Ganry","given":"O"},{"family":"Grosclaude","given":"P"},{"family":"Kaatsch","given":"P"},{"family":"Zeissig","given":"SR"},{"family":"Holleczek","given":"B"},{"family":"Katalinic","given":"A"},{"family":"Jakab","given":"Z"},{"family":"Birgisson","given":"H"},{"family":"Walsh","given":"PM"},{"family":"Mangone","given":"L"},{"family":"Merletti","given":"F"},{"family":"Magoni","given":"M"},{"family":"Mangone","given":"L"},{"family":"Ferretti","given":"S"},{"family":"Serraino","given":"D"},{"family":"Spagnoli","given":"G"},{"family":"Fusco","given":"M"},{"family":"Michiara","given":"M"},{"family":"Tumino","given":"R"},{"family":"Falcini","given":"F"},{"family":"Sensi","given":"F"},{"family":"Tisano","given":"F"},{"family":"Piffer","given":"S"},{"family":"Stracci","given":"F"},{"family":"Tagliabue","given":"G"},{"family":"Smailyte","given":"G"},{"family":"Agius","given":"D"},{"family":"Visser","given":"O"},{"family":"Ursin","given":"G"},{"family":"Didkowska","given":"J"},{"family":"Trojanowski","given":"M"},{"family":"Wojciechowska","given":"U"},{"family":"Forjaz de Lacerda","given":"G"},{"family":"Silva","given":"MA"},{"family":"Laranja Pontes","given":"J"},{"family":"Costa Miranda","given":"A","non-dropping-particle":"da"},{"family":"Kaiserova","given":"E"},{"family":"Primic Žakelj","given":"M"},{"family":"Peris-Bonet","given":"R"},{"family":"Vicente Raneda","given":"ML"},{"family":"Almar Marqués","given":"E"},{"family":"Quirós Garcia","given":"JR"},{"family":"Ramos Monserrat","given":"M"},{"family":"Errezola Saizar","given":"M"},{"family":"Alemán Herrera","given":"A"},{"family":"Díaz García","given":"JM"},{"family":"Marcos-Gragera","given":"R"},{"family":"Sanchez-Perez","given":"MJ"},{"family":"Ardanaz Aicua","given":"E"},{"family":"Galceran","given":"J"},{"family":"Klint","given":"A"},{"family":"Kuehni","given":"CE"},{"family":"Bouchardy","given":"C"},{"family":"Levi","given":"F"},{"family":"Bordoni","given":"A"},{"family":"Konzelmann","given":"I"},{"family":"Rohrmann","given":"S"},{"family":"Stiller","given":"CA"},{"family":"Gavin","given":"AT"},{"family":"Brewster","given":"DH"},{"family":"Phung","given":"H"},{"family":"Rushton","given":"S"},{"family":"Guthridge","given":"S"},{"family":"Aitken","given":"J"},{"family":"D'Onise","given":"K"},{"family":"Venn","given":"A"},{"family":"Farrugian","given":"H"},{"family":"Threlfall","given":"TJ"},{"family":"Laumond","given":"S"},{"family":"Yen Kai Sun","given":"L"},{"family":"Hendrix","given":"J"},{"family":"Ballantine","given":"K"},{"family":"Colombet","given":"M"},{"family":"Dolya","given":"A"},{"family":"Masuyer","given":"E"},{"family":"Steliarova-Foucher","given":"E"}],"issued":{"date-parts":[["2017",6,1]]}}}],"schema":"https://github.com/citation-style-language/schema/raw/master/csl-citation.json"} </w:instrText>
      </w:r>
      <w:r w:rsidR="00EF79B7">
        <w:fldChar w:fldCharType="separate"/>
      </w:r>
      <w:r w:rsidR="001426AB" w:rsidRPr="001426AB">
        <w:rPr>
          <w:rFonts w:ascii="Calibri" w:hAnsi="Calibri" w:cs="Calibri"/>
        </w:rPr>
        <w:t>[18]</w:t>
      </w:r>
      <w:r w:rsidR="00EF79B7">
        <w:fldChar w:fldCharType="end"/>
      </w:r>
      <w:r w:rsidR="00370A59">
        <w:t>,</w:t>
      </w:r>
      <w:r w:rsidR="00EF79B7">
        <w:t xml:space="preserve"> to the point where rates are in excess of those reported in SEER.  In addition, diagnosis is possible based on clinical observations</w:t>
      </w:r>
      <w:r w:rsidR="00BA4E5A">
        <w:fldChar w:fldCharType="begin"/>
      </w:r>
      <w:r w:rsidR="00124231">
        <w:instrText xml:space="preserve"> ADDIN ZOTERO_ITEM CSL_CITATION {"citationID":"eAVKAkVY","properties":{"formattedCitation":"[52]","plainCitation":"[52]","noteIndex":0},"citationItems":[{"id":3684,"uris":["http://zotero.org/groups/23637/items/NMZ8I5BF"],"uri":["http://zotero.org/groups/23637/items/NMZ8I5BF"],"itemData":{"id":3684,"type":"article-journal","abstract":"AIMS: To characterise the clinical features, treatment and outcome of children diagnosed with retinoblastoma in Uganda.\nMETHODS: The study comprised a 6-year nationwide enrolment with follow-up.\nRESULTS: In total, 282 cases were enrolled, 26% (72) were bilateral; 6% were lost to follow-up. Almost all diagnoses in the first affected eye were International Classification of Retinoblastoma group E or worse. Histology was available for 92%; of those, 45%, had extraocular tumour at diagnosis. Enucleation of the first eye was done for 271; 94 received radiotherapy to the socket and in the last 2 years, 70 children received chemotherapy. At close of study, 139 children had died. Survival, as determined in a proportional hazards model adjusted for age, sex, laterality and treatment era (pre or post introduction of chemotherapy), varied by extent of the tumour (p&lt;0.001); children with only intraocular involvement were 80% less likely to die (HR=0.21, 95% CI 0.12 to 0.35) compared with children with extraocular involvement.\nCONCLUSIONS: Diagnostic delay results in relatively high mortality among children with retinoblastoma in Uganda. There is an urgent need for more effective treatment modalities, particularly chemotherapy, and nationwide efforts to encourage earlier access to medical care.","container-title":"The British Journal of Ophthalmology","DOI":"10.1136/bjophthalmol-2014-305564","ISSN":"1468-2079","issue":"3","journalAbbreviation":"Br J Ophthalmol","language":"eng","note":"PMID: 25217695","page":"387-390","source":"PubMed","title":"Clinical features and survival among children with retinoblastoma in Uganda","volume":"99","author":[{"family":"Waddell","given":"Keith M."},{"family":"Kagame","given":"Kenneth"},{"family":"Ndamira","given":"Andrew"},{"family":"Twinamasiko","given":"Amos"},{"family":"Picton","given":"Susan V."},{"family":"Simmons","given":"Ian G."},{"family":"Johnston","given":"W. Tom"},{"family":"Newton","given":"Robert"}],"issued":{"date-parts":[["2015",3]]}}}],"schema":"https://github.com/citation-style-language/schema/raw/master/csl-citation.json"} </w:instrText>
      </w:r>
      <w:r w:rsidR="00BA4E5A">
        <w:fldChar w:fldCharType="separate"/>
      </w:r>
      <w:r w:rsidR="00BA4E5A" w:rsidRPr="00BA4E5A">
        <w:rPr>
          <w:rFonts w:ascii="Calibri" w:hAnsi="Calibri" w:cs="Calibri"/>
        </w:rPr>
        <w:t>[52]</w:t>
      </w:r>
      <w:r w:rsidR="00BA4E5A">
        <w:fldChar w:fldCharType="end"/>
      </w:r>
      <w:r w:rsidR="00370A59">
        <w:t xml:space="preserve">, meaning that </w:t>
      </w:r>
      <w:r w:rsidR="00EF79B7">
        <w:t xml:space="preserve">misdiagnosis </w:t>
      </w:r>
      <w:r w:rsidR="00370A59">
        <w:t>is not as likely as for other cancers. As yet, h</w:t>
      </w:r>
      <w:r w:rsidR="00EF79B7">
        <w:t>owever,</w:t>
      </w:r>
      <w:r w:rsidR="00370A59">
        <w:t xml:space="preserve"> </w:t>
      </w:r>
      <w:r w:rsidR="00115C34">
        <w:t>clear association</w:t>
      </w:r>
      <w:r w:rsidR="00370A59">
        <w:t>s</w:t>
      </w:r>
      <w:r w:rsidR="00115C34">
        <w:t xml:space="preserve"> with environmental or lifestyle exposure</w:t>
      </w:r>
      <w:r w:rsidR="00DF2A05">
        <w:t>s</w:t>
      </w:r>
      <w:r w:rsidR="00115C34">
        <w:t xml:space="preserve"> ha</w:t>
      </w:r>
      <w:r w:rsidR="00370A59">
        <w:t>ve</w:t>
      </w:r>
      <w:r w:rsidR="00115C34">
        <w:t xml:space="preserve"> yet to </w:t>
      </w:r>
      <w:r w:rsidR="00EF79B7">
        <w:t>be identified</w:t>
      </w:r>
      <w:r w:rsidR="00353DCD">
        <w:t xml:space="preserve"> and described in the detail required for </w:t>
      </w:r>
      <w:r w:rsidR="00EF79B7">
        <w:t xml:space="preserve">use in the BM </w:t>
      </w:r>
      <w:r w:rsidR="00115C34">
        <w:fldChar w:fldCharType="begin"/>
      </w:r>
      <w:r w:rsidR="00124231">
        <w:instrText xml:space="preserve"> ADDIN ZOTERO_ITEM CSL_CITATION {"citationID":"Hd2F227H","properties":{"formattedCitation":"[53\\uc0\\u8211{}56]","plainCitation":"[53–56]","noteIndex":0},"citationItems":[{"id":12874,"uris":["http://zotero.org/groups/23637/items/PYVY8PG2"],"uri":["http://zotero.org/groups/23637/items/PYVY8PG2"],"itemData":{"id":12874,"type":"article-journal","abstract":"The incidence of unilateral, but not bilateral, retinoblastoma in human populations at different geographical locations increases significantly with ambient erythemal dose of ultraviolet B radiation from sunlight. This supports the hypothesis that sunlight plays a role in retinoblastoma formation. © 1999 Cancer Research Campaign","container-title":"British Journal of Cancer","DOI":"10.1038/sj.bjc.6690204","ISSN":"0007-0920","issue":"7-8","journalAbbreviation":"Br J Cancer","note":"PMID: 10098771\nPMCID: PMC2362220","page":"1273-1276","source":"PubMed Central","title":"Is sunlight an aetiological agent in the genesis of retinoblastoma?","volume":"79","author":[{"family":"Hooper","given":"M L"}],"issued":{"date-parts":[["1999",3]]}}},{"id":12877,"uris":["http://zotero.org/groups/23637/items/APYF8AF3"],"uri":["http://zotero.org/groups/23637/items/APYF8AF3"],"itemData":{"id":12877,"type":"article-journal","abstract":"To evaluate positive findings from an earlier report, we studied the relation between retinoblastoma incidence and ultraviolet (UV-B) radiation levels in the Surveillance, Epidemiology, and End Results (SEER) programme areas of the USA using weighted regression, as well as in international data after adjusting for race, economic development, and climate. The association was not statistically significant within the USA (P&gt; 0.20). At an international level, the relation was significant overall and after adjusting for economic development, but it was not significant after adjusting for race and tropical climate, suggesting that environmental factors other than UV-B may be responsible for the geographic patterns of retinoblastoma. © 2000 Cancer Research Campaign","container-title":"British Journal of Cancer","DOI":"10.1054/bjoc.2000.1215","ISSN":"0007-0920","issue":"11","journalAbbreviation":"Br J Cancer","note":"PMID: 10839306\nPMCID: PMC2363228","page":"1875-1878","source":"PubMed Central","title":"Retinoblastoma incidence and sunlight exposure","volume":"82","author":[{"family":"Jemal","given":"A"},{"family":"Devesa","given":"S S"},{"family":"Fears","given":"T R"},{"family":"Fraumeni Jr","given":"J F"}],"issued":{"date-parts":[["2000",6]]}}},{"id":12880,"uris":["http://zotero.org/groups/23637/items/URDYXX3N"],"uri":["http://zotero.org/groups/23637/items/URDYXX3N"],"itemData":{"id":12880,"type":"webpage","genre":"Text","language":"en","note":"DOI: info:doi/10.1097/MPH.0000000000000552","title":"HPV-16 Detected in One-Fourth Eyes With Retinoblastoma: A Prospective Case-control Study From North India","title-short":"HPV-16 Detected in One-Fourth Eyes With Retinoblastoma","URL":"https://www.ingentaconnect.com/content/wk/jpho/2016/00000038/00000005/art00015","author":[{"family":"Naru","given":"Jasmine"},{"family":"Aggarwal","given":"Ritu"},{"family":"Singh","given":"Usha"},{"family":"Kakkar","given":"Nandita"},{"family":"Bansal","given":"Deepak"}],"accessed":{"date-parts":[["2019",9,18]]},"issued":{"date-parts":[["2016",7]]}}},{"id":12882,"uris":["http://zotero.org/groups/23637/items/AZ3LAII5"],"uri":["http://zotero.org/groups/23637/items/AZ3LAII5"],"itemData":{"id":12882,"type":"article-journal","abstract":"Background Retinoblastoma is the most frequent tumor of the eye in children and very little is known about the etiology of non-familial (sporadic) retinoblastoma. In this study we examined whether parental tobacco smoking or alcohol consumption (pre- or post-conception) contribute to the two phenotypes (bilateral or unilateral) of sporadic retinoblastoma. Methods Two large multicenter case-control studies identified 488 cases through eye referral centers in the United States and Canada or through the Children’s Oncology Group. Controls (n = 424) were selected from among friends and relatives of cases and matched by age. Risk factor information was obtained via telephone interview. We employed multivariable logistic regression to estimate the effects of parental tobacco smoking and alcohol consumption on retinoblastoma. Findings Maternal smoking before and during pregnancy contributed to unilateral retinoblastoma risk in the child: year before pregnancy conditional Odds Ratio (OR), 8.9; 95% confidence interval (CI) 1.5–51, and unconditional OR, 2.4; 95% CI, 1.3–4.7; month before or during pregnancy, conditional OR, 3.3; 95% CI, 0.5–20.8, and unconditional OR, 2.8; 95% CI, 1.1–7.0. No association was found for maternal or paternal alcohol consumption. Conclusion The results of this study indicate that maternal active smoking during pregnancy may be a risk factor for sporadic retinoblastoma. Our study supports a role for tobacco exposures in embryonal tumors.","container-title":"PLOS ONE","DOI":"10.1371/journal.pone.0151728","ISSN":"1932-6203","issue":"3","journalAbbreviation":"PLOS ONE","language":"en","page":"e0151728","source":"PLoS Journals","title":"Sporadic Retinoblastoma and Parental Smoking and Alcohol Consumption before and after Conception: A Report from the Children’s Oncology Group","title-short":"Sporadic Retinoblastoma and Parental Smoking and Alcohol Consumption before and after Conception","volume":"11","author":[{"family":"Azary","given":"Saeedeh"},{"family":"Ganguly","given":"Arupa"},{"family":"Bunin","given":"Greta R."},{"family":"Lombardi","given":"Christina"},{"family":"Park","given":"Andrew S."},{"family":"Ritz","given":"Beate"},{"family":"Heck","given":"Julia E."}],"issued":{"date-parts":[["2016",3,18]]}}}],"schema":"https://github.com/citation-style-language/schema/raw/master/csl-citation.json"} </w:instrText>
      </w:r>
      <w:r w:rsidR="00115C34">
        <w:fldChar w:fldCharType="separate"/>
      </w:r>
      <w:r w:rsidR="000F408C" w:rsidRPr="00DC2159">
        <w:rPr>
          <w:rFonts w:ascii="Calibri" w:hAnsi="Calibri" w:cs="Calibri"/>
          <w:szCs w:val="24"/>
        </w:rPr>
        <w:t>[53–56]</w:t>
      </w:r>
      <w:r w:rsidR="00115C34">
        <w:fldChar w:fldCharType="end"/>
      </w:r>
      <w:r w:rsidR="00115C34">
        <w:t>.</w:t>
      </w:r>
      <w:r w:rsidR="00EF79B7">
        <w:t xml:space="preserve">  </w:t>
      </w:r>
    </w:p>
    <w:p w14:paraId="020AD3B4" w14:textId="530F5121" w:rsidR="00124231" w:rsidRDefault="00124231" w:rsidP="00124231">
      <w:bookmarkStart w:id="11" w:name="_Hlk25764446"/>
      <w:r>
        <w:t xml:space="preserve">The estimates derived from the BM are reliant on the suitability and accuracy of country-specific population estimates, as well as SEER incidence rates (numerators and denominators).  The extent to which variability and uncertainty in these measures will have affected the results is not clear.  The model underpinning the World Population Prospects population estimates used in this study is based on a wide range of sources and is expected to be robust to errors in the source data </w:t>
      </w:r>
      <w:r>
        <w:fldChar w:fldCharType="begin"/>
      </w:r>
      <w:r>
        <w:instrText xml:space="preserve"> ADDIN ZOTERO_ITEM CSL_CITATION {"citationID":"YAiVOjWU","properties":{"formattedCitation":"[19]","plainCitation":"[19]","noteIndex":0},"citationItems":[{"id":10827,"uris":["http://zotero.org/groups/23637/items/FIWQ6E3H"],"uri":["http://zotero.org/groups/23637/items/FIWQ6E3H"],"itemData":{"id":10827,"type":"webpage","container-title":"World Population Prospects 2017","note":"Data downloaded 25 Sep 2017\n\nMedium Variant projections of popultaion in 5-year age groups for males, females and total\n\nWPP2017_PopulationByAgeSex_Medium.csv","title":"World Population Prospects 2017","URL":"https://population.un.org/wpp/Download/Standard/CSV/","author":[{"literal":"United Nations DESA / Population Division"}],"accessed":{"date-parts":[["2017",9,25]]},"issued":{"date-parts":[["2017"]]}}}],"schema":"https://github.com/citation-style-language/schema/raw/master/csl-citation.json"} </w:instrText>
      </w:r>
      <w:r>
        <w:fldChar w:fldCharType="separate"/>
      </w:r>
      <w:r w:rsidRPr="00DC2159">
        <w:rPr>
          <w:rFonts w:ascii="Calibri" w:hAnsi="Calibri" w:cs="Calibri"/>
        </w:rPr>
        <w:t>[19]</w:t>
      </w:r>
      <w:r>
        <w:fldChar w:fldCharType="end"/>
      </w:r>
      <w:r>
        <w:t xml:space="preserve">.  Nonetheless, systematic under or overestimation of specific subpopulations will affect both observed and expected cancer rates.  With respect to SEER, the model used rates averaged across all locations, ethnicities, and socio-demographic groups; hopefully providing robust estimates from a socially and ethnically diverse population, and ameliorating the impact of any systematic errors arising from particular subgroups.  However, such an approach could mask potential </w:t>
      </w:r>
      <w:proofErr w:type="spellStart"/>
      <w:r>
        <w:t>aetiologic</w:t>
      </w:r>
      <w:proofErr w:type="spellEnd"/>
      <w:r>
        <w:t xml:space="preserve"> variations.  For example, childhood acute lymphoblastic leukaemia incidence rates within SEER tend to vary with ethnicity; rates among those categorized as Hispanic White being twice that of those categorized as non-Hispanic Black, with rates among non-Hispanic Whites and Asians lying between </w:t>
      </w:r>
      <w:r>
        <w:lastRenderedPageBreak/>
        <w:t xml:space="preserve">the two </w:t>
      </w:r>
      <w:r>
        <w:fldChar w:fldCharType="begin"/>
      </w:r>
      <w:r>
        <w:instrText xml:space="preserve"> ADDIN ZOTERO_ITEM CSL_CITATION {"citationID":"bKPhShiF","properties":{"formattedCitation":"[57]","plainCitation":"[57]","noteIndex":0},"citationItems":[{"id":13142,"uris":["http://zotero.org/groups/23637/items/XY26QA58"],"uri":["http://zotero.org/groups/23637/items/XY26QA58"],"itemData":{"id":13142,"type":"article-journal","abstract":"Incidence rates of childhood leukemia in the United States have steadily increased over the last several decades, but only recently have disparities in the increase in incidence been recognized. In the current analysis, Surveillance, Epidemiology and End Results (SEER) data were used to evaluate recent trends in the incidence of childhood leukemia diagnosed at age 0–19 years from 1992–2013, overall and by age, race/ethnicity, gender, and histologic subtype. Hispanic White children were more likely than non-Hispanic White, non-Hispanic Black or non-Hispanic Asian children to be diagnosed with acute lymphocytic leukemia (ALL) from 2009–2013. From 1992–2013, a significant increase in ALL incidence was observed for Hispanic White children (annual percent change (APC)Hispanic=1.08, 95%CI:0.59, 1.58); no significant increase was observed for non-Hispanic White, Black or Asian children. ALL incidence increased by about 3% per year from 1992–2013 for Hispanic White children diagnosed from 15–19 years (APC=2.67; 95%CI:0.88, 4.49), and by 2% for those 10–14 years (APC=2.09; 95%CI:0.57, 3.63), while no significant increases in incidence were observed in non-Hispanic White, Black, or Asian children of the same age. Acute myeloid leukemia (AML) incidence increased among non-Hispanic White children under 1 year at diagnosis, and among Hispanic White children diagnosed at age 1–4. The increase in incidence rates of childhood ALL appears to be driven by rising rates in older Hispanic children (10–14, and 15–19 years). Future studies are needed to evaluate reasons for the increase in ALL among older Hispanic children.","container-title":"International journal of cancer","DOI":"10.1002/ijc.30487","ISSN":"0020-7136","issue":"5","journalAbbreviation":"Int J Cancer","note":"PMID: 27778348\nPMCID: PMC5550103","page":"1000-1008","source":"PubMed Central","title":"Trends in Childhood Leukemia Incidence Over Two Decades from 1992–2013","volume":"140","author":[{"family":"Barrington-Trimis","given":"Jessica L."},{"family":"Cockburn","given":"Myles"},{"family":"Metayer","given":"Catherine"},{"family":"Gauderman","given":"W. James"},{"family":"Wiemels","given":"Joseph"},{"family":"McKean-Cowdin","given":"Roberta"}],"issued":{"date-parts":[["2017",3,1]]}}}],"schema":"https://github.com/citation-style-language/schema/raw/master/csl-citation.json"} </w:instrText>
      </w:r>
      <w:r>
        <w:fldChar w:fldCharType="separate"/>
      </w:r>
      <w:r w:rsidRPr="00124231">
        <w:rPr>
          <w:rFonts w:ascii="Calibri" w:hAnsi="Calibri" w:cs="Calibri"/>
        </w:rPr>
        <w:t>[57]</w:t>
      </w:r>
      <w:r>
        <w:fldChar w:fldCharType="end"/>
      </w:r>
      <w:r>
        <w:t>.  The underpinning reasons for such differences, which could at least be partly due to numerator/denominator incompatibilities, is a topic of current research that may yield results that could be used to refine future BM estimates.</w:t>
      </w:r>
      <w:bookmarkEnd w:id="11"/>
    </w:p>
    <w:p w14:paraId="155EC7E2" w14:textId="0CCBB186" w:rsidR="008855DF" w:rsidRDefault="00B22E8B" w:rsidP="0050368D">
      <w:r>
        <w:t xml:space="preserve"> </w:t>
      </w:r>
      <w:r w:rsidR="007341CA" w:rsidRPr="0066284A">
        <w:t>Another key assumption made</w:t>
      </w:r>
      <w:r w:rsidR="007341CA">
        <w:t xml:space="preserve"> </w:t>
      </w:r>
      <w:r w:rsidR="00A642B9">
        <w:t>in constructing the BM</w:t>
      </w:r>
      <w:r w:rsidR="00082094">
        <w:t xml:space="preserve"> </w:t>
      </w:r>
      <w:r w:rsidR="00A642B9">
        <w:t xml:space="preserve">is </w:t>
      </w:r>
      <w:r w:rsidR="000E3A9F">
        <w:t xml:space="preserve">the </w:t>
      </w:r>
      <w:r w:rsidR="008A22BE">
        <w:t xml:space="preserve">initial uniformity conferred by </w:t>
      </w:r>
      <w:r w:rsidR="00EF79B7">
        <w:t xml:space="preserve">the application of </w:t>
      </w:r>
      <w:r w:rsidR="009C4675">
        <w:t xml:space="preserve">age- and sex-specific </w:t>
      </w:r>
      <w:r w:rsidR="00EF79B7">
        <w:t xml:space="preserve">rates derived by the SEER programme </w:t>
      </w:r>
      <w:r w:rsidR="00D2065B">
        <w:t>to all countries around the world</w:t>
      </w:r>
      <w:r w:rsidR="00BE396B">
        <w:t xml:space="preserve">.  As such, the </w:t>
      </w:r>
      <w:r w:rsidR="00196158">
        <w:t xml:space="preserve">BM’s </w:t>
      </w:r>
      <w:r w:rsidR="009C4675">
        <w:t xml:space="preserve">global geographic patterning </w:t>
      </w:r>
      <w:r w:rsidR="00BE396B">
        <w:t xml:space="preserve">is </w:t>
      </w:r>
      <w:r w:rsidR="009C4675">
        <w:t xml:space="preserve">driven by differences in age structure and </w:t>
      </w:r>
      <w:r w:rsidR="00BE396B">
        <w:t>inclusion of</w:t>
      </w:r>
      <w:r w:rsidR="008A22BE">
        <w:t xml:space="preserve"> two</w:t>
      </w:r>
      <w:r w:rsidR="00BE396B">
        <w:t xml:space="preserve"> </w:t>
      </w:r>
      <w:r w:rsidR="000E3A9F">
        <w:t>well-known</w:t>
      </w:r>
      <w:r w:rsidR="009C4675">
        <w:t xml:space="preserve"> </w:t>
      </w:r>
      <w:r w:rsidR="008A22BE">
        <w:t xml:space="preserve">geographically mediated </w:t>
      </w:r>
      <w:r w:rsidR="009C4675">
        <w:t>causal associations</w:t>
      </w:r>
      <w:r w:rsidR="000E3A9F">
        <w:t xml:space="preserve">: the IICC-3 incidence of BL and KS being correlated with the proportion of the population exposed to </w:t>
      </w:r>
      <w:r w:rsidR="000E3A9F" w:rsidRPr="00C27536">
        <w:rPr>
          <w:i/>
        </w:rPr>
        <w:t>P. falciparum</w:t>
      </w:r>
      <w:r w:rsidR="000E3A9F">
        <w:t xml:space="preserve">. </w:t>
      </w:r>
      <w:r w:rsidR="00BE396B">
        <w:t xml:space="preserve"> </w:t>
      </w:r>
      <w:r w:rsidR="008A22BE" w:rsidRPr="000E3A9F">
        <w:t>Hence</w:t>
      </w:r>
      <w:r w:rsidR="008A22BE">
        <w:t>,</w:t>
      </w:r>
      <w:r w:rsidR="000E3A9F">
        <w:t xml:space="preserve"> as presently constructed, the BM takes</w:t>
      </w:r>
      <w:r w:rsidR="008A22BE">
        <w:t xml:space="preserve"> </w:t>
      </w:r>
      <w:r w:rsidR="00192EF7">
        <w:t xml:space="preserve">no account of </w:t>
      </w:r>
      <w:r w:rsidR="006F0FC3">
        <w:t xml:space="preserve">other potential </w:t>
      </w:r>
      <w:r w:rsidR="000E3A9F">
        <w:t xml:space="preserve">geographically varying </w:t>
      </w:r>
      <w:r w:rsidR="006F0FC3">
        <w:t>risk factor</w:t>
      </w:r>
      <w:r w:rsidR="00396446">
        <w:t>s</w:t>
      </w:r>
      <w:r w:rsidR="00741256">
        <w:t>.</w:t>
      </w:r>
      <w:r w:rsidR="008855DF">
        <w:t xml:space="preserve"> </w:t>
      </w:r>
      <w:r w:rsidR="00396446">
        <w:t xml:space="preserve"> Such information can, however, be</w:t>
      </w:r>
      <w:r w:rsidR="0095771A">
        <w:t xml:space="preserve"> incorporated once causal mechanisms </w:t>
      </w:r>
      <w:r w:rsidR="00396446">
        <w:t xml:space="preserve">for other childhood cancer subtypes </w:t>
      </w:r>
      <w:r w:rsidR="0095771A">
        <w:t>are more fully elucidated</w:t>
      </w:r>
      <w:r w:rsidR="00396446">
        <w:t>,</w:t>
      </w:r>
      <w:r w:rsidR="00DF2A05">
        <w:t xml:space="preserve"> and </w:t>
      </w:r>
      <w:r w:rsidR="00396446">
        <w:t xml:space="preserve">data on relevant exposure markers </w:t>
      </w:r>
      <w:r w:rsidR="00DF2A05">
        <w:t>become available</w:t>
      </w:r>
      <w:r w:rsidR="0095771A">
        <w:t>.</w:t>
      </w:r>
      <w:r w:rsidR="008855DF" w:rsidRPr="008855DF">
        <w:t xml:space="preserve"> </w:t>
      </w:r>
    </w:p>
    <w:p w14:paraId="607F8F2D" w14:textId="447B5314" w:rsidR="004C5EB2" w:rsidRDefault="00E13573" w:rsidP="00C072C2">
      <w:pPr>
        <w:pStyle w:val="Heading1"/>
        <w:numPr>
          <w:ilvl w:val="0"/>
          <w:numId w:val="23"/>
        </w:numPr>
      </w:pPr>
      <w:r>
        <w:t>Conclusions</w:t>
      </w:r>
    </w:p>
    <w:p w14:paraId="1E63B021" w14:textId="09BFBD94" w:rsidR="009428B8" w:rsidRDefault="00F361BD">
      <w:r>
        <w:t xml:space="preserve">Using </w:t>
      </w:r>
      <w:r w:rsidR="00D84A24">
        <w:t xml:space="preserve">the </w:t>
      </w:r>
      <w:r>
        <w:t>original baseline model (BM) w</w:t>
      </w:r>
      <w:r w:rsidR="00F6446C">
        <w:t>e estimate</w:t>
      </w:r>
      <w:r w:rsidR="00D84A24">
        <w:t>d</w:t>
      </w:r>
      <w:r w:rsidR="00F6446C">
        <w:t xml:space="preserve"> that approximately 3</w:t>
      </w:r>
      <w:r w:rsidR="009D6C27">
        <w:t>60</w:t>
      </w:r>
      <w:r w:rsidR="00F6446C">
        <w:t xml:space="preserve">,000 cancers </w:t>
      </w:r>
      <w:r w:rsidR="00D07C19">
        <w:t xml:space="preserve">occurred in </w:t>
      </w:r>
      <w:r w:rsidR="00F6446C">
        <w:t>children in 2015</w:t>
      </w:r>
      <w:r w:rsidR="00E65A67">
        <w:t xml:space="preserve"> worldwide</w:t>
      </w:r>
      <w:r w:rsidR="006338CB">
        <w:t xml:space="preserve">. These data were derived by imputing identical background incidence of childhood cancer to </w:t>
      </w:r>
      <w:r w:rsidR="00262DB6">
        <w:t xml:space="preserve">all </w:t>
      </w:r>
      <w:r w:rsidR="006338CB">
        <w:t>world regions</w:t>
      </w:r>
      <w:r w:rsidR="00262DB6">
        <w:t xml:space="preserve"> and correcting them </w:t>
      </w:r>
      <w:r w:rsidR="006338CB">
        <w:t xml:space="preserve">for </w:t>
      </w:r>
      <w:r w:rsidR="00262DB6">
        <w:t xml:space="preserve">an effect of </w:t>
      </w:r>
      <w:r w:rsidR="00831AD1" w:rsidRPr="006C2ED2">
        <w:rPr>
          <w:i/>
        </w:rPr>
        <w:t>P. falciparum</w:t>
      </w:r>
      <w:r w:rsidR="00831AD1">
        <w:t xml:space="preserve"> </w:t>
      </w:r>
      <w:r w:rsidR="00262DB6">
        <w:t xml:space="preserve">infection </w:t>
      </w:r>
      <w:r w:rsidR="00831AD1">
        <w:t>according to the known spread of this exposure</w:t>
      </w:r>
      <w:r w:rsidR="00262DB6">
        <w:t>.</w:t>
      </w:r>
      <w:r w:rsidR="00A075F7">
        <w:t xml:space="preserve"> </w:t>
      </w:r>
      <w:r w:rsidR="00AB6101">
        <w:t xml:space="preserve">Our </w:t>
      </w:r>
      <w:r w:rsidR="00F6446C">
        <w:t xml:space="preserve">approach </w:t>
      </w:r>
      <w:r w:rsidR="006338CB">
        <w:t>suggests</w:t>
      </w:r>
      <w:r w:rsidR="00F6446C">
        <w:t xml:space="preserve"> that </w:t>
      </w:r>
      <w:r>
        <w:t xml:space="preserve">up to </w:t>
      </w:r>
      <w:r w:rsidR="002275F3">
        <w:t>4</w:t>
      </w:r>
      <w:r w:rsidR="00A15C1C">
        <w:t>5</w:t>
      </w:r>
      <w:r w:rsidR="00F6446C">
        <w:t xml:space="preserve">% of incident childhood cancers </w:t>
      </w:r>
      <w:r w:rsidR="002032C3">
        <w:t>may</w:t>
      </w:r>
      <w:r w:rsidR="0059408F">
        <w:t xml:space="preserve"> </w:t>
      </w:r>
      <w:r w:rsidR="002032C3">
        <w:t>be</w:t>
      </w:r>
      <w:r w:rsidR="00F6446C">
        <w:t xml:space="preserve"> </w:t>
      </w:r>
      <w:r w:rsidR="00567D6D">
        <w:t xml:space="preserve">undocumented </w:t>
      </w:r>
      <w:r w:rsidR="006338CB">
        <w:t xml:space="preserve">within existing </w:t>
      </w:r>
      <w:r w:rsidR="00D84A24">
        <w:t>(</w:t>
      </w:r>
      <w:r w:rsidR="006338CB">
        <w:t>childhood</w:t>
      </w:r>
      <w:r w:rsidR="00D84A24">
        <w:t>)</w:t>
      </w:r>
      <w:r w:rsidR="006338CB">
        <w:t xml:space="preserve"> cancer surveillance systems. A majority of the</w:t>
      </w:r>
      <w:r w:rsidR="00DF2A05">
        <w:t xml:space="preserve"> children whose cancer diagnoses are </w:t>
      </w:r>
      <w:r w:rsidR="00A15C1C">
        <w:t>miss</w:t>
      </w:r>
      <w:r w:rsidR="00DF2A05">
        <w:t>ed</w:t>
      </w:r>
      <w:r w:rsidR="00A15C1C">
        <w:t xml:space="preserve"> </w:t>
      </w:r>
      <w:r w:rsidR="006338CB">
        <w:t>resid</w:t>
      </w:r>
      <w:r w:rsidR="00A15C1C">
        <w:t>e</w:t>
      </w:r>
      <w:r w:rsidR="006338CB">
        <w:t xml:space="preserve"> </w:t>
      </w:r>
      <w:r w:rsidR="00F6446C">
        <w:t xml:space="preserve">in </w:t>
      </w:r>
      <w:r w:rsidR="006F2F0E">
        <w:t xml:space="preserve">countries with lower </w:t>
      </w:r>
      <w:r w:rsidR="00D312C9">
        <w:t>h</w:t>
      </w:r>
      <w:r w:rsidR="006F2F0E">
        <w:t xml:space="preserve">uman </w:t>
      </w:r>
      <w:r w:rsidR="00D312C9">
        <w:t>d</w:t>
      </w:r>
      <w:r w:rsidR="006F2F0E">
        <w:t xml:space="preserve">evelopment </w:t>
      </w:r>
      <w:r w:rsidR="00D312C9">
        <w:t>i</w:t>
      </w:r>
      <w:r w:rsidR="006F2F0E">
        <w:t>ndex</w:t>
      </w:r>
      <w:r w:rsidR="0050368D">
        <w:t xml:space="preserve">; indicating a need for improved </w:t>
      </w:r>
      <w:r w:rsidR="008F1048">
        <w:t xml:space="preserve">provision, accessibility </w:t>
      </w:r>
      <w:r w:rsidR="0050368D">
        <w:t>and utilisation of appropriate diagnostics and care</w:t>
      </w:r>
      <w:r w:rsidR="006C2ED2">
        <w:t xml:space="preserve"> and documentation of diagnosed cases</w:t>
      </w:r>
      <w:r w:rsidR="00F6446C">
        <w:t>.</w:t>
      </w:r>
      <w:r w:rsidR="00AB6101">
        <w:t xml:space="preserve">  </w:t>
      </w:r>
      <w:bookmarkEnd w:id="1"/>
      <w:bookmarkEnd w:id="3"/>
    </w:p>
    <w:bookmarkEnd w:id="2"/>
    <w:bookmarkEnd w:id="4"/>
    <w:p w14:paraId="74A27365" w14:textId="678ADDEF" w:rsidR="002275F3" w:rsidRDefault="002275F3">
      <w:pPr>
        <w:rPr>
          <w:rFonts w:asciiTheme="majorHAnsi" w:eastAsiaTheme="majorEastAsia" w:hAnsiTheme="majorHAnsi" w:cstheme="majorBidi"/>
          <w:b/>
          <w:sz w:val="32"/>
          <w:szCs w:val="32"/>
        </w:rPr>
      </w:pPr>
    </w:p>
    <w:bookmarkEnd w:id="5"/>
    <w:p w14:paraId="586817CB" w14:textId="54845AF6" w:rsidR="004C5EB2" w:rsidRPr="00D8517D" w:rsidRDefault="004C5EB2" w:rsidP="0059408F">
      <w:pPr>
        <w:pStyle w:val="Heading1"/>
      </w:pPr>
      <w:r w:rsidRPr="00D8517D">
        <w:t>References</w:t>
      </w:r>
      <w:r w:rsidR="009428B8" w:rsidRPr="00D8517D">
        <w:t xml:space="preserve"> </w:t>
      </w:r>
    </w:p>
    <w:p w14:paraId="2B89F962" w14:textId="77777777" w:rsidR="008B1F40" w:rsidRDefault="000E1A40" w:rsidP="008B1F40">
      <w:pPr>
        <w:pStyle w:val="Bibliography"/>
      </w:pPr>
      <w:r w:rsidRPr="002854BA">
        <w:fldChar w:fldCharType="begin"/>
      </w:r>
      <w:r w:rsidR="008B1F40">
        <w:instrText xml:space="preserve"> ADDIN ZOTERO_BIBL {"uncited":[],"omitted":[],"custom":[]} CSL_BIBLIOGRAPHY </w:instrText>
      </w:r>
      <w:r w:rsidRPr="002854BA">
        <w:fldChar w:fldCharType="separate"/>
      </w:r>
      <w:r w:rsidR="008B1F40">
        <w:t>[1]</w:t>
      </w:r>
      <w:r w:rsidR="008B1F40">
        <w:tab/>
        <w:t>J. Ferlay, M. Colombet, I. Soerjomataram, et al., Estimating the global cancer incidence and mortality in 2018: GLOBOCAN sources and methods, Int. J. Cancer. 144 (2019) 1941–1953. doi:10.1002/ijc.31937.</w:t>
      </w:r>
    </w:p>
    <w:p w14:paraId="6730EF74" w14:textId="77777777" w:rsidR="008B1F40" w:rsidRDefault="008B1F40" w:rsidP="008B1F40">
      <w:pPr>
        <w:pStyle w:val="Bibliography"/>
      </w:pPr>
      <w:r>
        <w:t>[2]</w:t>
      </w:r>
      <w:r>
        <w:tab/>
        <w:t>R. Saracci, C. Wild, International Agency for Research on Cancer, International Agency for Research on Cancer: the first 50 years, 1965-2015, 2015. http://www.iarc.fr/en/publications/books/iarc50/ (accessed July 3, 2019).</w:t>
      </w:r>
    </w:p>
    <w:p w14:paraId="5B5F2096" w14:textId="77777777" w:rsidR="008B1F40" w:rsidRDefault="008B1F40" w:rsidP="008B1F40">
      <w:pPr>
        <w:pStyle w:val="Bibliography"/>
      </w:pPr>
      <w:r>
        <w:t>[3]</w:t>
      </w:r>
      <w:r>
        <w:tab/>
        <w:t>World Health Organization, International Statistical Classification of Diseases and Related Health Problems, ICD-10., Tenth Revision, World Health Organization, Geneva, Switzerland, 1992.</w:t>
      </w:r>
    </w:p>
    <w:p w14:paraId="6B720676" w14:textId="77777777" w:rsidR="008B1F40" w:rsidRDefault="008B1F40" w:rsidP="008B1F40">
      <w:pPr>
        <w:pStyle w:val="Bibliography"/>
      </w:pPr>
      <w:r>
        <w:t>[4]</w:t>
      </w:r>
      <w:r>
        <w:tab/>
        <w:t>C. AbouZahr, D. de Savigny, L. Mikkelsen, et al., Civil registration and vital statistics: progress in the data revolution for counting and accountability, The Lancet. 386 (2015) 1373–1385. doi:10.1016/S0140-6736(15)60173-8.</w:t>
      </w:r>
    </w:p>
    <w:p w14:paraId="106ED342" w14:textId="77777777" w:rsidR="008B1F40" w:rsidRDefault="008B1F40" w:rsidP="008B1F40">
      <w:pPr>
        <w:pStyle w:val="Bibliography"/>
      </w:pPr>
      <w:r>
        <w:t>[5]</w:t>
      </w:r>
      <w:r>
        <w:tab/>
        <w:t>I. Magrath, E. Steliarova-Foucher, S. Epelman, et al., Paediatric cancer in low-income and middle-income countries, Lancet Oncol. 14 (2013) e104–e116. doi:10.1016/S1470-2045(13)70008-1.</w:t>
      </w:r>
    </w:p>
    <w:p w14:paraId="06AB3E28" w14:textId="77777777" w:rsidR="008B1F40" w:rsidRDefault="008B1F40" w:rsidP="008B1F40">
      <w:pPr>
        <w:pStyle w:val="Bibliography"/>
      </w:pPr>
      <w:r>
        <w:t>[6]</w:t>
      </w:r>
      <w:r>
        <w:tab/>
        <w:t>L. Mikkelsen, D.E. Phillips, C. AbouZahr, et al., A global assessment of civil registration and vital statistics systems: monitoring data quality and progress, The Lancet. 386 (2015) 1395–1406. doi:10.1016/S0140-6736(15)60171-4.</w:t>
      </w:r>
    </w:p>
    <w:p w14:paraId="727C3A54" w14:textId="77777777" w:rsidR="008B1F40" w:rsidRDefault="008B1F40" w:rsidP="008B1F40">
      <w:pPr>
        <w:pStyle w:val="Bibliography"/>
      </w:pPr>
      <w:r>
        <w:t>[7]</w:t>
      </w:r>
      <w:r>
        <w:tab/>
        <w:t>N. Bhakta, L.M. Force, C. Allemani, et al., Childhood cancer burden: a review of global estimates, Lancet Oncol. 20 (2019) e42–e53. doi:10.1016/S1470-2045(18)30761-7.</w:t>
      </w:r>
    </w:p>
    <w:p w14:paraId="22D69264" w14:textId="77777777" w:rsidR="008B1F40" w:rsidRDefault="008B1F40" w:rsidP="008B1F40">
      <w:pPr>
        <w:pStyle w:val="Bibliography"/>
      </w:pPr>
      <w:r>
        <w:lastRenderedPageBreak/>
        <w:t>[8]</w:t>
      </w:r>
      <w:r>
        <w:tab/>
        <w:t>K. Pritchard-Jones, R. Pieters, G.H. Reaman, et al., Sustaining innovation and improvement in the treatment of childhood cancer: lessons from high-income countries, Lancet Oncol. 14 (2013) e95–e103. doi:10.1016/S1470-2045(13)70010-X.</w:t>
      </w:r>
    </w:p>
    <w:p w14:paraId="1CBAD322" w14:textId="77777777" w:rsidR="008B1F40" w:rsidRDefault="008B1F40" w:rsidP="008B1F40">
      <w:pPr>
        <w:pStyle w:val="Bibliography"/>
      </w:pPr>
      <w:r>
        <w:t>[9]</w:t>
      </w:r>
      <w:r>
        <w:tab/>
        <w:t>P. Mahapatra, K. Shibuya, A.D. Lopez, et al., Civil registration systems and vital statistics: successes and missed opportunities, The Lancet. 370 (2007) 1653–1663. doi:10.1016/S0140-6736(07)61308-7.</w:t>
      </w:r>
    </w:p>
    <w:p w14:paraId="464279CC" w14:textId="77777777" w:rsidR="008B1F40" w:rsidRDefault="008B1F40" w:rsidP="008B1F40">
      <w:pPr>
        <w:pStyle w:val="Bibliography"/>
      </w:pPr>
      <w:r>
        <w:t>[10]</w:t>
      </w:r>
      <w:r>
        <w:tab/>
        <w:t>Levels and Trends in Child Mortality, UNICEF DATA. (2018). https://data.unicef.org/resources/levels-and-trends-in-child-mortality/ (accessed September 11, 2019).</w:t>
      </w:r>
    </w:p>
    <w:p w14:paraId="7F4754A8" w14:textId="77777777" w:rsidR="008B1F40" w:rsidRDefault="008B1F40" w:rsidP="008B1F40">
      <w:pPr>
        <w:pStyle w:val="Bibliography"/>
      </w:pPr>
      <w:r>
        <w:t>[11]</w:t>
      </w:r>
      <w:r>
        <w:tab/>
        <w:t>E. Steliarova-Foucher, C. Stiller, B. Lacour, et al., International Classification of Childhood Cancer, third edition, Cancer. 103 (2005) 1457–1467. doi:10.1002/cncr.20910.</w:t>
      </w:r>
    </w:p>
    <w:p w14:paraId="6E87B128" w14:textId="77777777" w:rsidR="008B1F40" w:rsidRDefault="008B1F40" w:rsidP="008B1F40">
      <w:pPr>
        <w:pStyle w:val="Bibliography"/>
      </w:pPr>
      <w:r>
        <w:t>[12]</w:t>
      </w:r>
      <w:r>
        <w:tab/>
        <w:t>A. Fritz, International classification of diseases for oncology : ICD-O, 3rd ed., World Health Organization, Geneva, 2000.</w:t>
      </w:r>
    </w:p>
    <w:p w14:paraId="66A43CBF" w14:textId="77777777" w:rsidR="008B1F40" w:rsidRDefault="008B1F40" w:rsidP="008B1F40">
      <w:pPr>
        <w:pStyle w:val="Bibliography"/>
      </w:pPr>
      <w:r>
        <w:t>[13]</w:t>
      </w:r>
      <w:r>
        <w:tab/>
        <w:t>L. Liu, S. Oza, D. Hogan, et al., Global, regional, and national causes of under-5 mortality in 2000-15: an updated systematic analysis with implications for the Sustainable Development Goals, Lancet Lond. Engl. 388 (2016) 3027–3035. doi:10.1016/S0140-6736(16)31593-8.</w:t>
      </w:r>
    </w:p>
    <w:p w14:paraId="45BB56E9" w14:textId="77777777" w:rsidR="008B1F40" w:rsidRDefault="008B1F40" w:rsidP="008B1F40">
      <w:pPr>
        <w:pStyle w:val="Bibliography"/>
      </w:pPr>
      <w:r>
        <w:t>[14]</w:t>
      </w:r>
      <w:r>
        <w:tab/>
        <w:t>G.A. Roth, D. Abate, K.H. Abate, et al., Global, regional, and national age-sex-specific mortality for 282 causes of death in 195 countries and territories, 1980–2017: a systematic analysis for the Global Burden of Disease Study 2017, The Lancet. 392 (2018) 1736–1788. doi:10.1016/S0140-6736(18)32203-7.</w:t>
      </w:r>
    </w:p>
    <w:p w14:paraId="3F01F539" w14:textId="77777777" w:rsidR="008B1F40" w:rsidRDefault="008B1F40" w:rsidP="008B1F40">
      <w:pPr>
        <w:pStyle w:val="Bibliography"/>
      </w:pPr>
      <w:r>
        <w:t>[15]</w:t>
      </w:r>
      <w:r>
        <w:tab/>
        <w:t>J. Goudge, L. Gilson, S. Russell, et al., Affordability, availability and acceptability barriers to health care for the chronically ill: Longitudinal case studies from South Africa, BMC Health Serv. Res. 9 (2009) 75. doi:10.1186/1472-6963-9-75.</w:t>
      </w:r>
    </w:p>
    <w:p w14:paraId="4929579C" w14:textId="77777777" w:rsidR="008B1F40" w:rsidRDefault="008B1F40" w:rsidP="008B1F40">
      <w:pPr>
        <w:pStyle w:val="Bibliography"/>
      </w:pPr>
      <w:r>
        <w:t>[16]</w:t>
      </w:r>
      <w:r>
        <w:tab/>
        <w:t>M.E. Rutherford, K. Mulholland, P.C. Hill, How access to health care relates to under-five mortality in sub-Saharan Africa: systematic review, Trop. Med. Int. Health. 15 (2010) 508–519. doi:10.1111/j.1365-3156.2010.02497.x.</w:t>
      </w:r>
    </w:p>
    <w:p w14:paraId="5212D596" w14:textId="77777777" w:rsidR="008B1F40" w:rsidRDefault="008B1F40" w:rsidP="008B1F40">
      <w:pPr>
        <w:pStyle w:val="Bibliography"/>
      </w:pPr>
      <w:r>
        <w:t>[17]</w:t>
      </w:r>
      <w:r>
        <w:tab/>
        <w:t>F. Erdmann, M. Feychting, H. Mogensen, et al., Social Inequalities Along the Childhood Cancer Continuum: An Overview of Evidence and a Conceptual Framework to Identify Underlying Mechanisms and Pathways, Front. Public Health. 7 (2019). doi:10.3389/fpubh.2019.00084.</w:t>
      </w:r>
    </w:p>
    <w:p w14:paraId="3798B422" w14:textId="77777777" w:rsidR="008B1F40" w:rsidRDefault="008B1F40" w:rsidP="008B1F40">
      <w:pPr>
        <w:pStyle w:val="Bibliography"/>
      </w:pPr>
      <w:r>
        <w:t>[18]</w:t>
      </w:r>
      <w:r>
        <w:tab/>
        <w:t>E. Steliarova-Foucher, M. Colombet, L.A.G. Ries, et al., International incidence of childhood cancer, 2001–10: a population-based registry study, Lancet Oncol. 18 (2017) 719–731. doi:10.1016/S1470-2045(17)30186-9.</w:t>
      </w:r>
    </w:p>
    <w:p w14:paraId="7843519E" w14:textId="77777777" w:rsidR="008B1F40" w:rsidRDefault="008B1F40" w:rsidP="008B1F40">
      <w:pPr>
        <w:pStyle w:val="Bibliography"/>
      </w:pPr>
      <w:r>
        <w:t>[19]</w:t>
      </w:r>
      <w:r>
        <w:tab/>
        <w:t>United Nations DESA / Population Division, World Population Prospects 2017, World Popul. Prospects 2017. (2017). https://population.un.org/wpp/Download/Standard/CSV/ (accessed September 25, 2017).</w:t>
      </w:r>
    </w:p>
    <w:p w14:paraId="499F0F5C" w14:textId="77777777" w:rsidR="008B1F40" w:rsidRDefault="008B1F40" w:rsidP="008B1F40">
      <w:pPr>
        <w:pStyle w:val="Bibliography"/>
      </w:pPr>
      <w:r>
        <w:t>[20]</w:t>
      </w:r>
      <w:r>
        <w:tab/>
        <w:t>F. Bray, J. Ferlay, I. Soerjomataram, et al., Global cancer statistics 2018: GLOBOCAN estimates of incidence and mortality worldwide for 36 cancers in 185 countries, CA. Cancer J. Clin. 68 (2018) 394–424. doi:10.3322/caac.21492.</w:t>
      </w:r>
    </w:p>
    <w:p w14:paraId="761D2B17" w14:textId="77777777" w:rsidR="008B1F40" w:rsidRDefault="008B1F40" w:rsidP="008B1F40">
      <w:pPr>
        <w:pStyle w:val="Bibliography"/>
      </w:pPr>
      <w:r>
        <w:t>[21]</w:t>
      </w:r>
      <w:r>
        <w:tab/>
        <w:t>Global Burden of Disease Cancer Collaboration, C. Fitzmaurice, C. Allen, et al., Global, Regional, and National Cancer Incidence, Mortality, Years of Life Lost, Years Lived With Disability, and Disability-Adjusted Life-years for 32 Cancer Groups, 1990 to 2015: A Systematic Analysis for the Global Burden of Disease Study, JAMA Oncol. 3 (2017) 524. doi:10.1001/jamaoncol.2016.5688.</w:t>
      </w:r>
    </w:p>
    <w:p w14:paraId="580AF60F" w14:textId="77777777" w:rsidR="008B1F40" w:rsidRDefault="008B1F40" w:rsidP="008B1F40">
      <w:pPr>
        <w:pStyle w:val="Bibliography"/>
      </w:pPr>
      <w:r>
        <w:t>[22]</w:t>
      </w:r>
      <w:r>
        <w:tab/>
        <w:t>S.C. Howard, M.L. Metzger, J.A. Wilimas, et al., Childhood cancer epidemiology in low-income countries, Cancer. 112 (2008) 461–472. doi:10.1002/cncr.23205.</w:t>
      </w:r>
    </w:p>
    <w:p w14:paraId="378E7C16" w14:textId="77777777" w:rsidR="008B1F40" w:rsidRDefault="008B1F40" w:rsidP="008B1F40">
      <w:pPr>
        <w:pStyle w:val="Bibliography"/>
      </w:pPr>
      <w:r>
        <w:t>[23]</w:t>
      </w:r>
      <w:r>
        <w:tab/>
        <w:t>Z.J. Ward, J.M. Yeh, N. Bhakta, et al., Estimating the total incidence of global childhood cancer: a simulation-based analysis, Lancet Oncol. 20 (2019) 483–493. doi:10.1016/S1470-2045(18)30909-4.</w:t>
      </w:r>
    </w:p>
    <w:p w14:paraId="703B1B46" w14:textId="77777777" w:rsidR="008B1F40" w:rsidRDefault="008B1F40" w:rsidP="008B1F40">
      <w:pPr>
        <w:pStyle w:val="Bibliography"/>
      </w:pPr>
      <w:r>
        <w:t>[24]</w:t>
      </w:r>
      <w:r>
        <w:tab/>
        <w:t>H.S. Park, S. Lloyd, R.H. Decker, et al., Overview of the Surveillance, Epidemiology, and End Results Database: Evolution, Data Variables, and Quality Assurance, Curr. Probl. Cancer. 36 (2012) 183–190. doi:10.1016/j.currproblcancer.2012.03.007.</w:t>
      </w:r>
    </w:p>
    <w:p w14:paraId="269250FB" w14:textId="77777777" w:rsidR="008B1F40" w:rsidRDefault="008B1F40" w:rsidP="008B1F40">
      <w:pPr>
        <w:pStyle w:val="Bibliography"/>
      </w:pPr>
      <w:r>
        <w:lastRenderedPageBreak/>
        <w:t>[25]</w:t>
      </w:r>
      <w:r>
        <w:tab/>
        <w:t>L.M. Carpenter, R. Newton, D. Casabonne, et al., Antibodies against malaria and Epstein-Barr virus in childhood Burkitt lymphoma: A case-control study in Uganda, Int. J. Cancer. 122 (2008) 1319–1323. doi:10.1002/ijc.23254.</w:t>
      </w:r>
    </w:p>
    <w:p w14:paraId="56396D19" w14:textId="77777777" w:rsidR="008B1F40" w:rsidRDefault="008B1F40" w:rsidP="008B1F40">
      <w:pPr>
        <w:pStyle w:val="Bibliography"/>
      </w:pPr>
      <w:r>
        <w:t>[26]</w:t>
      </w:r>
      <w:r>
        <w:tab/>
        <w:t>I. Magrath, Denis Burkitt and the African lymphoma, Ecancermedicalscience. 3 (2009). doi:10.3332/ecancer.2009.159.</w:t>
      </w:r>
    </w:p>
    <w:p w14:paraId="741B2F98" w14:textId="77777777" w:rsidR="008B1F40" w:rsidRDefault="008B1F40" w:rsidP="008B1F40">
      <w:pPr>
        <w:pStyle w:val="Bibliography"/>
      </w:pPr>
      <w:r>
        <w:t>[27]</w:t>
      </w:r>
      <w:r>
        <w:tab/>
        <w:t>S.M. Mbulaiteye, R.J. Biggar, K. Bhatia, et al., Sporadic childhood Burkitt lymphoma incidence in the United States during 1992–2005, Pediatr. Blood Cancer. 53 (2009) 366–370. doi:10.1002/pbc.22047.</w:t>
      </w:r>
    </w:p>
    <w:p w14:paraId="51FDE06A" w14:textId="77777777" w:rsidR="008B1F40" w:rsidRDefault="008B1F40" w:rsidP="008B1F40">
      <w:pPr>
        <w:pStyle w:val="Bibliography"/>
      </w:pPr>
      <w:r>
        <w:t>[28]</w:t>
      </w:r>
      <w:r>
        <w:tab/>
        <w:t>J. Orem, E.K. Mbidde, B. Lambert, et al., Burkitt’s lymphoma in Africa, a review of the epidemiology and etiology, Afr. Health Sci. 7 (2007) 166–175. doi:10.5555/afhs.2007.7.3.166.</w:t>
      </w:r>
    </w:p>
    <w:p w14:paraId="139728A3" w14:textId="77777777" w:rsidR="008B1F40" w:rsidRDefault="008B1F40" w:rsidP="008B1F40">
      <w:pPr>
        <w:pStyle w:val="Bibliography"/>
      </w:pPr>
      <w:r>
        <w:t>[29]</w:t>
      </w:r>
      <w:r>
        <w:tab/>
        <w:t>Y. Chang, J. Ziegler, H. Wabinga, et al., Kaposi’s sarcoma-associated herpesvirus and Kaposi’s sarcoma in Africa, Arch. Intern. Med. 156 (1996) 202–204. doi:10.1001/archinte.1996.00440020112014.</w:t>
      </w:r>
    </w:p>
    <w:p w14:paraId="28FEBECC" w14:textId="77777777" w:rsidR="008B1F40" w:rsidRDefault="008B1F40" w:rsidP="008B1F40">
      <w:pPr>
        <w:pStyle w:val="Bibliography"/>
      </w:pPr>
      <w:r>
        <w:t>[30]</w:t>
      </w:r>
      <w:r>
        <w:tab/>
        <w:t>M. Dedicoat, R. Newton, Review of the distribution of Kaposi’s sarcoma-associated herpesvirus (KSHV) in Africa in relation to the incidence of Kaposi’s sarcoma, Br. J. Cancer. 88 (2003) 1–3. doi:10.1038/sj.bjc.6600745.</w:t>
      </w:r>
    </w:p>
    <w:p w14:paraId="4FEA59D2" w14:textId="77777777" w:rsidR="008B1F40" w:rsidRDefault="008B1F40" w:rsidP="008B1F40">
      <w:pPr>
        <w:pStyle w:val="Bibliography"/>
      </w:pPr>
      <w:r>
        <w:t>[31]</w:t>
      </w:r>
      <w:r>
        <w:tab/>
        <w:t>J. Ferlay, M. Ervik, F. Lam, et al., Global Cancer Observatory: Cancer today, Cancer Today. (2018). http://gco.iarc.fr/today (accessed October 18, 2018).</w:t>
      </w:r>
    </w:p>
    <w:p w14:paraId="6C84B297" w14:textId="77777777" w:rsidR="008B1F40" w:rsidRDefault="008B1F40" w:rsidP="008B1F40">
      <w:pPr>
        <w:pStyle w:val="Bibliography"/>
      </w:pPr>
      <w:r>
        <w:t>[32]</w:t>
      </w:r>
      <w:r>
        <w:tab/>
        <w:t>Steliarova-Foucher, E, Colombet, M, Ries, LAG, et al., International Incidence of Childhood Cancer Volume III (electronic version), International Agency for Research on Cancer, Lyon, France, 2017. http://iicc.iarc.fr/results/index.php (accessed September 11, 2017).</w:t>
      </w:r>
    </w:p>
    <w:p w14:paraId="39C43AE0" w14:textId="77777777" w:rsidR="008B1F40" w:rsidRDefault="008B1F40" w:rsidP="008B1F40">
      <w:pPr>
        <w:pStyle w:val="Bibliography"/>
      </w:pPr>
      <w:r>
        <w:t>[33]</w:t>
      </w:r>
      <w:r>
        <w:tab/>
        <w:t>UNSD — Methodology, (n.d.). https://unstats.un.org/unsd/methodology/m49/ (accessed June 25, 2019).</w:t>
      </w:r>
    </w:p>
    <w:p w14:paraId="38136C22" w14:textId="77777777" w:rsidR="008B1F40" w:rsidRDefault="008B1F40" w:rsidP="008B1F40">
      <w:pPr>
        <w:pStyle w:val="Bibliography"/>
      </w:pPr>
      <w:r>
        <w:t>[34]</w:t>
      </w:r>
      <w:r>
        <w:tab/>
        <w:t>United Nations Development Programme, Human Development Report 2016: Human Development for Everyone, UN, 2017. doi:10.18356/b6186701-en.</w:t>
      </w:r>
    </w:p>
    <w:p w14:paraId="5C281623" w14:textId="77777777" w:rsidR="008B1F40" w:rsidRDefault="008B1F40" w:rsidP="008B1F40">
      <w:pPr>
        <w:pStyle w:val="Bibliography"/>
      </w:pPr>
      <w:r>
        <w:t>[35]</w:t>
      </w:r>
      <w:r>
        <w:tab/>
        <w:t>European Commission, Joint Research Centre (JRC), Columbia University, Center for International Earth Science Information Network - CIESIN, GHS population grid, derived from GPW4, multitemporal (1975, 1990, 2000, 2015), (2015). http://data.europa.eu/89h/jrc-ghsl-ghs_pop_gpw4_globe_r2015a (accessed March 21, 2018).</w:t>
      </w:r>
    </w:p>
    <w:p w14:paraId="08E628FD" w14:textId="77777777" w:rsidR="008B1F40" w:rsidRDefault="008B1F40" w:rsidP="008B1F40">
      <w:pPr>
        <w:pStyle w:val="Bibliography"/>
      </w:pPr>
      <w:r>
        <w:t>[36]</w:t>
      </w:r>
      <w:r>
        <w:tab/>
        <w:t>Surveillance, Epidemiology, and End Results (SEER) Program, SEER*Stat Database: Incidence - SEER 18 Regs Research Data + Hurricane Katrina Impacted Louisiana Cases, Nov 2016 Sub (2000-2014) &lt;Katrina/Rita Population Adjustment&gt; - Linked To County Attributes - Total U.S., 1969-2015 Counties, National Cancer Institute, DCCPS, Surveillance Research Program, released April 2017, based on the November 2016 submission., (2017).</w:t>
      </w:r>
    </w:p>
    <w:p w14:paraId="00BF3773" w14:textId="77777777" w:rsidR="008B1F40" w:rsidRDefault="008B1F40" w:rsidP="008B1F40">
      <w:pPr>
        <w:pStyle w:val="Bibliography"/>
      </w:pPr>
      <w:r>
        <w:t>[37]</w:t>
      </w:r>
      <w:r>
        <w:tab/>
        <w:t>Surveillance Research Program, SEER*Stat Software, National Cancer Institute, 2018. seer.cancer.gov/seerstat.</w:t>
      </w:r>
    </w:p>
    <w:p w14:paraId="42BED978" w14:textId="77777777" w:rsidR="008B1F40" w:rsidRDefault="008B1F40" w:rsidP="008B1F40">
      <w:pPr>
        <w:pStyle w:val="Bibliography"/>
      </w:pPr>
      <w:r>
        <w:t>[38]</w:t>
      </w:r>
      <w:r>
        <w:tab/>
        <w:t>IARC Working Group on the Evaluation of Carcinogenic Risks to Humans, World Health Organization, International Agency for Research on Cancer, eds., IARC monographs on the evaluation of carcinogenic risks to humans: Malaria and some polyomaviruses (SV40, BK, JC, and Merkel cell viruses), IARC Press, Lyon, France, 2014.</w:t>
      </w:r>
    </w:p>
    <w:p w14:paraId="2EA9AE42" w14:textId="77777777" w:rsidR="008B1F40" w:rsidRDefault="008B1F40" w:rsidP="008B1F40">
      <w:pPr>
        <w:pStyle w:val="Bibliography"/>
      </w:pPr>
      <w:r>
        <w:t>[39]</w:t>
      </w:r>
      <w:r>
        <w:tab/>
        <w:t>A. Nalwoga, S. Cose, S. Nash, et al., Relationship between anemia, malaria coinfection, and Kaposi sarcoma-associated herpesvirus seropositivity in a population-based study in rural Uganda, J. Infect. Dis. 218 (2018) 1061–1065. doi:10.1093/infdis/jiy274.</w:t>
      </w:r>
    </w:p>
    <w:p w14:paraId="3E8EDADD" w14:textId="77777777" w:rsidR="008B1F40" w:rsidRDefault="008B1F40" w:rsidP="008B1F40">
      <w:pPr>
        <w:pStyle w:val="Bibliography"/>
      </w:pPr>
      <w:r>
        <w:t>[40]</w:t>
      </w:r>
      <w:r>
        <w:tab/>
        <w:t>A. Nalwoga, S. Cose, K. Wakeham, et al., Association between malaria exposure and Kaposi’s sarcoma-associated herpes virus seropositivity in Uganda, Trop. Med. Int. Health. 20 (2015) 665–672. doi:10.1111/tmi.12464.</w:t>
      </w:r>
    </w:p>
    <w:p w14:paraId="096F35AB" w14:textId="77777777" w:rsidR="008B1F40" w:rsidRDefault="008B1F40" w:rsidP="008B1F40">
      <w:pPr>
        <w:pStyle w:val="Bibliography"/>
      </w:pPr>
      <w:r>
        <w:t>[41]</w:t>
      </w:r>
      <w:r>
        <w:tab/>
        <w:t>R. Newton, N. Labo, K. Wakeham, et al., Determinants of gammaherpesvirus shedding in saliva among Ugandan children and their mothers, J. Infect. Dis. 218 (2018) 892–900. doi:10.1093/infdis/jiy262.</w:t>
      </w:r>
    </w:p>
    <w:p w14:paraId="0A6A8B62" w14:textId="77777777" w:rsidR="008B1F40" w:rsidRDefault="008B1F40" w:rsidP="008B1F40">
      <w:pPr>
        <w:pStyle w:val="Bibliography"/>
      </w:pPr>
      <w:r>
        <w:lastRenderedPageBreak/>
        <w:t>[42]</w:t>
      </w:r>
      <w:r>
        <w:tab/>
        <w:t>K. Wakeham, E.L. Webb, I. Sebina, et al., Risk factors for seropositivity to Kaposi sarcoma-associated herpesvirus among children in Uganda, J. Acquir. Immune Defic. Syndr. 1999. 63 (2013) 228–233. doi:10.1097/QAI.0b013e31828a7056.</w:t>
      </w:r>
    </w:p>
    <w:p w14:paraId="3471F329" w14:textId="77777777" w:rsidR="008B1F40" w:rsidRDefault="008B1F40" w:rsidP="008B1F40">
      <w:pPr>
        <w:pStyle w:val="Bibliography"/>
      </w:pPr>
      <w:r>
        <w:t>[43]</w:t>
      </w:r>
      <w:r>
        <w:tab/>
        <w:t>K. Wakeham, E.L. Webb, I. Sebina, et al., Parasite infection is associated with Kaposi’s sarcoma associated herpesvirus (KSHV) in Ugandan women, Infect. Agent. Cancer. 6 (2011) 15. doi:10.1186/1750-9378-6-15.</w:t>
      </w:r>
    </w:p>
    <w:p w14:paraId="128A4D74" w14:textId="77777777" w:rsidR="008B1F40" w:rsidRDefault="008B1F40" w:rsidP="008B1F40">
      <w:pPr>
        <w:pStyle w:val="Bibliography"/>
      </w:pPr>
      <w:r>
        <w:t>[44]</w:t>
      </w:r>
      <w:r>
        <w:tab/>
        <w:t>P.W. Gething, A.P. Patil, D.L. Smith, et al., A new world malaria map: Plasmodium falciparum endemicity in 2010, Malar. J. 10 (2011) 378. doi:10.1186/1475-2875-10-378.</w:t>
      </w:r>
    </w:p>
    <w:p w14:paraId="5ECA21A6" w14:textId="77777777" w:rsidR="008B1F40" w:rsidRDefault="008B1F40" w:rsidP="008B1F40">
      <w:pPr>
        <w:pStyle w:val="Bibliography"/>
      </w:pPr>
      <w:r>
        <w:t>[45]</w:t>
      </w:r>
      <w:r>
        <w:tab/>
        <w:t>U. Dalrymple, B. Mappin, P.W. Gething, Malaria mapping: understanding the global endemicity of falciparum and vivax malaria, BMC Med. 13 (2015). doi:10.1186/s12916-015-0372-x.</w:t>
      </w:r>
    </w:p>
    <w:p w14:paraId="0B79B43A" w14:textId="77777777" w:rsidR="008B1F40" w:rsidRDefault="008B1F40" w:rsidP="008B1F40">
      <w:pPr>
        <w:pStyle w:val="Bibliography"/>
      </w:pPr>
      <w:r>
        <w:t>[46]</w:t>
      </w:r>
      <w:r>
        <w:tab/>
        <w:t>Malaria Atlas Project, Malaria Atlas Project, (2017). https://map.ox.ac.uk/explorer/#/ (accessed March 28, 2018).</w:t>
      </w:r>
    </w:p>
    <w:p w14:paraId="5703BD28" w14:textId="77777777" w:rsidR="008B1F40" w:rsidRDefault="008B1F40" w:rsidP="008B1F40">
      <w:pPr>
        <w:pStyle w:val="Bibliography"/>
      </w:pPr>
      <w:r>
        <w:t>[47]</w:t>
      </w:r>
      <w:r>
        <w:tab/>
        <w:t>O.B. Ahmad, C. Boschi-Pinto, A.D. Lopez, et al., Age Standardization of Rates: A new WHO Standard, (2001) 14.</w:t>
      </w:r>
    </w:p>
    <w:p w14:paraId="457C8830" w14:textId="77777777" w:rsidR="008B1F40" w:rsidRDefault="008B1F40" w:rsidP="008B1F40">
      <w:pPr>
        <w:pStyle w:val="Bibliography"/>
      </w:pPr>
      <w:r>
        <w:t>[48]</w:t>
      </w:r>
      <w:r>
        <w:tab/>
        <w:t>SAS Institute Inc., SAS software, The SAS Institute, Cary, NC, USA, 2017.</w:t>
      </w:r>
    </w:p>
    <w:p w14:paraId="55817F6A" w14:textId="77777777" w:rsidR="008B1F40" w:rsidRDefault="008B1F40" w:rsidP="008B1F40">
      <w:pPr>
        <w:pStyle w:val="Bibliography"/>
      </w:pPr>
      <w:r>
        <w:t>[49]</w:t>
      </w:r>
      <w:r>
        <w:tab/>
        <w:t>ESRI Inc., ArcGIS Desktop, Environmental Systems Research Institute, Redlands, CA, USA, 2017.</w:t>
      </w:r>
    </w:p>
    <w:p w14:paraId="6401E783" w14:textId="77777777" w:rsidR="008B1F40" w:rsidRDefault="008B1F40" w:rsidP="008B1F40">
      <w:pPr>
        <w:pStyle w:val="Bibliography"/>
      </w:pPr>
      <w:r>
        <w:t>[50]</w:t>
      </w:r>
      <w:r>
        <w:tab/>
        <w:t>F. Bray, M. Colombet, L. Mery, et al., eds., Cancer Incidence in Five Continents, Vol XI (electronic version), International Agency for Research on Cancer, Lyon, France, 2017. http://ci5.iarc.fr (accessed January 11, 2019).</w:t>
      </w:r>
    </w:p>
    <w:p w14:paraId="381B7CE8" w14:textId="77777777" w:rsidR="008B1F40" w:rsidRDefault="008B1F40" w:rsidP="008B1F40">
      <w:pPr>
        <w:pStyle w:val="Bibliography"/>
      </w:pPr>
      <w:r>
        <w:t>[51]</w:t>
      </w:r>
      <w:r>
        <w:tab/>
        <w:t>D.C. Stefan, D.K. Stones, R.D. Wainwright, et al., Childhood cancer incidence in South Africa, 1987-2007, South Afr. Med. J. Suid-Afr. Tydskr. Vir Geneeskd. 105 (2015) 939–947. doi:10.7196/SAMJ.2015.v105i11.9780.</w:t>
      </w:r>
    </w:p>
    <w:p w14:paraId="1193B4D7" w14:textId="77777777" w:rsidR="008B1F40" w:rsidRDefault="008B1F40" w:rsidP="008B1F40">
      <w:pPr>
        <w:pStyle w:val="Bibliography"/>
      </w:pPr>
      <w:r>
        <w:t>[52]</w:t>
      </w:r>
      <w:r>
        <w:tab/>
        <w:t>K.M. Waddell, K. Kagame, A. Ndamira, et al., Clinical features and survival among children with retinoblastoma in Uganda, Br. J. Ophthalmol. 99 (2015) 387–390. doi:10.1136/bjophthalmol-2014-305564.</w:t>
      </w:r>
    </w:p>
    <w:p w14:paraId="6A8D4670" w14:textId="77777777" w:rsidR="008B1F40" w:rsidRDefault="008B1F40" w:rsidP="008B1F40">
      <w:pPr>
        <w:pStyle w:val="Bibliography"/>
      </w:pPr>
      <w:r>
        <w:t>[53]</w:t>
      </w:r>
      <w:r>
        <w:tab/>
        <w:t>M.L. Hooper, Is sunlight an aetiological agent in the genesis of retinoblastoma?, Br. J. Cancer. 79 (1999) 1273–1276. doi:10.1038/sj.bjc.6690204.</w:t>
      </w:r>
    </w:p>
    <w:p w14:paraId="48D42894" w14:textId="77777777" w:rsidR="008B1F40" w:rsidRDefault="008B1F40" w:rsidP="008B1F40">
      <w:pPr>
        <w:pStyle w:val="Bibliography"/>
      </w:pPr>
      <w:r>
        <w:t>[54]</w:t>
      </w:r>
      <w:r>
        <w:tab/>
        <w:t>A. Jemal, S.S. Devesa, T.R. Fears, et al., Retinoblastoma incidence and sunlight exposure, Br. J. Cancer. 82 (2000) 1875–1878. doi:10.1054/bjoc.2000.1215.</w:t>
      </w:r>
    </w:p>
    <w:p w14:paraId="0E259334" w14:textId="77777777" w:rsidR="008B1F40" w:rsidRDefault="008B1F40" w:rsidP="008B1F40">
      <w:pPr>
        <w:pStyle w:val="Bibliography"/>
      </w:pPr>
      <w:r>
        <w:t>[55]</w:t>
      </w:r>
      <w:r>
        <w:tab/>
        <w:t>J. Naru, R. Aggarwal, U. Singh, et al., HPV-16 Detected in One-Fourth Eyes With Retinoblastoma: A Prospective Case-control Study From North India, (2016). doi:info:doi/10.1097/MPH.0000000000000552.</w:t>
      </w:r>
    </w:p>
    <w:p w14:paraId="528CF8C6" w14:textId="77777777" w:rsidR="008B1F40" w:rsidRDefault="008B1F40" w:rsidP="008B1F40">
      <w:pPr>
        <w:pStyle w:val="Bibliography"/>
      </w:pPr>
      <w:r>
        <w:t>[56]</w:t>
      </w:r>
      <w:r>
        <w:tab/>
        <w:t>S. Azary, A. Ganguly, G.R. Bunin, et al., Sporadic Retinoblastoma and Parental Smoking and Alcohol Consumption before and after Conception: A Report from the Children’s Oncology Group, PLOS ONE. 11 (2016) e0151728. doi:10.1371/journal.pone.0151728.</w:t>
      </w:r>
    </w:p>
    <w:p w14:paraId="05309754" w14:textId="77777777" w:rsidR="008B1F40" w:rsidRDefault="008B1F40" w:rsidP="008B1F40">
      <w:pPr>
        <w:pStyle w:val="Bibliography"/>
      </w:pPr>
      <w:r>
        <w:t>[57]</w:t>
      </w:r>
      <w:r>
        <w:tab/>
        <w:t>J.L. Barrington-Trimis, M. Cockburn, C. Metayer, et al., Trends in Childhood Leukemia Incidence Over Two Decades from 1992–2013, Int. J. Cancer. 140 (2017) 1000–1008. doi:10.1002/ijc.30487.</w:t>
      </w:r>
    </w:p>
    <w:p w14:paraId="7CD048A4" w14:textId="342A2B5C" w:rsidR="005B4731" w:rsidRPr="002854BA" w:rsidRDefault="000E1A40" w:rsidP="005B4731">
      <w:pPr>
        <w:rPr>
          <w:sz w:val="20"/>
          <w:szCs w:val="20"/>
        </w:rPr>
      </w:pPr>
      <w:r w:rsidRPr="002854BA">
        <w:rPr>
          <w:sz w:val="20"/>
          <w:szCs w:val="20"/>
        </w:rPr>
        <w:fldChar w:fldCharType="end"/>
      </w:r>
      <w:r w:rsidR="00E259CE" w:rsidRPr="002854BA">
        <w:rPr>
          <w:sz w:val="20"/>
          <w:szCs w:val="20"/>
        </w:rPr>
        <w:fldChar w:fldCharType="begin"/>
      </w:r>
      <w:r w:rsidR="00E259CE" w:rsidRPr="002854BA">
        <w:rPr>
          <w:sz w:val="20"/>
          <w:szCs w:val="20"/>
        </w:rPr>
        <w:instrText xml:space="preserve"> ADDIN </w:instrText>
      </w:r>
      <w:r w:rsidR="00E259CE" w:rsidRPr="002854BA">
        <w:rPr>
          <w:sz w:val="20"/>
          <w:szCs w:val="20"/>
        </w:rPr>
        <w:fldChar w:fldCharType="end"/>
      </w:r>
    </w:p>
    <w:sectPr w:rsidR="005B4731" w:rsidRPr="002854BA">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39E1C" w14:textId="77777777" w:rsidR="00CB4E37" w:rsidRDefault="00CB4E37" w:rsidP="00510D7B">
      <w:pPr>
        <w:spacing w:after="0" w:line="240" w:lineRule="auto"/>
      </w:pPr>
      <w:r>
        <w:separator/>
      </w:r>
    </w:p>
  </w:endnote>
  <w:endnote w:type="continuationSeparator" w:id="0">
    <w:p w14:paraId="6B3321D4" w14:textId="77777777" w:rsidR="00CB4E37" w:rsidRDefault="00CB4E37" w:rsidP="00510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6482" w14:textId="390D5068" w:rsidR="00CB4E37" w:rsidRPr="00ED4236" w:rsidRDefault="00CB4E37" w:rsidP="00ED4236">
    <w:pPr>
      <w:pStyle w:val="Footer"/>
    </w:pPr>
    <w:r>
      <w:t>Final Version</w:t>
    </w:r>
    <w:r>
      <w:ptab w:relativeTo="margin" w:alignment="center" w:leader="none"/>
    </w:r>
    <w:r>
      <w:t>09/12/2019</w:t>
    </w:r>
    <w:r>
      <w:ptab w:relativeTo="margin" w:alignment="right" w:leader="none"/>
    </w:r>
    <w:r>
      <w:fldChar w:fldCharType="begin"/>
    </w:r>
    <w:r>
      <w:instrText xml:space="preserve"> PAGE   \* MERGEFORMAT </w:instrText>
    </w:r>
    <w:r>
      <w:fldChar w:fldCharType="separate"/>
    </w:r>
    <w:r>
      <w:rPr>
        <w:noProof/>
      </w:rPr>
      <w:t>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FAC1E" w14:textId="77777777" w:rsidR="00CB4E37" w:rsidRDefault="00CB4E37" w:rsidP="00510D7B">
      <w:pPr>
        <w:spacing w:after="0" w:line="240" w:lineRule="auto"/>
      </w:pPr>
      <w:r>
        <w:separator/>
      </w:r>
    </w:p>
  </w:footnote>
  <w:footnote w:type="continuationSeparator" w:id="0">
    <w:p w14:paraId="3FF45E22" w14:textId="77777777" w:rsidR="00CB4E37" w:rsidRDefault="00CB4E37" w:rsidP="00510D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25A09"/>
    <w:multiLevelType w:val="multilevel"/>
    <w:tmpl w:val="8FAE8C5A"/>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103014"/>
    <w:multiLevelType w:val="hybridMultilevel"/>
    <w:tmpl w:val="D87471F0"/>
    <w:lvl w:ilvl="0" w:tplc="C76298A0">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0B1F5B36"/>
    <w:multiLevelType w:val="hybridMultilevel"/>
    <w:tmpl w:val="FF68D62E"/>
    <w:lvl w:ilvl="0" w:tplc="2110ADF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80516"/>
    <w:multiLevelType w:val="hybridMultilevel"/>
    <w:tmpl w:val="A65475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161B43"/>
    <w:multiLevelType w:val="multilevel"/>
    <w:tmpl w:val="563A62B8"/>
    <w:lvl w:ilvl="0">
      <w:start w:val="1"/>
      <w:numFmt w:val="decimal"/>
      <w:lvlText w:val="%1"/>
      <w:lvlJc w:val="left"/>
      <w:pPr>
        <w:ind w:left="480"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72776C4"/>
    <w:multiLevelType w:val="hybridMultilevel"/>
    <w:tmpl w:val="CC080182"/>
    <w:lvl w:ilvl="0" w:tplc="AFD8793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D73B5"/>
    <w:multiLevelType w:val="hybridMultilevel"/>
    <w:tmpl w:val="70D4F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D2881"/>
    <w:multiLevelType w:val="hybridMultilevel"/>
    <w:tmpl w:val="23640F04"/>
    <w:lvl w:ilvl="0" w:tplc="57F0F7B8">
      <w:start w:val="1"/>
      <w:numFmt w:val="decimal"/>
      <w:lvlText w:val="%1)"/>
      <w:lvlJc w:val="left"/>
      <w:pPr>
        <w:ind w:left="1080" w:hanging="360"/>
      </w:pPr>
      <w:rPr>
        <w:rFonts w:hint="default"/>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F727F7E"/>
    <w:multiLevelType w:val="multilevel"/>
    <w:tmpl w:val="563A62B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431291C"/>
    <w:multiLevelType w:val="hybridMultilevel"/>
    <w:tmpl w:val="80469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091E65"/>
    <w:multiLevelType w:val="hybridMultilevel"/>
    <w:tmpl w:val="0DE6A374"/>
    <w:lvl w:ilvl="0" w:tplc="4148EA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15744"/>
    <w:multiLevelType w:val="hybridMultilevel"/>
    <w:tmpl w:val="0AF22694"/>
    <w:lvl w:ilvl="0" w:tplc="3696A3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C75B1D"/>
    <w:multiLevelType w:val="multilevel"/>
    <w:tmpl w:val="563A62B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A6B55B1"/>
    <w:multiLevelType w:val="hybridMultilevel"/>
    <w:tmpl w:val="23640F04"/>
    <w:lvl w:ilvl="0" w:tplc="57F0F7B8">
      <w:start w:val="1"/>
      <w:numFmt w:val="decimal"/>
      <w:lvlText w:val="%1)"/>
      <w:lvlJc w:val="left"/>
      <w:pPr>
        <w:ind w:left="1080" w:hanging="360"/>
      </w:pPr>
      <w:rPr>
        <w:rFonts w:hint="default"/>
        <w:i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CB362CF"/>
    <w:multiLevelType w:val="hybridMultilevel"/>
    <w:tmpl w:val="E8AE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E46123"/>
    <w:multiLevelType w:val="hybridMultilevel"/>
    <w:tmpl w:val="6A98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06079"/>
    <w:multiLevelType w:val="hybridMultilevel"/>
    <w:tmpl w:val="0BE4AAC0"/>
    <w:lvl w:ilvl="0" w:tplc="63AAF300">
      <w:start w:val="5"/>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48568C7"/>
    <w:multiLevelType w:val="multilevel"/>
    <w:tmpl w:val="F1CCE0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6FE3D7E"/>
    <w:multiLevelType w:val="multilevel"/>
    <w:tmpl w:val="7C38030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AF60216"/>
    <w:multiLevelType w:val="multilevel"/>
    <w:tmpl w:val="563A62B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0B90D32"/>
    <w:multiLevelType w:val="multilevel"/>
    <w:tmpl w:val="E968E45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2E7AEB"/>
    <w:multiLevelType w:val="hybridMultilevel"/>
    <w:tmpl w:val="A4E8E4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58464F9"/>
    <w:multiLevelType w:val="hybridMultilevel"/>
    <w:tmpl w:val="1C3E005A"/>
    <w:lvl w:ilvl="0" w:tplc="29307CF4">
      <w:start w:val="2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92D63"/>
    <w:multiLevelType w:val="hybridMultilevel"/>
    <w:tmpl w:val="E40C2B18"/>
    <w:lvl w:ilvl="0" w:tplc="01F6B5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7509E7"/>
    <w:multiLevelType w:val="multilevel"/>
    <w:tmpl w:val="563A62B8"/>
    <w:lvl w:ilvl="0">
      <w:start w:val="1"/>
      <w:numFmt w:val="decimal"/>
      <w:lvlText w:val="%1"/>
      <w:lvlJc w:val="left"/>
      <w:pPr>
        <w:ind w:left="480"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A101A53"/>
    <w:multiLevelType w:val="multilevel"/>
    <w:tmpl w:val="F1CCE0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9463A8"/>
    <w:multiLevelType w:val="multilevel"/>
    <w:tmpl w:val="563A62B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BBE7FB7"/>
    <w:multiLevelType w:val="multilevel"/>
    <w:tmpl w:val="EDE4E91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C312EB1"/>
    <w:multiLevelType w:val="hybridMultilevel"/>
    <w:tmpl w:val="839C59D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E206DB7"/>
    <w:multiLevelType w:val="hybridMultilevel"/>
    <w:tmpl w:val="6BDEB5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7"/>
  </w:num>
  <w:num w:numId="3">
    <w:abstractNumId w:val="22"/>
  </w:num>
  <w:num w:numId="4">
    <w:abstractNumId w:val="13"/>
  </w:num>
  <w:num w:numId="5">
    <w:abstractNumId w:val="10"/>
  </w:num>
  <w:num w:numId="6">
    <w:abstractNumId w:val="19"/>
  </w:num>
  <w:num w:numId="7">
    <w:abstractNumId w:val="24"/>
  </w:num>
  <w:num w:numId="8">
    <w:abstractNumId w:val="12"/>
  </w:num>
  <w:num w:numId="9">
    <w:abstractNumId w:val="8"/>
  </w:num>
  <w:num w:numId="10">
    <w:abstractNumId w:val="26"/>
  </w:num>
  <w:num w:numId="11">
    <w:abstractNumId w:val="5"/>
  </w:num>
  <w:num w:numId="12">
    <w:abstractNumId w:val="27"/>
  </w:num>
  <w:num w:numId="13">
    <w:abstractNumId w:val="18"/>
  </w:num>
  <w:num w:numId="14">
    <w:abstractNumId w:val="23"/>
  </w:num>
  <w:num w:numId="15">
    <w:abstractNumId w:val="9"/>
  </w:num>
  <w:num w:numId="16">
    <w:abstractNumId w:val="2"/>
  </w:num>
  <w:num w:numId="17">
    <w:abstractNumId w:val="1"/>
  </w:num>
  <w:num w:numId="18">
    <w:abstractNumId w:val="11"/>
  </w:num>
  <w:num w:numId="19">
    <w:abstractNumId w:val="0"/>
  </w:num>
  <w:num w:numId="20">
    <w:abstractNumId w:val="4"/>
  </w:num>
  <w:num w:numId="21">
    <w:abstractNumId w:val="20"/>
  </w:num>
  <w:num w:numId="22">
    <w:abstractNumId w:val="6"/>
  </w:num>
  <w:num w:numId="23">
    <w:abstractNumId w:val="17"/>
  </w:num>
  <w:num w:numId="24">
    <w:abstractNumId w:val="25"/>
  </w:num>
  <w:num w:numId="25">
    <w:abstractNumId w:val="28"/>
  </w:num>
  <w:num w:numId="26">
    <w:abstractNumId w:val="29"/>
  </w:num>
  <w:num w:numId="27">
    <w:abstractNumId w:val="21"/>
  </w:num>
  <w:num w:numId="28">
    <w:abstractNumId w:val="3"/>
  </w:num>
  <w:num w:numId="29">
    <w:abstractNumId w:val="14"/>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t0wwwa19pr2sesz0p5rd9crdpv0dwxf5ps&quot;&gt;ESF_references&lt;record-ids&gt;&lt;item&gt;132&lt;/item&gt;&lt;item&gt;340&lt;/item&gt;&lt;item&gt;782&lt;/item&gt;&lt;item&gt;1618&lt;/item&gt;&lt;item&gt;3189&lt;/item&gt;&lt;item&gt;3363&lt;/item&gt;&lt;item&gt;3508&lt;/item&gt;&lt;item&gt;4469&lt;/item&gt;&lt;item&gt;4473&lt;/item&gt;&lt;item&gt;4820&lt;/item&gt;&lt;/record-ids&gt;&lt;/item&gt;&lt;/Libraries&gt;"/>
  </w:docVars>
  <w:rsids>
    <w:rsidRoot w:val="00886213"/>
    <w:rsid w:val="000004E4"/>
    <w:rsid w:val="0000511F"/>
    <w:rsid w:val="000058F0"/>
    <w:rsid w:val="00005ABA"/>
    <w:rsid w:val="000065D3"/>
    <w:rsid w:val="00006855"/>
    <w:rsid w:val="000069B6"/>
    <w:rsid w:val="000078A8"/>
    <w:rsid w:val="000112C4"/>
    <w:rsid w:val="000138DF"/>
    <w:rsid w:val="00014C0D"/>
    <w:rsid w:val="00015245"/>
    <w:rsid w:val="00015522"/>
    <w:rsid w:val="00015AD4"/>
    <w:rsid w:val="00016B57"/>
    <w:rsid w:val="0001740F"/>
    <w:rsid w:val="0001744D"/>
    <w:rsid w:val="00017D59"/>
    <w:rsid w:val="000239D0"/>
    <w:rsid w:val="00023AC5"/>
    <w:rsid w:val="0002495D"/>
    <w:rsid w:val="000253D9"/>
    <w:rsid w:val="0002641C"/>
    <w:rsid w:val="00031D27"/>
    <w:rsid w:val="00032C46"/>
    <w:rsid w:val="00032D29"/>
    <w:rsid w:val="000332EB"/>
    <w:rsid w:val="0003398D"/>
    <w:rsid w:val="00034F5D"/>
    <w:rsid w:val="00035BE1"/>
    <w:rsid w:val="000368ED"/>
    <w:rsid w:val="00040064"/>
    <w:rsid w:val="00040B63"/>
    <w:rsid w:val="00040B78"/>
    <w:rsid w:val="00041370"/>
    <w:rsid w:val="00042B0E"/>
    <w:rsid w:val="0004346D"/>
    <w:rsid w:val="00044794"/>
    <w:rsid w:val="00044FE2"/>
    <w:rsid w:val="000451A7"/>
    <w:rsid w:val="000451E2"/>
    <w:rsid w:val="0004718E"/>
    <w:rsid w:val="0004779E"/>
    <w:rsid w:val="00047884"/>
    <w:rsid w:val="0005135A"/>
    <w:rsid w:val="0005251F"/>
    <w:rsid w:val="000538FF"/>
    <w:rsid w:val="0005548A"/>
    <w:rsid w:val="00055AFB"/>
    <w:rsid w:val="00055D45"/>
    <w:rsid w:val="00056E64"/>
    <w:rsid w:val="0006138D"/>
    <w:rsid w:val="00061491"/>
    <w:rsid w:val="0006173A"/>
    <w:rsid w:val="00061832"/>
    <w:rsid w:val="00062EB3"/>
    <w:rsid w:val="00063245"/>
    <w:rsid w:val="00066224"/>
    <w:rsid w:val="00066810"/>
    <w:rsid w:val="00067AFC"/>
    <w:rsid w:val="000707AD"/>
    <w:rsid w:val="00071229"/>
    <w:rsid w:val="000755FB"/>
    <w:rsid w:val="0007631A"/>
    <w:rsid w:val="000766A9"/>
    <w:rsid w:val="00077FCE"/>
    <w:rsid w:val="000805CD"/>
    <w:rsid w:val="00082094"/>
    <w:rsid w:val="00083282"/>
    <w:rsid w:val="00084D51"/>
    <w:rsid w:val="0008602C"/>
    <w:rsid w:val="000861FC"/>
    <w:rsid w:val="0008706D"/>
    <w:rsid w:val="000913C4"/>
    <w:rsid w:val="0009195A"/>
    <w:rsid w:val="00091CBB"/>
    <w:rsid w:val="00094080"/>
    <w:rsid w:val="000947E0"/>
    <w:rsid w:val="000949F6"/>
    <w:rsid w:val="00096C5C"/>
    <w:rsid w:val="00097172"/>
    <w:rsid w:val="00097A59"/>
    <w:rsid w:val="00097B45"/>
    <w:rsid w:val="000A17D1"/>
    <w:rsid w:val="000A4DC2"/>
    <w:rsid w:val="000A5EF5"/>
    <w:rsid w:val="000B13B0"/>
    <w:rsid w:val="000B151C"/>
    <w:rsid w:val="000B26CC"/>
    <w:rsid w:val="000B27E4"/>
    <w:rsid w:val="000B4244"/>
    <w:rsid w:val="000B42AD"/>
    <w:rsid w:val="000B7A4A"/>
    <w:rsid w:val="000B7A5B"/>
    <w:rsid w:val="000C23F9"/>
    <w:rsid w:val="000C5947"/>
    <w:rsid w:val="000C690D"/>
    <w:rsid w:val="000C6B96"/>
    <w:rsid w:val="000C75EC"/>
    <w:rsid w:val="000D2FC5"/>
    <w:rsid w:val="000D58D3"/>
    <w:rsid w:val="000E1A40"/>
    <w:rsid w:val="000E1B22"/>
    <w:rsid w:val="000E1E3D"/>
    <w:rsid w:val="000E3A9F"/>
    <w:rsid w:val="000E3EDB"/>
    <w:rsid w:val="000E4BDD"/>
    <w:rsid w:val="000E6C33"/>
    <w:rsid w:val="000E70E3"/>
    <w:rsid w:val="000F1A21"/>
    <w:rsid w:val="000F1A45"/>
    <w:rsid w:val="000F1DFA"/>
    <w:rsid w:val="000F21E5"/>
    <w:rsid w:val="000F408C"/>
    <w:rsid w:val="000F54B0"/>
    <w:rsid w:val="000F577A"/>
    <w:rsid w:val="000F774E"/>
    <w:rsid w:val="00100120"/>
    <w:rsid w:val="00101258"/>
    <w:rsid w:val="00103A14"/>
    <w:rsid w:val="00104955"/>
    <w:rsid w:val="001049CE"/>
    <w:rsid w:val="00104B83"/>
    <w:rsid w:val="00106047"/>
    <w:rsid w:val="00106E0B"/>
    <w:rsid w:val="00107C43"/>
    <w:rsid w:val="00110A04"/>
    <w:rsid w:val="001137DB"/>
    <w:rsid w:val="00115462"/>
    <w:rsid w:val="00115AFD"/>
    <w:rsid w:val="00115C34"/>
    <w:rsid w:val="0011639A"/>
    <w:rsid w:val="001166B6"/>
    <w:rsid w:val="00116A9A"/>
    <w:rsid w:val="00116ADC"/>
    <w:rsid w:val="00120C98"/>
    <w:rsid w:val="00121277"/>
    <w:rsid w:val="00124231"/>
    <w:rsid w:val="001252B2"/>
    <w:rsid w:val="00125759"/>
    <w:rsid w:val="00126472"/>
    <w:rsid w:val="00127B9F"/>
    <w:rsid w:val="00130510"/>
    <w:rsid w:val="001317E3"/>
    <w:rsid w:val="0013299B"/>
    <w:rsid w:val="00132F91"/>
    <w:rsid w:val="0013331F"/>
    <w:rsid w:val="001363ED"/>
    <w:rsid w:val="0013779F"/>
    <w:rsid w:val="0013786F"/>
    <w:rsid w:val="001426AB"/>
    <w:rsid w:val="00144722"/>
    <w:rsid w:val="00146078"/>
    <w:rsid w:val="00150CEE"/>
    <w:rsid w:val="00151A48"/>
    <w:rsid w:val="00152E31"/>
    <w:rsid w:val="001534E3"/>
    <w:rsid w:val="00154BD2"/>
    <w:rsid w:val="001567D7"/>
    <w:rsid w:val="001567E5"/>
    <w:rsid w:val="00156FCB"/>
    <w:rsid w:val="00157004"/>
    <w:rsid w:val="00157D51"/>
    <w:rsid w:val="00160528"/>
    <w:rsid w:val="00160715"/>
    <w:rsid w:val="001610AB"/>
    <w:rsid w:val="00161AD3"/>
    <w:rsid w:val="001623B1"/>
    <w:rsid w:val="00163B99"/>
    <w:rsid w:val="001651D6"/>
    <w:rsid w:val="00165A02"/>
    <w:rsid w:val="00166200"/>
    <w:rsid w:val="00167157"/>
    <w:rsid w:val="00167DDF"/>
    <w:rsid w:val="00172C34"/>
    <w:rsid w:val="001819C4"/>
    <w:rsid w:val="00182826"/>
    <w:rsid w:val="00183D3C"/>
    <w:rsid w:val="00184C77"/>
    <w:rsid w:val="0018548A"/>
    <w:rsid w:val="00186D3B"/>
    <w:rsid w:val="001924EF"/>
    <w:rsid w:val="001925A0"/>
    <w:rsid w:val="00192704"/>
    <w:rsid w:val="00192EF7"/>
    <w:rsid w:val="00193BE5"/>
    <w:rsid w:val="00194964"/>
    <w:rsid w:val="00196158"/>
    <w:rsid w:val="00196E27"/>
    <w:rsid w:val="001A156A"/>
    <w:rsid w:val="001A21FF"/>
    <w:rsid w:val="001A3AC4"/>
    <w:rsid w:val="001A4182"/>
    <w:rsid w:val="001A680E"/>
    <w:rsid w:val="001A6ED9"/>
    <w:rsid w:val="001B02B0"/>
    <w:rsid w:val="001B0BE4"/>
    <w:rsid w:val="001B1E4A"/>
    <w:rsid w:val="001B229D"/>
    <w:rsid w:val="001B2588"/>
    <w:rsid w:val="001B3895"/>
    <w:rsid w:val="001B4907"/>
    <w:rsid w:val="001B491D"/>
    <w:rsid w:val="001B521B"/>
    <w:rsid w:val="001B59D5"/>
    <w:rsid w:val="001B68CC"/>
    <w:rsid w:val="001B7D18"/>
    <w:rsid w:val="001C0CBB"/>
    <w:rsid w:val="001C0E65"/>
    <w:rsid w:val="001C1637"/>
    <w:rsid w:val="001C1EEF"/>
    <w:rsid w:val="001C24F6"/>
    <w:rsid w:val="001C28AF"/>
    <w:rsid w:val="001C30D6"/>
    <w:rsid w:val="001C3C9F"/>
    <w:rsid w:val="001C3E2E"/>
    <w:rsid w:val="001C416B"/>
    <w:rsid w:val="001C4F6B"/>
    <w:rsid w:val="001C668E"/>
    <w:rsid w:val="001C691A"/>
    <w:rsid w:val="001C6A15"/>
    <w:rsid w:val="001D2CB9"/>
    <w:rsid w:val="001D2DB7"/>
    <w:rsid w:val="001D31CF"/>
    <w:rsid w:val="001D5906"/>
    <w:rsid w:val="001D633E"/>
    <w:rsid w:val="001D69E0"/>
    <w:rsid w:val="001D7F8F"/>
    <w:rsid w:val="001E241B"/>
    <w:rsid w:val="001E3EF6"/>
    <w:rsid w:val="001E41CC"/>
    <w:rsid w:val="001E6A8D"/>
    <w:rsid w:val="001E6FDA"/>
    <w:rsid w:val="001F05EB"/>
    <w:rsid w:val="001F0C9F"/>
    <w:rsid w:val="001F1039"/>
    <w:rsid w:val="001F202A"/>
    <w:rsid w:val="001F313F"/>
    <w:rsid w:val="001F6C12"/>
    <w:rsid w:val="001F7685"/>
    <w:rsid w:val="002019DE"/>
    <w:rsid w:val="00201A9E"/>
    <w:rsid w:val="00201C68"/>
    <w:rsid w:val="00201E41"/>
    <w:rsid w:val="00202297"/>
    <w:rsid w:val="0020326E"/>
    <w:rsid w:val="002032C3"/>
    <w:rsid w:val="00205B25"/>
    <w:rsid w:val="00205B7B"/>
    <w:rsid w:val="00206DF8"/>
    <w:rsid w:val="00210AFE"/>
    <w:rsid w:val="00211D26"/>
    <w:rsid w:val="002120FC"/>
    <w:rsid w:val="00213E9F"/>
    <w:rsid w:val="00214725"/>
    <w:rsid w:val="00215798"/>
    <w:rsid w:val="00216205"/>
    <w:rsid w:val="0021635C"/>
    <w:rsid w:val="00217D17"/>
    <w:rsid w:val="00222C5E"/>
    <w:rsid w:val="00222D33"/>
    <w:rsid w:val="0022371D"/>
    <w:rsid w:val="00225895"/>
    <w:rsid w:val="00225AEB"/>
    <w:rsid w:val="002275F3"/>
    <w:rsid w:val="00230B48"/>
    <w:rsid w:val="0023251C"/>
    <w:rsid w:val="002332A6"/>
    <w:rsid w:val="00234BAD"/>
    <w:rsid w:val="00236850"/>
    <w:rsid w:val="002372F6"/>
    <w:rsid w:val="00242284"/>
    <w:rsid w:val="002438F7"/>
    <w:rsid w:val="00243D30"/>
    <w:rsid w:val="00244388"/>
    <w:rsid w:val="002454AD"/>
    <w:rsid w:val="00245726"/>
    <w:rsid w:val="002458E3"/>
    <w:rsid w:val="00246BE5"/>
    <w:rsid w:val="0024790E"/>
    <w:rsid w:val="002522C8"/>
    <w:rsid w:val="00253622"/>
    <w:rsid w:val="00253D09"/>
    <w:rsid w:val="00254711"/>
    <w:rsid w:val="002551AF"/>
    <w:rsid w:val="002555E3"/>
    <w:rsid w:val="00255EF7"/>
    <w:rsid w:val="002569CD"/>
    <w:rsid w:val="00260D02"/>
    <w:rsid w:val="00262DB6"/>
    <w:rsid w:val="002642D8"/>
    <w:rsid w:val="00264574"/>
    <w:rsid w:val="00265191"/>
    <w:rsid w:val="002652F2"/>
    <w:rsid w:val="002656DB"/>
    <w:rsid w:val="00265F97"/>
    <w:rsid w:val="00266857"/>
    <w:rsid w:val="00267478"/>
    <w:rsid w:val="0026757B"/>
    <w:rsid w:val="0027199F"/>
    <w:rsid w:val="00271A98"/>
    <w:rsid w:val="00272FF3"/>
    <w:rsid w:val="00273BE6"/>
    <w:rsid w:val="0027519F"/>
    <w:rsid w:val="002756B0"/>
    <w:rsid w:val="00275B01"/>
    <w:rsid w:val="00276D5A"/>
    <w:rsid w:val="00280F54"/>
    <w:rsid w:val="00281406"/>
    <w:rsid w:val="00281563"/>
    <w:rsid w:val="002818D1"/>
    <w:rsid w:val="002840BC"/>
    <w:rsid w:val="00284D77"/>
    <w:rsid w:val="00285202"/>
    <w:rsid w:val="002854BA"/>
    <w:rsid w:val="002857C0"/>
    <w:rsid w:val="00285C33"/>
    <w:rsid w:val="0028646D"/>
    <w:rsid w:val="002868CA"/>
    <w:rsid w:val="0029693A"/>
    <w:rsid w:val="002A3A83"/>
    <w:rsid w:val="002A5437"/>
    <w:rsid w:val="002A6918"/>
    <w:rsid w:val="002A717C"/>
    <w:rsid w:val="002B0C3C"/>
    <w:rsid w:val="002B0E24"/>
    <w:rsid w:val="002B167E"/>
    <w:rsid w:val="002B203A"/>
    <w:rsid w:val="002B20C8"/>
    <w:rsid w:val="002B28EA"/>
    <w:rsid w:val="002B2F61"/>
    <w:rsid w:val="002B5A6C"/>
    <w:rsid w:val="002B64CE"/>
    <w:rsid w:val="002B7012"/>
    <w:rsid w:val="002C0B8C"/>
    <w:rsid w:val="002C14CA"/>
    <w:rsid w:val="002C22F1"/>
    <w:rsid w:val="002C2F69"/>
    <w:rsid w:val="002C4FAE"/>
    <w:rsid w:val="002C50AC"/>
    <w:rsid w:val="002C5814"/>
    <w:rsid w:val="002C77B6"/>
    <w:rsid w:val="002C77CC"/>
    <w:rsid w:val="002D01CF"/>
    <w:rsid w:val="002D12F7"/>
    <w:rsid w:val="002D2629"/>
    <w:rsid w:val="002D27C5"/>
    <w:rsid w:val="002D4540"/>
    <w:rsid w:val="002D6A1C"/>
    <w:rsid w:val="002D74C0"/>
    <w:rsid w:val="002D7635"/>
    <w:rsid w:val="002E1080"/>
    <w:rsid w:val="002E1532"/>
    <w:rsid w:val="002E502B"/>
    <w:rsid w:val="002E6457"/>
    <w:rsid w:val="002E679E"/>
    <w:rsid w:val="002F0479"/>
    <w:rsid w:val="002F11F1"/>
    <w:rsid w:val="002F1C4A"/>
    <w:rsid w:val="002F27BD"/>
    <w:rsid w:val="002F2C79"/>
    <w:rsid w:val="002F4151"/>
    <w:rsid w:val="003016EC"/>
    <w:rsid w:val="003021FE"/>
    <w:rsid w:val="0030335A"/>
    <w:rsid w:val="00303C28"/>
    <w:rsid w:val="00304BF3"/>
    <w:rsid w:val="00305472"/>
    <w:rsid w:val="0030696F"/>
    <w:rsid w:val="00307720"/>
    <w:rsid w:val="003077D1"/>
    <w:rsid w:val="003106EF"/>
    <w:rsid w:val="0031257D"/>
    <w:rsid w:val="00314E58"/>
    <w:rsid w:val="0031611C"/>
    <w:rsid w:val="003173AB"/>
    <w:rsid w:val="00317E6B"/>
    <w:rsid w:val="003213D9"/>
    <w:rsid w:val="003214D8"/>
    <w:rsid w:val="0032353B"/>
    <w:rsid w:val="00323610"/>
    <w:rsid w:val="00323720"/>
    <w:rsid w:val="00325060"/>
    <w:rsid w:val="00326576"/>
    <w:rsid w:val="003267D3"/>
    <w:rsid w:val="00326EE2"/>
    <w:rsid w:val="00327581"/>
    <w:rsid w:val="0033099D"/>
    <w:rsid w:val="00332EC5"/>
    <w:rsid w:val="00334684"/>
    <w:rsid w:val="00334E09"/>
    <w:rsid w:val="003350D6"/>
    <w:rsid w:val="003350F1"/>
    <w:rsid w:val="003353B5"/>
    <w:rsid w:val="00335D5D"/>
    <w:rsid w:val="00335FAA"/>
    <w:rsid w:val="00337929"/>
    <w:rsid w:val="00340563"/>
    <w:rsid w:val="00341559"/>
    <w:rsid w:val="003442F4"/>
    <w:rsid w:val="00346305"/>
    <w:rsid w:val="003477B0"/>
    <w:rsid w:val="003511D4"/>
    <w:rsid w:val="0035146A"/>
    <w:rsid w:val="00353DCD"/>
    <w:rsid w:val="00355590"/>
    <w:rsid w:val="00356193"/>
    <w:rsid w:val="003563A1"/>
    <w:rsid w:val="00357AC1"/>
    <w:rsid w:val="00357D89"/>
    <w:rsid w:val="00362772"/>
    <w:rsid w:val="00362A96"/>
    <w:rsid w:val="00362B3D"/>
    <w:rsid w:val="00364316"/>
    <w:rsid w:val="0036469B"/>
    <w:rsid w:val="003652CD"/>
    <w:rsid w:val="00366364"/>
    <w:rsid w:val="00367029"/>
    <w:rsid w:val="00370A59"/>
    <w:rsid w:val="00372506"/>
    <w:rsid w:val="00373AAD"/>
    <w:rsid w:val="00374B24"/>
    <w:rsid w:val="00374D96"/>
    <w:rsid w:val="00375444"/>
    <w:rsid w:val="003764FD"/>
    <w:rsid w:val="00376896"/>
    <w:rsid w:val="003768A3"/>
    <w:rsid w:val="0037707C"/>
    <w:rsid w:val="00380E0F"/>
    <w:rsid w:val="0038175D"/>
    <w:rsid w:val="0038359D"/>
    <w:rsid w:val="00383F25"/>
    <w:rsid w:val="00384127"/>
    <w:rsid w:val="00384FA4"/>
    <w:rsid w:val="00385DE9"/>
    <w:rsid w:val="003860C4"/>
    <w:rsid w:val="0038737B"/>
    <w:rsid w:val="00387B65"/>
    <w:rsid w:val="0039466E"/>
    <w:rsid w:val="00394AFA"/>
    <w:rsid w:val="00394E28"/>
    <w:rsid w:val="00396446"/>
    <w:rsid w:val="003A01AD"/>
    <w:rsid w:val="003A07E1"/>
    <w:rsid w:val="003A1FC1"/>
    <w:rsid w:val="003A2602"/>
    <w:rsid w:val="003A444E"/>
    <w:rsid w:val="003A6A37"/>
    <w:rsid w:val="003A6F12"/>
    <w:rsid w:val="003A727F"/>
    <w:rsid w:val="003B0244"/>
    <w:rsid w:val="003B0B43"/>
    <w:rsid w:val="003B0EC0"/>
    <w:rsid w:val="003B0FB0"/>
    <w:rsid w:val="003B19AA"/>
    <w:rsid w:val="003B336D"/>
    <w:rsid w:val="003B4074"/>
    <w:rsid w:val="003B4AC0"/>
    <w:rsid w:val="003B4B21"/>
    <w:rsid w:val="003B6508"/>
    <w:rsid w:val="003B65B0"/>
    <w:rsid w:val="003B7C55"/>
    <w:rsid w:val="003C0B13"/>
    <w:rsid w:val="003C152B"/>
    <w:rsid w:val="003C2262"/>
    <w:rsid w:val="003C25C7"/>
    <w:rsid w:val="003C5099"/>
    <w:rsid w:val="003D016B"/>
    <w:rsid w:val="003D23EA"/>
    <w:rsid w:val="003D277E"/>
    <w:rsid w:val="003D297D"/>
    <w:rsid w:val="003D3BE1"/>
    <w:rsid w:val="003D40D7"/>
    <w:rsid w:val="003D4E56"/>
    <w:rsid w:val="003D5E6B"/>
    <w:rsid w:val="003D6B1B"/>
    <w:rsid w:val="003D7A62"/>
    <w:rsid w:val="003E1861"/>
    <w:rsid w:val="003E3D9C"/>
    <w:rsid w:val="003E445D"/>
    <w:rsid w:val="003E4D33"/>
    <w:rsid w:val="003E5081"/>
    <w:rsid w:val="003F296A"/>
    <w:rsid w:val="003F40E3"/>
    <w:rsid w:val="003F4D0E"/>
    <w:rsid w:val="003F66E5"/>
    <w:rsid w:val="00400C5D"/>
    <w:rsid w:val="00404A67"/>
    <w:rsid w:val="00404CF5"/>
    <w:rsid w:val="00407E45"/>
    <w:rsid w:val="00411B9E"/>
    <w:rsid w:val="00412A24"/>
    <w:rsid w:val="00414E4E"/>
    <w:rsid w:val="00415209"/>
    <w:rsid w:val="004158B0"/>
    <w:rsid w:val="00415FA5"/>
    <w:rsid w:val="004160DF"/>
    <w:rsid w:val="0041630A"/>
    <w:rsid w:val="00420395"/>
    <w:rsid w:val="00421C85"/>
    <w:rsid w:val="00422468"/>
    <w:rsid w:val="00425AF6"/>
    <w:rsid w:val="004269A4"/>
    <w:rsid w:val="0043031B"/>
    <w:rsid w:val="004311DE"/>
    <w:rsid w:val="004338D1"/>
    <w:rsid w:val="00435FFA"/>
    <w:rsid w:val="004379D1"/>
    <w:rsid w:val="00437A58"/>
    <w:rsid w:val="0044087A"/>
    <w:rsid w:val="004408CA"/>
    <w:rsid w:val="00441439"/>
    <w:rsid w:val="004419F9"/>
    <w:rsid w:val="00442FBB"/>
    <w:rsid w:val="00445E7C"/>
    <w:rsid w:val="00450818"/>
    <w:rsid w:val="0045148D"/>
    <w:rsid w:val="00452A5A"/>
    <w:rsid w:val="00452F94"/>
    <w:rsid w:val="004534A3"/>
    <w:rsid w:val="004535C0"/>
    <w:rsid w:val="00454E83"/>
    <w:rsid w:val="00455BF0"/>
    <w:rsid w:val="00455FFE"/>
    <w:rsid w:val="00462AE6"/>
    <w:rsid w:val="0046344C"/>
    <w:rsid w:val="00464019"/>
    <w:rsid w:val="004645F2"/>
    <w:rsid w:val="004665DA"/>
    <w:rsid w:val="0046680C"/>
    <w:rsid w:val="0046728A"/>
    <w:rsid w:val="00467C06"/>
    <w:rsid w:val="00467D91"/>
    <w:rsid w:val="00470290"/>
    <w:rsid w:val="00470EF6"/>
    <w:rsid w:val="004732CE"/>
    <w:rsid w:val="00474314"/>
    <w:rsid w:val="004750DD"/>
    <w:rsid w:val="0048033E"/>
    <w:rsid w:val="004803D9"/>
    <w:rsid w:val="004816CA"/>
    <w:rsid w:val="00482958"/>
    <w:rsid w:val="00482E85"/>
    <w:rsid w:val="00484083"/>
    <w:rsid w:val="00485D1D"/>
    <w:rsid w:val="00486439"/>
    <w:rsid w:val="0049219E"/>
    <w:rsid w:val="00492975"/>
    <w:rsid w:val="00492CD3"/>
    <w:rsid w:val="004941B9"/>
    <w:rsid w:val="004943BA"/>
    <w:rsid w:val="00494644"/>
    <w:rsid w:val="00494AF2"/>
    <w:rsid w:val="00497445"/>
    <w:rsid w:val="004A0031"/>
    <w:rsid w:val="004A003B"/>
    <w:rsid w:val="004A171C"/>
    <w:rsid w:val="004A4404"/>
    <w:rsid w:val="004A4CF4"/>
    <w:rsid w:val="004A4E56"/>
    <w:rsid w:val="004A5D11"/>
    <w:rsid w:val="004A6729"/>
    <w:rsid w:val="004A7E2A"/>
    <w:rsid w:val="004A7F84"/>
    <w:rsid w:val="004B10E0"/>
    <w:rsid w:val="004B27B8"/>
    <w:rsid w:val="004B333B"/>
    <w:rsid w:val="004B365F"/>
    <w:rsid w:val="004B6220"/>
    <w:rsid w:val="004B6C5B"/>
    <w:rsid w:val="004B72FB"/>
    <w:rsid w:val="004B74C2"/>
    <w:rsid w:val="004C0C44"/>
    <w:rsid w:val="004C1B8C"/>
    <w:rsid w:val="004C25E0"/>
    <w:rsid w:val="004C2B1C"/>
    <w:rsid w:val="004C3891"/>
    <w:rsid w:val="004C5EB2"/>
    <w:rsid w:val="004D24B7"/>
    <w:rsid w:val="004D3E14"/>
    <w:rsid w:val="004D4CB1"/>
    <w:rsid w:val="004D5AD0"/>
    <w:rsid w:val="004D5DF8"/>
    <w:rsid w:val="004D69FD"/>
    <w:rsid w:val="004D7191"/>
    <w:rsid w:val="004D722E"/>
    <w:rsid w:val="004E1A74"/>
    <w:rsid w:val="004E6D54"/>
    <w:rsid w:val="004F2262"/>
    <w:rsid w:val="004F33E7"/>
    <w:rsid w:val="004F349A"/>
    <w:rsid w:val="004F3C84"/>
    <w:rsid w:val="004F41AF"/>
    <w:rsid w:val="004F4DB7"/>
    <w:rsid w:val="004F55A0"/>
    <w:rsid w:val="004F6DCA"/>
    <w:rsid w:val="00500970"/>
    <w:rsid w:val="00500B95"/>
    <w:rsid w:val="00501006"/>
    <w:rsid w:val="00501196"/>
    <w:rsid w:val="0050368D"/>
    <w:rsid w:val="005036E6"/>
    <w:rsid w:val="00503CB9"/>
    <w:rsid w:val="0050474A"/>
    <w:rsid w:val="00504E7F"/>
    <w:rsid w:val="005055E3"/>
    <w:rsid w:val="00505D07"/>
    <w:rsid w:val="00506194"/>
    <w:rsid w:val="00506982"/>
    <w:rsid w:val="0050735F"/>
    <w:rsid w:val="00507CEF"/>
    <w:rsid w:val="0051030D"/>
    <w:rsid w:val="00510CD6"/>
    <w:rsid w:val="00510D7B"/>
    <w:rsid w:val="00511A12"/>
    <w:rsid w:val="005128FE"/>
    <w:rsid w:val="00512AE0"/>
    <w:rsid w:val="00512B62"/>
    <w:rsid w:val="005149B0"/>
    <w:rsid w:val="00514DC4"/>
    <w:rsid w:val="00516A14"/>
    <w:rsid w:val="00517207"/>
    <w:rsid w:val="005207D7"/>
    <w:rsid w:val="00520D7B"/>
    <w:rsid w:val="00520F9F"/>
    <w:rsid w:val="005223FF"/>
    <w:rsid w:val="0052248B"/>
    <w:rsid w:val="00522C89"/>
    <w:rsid w:val="00523895"/>
    <w:rsid w:val="00523B50"/>
    <w:rsid w:val="005312AE"/>
    <w:rsid w:val="00532399"/>
    <w:rsid w:val="005325C8"/>
    <w:rsid w:val="0053381E"/>
    <w:rsid w:val="0053459C"/>
    <w:rsid w:val="00534F3D"/>
    <w:rsid w:val="00535CA0"/>
    <w:rsid w:val="005365BE"/>
    <w:rsid w:val="00537133"/>
    <w:rsid w:val="005373D5"/>
    <w:rsid w:val="0053792A"/>
    <w:rsid w:val="00541F7F"/>
    <w:rsid w:val="00544363"/>
    <w:rsid w:val="00544A9D"/>
    <w:rsid w:val="00547231"/>
    <w:rsid w:val="00550814"/>
    <w:rsid w:val="00555555"/>
    <w:rsid w:val="0055787E"/>
    <w:rsid w:val="00560C48"/>
    <w:rsid w:val="005616D5"/>
    <w:rsid w:val="00561F69"/>
    <w:rsid w:val="00563466"/>
    <w:rsid w:val="005642DE"/>
    <w:rsid w:val="00564336"/>
    <w:rsid w:val="005670E2"/>
    <w:rsid w:val="00567D6D"/>
    <w:rsid w:val="00570042"/>
    <w:rsid w:val="00571129"/>
    <w:rsid w:val="00571AC7"/>
    <w:rsid w:val="00573EFE"/>
    <w:rsid w:val="00574D0F"/>
    <w:rsid w:val="00577563"/>
    <w:rsid w:val="005806EA"/>
    <w:rsid w:val="0058182A"/>
    <w:rsid w:val="00581AE2"/>
    <w:rsid w:val="00583A80"/>
    <w:rsid w:val="00583FF9"/>
    <w:rsid w:val="005851B4"/>
    <w:rsid w:val="005869B2"/>
    <w:rsid w:val="005879BE"/>
    <w:rsid w:val="00587DF6"/>
    <w:rsid w:val="00590CA3"/>
    <w:rsid w:val="005927F1"/>
    <w:rsid w:val="00593233"/>
    <w:rsid w:val="005932C9"/>
    <w:rsid w:val="00593DFC"/>
    <w:rsid w:val="0059408F"/>
    <w:rsid w:val="0059529F"/>
    <w:rsid w:val="00595842"/>
    <w:rsid w:val="005A0A45"/>
    <w:rsid w:val="005A0E8C"/>
    <w:rsid w:val="005A12A3"/>
    <w:rsid w:val="005A197B"/>
    <w:rsid w:val="005A1B93"/>
    <w:rsid w:val="005A344F"/>
    <w:rsid w:val="005A3AA0"/>
    <w:rsid w:val="005A43E5"/>
    <w:rsid w:val="005A4E87"/>
    <w:rsid w:val="005A50D4"/>
    <w:rsid w:val="005A6363"/>
    <w:rsid w:val="005A6FC0"/>
    <w:rsid w:val="005A7BE7"/>
    <w:rsid w:val="005B1384"/>
    <w:rsid w:val="005B1391"/>
    <w:rsid w:val="005B2A87"/>
    <w:rsid w:val="005B2B02"/>
    <w:rsid w:val="005B301B"/>
    <w:rsid w:val="005B3B13"/>
    <w:rsid w:val="005B4731"/>
    <w:rsid w:val="005B4BE5"/>
    <w:rsid w:val="005B5234"/>
    <w:rsid w:val="005B54DC"/>
    <w:rsid w:val="005B6F04"/>
    <w:rsid w:val="005B7E7A"/>
    <w:rsid w:val="005C0CC3"/>
    <w:rsid w:val="005C1787"/>
    <w:rsid w:val="005C1F30"/>
    <w:rsid w:val="005C445D"/>
    <w:rsid w:val="005C58C3"/>
    <w:rsid w:val="005C61C2"/>
    <w:rsid w:val="005C6CFF"/>
    <w:rsid w:val="005C715C"/>
    <w:rsid w:val="005C7C45"/>
    <w:rsid w:val="005D051C"/>
    <w:rsid w:val="005D1ADD"/>
    <w:rsid w:val="005D246C"/>
    <w:rsid w:val="005D3A22"/>
    <w:rsid w:val="005D4AC1"/>
    <w:rsid w:val="005D4C7E"/>
    <w:rsid w:val="005E0462"/>
    <w:rsid w:val="005E07BD"/>
    <w:rsid w:val="005E1F85"/>
    <w:rsid w:val="005E2D70"/>
    <w:rsid w:val="005E3628"/>
    <w:rsid w:val="005E474D"/>
    <w:rsid w:val="005E6E6A"/>
    <w:rsid w:val="005E7C2F"/>
    <w:rsid w:val="005E7F62"/>
    <w:rsid w:val="005F1EAA"/>
    <w:rsid w:val="005F255D"/>
    <w:rsid w:val="005F5FD1"/>
    <w:rsid w:val="005F77AC"/>
    <w:rsid w:val="0060080C"/>
    <w:rsid w:val="00600CD5"/>
    <w:rsid w:val="00602102"/>
    <w:rsid w:val="0060319A"/>
    <w:rsid w:val="0060441B"/>
    <w:rsid w:val="00605EA7"/>
    <w:rsid w:val="00606F03"/>
    <w:rsid w:val="0061153F"/>
    <w:rsid w:val="00613415"/>
    <w:rsid w:val="0061434F"/>
    <w:rsid w:val="00620096"/>
    <w:rsid w:val="006211C4"/>
    <w:rsid w:val="00623CD2"/>
    <w:rsid w:val="00624AE3"/>
    <w:rsid w:val="006254F2"/>
    <w:rsid w:val="00625E95"/>
    <w:rsid w:val="00626F5F"/>
    <w:rsid w:val="00627BF6"/>
    <w:rsid w:val="00630753"/>
    <w:rsid w:val="00631ADD"/>
    <w:rsid w:val="006338CB"/>
    <w:rsid w:val="006339DC"/>
    <w:rsid w:val="00633D8B"/>
    <w:rsid w:val="00634C02"/>
    <w:rsid w:val="00637E5E"/>
    <w:rsid w:val="0064033A"/>
    <w:rsid w:val="00641853"/>
    <w:rsid w:val="00643239"/>
    <w:rsid w:val="006436EE"/>
    <w:rsid w:val="00643E1E"/>
    <w:rsid w:val="006450FC"/>
    <w:rsid w:val="0064547D"/>
    <w:rsid w:val="006461BE"/>
    <w:rsid w:val="0064781A"/>
    <w:rsid w:val="00651BF8"/>
    <w:rsid w:val="00653443"/>
    <w:rsid w:val="006536C7"/>
    <w:rsid w:val="006555F2"/>
    <w:rsid w:val="00657382"/>
    <w:rsid w:val="00657531"/>
    <w:rsid w:val="00660930"/>
    <w:rsid w:val="00660F8F"/>
    <w:rsid w:val="0066284A"/>
    <w:rsid w:val="00662DCE"/>
    <w:rsid w:val="00662E06"/>
    <w:rsid w:val="00665A1F"/>
    <w:rsid w:val="006675C5"/>
    <w:rsid w:val="00667939"/>
    <w:rsid w:val="00672C31"/>
    <w:rsid w:val="00673D17"/>
    <w:rsid w:val="0067450E"/>
    <w:rsid w:val="00674797"/>
    <w:rsid w:val="00674BBB"/>
    <w:rsid w:val="00675E57"/>
    <w:rsid w:val="00676068"/>
    <w:rsid w:val="0067739B"/>
    <w:rsid w:val="006779BD"/>
    <w:rsid w:val="00677C69"/>
    <w:rsid w:val="006828D5"/>
    <w:rsid w:val="006831EF"/>
    <w:rsid w:val="00683563"/>
    <w:rsid w:val="00683F80"/>
    <w:rsid w:val="006855D4"/>
    <w:rsid w:val="00685644"/>
    <w:rsid w:val="00686028"/>
    <w:rsid w:val="00690918"/>
    <w:rsid w:val="0069135F"/>
    <w:rsid w:val="00691744"/>
    <w:rsid w:val="0069378E"/>
    <w:rsid w:val="00693F59"/>
    <w:rsid w:val="0069512A"/>
    <w:rsid w:val="0069534A"/>
    <w:rsid w:val="006959A9"/>
    <w:rsid w:val="00696167"/>
    <w:rsid w:val="00697D7C"/>
    <w:rsid w:val="006A0B92"/>
    <w:rsid w:val="006A24E2"/>
    <w:rsid w:val="006A322A"/>
    <w:rsid w:val="006A4C83"/>
    <w:rsid w:val="006A5414"/>
    <w:rsid w:val="006A598D"/>
    <w:rsid w:val="006A5BB5"/>
    <w:rsid w:val="006A7F3C"/>
    <w:rsid w:val="006B211A"/>
    <w:rsid w:val="006B32D1"/>
    <w:rsid w:val="006B3793"/>
    <w:rsid w:val="006B421E"/>
    <w:rsid w:val="006B56F8"/>
    <w:rsid w:val="006B5993"/>
    <w:rsid w:val="006B6759"/>
    <w:rsid w:val="006C00DA"/>
    <w:rsid w:val="006C0A79"/>
    <w:rsid w:val="006C0F72"/>
    <w:rsid w:val="006C17E8"/>
    <w:rsid w:val="006C2632"/>
    <w:rsid w:val="006C28D0"/>
    <w:rsid w:val="006C2ED2"/>
    <w:rsid w:val="006C3366"/>
    <w:rsid w:val="006C3EC0"/>
    <w:rsid w:val="006C47AD"/>
    <w:rsid w:val="006C4E5B"/>
    <w:rsid w:val="006C7232"/>
    <w:rsid w:val="006C7EC8"/>
    <w:rsid w:val="006D288A"/>
    <w:rsid w:val="006D4629"/>
    <w:rsid w:val="006D665F"/>
    <w:rsid w:val="006D72AB"/>
    <w:rsid w:val="006E13C6"/>
    <w:rsid w:val="006E17F6"/>
    <w:rsid w:val="006E185B"/>
    <w:rsid w:val="006E1EA4"/>
    <w:rsid w:val="006E572A"/>
    <w:rsid w:val="006E6033"/>
    <w:rsid w:val="006F079C"/>
    <w:rsid w:val="006F0FC3"/>
    <w:rsid w:val="006F2469"/>
    <w:rsid w:val="006F2F0E"/>
    <w:rsid w:val="006F3C1A"/>
    <w:rsid w:val="006F4293"/>
    <w:rsid w:val="006F49BE"/>
    <w:rsid w:val="006F5308"/>
    <w:rsid w:val="006F5980"/>
    <w:rsid w:val="006F625B"/>
    <w:rsid w:val="006F7AF2"/>
    <w:rsid w:val="00702A91"/>
    <w:rsid w:val="00702C48"/>
    <w:rsid w:val="0070336E"/>
    <w:rsid w:val="00706C30"/>
    <w:rsid w:val="00707E83"/>
    <w:rsid w:val="007103BD"/>
    <w:rsid w:val="0071043B"/>
    <w:rsid w:val="007116E6"/>
    <w:rsid w:val="00712000"/>
    <w:rsid w:val="00712BF6"/>
    <w:rsid w:val="0071678F"/>
    <w:rsid w:val="00717A33"/>
    <w:rsid w:val="0072040C"/>
    <w:rsid w:val="007212B6"/>
    <w:rsid w:val="00721C97"/>
    <w:rsid w:val="00725723"/>
    <w:rsid w:val="007275A7"/>
    <w:rsid w:val="0072789F"/>
    <w:rsid w:val="00727A96"/>
    <w:rsid w:val="0073112E"/>
    <w:rsid w:val="0073171B"/>
    <w:rsid w:val="007317F2"/>
    <w:rsid w:val="0073263A"/>
    <w:rsid w:val="0073402E"/>
    <w:rsid w:val="007341CA"/>
    <w:rsid w:val="00734F5C"/>
    <w:rsid w:val="00735274"/>
    <w:rsid w:val="007372E9"/>
    <w:rsid w:val="00737F20"/>
    <w:rsid w:val="00741256"/>
    <w:rsid w:val="0074282D"/>
    <w:rsid w:val="00745C44"/>
    <w:rsid w:val="00745F97"/>
    <w:rsid w:val="00746070"/>
    <w:rsid w:val="00746757"/>
    <w:rsid w:val="00746D02"/>
    <w:rsid w:val="00747142"/>
    <w:rsid w:val="007474DF"/>
    <w:rsid w:val="00750124"/>
    <w:rsid w:val="007513DE"/>
    <w:rsid w:val="00751F13"/>
    <w:rsid w:val="00751FF3"/>
    <w:rsid w:val="00752ABE"/>
    <w:rsid w:val="00752E59"/>
    <w:rsid w:val="0075377D"/>
    <w:rsid w:val="00755B3E"/>
    <w:rsid w:val="00755F4C"/>
    <w:rsid w:val="007577B2"/>
    <w:rsid w:val="00760BDF"/>
    <w:rsid w:val="00761D46"/>
    <w:rsid w:val="00762198"/>
    <w:rsid w:val="007631DF"/>
    <w:rsid w:val="00766161"/>
    <w:rsid w:val="00766452"/>
    <w:rsid w:val="007700E2"/>
    <w:rsid w:val="00774937"/>
    <w:rsid w:val="00774A7E"/>
    <w:rsid w:val="007807F3"/>
    <w:rsid w:val="00781644"/>
    <w:rsid w:val="00782FC5"/>
    <w:rsid w:val="007836AD"/>
    <w:rsid w:val="007839F9"/>
    <w:rsid w:val="007846A6"/>
    <w:rsid w:val="007850A0"/>
    <w:rsid w:val="00785440"/>
    <w:rsid w:val="0078589C"/>
    <w:rsid w:val="00786424"/>
    <w:rsid w:val="00787162"/>
    <w:rsid w:val="007871B6"/>
    <w:rsid w:val="007900F2"/>
    <w:rsid w:val="007908F0"/>
    <w:rsid w:val="00791669"/>
    <w:rsid w:val="007934E8"/>
    <w:rsid w:val="00793B42"/>
    <w:rsid w:val="00794B66"/>
    <w:rsid w:val="00794CB6"/>
    <w:rsid w:val="00795FC9"/>
    <w:rsid w:val="007963CF"/>
    <w:rsid w:val="00796904"/>
    <w:rsid w:val="00797D6A"/>
    <w:rsid w:val="00797FBE"/>
    <w:rsid w:val="007A0E77"/>
    <w:rsid w:val="007A1C25"/>
    <w:rsid w:val="007A255E"/>
    <w:rsid w:val="007A2DEF"/>
    <w:rsid w:val="007A49DB"/>
    <w:rsid w:val="007A4F85"/>
    <w:rsid w:val="007A5543"/>
    <w:rsid w:val="007A6709"/>
    <w:rsid w:val="007A7D5D"/>
    <w:rsid w:val="007B1522"/>
    <w:rsid w:val="007B1944"/>
    <w:rsid w:val="007B2B3A"/>
    <w:rsid w:val="007B3807"/>
    <w:rsid w:val="007B38FD"/>
    <w:rsid w:val="007B4EFA"/>
    <w:rsid w:val="007B5EDD"/>
    <w:rsid w:val="007B76EB"/>
    <w:rsid w:val="007B76F9"/>
    <w:rsid w:val="007B779E"/>
    <w:rsid w:val="007C0D4B"/>
    <w:rsid w:val="007C4AF0"/>
    <w:rsid w:val="007C54DD"/>
    <w:rsid w:val="007C693B"/>
    <w:rsid w:val="007D0360"/>
    <w:rsid w:val="007D0ACA"/>
    <w:rsid w:val="007D2E84"/>
    <w:rsid w:val="007D2F77"/>
    <w:rsid w:val="007D3825"/>
    <w:rsid w:val="007D3FEF"/>
    <w:rsid w:val="007D58C2"/>
    <w:rsid w:val="007D7B2E"/>
    <w:rsid w:val="007D7FAC"/>
    <w:rsid w:val="007E2470"/>
    <w:rsid w:val="007E27BA"/>
    <w:rsid w:val="007E66FB"/>
    <w:rsid w:val="007E726C"/>
    <w:rsid w:val="007F15CD"/>
    <w:rsid w:val="007F2BB3"/>
    <w:rsid w:val="007F67AF"/>
    <w:rsid w:val="007F713D"/>
    <w:rsid w:val="007F7277"/>
    <w:rsid w:val="00801FF7"/>
    <w:rsid w:val="008043B4"/>
    <w:rsid w:val="00805FCE"/>
    <w:rsid w:val="00806778"/>
    <w:rsid w:val="00806C62"/>
    <w:rsid w:val="00807035"/>
    <w:rsid w:val="0081041A"/>
    <w:rsid w:val="0081133D"/>
    <w:rsid w:val="0081364C"/>
    <w:rsid w:val="0081520E"/>
    <w:rsid w:val="00816A3B"/>
    <w:rsid w:val="00820E40"/>
    <w:rsid w:val="00823CE2"/>
    <w:rsid w:val="00823DA5"/>
    <w:rsid w:val="0082430E"/>
    <w:rsid w:val="00824EE9"/>
    <w:rsid w:val="008265A2"/>
    <w:rsid w:val="00830C8D"/>
    <w:rsid w:val="0083112C"/>
    <w:rsid w:val="00831646"/>
    <w:rsid w:val="00831AD1"/>
    <w:rsid w:val="00833441"/>
    <w:rsid w:val="008358F7"/>
    <w:rsid w:val="008362D0"/>
    <w:rsid w:val="00836664"/>
    <w:rsid w:val="00841706"/>
    <w:rsid w:val="00842B15"/>
    <w:rsid w:val="00842C57"/>
    <w:rsid w:val="008446F5"/>
    <w:rsid w:val="00844967"/>
    <w:rsid w:val="00846722"/>
    <w:rsid w:val="008469CD"/>
    <w:rsid w:val="00846C06"/>
    <w:rsid w:val="008479DB"/>
    <w:rsid w:val="00850C42"/>
    <w:rsid w:val="00851A3D"/>
    <w:rsid w:val="0085300E"/>
    <w:rsid w:val="008560EB"/>
    <w:rsid w:val="00857033"/>
    <w:rsid w:val="008575CD"/>
    <w:rsid w:val="008606E9"/>
    <w:rsid w:val="00861195"/>
    <w:rsid w:val="00863100"/>
    <w:rsid w:val="00863D77"/>
    <w:rsid w:val="00865535"/>
    <w:rsid w:val="00865AC5"/>
    <w:rsid w:val="008703DD"/>
    <w:rsid w:val="00870C6E"/>
    <w:rsid w:val="00870F08"/>
    <w:rsid w:val="008710A7"/>
    <w:rsid w:val="0087220C"/>
    <w:rsid w:val="008728FE"/>
    <w:rsid w:val="008738D1"/>
    <w:rsid w:val="0087393D"/>
    <w:rsid w:val="00876944"/>
    <w:rsid w:val="008770ED"/>
    <w:rsid w:val="00882C18"/>
    <w:rsid w:val="00885445"/>
    <w:rsid w:val="008855DF"/>
    <w:rsid w:val="00886213"/>
    <w:rsid w:val="008871A0"/>
    <w:rsid w:val="00891648"/>
    <w:rsid w:val="00892C40"/>
    <w:rsid w:val="00892CBD"/>
    <w:rsid w:val="00893A1D"/>
    <w:rsid w:val="00893E0D"/>
    <w:rsid w:val="0089466F"/>
    <w:rsid w:val="00894C2F"/>
    <w:rsid w:val="00895B7F"/>
    <w:rsid w:val="00897A8F"/>
    <w:rsid w:val="008A03A2"/>
    <w:rsid w:val="008A03A6"/>
    <w:rsid w:val="008A0FAC"/>
    <w:rsid w:val="008A22BE"/>
    <w:rsid w:val="008A23BE"/>
    <w:rsid w:val="008A23E7"/>
    <w:rsid w:val="008A439B"/>
    <w:rsid w:val="008A53D8"/>
    <w:rsid w:val="008A5DB7"/>
    <w:rsid w:val="008A76F3"/>
    <w:rsid w:val="008B084A"/>
    <w:rsid w:val="008B1F40"/>
    <w:rsid w:val="008B3A3E"/>
    <w:rsid w:val="008B5106"/>
    <w:rsid w:val="008C0F12"/>
    <w:rsid w:val="008C1859"/>
    <w:rsid w:val="008C1B1F"/>
    <w:rsid w:val="008C1C95"/>
    <w:rsid w:val="008C1EF5"/>
    <w:rsid w:val="008C273C"/>
    <w:rsid w:val="008C5651"/>
    <w:rsid w:val="008C62E2"/>
    <w:rsid w:val="008D0A00"/>
    <w:rsid w:val="008D21E7"/>
    <w:rsid w:val="008D2CBB"/>
    <w:rsid w:val="008D3A7E"/>
    <w:rsid w:val="008D6428"/>
    <w:rsid w:val="008D6831"/>
    <w:rsid w:val="008E1643"/>
    <w:rsid w:val="008E16E2"/>
    <w:rsid w:val="008E3A9C"/>
    <w:rsid w:val="008E3F3B"/>
    <w:rsid w:val="008E42F0"/>
    <w:rsid w:val="008E65E0"/>
    <w:rsid w:val="008E69C8"/>
    <w:rsid w:val="008E6B54"/>
    <w:rsid w:val="008F00FE"/>
    <w:rsid w:val="008F01FE"/>
    <w:rsid w:val="008F0B31"/>
    <w:rsid w:val="008F0D79"/>
    <w:rsid w:val="008F1048"/>
    <w:rsid w:val="008F2949"/>
    <w:rsid w:val="008F2ADC"/>
    <w:rsid w:val="008F3498"/>
    <w:rsid w:val="008F36DE"/>
    <w:rsid w:val="008F387E"/>
    <w:rsid w:val="008F515D"/>
    <w:rsid w:val="008F57DB"/>
    <w:rsid w:val="008F7177"/>
    <w:rsid w:val="00900370"/>
    <w:rsid w:val="00901CA0"/>
    <w:rsid w:val="00902A5D"/>
    <w:rsid w:val="00904448"/>
    <w:rsid w:val="00905C0C"/>
    <w:rsid w:val="009102FD"/>
    <w:rsid w:val="0091176E"/>
    <w:rsid w:val="00911CC8"/>
    <w:rsid w:val="00912340"/>
    <w:rsid w:val="00912659"/>
    <w:rsid w:val="00912C67"/>
    <w:rsid w:val="00914392"/>
    <w:rsid w:val="009151F5"/>
    <w:rsid w:val="009170D6"/>
    <w:rsid w:val="00917BC6"/>
    <w:rsid w:val="0092029D"/>
    <w:rsid w:val="009213FD"/>
    <w:rsid w:val="00921A29"/>
    <w:rsid w:val="00922B88"/>
    <w:rsid w:val="00923AAE"/>
    <w:rsid w:val="00923BCB"/>
    <w:rsid w:val="009260EE"/>
    <w:rsid w:val="009271E4"/>
    <w:rsid w:val="00927F50"/>
    <w:rsid w:val="00933775"/>
    <w:rsid w:val="00933E2F"/>
    <w:rsid w:val="00941925"/>
    <w:rsid w:val="00942493"/>
    <w:rsid w:val="009428B8"/>
    <w:rsid w:val="009442A6"/>
    <w:rsid w:val="009468FF"/>
    <w:rsid w:val="00946FBC"/>
    <w:rsid w:val="00950F88"/>
    <w:rsid w:val="00951C5D"/>
    <w:rsid w:val="00954261"/>
    <w:rsid w:val="00954D24"/>
    <w:rsid w:val="00956C0D"/>
    <w:rsid w:val="0095771A"/>
    <w:rsid w:val="00957C13"/>
    <w:rsid w:val="00961732"/>
    <w:rsid w:val="00962E8E"/>
    <w:rsid w:val="00964163"/>
    <w:rsid w:val="00964CC9"/>
    <w:rsid w:val="00966A7A"/>
    <w:rsid w:val="0096703D"/>
    <w:rsid w:val="00967514"/>
    <w:rsid w:val="00967733"/>
    <w:rsid w:val="009679A1"/>
    <w:rsid w:val="00971A4F"/>
    <w:rsid w:val="00971D90"/>
    <w:rsid w:val="009764C3"/>
    <w:rsid w:val="0098016E"/>
    <w:rsid w:val="009803F1"/>
    <w:rsid w:val="00981083"/>
    <w:rsid w:val="00982059"/>
    <w:rsid w:val="0098368A"/>
    <w:rsid w:val="009836A4"/>
    <w:rsid w:val="00984A2F"/>
    <w:rsid w:val="009870F7"/>
    <w:rsid w:val="00987914"/>
    <w:rsid w:val="0099015F"/>
    <w:rsid w:val="00990E99"/>
    <w:rsid w:val="00991960"/>
    <w:rsid w:val="00992DB3"/>
    <w:rsid w:val="00993BC5"/>
    <w:rsid w:val="00994CE4"/>
    <w:rsid w:val="00994E7A"/>
    <w:rsid w:val="009970C7"/>
    <w:rsid w:val="0099771E"/>
    <w:rsid w:val="00997DE0"/>
    <w:rsid w:val="009A01A4"/>
    <w:rsid w:val="009A09AB"/>
    <w:rsid w:val="009A1BA8"/>
    <w:rsid w:val="009A1C3E"/>
    <w:rsid w:val="009A209D"/>
    <w:rsid w:val="009A22F7"/>
    <w:rsid w:val="009A3322"/>
    <w:rsid w:val="009A3B72"/>
    <w:rsid w:val="009A5397"/>
    <w:rsid w:val="009A68F6"/>
    <w:rsid w:val="009A6DE1"/>
    <w:rsid w:val="009A7817"/>
    <w:rsid w:val="009B061F"/>
    <w:rsid w:val="009B062B"/>
    <w:rsid w:val="009B1DC6"/>
    <w:rsid w:val="009B6046"/>
    <w:rsid w:val="009B720C"/>
    <w:rsid w:val="009B7924"/>
    <w:rsid w:val="009C29D2"/>
    <w:rsid w:val="009C3F3A"/>
    <w:rsid w:val="009C3F64"/>
    <w:rsid w:val="009C4675"/>
    <w:rsid w:val="009C4DE8"/>
    <w:rsid w:val="009C5AC0"/>
    <w:rsid w:val="009C5E26"/>
    <w:rsid w:val="009C64AA"/>
    <w:rsid w:val="009C73D7"/>
    <w:rsid w:val="009D188B"/>
    <w:rsid w:val="009D29FC"/>
    <w:rsid w:val="009D3FBC"/>
    <w:rsid w:val="009D406B"/>
    <w:rsid w:val="009D5470"/>
    <w:rsid w:val="009D6C27"/>
    <w:rsid w:val="009D6C8C"/>
    <w:rsid w:val="009E1B3F"/>
    <w:rsid w:val="009E25EB"/>
    <w:rsid w:val="009E38BD"/>
    <w:rsid w:val="009E4453"/>
    <w:rsid w:val="009E5C4D"/>
    <w:rsid w:val="009E607D"/>
    <w:rsid w:val="009E64DF"/>
    <w:rsid w:val="009E6CB2"/>
    <w:rsid w:val="009E79B5"/>
    <w:rsid w:val="009F07EA"/>
    <w:rsid w:val="009F0BFA"/>
    <w:rsid w:val="009F2A9E"/>
    <w:rsid w:val="009F2ECD"/>
    <w:rsid w:val="009F3700"/>
    <w:rsid w:val="009F4DC7"/>
    <w:rsid w:val="009F67EF"/>
    <w:rsid w:val="009F6BC0"/>
    <w:rsid w:val="009F7D21"/>
    <w:rsid w:val="00A005D5"/>
    <w:rsid w:val="00A02667"/>
    <w:rsid w:val="00A02CE2"/>
    <w:rsid w:val="00A02D81"/>
    <w:rsid w:val="00A03E80"/>
    <w:rsid w:val="00A052DD"/>
    <w:rsid w:val="00A05DBF"/>
    <w:rsid w:val="00A067B9"/>
    <w:rsid w:val="00A06E4E"/>
    <w:rsid w:val="00A075DA"/>
    <w:rsid w:val="00A075F7"/>
    <w:rsid w:val="00A10570"/>
    <w:rsid w:val="00A111E4"/>
    <w:rsid w:val="00A1218C"/>
    <w:rsid w:val="00A12230"/>
    <w:rsid w:val="00A12E5A"/>
    <w:rsid w:val="00A13275"/>
    <w:rsid w:val="00A13DA9"/>
    <w:rsid w:val="00A13E21"/>
    <w:rsid w:val="00A14BFC"/>
    <w:rsid w:val="00A15C1C"/>
    <w:rsid w:val="00A17061"/>
    <w:rsid w:val="00A216B6"/>
    <w:rsid w:val="00A21F57"/>
    <w:rsid w:val="00A25850"/>
    <w:rsid w:val="00A2620D"/>
    <w:rsid w:val="00A2777C"/>
    <w:rsid w:val="00A27920"/>
    <w:rsid w:val="00A303F6"/>
    <w:rsid w:val="00A334BA"/>
    <w:rsid w:val="00A33BC6"/>
    <w:rsid w:val="00A4008D"/>
    <w:rsid w:val="00A41891"/>
    <w:rsid w:val="00A42226"/>
    <w:rsid w:val="00A42300"/>
    <w:rsid w:val="00A42DEB"/>
    <w:rsid w:val="00A43482"/>
    <w:rsid w:val="00A43BFC"/>
    <w:rsid w:val="00A46FE0"/>
    <w:rsid w:val="00A50A93"/>
    <w:rsid w:val="00A5139F"/>
    <w:rsid w:val="00A52935"/>
    <w:rsid w:val="00A54429"/>
    <w:rsid w:val="00A55370"/>
    <w:rsid w:val="00A55726"/>
    <w:rsid w:val="00A56854"/>
    <w:rsid w:val="00A57C77"/>
    <w:rsid w:val="00A60A0C"/>
    <w:rsid w:val="00A640B3"/>
    <w:rsid w:val="00A640F6"/>
    <w:rsid w:val="00A642B9"/>
    <w:rsid w:val="00A66B22"/>
    <w:rsid w:val="00A67935"/>
    <w:rsid w:val="00A7104F"/>
    <w:rsid w:val="00A71D2B"/>
    <w:rsid w:val="00A72A85"/>
    <w:rsid w:val="00A763F2"/>
    <w:rsid w:val="00A82EA1"/>
    <w:rsid w:val="00A83EB1"/>
    <w:rsid w:val="00A84CFC"/>
    <w:rsid w:val="00A84ECA"/>
    <w:rsid w:val="00A8644A"/>
    <w:rsid w:val="00A87972"/>
    <w:rsid w:val="00A87D23"/>
    <w:rsid w:val="00A90786"/>
    <w:rsid w:val="00A90945"/>
    <w:rsid w:val="00A910D9"/>
    <w:rsid w:val="00A9135F"/>
    <w:rsid w:val="00A91DA4"/>
    <w:rsid w:val="00A927A3"/>
    <w:rsid w:val="00A92A81"/>
    <w:rsid w:val="00A94667"/>
    <w:rsid w:val="00A9562E"/>
    <w:rsid w:val="00A9673C"/>
    <w:rsid w:val="00A969D2"/>
    <w:rsid w:val="00AA0799"/>
    <w:rsid w:val="00AA07DD"/>
    <w:rsid w:val="00AA0EE0"/>
    <w:rsid w:val="00AA2C12"/>
    <w:rsid w:val="00AA3261"/>
    <w:rsid w:val="00AA3417"/>
    <w:rsid w:val="00AA4372"/>
    <w:rsid w:val="00AA4CB8"/>
    <w:rsid w:val="00AA57F4"/>
    <w:rsid w:val="00AA63A7"/>
    <w:rsid w:val="00AA77F1"/>
    <w:rsid w:val="00AB1D5D"/>
    <w:rsid w:val="00AB3AAC"/>
    <w:rsid w:val="00AB4865"/>
    <w:rsid w:val="00AB5DEE"/>
    <w:rsid w:val="00AB6101"/>
    <w:rsid w:val="00AB6BB3"/>
    <w:rsid w:val="00AB6C96"/>
    <w:rsid w:val="00AC05F5"/>
    <w:rsid w:val="00AC07C4"/>
    <w:rsid w:val="00AC107A"/>
    <w:rsid w:val="00AC3460"/>
    <w:rsid w:val="00AC3C78"/>
    <w:rsid w:val="00AC5A60"/>
    <w:rsid w:val="00AC6E23"/>
    <w:rsid w:val="00AC6ED8"/>
    <w:rsid w:val="00AC6F6E"/>
    <w:rsid w:val="00AC71D9"/>
    <w:rsid w:val="00AD04B0"/>
    <w:rsid w:val="00AD1147"/>
    <w:rsid w:val="00AD1753"/>
    <w:rsid w:val="00AD4EEC"/>
    <w:rsid w:val="00AD6439"/>
    <w:rsid w:val="00AE01FD"/>
    <w:rsid w:val="00AE1074"/>
    <w:rsid w:val="00AE1953"/>
    <w:rsid w:val="00AE2D0B"/>
    <w:rsid w:val="00AE6596"/>
    <w:rsid w:val="00AE760A"/>
    <w:rsid w:val="00AE7C44"/>
    <w:rsid w:val="00AE7D5F"/>
    <w:rsid w:val="00AF08F0"/>
    <w:rsid w:val="00AF14CF"/>
    <w:rsid w:val="00AF2BA2"/>
    <w:rsid w:val="00AF32EF"/>
    <w:rsid w:val="00AF36EF"/>
    <w:rsid w:val="00AF375C"/>
    <w:rsid w:val="00AF70E0"/>
    <w:rsid w:val="00AF7C50"/>
    <w:rsid w:val="00B01CC6"/>
    <w:rsid w:val="00B02732"/>
    <w:rsid w:val="00B041F6"/>
    <w:rsid w:val="00B0501B"/>
    <w:rsid w:val="00B0595E"/>
    <w:rsid w:val="00B062C9"/>
    <w:rsid w:val="00B06F94"/>
    <w:rsid w:val="00B07C36"/>
    <w:rsid w:val="00B103CD"/>
    <w:rsid w:val="00B11537"/>
    <w:rsid w:val="00B13D68"/>
    <w:rsid w:val="00B14990"/>
    <w:rsid w:val="00B14F0F"/>
    <w:rsid w:val="00B17C4A"/>
    <w:rsid w:val="00B17FFA"/>
    <w:rsid w:val="00B22E8B"/>
    <w:rsid w:val="00B234D4"/>
    <w:rsid w:val="00B24E15"/>
    <w:rsid w:val="00B25093"/>
    <w:rsid w:val="00B255E9"/>
    <w:rsid w:val="00B258FA"/>
    <w:rsid w:val="00B25A35"/>
    <w:rsid w:val="00B26C0E"/>
    <w:rsid w:val="00B32976"/>
    <w:rsid w:val="00B3401A"/>
    <w:rsid w:val="00B35566"/>
    <w:rsid w:val="00B35994"/>
    <w:rsid w:val="00B370C7"/>
    <w:rsid w:val="00B372DD"/>
    <w:rsid w:val="00B37A42"/>
    <w:rsid w:val="00B40287"/>
    <w:rsid w:val="00B412B1"/>
    <w:rsid w:val="00B4228C"/>
    <w:rsid w:val="00B4259B"/>
    <w:rsid w:val="00B42B13"/>
    <w:rsid w:val="00B42BDF"/>
    <w:rsid w:val="00B42F18"/>
    <w:rsid w:val="00B4366B"/>
    <w:rsid w:val="00B448D6"/>
    <w:rsid w:val="00B44CFC"/>
    <w:rsid w:val="00B465C6"/>
    <w:rsid w:val="00B4694E"/>
    <w:rsid w:val="00B4723E"/>
    <w:rsid w:val="00B51156"/>
    <w:rsid w:val="00B51CC8"/>
    <w:rsid w:val="00B5285E"/>
    <w:rsid w:val="00B539C7"/>
    <w:rsid w:val="00B54CD5"/>
    <w:rsid w:val="00B555DC"/>
    <w:rsid w:val="00B5616D"/>
    <w:rsid w:val="00B561EE"/>
    <w:rsid w:val="00B57EDA"/>
    <w:rsid w:val="00B64118"/>
    <w:rsid w:val="00B65C63"/>
    <w:rsid w:val="00B66569"/>
    <w:rsid w:val="00B6720C"/>
    <w:rsid w:val="00B7008C"/>
    <w:rsid w:val="00B705A4"/>
    <w:rsid w:val="00B714F3"/>
    <w:rsid w:val="00B71D01"/>
    <w:rsid w:val="00B721BB"/>
    <w:rsid w:val="00B72AB3"/>
    <w:rsid w:val="00B73BA3"/>
    <w:rsid w:val="00B77467"/>
    <w:rsid w:val="00B778AF"/>
    <w:rsid w:val="00B819D2"/>
    <w:rsid w:val="00B82432"/>
    <w:rsid w:val="00B8464F"/>
    <w:rsid w:val="00B84B49"/>
    <w:rsid w:val="00B84F17"/>
    <w:rsid w:val="00B856AF"/>
    <w:rsid w:val="00B861E7"/>
    <w:rsid w:val="00B86945"/>
    <w:rsid w:val="00B8767A"/>
    <w:rsid w:val="00B911D1"/>
    <w:rsid w:val="00B91AF6"/>
    <w:rsid w:val="00B93805"/>
    <w:rsid w:val="00B93BBA"/>
    <w:rsid w:val="00B95996"/>
    <w:rsid w:val="00B96229"/>
    <w:rsid w:val="00B964A9"/>
    <w:rsid w:val="00B96AB1"/>
    <w:rsid w:val="00B96FDE"/>
    <w:rsid w:val="00B97FA0"/>
    <w:rsid w:val="00BA0478"/>
    <w:rsid w:val="00BA04C2"/>
    <w:rsid w:val="00BA112F"/>
    <w:rsid w:val="00BA1D67"/>
    <w:rsid w:val="00BA2CA8"/>
    <w:rsid w:val="00BA3039"/>
    <w:rsid w:val="00BA347B"/>
    <w:rsid w:val="00BA4083"/>
    <w:rsid w:val="00BA42D6"/>
    <w:rsid w:val="00BA4E5A"/>
    <w:rsid w:val="00BA5A20"/>
    <w:rsid w:val="00BA72B1"/>
    <w:rsid w:val="00BB17E3"/>
    <w:rsid w:val="00BB2745"/>
    <w:rsid w:val="00BB2AA9"/>
    <w:rsid w:val="00BB2DE3"/>
    <w:rsid w:val="00BB3975"/>
    <w:rsid w:val="00BB4BCA"/>
    <w:rsid w:val="00BB5092"/>
    <w:rsid w:val="00BB5298"/>
    <w:rsid w:val="00BB64C6"/>
    <w:rsid w:val="00BB6549"/>
    <w:rsid w:val="00BB6DFD"/>
    <w:rsid w:val="00BC07EB"/>
    <w:rsid w:val="00BC1041"/>
    <w:rsid w:val="00BC20D0"/>
    <w:rsid w:val="00BC211D"/>
    <w:rsid w:val="00BC21C5"/>
    <w:rsid w:val="00BC2AAB"/>
    <w:rsid w:val="00BC2B6F"/>
    <w:rsid w:val="00BC3804"/>
    <w:rsid w:val="00BC577D"/>
    <w:rsid w:val="00BC721C"/>
    <w:rsid w:val="00BC75FB"/>
    <w:rsid w:val="00BC7AD6"/>
    <w:rsid w:val="00BD0570"/>
    <w:rsid w:val="00BD0AD6"/>
    <w:rsid w:val="00BD5058"/>
    <w:rsid w:val="00BD611F"/>
    <w:rsid w:val="00BD6199"/>
    <w:rsid w:val="00BE1DAD"/>
    <w:rsid w:val="00BE1E47"/>
    <w:rsid w:val="00BE2C61"/>
    <w:rsid w:val="00BE396B"/>
    <w:rsid w:val="00BE3B19"/>
    <w:rsid w:val="00BE4E91"/>
    <w:rsid w:val="00BE5322"/>
    <w:rsid w:val="00BE69E7"/>
    <w:rsid w:val="00BE6BFC"/>
    <w:rsid w:val="00BF03C3"/>
    <w:rsid w:val="00BF15FB"/>
    <w:rsid w:val="00BF1872"/>
    <w:rsid w:val="00BF2315"/>
    <w:rsid w:val="00BF2710"/>
    <w:rsid w:val="00BF2C5A"/>
    <w:rsid w:val="00BF39A2"/>
    <w:rsid w:val="00BF4117"/>
    <w:rsid w:val="00BF45A6"/>
    <w:rsid w:val="00BF4745"/>
    <w:rsid w:val="00BF6243"/>
    <w:rsid w:val="00BF66FB"/>
    <w:rsid w:val="00BF6DE4"/>
    <w:rsid w:val="00BF72CE"/>
    <w:rsid w:val="00BF79E2"/>
    <w:rsid w:val="00C01F4E"/>
    <w:rsid w:val="00C0330B"/>
    <w:rsid w:val="00C03E15"/>
    <w:rsid w:val="00C04064"/>
    <w:rsid w:val="00C05872"/>
    <w:rsid w:val="00C072C2"/>
    <w:rsid w:val="00C11875"/>
    <w:rsid w:val="00C118FD"/>
    <w:rsid w:val="00C11D5F"/>
    <w:rsid w:val="00C1273E"/>
    <w:rsid w:val="00C146A3"/>
    <w:rsid w:val="00C155CF"/>
    <w:rsid w:val="00C15E21"/>
    <w:rsid w:val="00C1645C"/>
    <w:rsid w:val="00C17E4B"/>
    <w:rsid w:val="00C2040D"/>
    <w:rsid w:val="00C21143"/>
    <w:rsid w:val="00C21D7D"/>
    <w:rsid w:val="00C240E8"/>
    <w:rsid w:val="00C24739"/>
    <w:rsid w:val="00C248E5"/>
    <w:rsid w:val="00C25943"/>
    <w:rsid w:val="00C25C9B"/>
    <w:rsid w:val="00C27536"/>
    <w:rsid w:val="00C27D9C"/>
    <w:rsid w:val="00C312CE"/>
    <w:rsid w:val="00C3146D"/>
    <w:rsid w:val="00C31DDA"/>
    <w:rsid w:val="00C31E3F"/>
    <w:rsid w:val="00C3212E"/>
    <w:rsid w:val="00C331F4"/>
    <w:rsid w:val="00C336BA"/>
    <w:rsid w:val="00C34113"/>
    <w:rsid w:val="00C34434"/>
    <w:rsid w:val="00C34CEF"/>
    <w:rsid w:val="00C356E6"/>
    <w:rsid w:val="00C3779B"/>
    <w:rsid w:val="00C407AF"/>
    <w:rsid w:val="00C43254"/>
    <w:rsid w:val="00C43552"/>
    <w:rsid w:val="00C46856"/>
    <w:rsid w:val="00C478E5"/>
    <w:rsid w:val="00C47C90"/>
    <w:rsid w:val="00C50154"/>
    <w:rsid w:val="00C50D0D"/>
    <w:rsid w:val="00C518F4"/>
    <w:rsid w:val="00C51FF6"/>
    <w:rsid w:val="00C52256"/>
    <w:rsid w:val="00C55806"/>
    <w:rsid w:val="00C560D5"/>
    <w:rsid w:val="00C62845"/>
    <w:rsid w:val="00C633A6"/>
    <w:rsid w:val="00C6380F"/>
    <w:rsid w:val="00C64FCF"/>
    <w:rsid w:val="00C64FE6"/>
    <w:rsid w:val="00C65F3D"/>
    <w:rsid w:val="00C67ED9"/>
    <w:rsid w:val="00C7048C"/>
    <w:rsid w:val="00C70FE7"/>
    <w:rsid w:val="00C7282B"/>
    <w:rsid w:val="00C73FB4"/>
    <w:rsid w:val="00C75390"/>
    <w:rsid w:val="00C7753D"/>
    <w:rsid w:val="00C800B0"/>
    <w:rsid w:val="00C8019F"/>
    <w:rsid w:val="00C80D52"/>
    <w:rsid w:val="00C81A14"/>
    <w:rsid w:val="00C81EF4"/>
    <w:rsid w:val="00C8250F"/>
    <w:rsid w:val="00C83573"/>
    <w:rsid w:val="00C83C01"/>
    <w:rsid w:val="00C85073"/>
    <w:rsid w:val="00C934B7"/>
    <w:rsid w:val="00C93FB6"/>
    <w:rsid w:val="00C962BC"/>
    <w:rsid w:val="00C963D5"/>
    <w:rsid w:val="00C96F0D"/>
    <w:rsid w:val="00C976F0"/>
    <w:rsid w:val="00C97E2C"/>
    <w:rsid w:val="00CA0C58"/>
    <w:rsid w:val="00CA0F20"/>
    <w:rsid w:val="00CA15BA"/>
    <w:rsid w:val="00CA16A5"/>
    <w:rsid w:val="00CA3F34"/>
    <w:rsid w:val="00CA56BC"/>
    <w:rsid w:val="00CA6C1B"/>
    <w:rsid w:val="00CA767A"/>
    <w:rsid w:val="00CA7AAE"/>
    <w:rsid w:val="00CA7E4D"/>
    <w:rsid w:val="00CB0001"/>
    <w:rsid w:val="00CB0481"/>
    <w:rsid w:val="00CB070C"/>
    <w:rsid w:val="00CB153B"/>
    <w:rsid w:val="00CB1DDE"/>
    <w:rsid w:val="00CB2CC9"/>
    <w:rsid w:val="00CB4C1E"/>
    <w:rsid w:val="00CB4E37"/>
    <w:rsid w:val="00CB52C8"/>
    <w:rsid w:val="00CB6CC6"/>
    <w:rsid w:val="00CB7AE7"/>
    <w:rsid w:val="00CC24E4"/>
    <w:rsid w:val="00CC2D9E"/>
    <w:rsid w:val="00CC30A4"/>
    <w:rsid w:val="00CC3A88"/>
    <w:rsid w:val="00CC3DD5"/>
    <w:rsid w:val="00CC54A5"/>
    <w:rsid w:val="00CD007C"/>
    <w:rsid w:val="00CD1D52"/>
    <w:rsid w:val="00CD4FCE"/>
    <w:rsid w:val="00CD54C4"/>
    <w:rsid w:val="00CD55DC"/>
    <w:rsid w:val="00CD6AFF"/>
    <w:rsid w:val="00CE2A5E"/>
    <w:rsid w:val="00CE2FD4"/>
    <w:rsid w:val="00CE39DA"/>
    <w:rsid w:val="00CE3A6D"/>
    <w:rsid w:val="00CE6AEE"/>
    <w:rsid w:val="00CE6D4B"/>
    <w:rsid w:val="00CF049B"/>
    <w:rsid w:val="00CF0EDF"/>
    <w:rsid w:val="00CF10B3"/>
    <w:rsid w:val="00CF29EB"/>
    <w:rsid w:val="00CF3375"/>
    <w:rsid w:val="00CF3CBE"/>
    <w:rsid w:val="00CF45FD"/>
    <w:rsid w:val="00CF5D84"/>
    <w:rsid w:val="00CF6C47"/>
    <w:rsid w:val="00CF7C56"/>
    <w:rsid w:val="00D02AA4"/>
    <w:rsid w:val="00D03A4A"/>
    <w:rsid w:val="00D053BE"/>
    <w:rsid w:val="00D059D9"/>
    <w:rsid w:val="00D07C19"/>
    <w:rsid w:val="00D07DCC"/>
    <w:rsid w:val="00D11A2B"/>
    <w:rsid w:val="00D14350"/>
    <w:rsid w:val="00D147FE"/>
    <w:rsid w:val="00D2065B"/>
    <w:rsid w:val="00D20A04"/>
    <w:rsid w:val="00D23099"/>
    <w:rsid w:val="00D23BF4"/>
    <w:rsid w:val="00D24337"/>
    <w:rsid w:val="00D24750"/>
    <w:rsid w:val="00D253C7"/>
    <w:rsid w:val="00D27BEE"/>
    <w:rsid w:val="00D312C9"/>
    <w:rsid w:val="00D312D2"/>
    <w:rsid w:val="00D351A3"/>
    <w:rsid w:val="00D37AC5"/>
    <w:rsid w:val="00D40722"/>
    <w:rsid w:val="00D4079C"/>
    <w:rsid w:val="00D40F53"/>
    <w:rsid w:val="00D41997"/>
    <w:rsid w:val="00D41DB0"/>
    <w:rsid w:val="00D42084"/>
    <w:rsid w:val="00D43781"/>
    <w:rsid w:val="00D4418A"/>
    <w:rsid w:val="00D4528A"/>
    <w:rsid w:val="00D455A7"/>
    <w:rsid w:val="00D47759"/>
    <w:rsid w:val="00D47DF5"/>
    <w:rsid w:val="00D505C9"/>
    <w:rsid w:val="00D514C4"/>
    <w:rsid w:val="00D51655"/>
    <w:rsid w:val="00D5325C"/>
    <w:rsid w:val="00D542B7"/>
    <w:rsid w:val="00D55C12"/>
    <w:rsid w:val="00D56165"/>
    <w:rsid w:val="00D57074"/>
    <w:rsid w:val="00D5781E"/>
    <w:rsid w:val="00D60C17"/>
    <w:rsid w:val="00D61025"/>
    <w:rsid w:val="00D646A3"/>
    <w:rsid w:val="00D651DA"/>
    <w:rsid w:val="00D65D76"/>
    <w:rsid w:val="00D67494"/>
    <w:rsid w:val="00D70BF4"/>
    <w:rsid w:val="00D71DC8"/>
    <w:rsid w:val="00D73197"/>
    <w:rsid w:val="00D7715C"/>
    <w:rsid w:val="00D774FA"/>
    <w:rsid w:val="00D81ED6"/>
    <w:rsid w:val="00D82917"/>
    <w:rsid w:val="00D836E1"/>
    <w:rsid w:val="00D83A1C"/>
    <w:rsid w:val="00D84A24"/>
    <w:rsid w:val="00D84E8F"/>
    <w:rsid w:val="00D8517D"/>
    <w:rsid w:val="00D8670F"/>
    <w:rsid w:val="00D87292"/>
    <w:rsid w:val="00D87FDA"/>
    <w:rsid w:val="00D9038F"/>
    <w:rsid w:val="00D91196"/>
    <w:rsid w:val="00D93B24"/>
    <w:rsid w:val="00D949A3"/>
    <w:rsid w:val="00D95939"/>
    <w:rsid w:val="00D97448"/>
    <w:rsid w:val="00DA0942"/>
    <w:rsid w:val="00DA09F3"/>
    <w:rsid w:val="00DA1440"/>
    <w:rsid w:val="00DA1756"/>
    <w:rsid w:val="00DA37B7"/>
    <w:rsid w:val="00DA4960"/>
    <w:rsid w:val="00DA5315"/>
    <w:rsid w:val="00DA6101"/>
    <w:rsid w:val="00DA7E51"/>
    <w:rsid w:val="00DB02C4"/>
    <w:rsid w:val="00DB2FB8"/>
    <w:rsid w:val="00DB400B"/>
    <w:rsid w:val="00DB42A3"/>
    <w:rsid w:val="00DB43C6"/>
    <w:rsid w:val="00DB642C"/>
    <w:rsid w:val="00DB642D"/>
    <w:rsid w:val="00DB66CA"/>
    <w:rsid w:val="00DB6BF3"/>
    <w:rsid w:val="00DB7B36"/>
    <w:rsid w:val="00DC0FBD"/>
    <w:rsid w:val="00DC20D3"/>
    <w:rsid w:val="00DC2159"/>
    <w:rsid w:val="00DC31D0"/>
    <w:rsid w:val="00DC4B9F"/>
    <w:rsid w:val="00DC4C10"/>
    <w:rsid w:val="00DC5038"/>
    <w:rsid w:val="00DC739E"/>
    <w:rsid w:val="00DC7CBC"/>
    <w:rsid w:val="00DD28F8"/>
    <w:rsid w:val="00DD2FD5"/>
    <w:rsid w:val="00DD4BF1"/>
    <w:rsid w:val="00DD5D21"/>
    <w:rsid w:val="00DD74D0"/>
    <w:rsid w:val="00DD79CA"/>
    <w:rsid w:val="00DE027D"/>
    <w:rsid w:val="00DE2F37"/>
    <w:rsid w:val="00DE348C"/>
    <w:rsid w:val="00DE3E5A"/>
    <w:rsid w:val="00DE4D9C"/>
    <w:rsid w:val="00DE53CC"/>
    <w:rsid w:val="00DE6070"/>
    <w:rsid w:val="00DE62C6"/>
    <w:rsid w:val="00DE7EA9"/>
    <w:rsid w:val="00DF0721"/>
    <w:rsid w:val="00DF1284"/>
    <w:rsid w:val="00DF1460"/>
    <w:rsid w:val="00DF1714"/>
    <w:rsid w:val="00DF2A05"/>
    <w:rsid w:val="00DF2DD5"/>
    <w:rsid w:val="00DF58A2"/>
    <w:rsid w:val="00DF5F12"/>
    <w:rsid w:val="00DF5FF7"/>
    <w:rsid w:val="00DF68C7"/>
    <w:rsid w:val="00DF6BE9"/>
    <w:rsid w:val="00DF7BA5"/>
    <w:rsid w:val="00E00728"/>
    <w:rsid w:val="00E01495"/>
    <w:rsid w:val="00E04C68"/>
    <w:rsid w:val="00E05E88"/>
    <w:rsid w:val="00E109B6"/>
    <w:rsid w:val="00E117EB"/>
    <w:rsid w:val="00E128AE"/>
    <w:rsid w:val="00E13573"/>
    <w:rsid w:val="00E160B7"/>
    <w:rsid w:val="00E17EC2"/>
    <w:rsid w:val="00E2139F"/>
    <w:rsid w:val="00E259CE"/>
    <w:rsid w:val="00E26AA4"/>
    <w:rsid w:val="00E27B1B"/>
    <w:rsid w:val="00E3092E"/>
    <w:rsid w:val="00E320D1"/>
    <w:rsid w:val="00E324FD"/>
    <w:rsid w:val="00E33539"/>
    <w:rsid w:val="00E3482D"/>
    <w:rsid w:val="00E35401"/>
    <w:rsid w:val="00E35F34"/>
    <w:rsid w:val="00E40FF9"/>
    <w:rsid w:val="00E41AD7"/>
    <w:rsid w:val="00E434B2"/>
    <w:rsid w:val="00E44E6D"/>
    <w:rsid w:val="00E44EE5"/>
    <w:rsid w:val="00E4514B"/>
    <w:rsid w:val="00E45491"/>
    <w:rsid w:val="00E4567A"/>
    <w:rsid w:val="00E45E4B"/>
    <w:rsid w:val="00E45E8E"/>
    <w:rsid w:val="00E50909"/>
    <w:rsid w:val="00E5167B"/>
    <w:rsid w:val="00E51A39"/>
    <w:rsid w:val="00E51B35"/>
    <w:rsid w:val="00E558EA"/>
    <w:rsid w:val="00E5760C"/>
    <w:rsid w:val="00E61ACA"/>
    <w:rsid w:val="00E62AC6"/>
    <w:rsid w:val="00E63620"/>
    <w:rsid w:val="00E64850"/>
    <w:rsid w:val="00E65A67"/>
    <w:rsid w:val="00E65FED"/>
    <w:rsid w:val="00E67A9E"/>
    <w:rsid w:val="00E704AA"/>
    <w:rsid w:val="00E72DDB"/>
    <w:rsid w:val="00E7550E"/>
    <w:rsid w:val="00E80E02"/>
    <w:rsid w:val="00E8125E"/>
    <w:rsid w:val="00E813D5"/>
    <w:rsid w:val="00E8200B"/>
    <w:rsid w:val="00E847EF"/>
    <w:rsid w:val="00E87C5B"/>
    <w:rsid w:val="00E9013C"/>
    <w:rsid w:val="00E90A39"/>
    <w:rsid w:val="00E9244F"/>
    <w:rsid w:val="00E94707"/>
    <w:rsid w:val="00E966EC"/>
    <w:rsid w:val="00E9675C"/>
    <w:rsid w:val="00E970C8"/>
    <w:rsid w:val="00E9726C"/>
    <w:rsid w:val="00E978A8"/>
    <w:rsid w:val="00EA0255"/>
    <w:rsid w:val="00EA239C"/>
    <w:rsid w:val="00EA4661"/>
    <w:rsid w:val="00EA60F0"/>
    <w:rsid w:val="00EA620E"/>
    <w:rsid w:val="00EB0A77"/>
    <w:rsid w:val="00EB22E7"/>
    <w:rsid w:val="00EB23E8"/>
    <w:rsid w:val="00EB33F1"/>
    <w:rsid w:val="00EB369F"/>
    <w:rsid w:val="00EB5668"/>
    <w:rsid w:val="00EB60E9"/>
    <w:rsid w:val="00EC174F"/>
    <w:rsid w:val="00EC18B3"/>
    <w:rsid w:val="00EC1DFA"/>
    <w:rsid w:val="00EC3025"/>
    <w:rsid w:val="00EC4601"/>
    <w:rsid w:val="00EC6502"/>
    <w:rsid w:val="00EC75CB"/>
    <w:rsid w:val="00ED0458"/>
    <w:rsid w:val="00ED2F2F"/>
    <w:rsid w:val="00ED3736"/>
    <w:rsid w:val="00ED4236"/>
    <w:rsid w:val="00ED5734"/>
    <w:rsid w:val="00ED5A36"/>
    <w:rsid w:val="00ED73D8"/>
    <w:rsid w:val="00EE043F"/>
    <w:rsid w:val="00EE0DF3"/>
    <w:rsid w:val="00EE35DF"/>
    <w:rsid w:val="00EE3844"/>
    <w:rsid w:val="00EE3C40"/>
    <w:rsid w:val="00EF1557"/>
    <w:rsid w:val="00EF2523"/>
    <w:rsid w:val="00EF2DC2"/>
    <w:rsid w:val="00EF35F7"/>
    <w:rsid w:val="00EF4A3F"/>
    <w:rsid w:val="00EF4F8C"/>
    <w:rsid w:val="00EF66B2"/>
    <w:rsid w:val="00EF79B7"/>
    <w:rsid w:val="00F00006"/>
    <w:rsid w:val="00F01052"/>
    <w:rsid w:val="00F01186"/>
    <w:rsid w:val="00F016C9"/>
    <w:rsid w:val="00F023E6"/>
    <w:rsid w:val="00F0308F"/>
    <w:rsid w:val="00F035AD"/>
    <w:rsid w:val="00F04218"/>
    <w:rsid w:val="00F047DC"/>
    <w:rsid w:val="00F06037"/>
    <w:rsid w:val="00F061B3"/>
    <w:rsid w:val="00F10745"/>
    <w:rsid w:val="00F12B9D"/>
    <w:rsid w:val="00F13B3D"/>
    <w:rsid w:val="00F1496C"/>
    <w:rsid w:val="00F15845"/>
    <w:rsid w:val="00F15A44"/>
    <w:rsid w:val="00F16921"/>
    <w:rsid w:val="00F16D92"/>
    <w:rsid w:val="00F16E06"/>
    <w:rsid w:val="00F16FD1"/>
    <w:rsid w:val="00F177E2"/>
    <w:rsid w:val="00F17BDC"/>
    <w:rsid w:val="00F20430"/>
    <w:rsid w:val="00F21606"/>
    <w:rsid w:val="00F2314B"/>
    <w:rsid w:val="00F2352C"/>
    <w:rsid w:val="00F23C56"/>
    <w:rsid w:val="00F24123"/>
    <w:rsid w:val="00F24C10"/>
    <w:rsid w:val="00F2567D"/>
    <w:rsid w:val="00F25AF9"/>
    <w:rsid w:val="00F26541"/>
    <w:rsid w:val="00F26D0A"/>
    <w:rsid w:val="00F27C21"/>
    <w:rsid w:val="00F306F6"/>
    <w:rsid w:val="00F3345B"/>
    <w:rsid w:val="00F35567"/>
    <w:rsid w:val="00F35F1A"/>
    <w:rsid w:val="00F361BD"/>
    <w:rsid w:val="00F36786"/>
    <w:rsid w:val="00F36ED2"/>
    <w:rsid w:val="00F3716B"/>
    <w:rsid w:val="00F40CDF"/>
    <w:rsid w:val="00F41941"/>
    <w:rsid w:val="00F41BFC"/>
    <w:rsid w:val="00F431AB"/>
    <w:rsid w:val="00F44A6A"/>
    <w:rsid w:val="00F44CA1"/>
    <w:rsid w:val="00F466D8"/>
    <w:rsid w:val="00F47083"/>
    <w:rsid w:val="00F51F32"/>
    <w:rsid w:val="00F52017"/>
    <w:rsid w:val="00F537BB"/>
    <w:rsid w:val="00F539AE"/>
    <w:rsid w:val="00F5439B"/>
    <w:rsid w:val="00F54F93"/>
    <w:rsid w:val="00F5547B"/>
    <w:rsid w:val="00F55773"/>
    <w:rsid w:val="00F56101"/>
    <w:rsid w:val="00F60929"/>
    <w:rsid w:val="00F60D44"/>
    <w:rsid w:val="00F635BA"/>
    <w:rsid w:val="00F63CC9"/>
    <w:rsid w:val="00F6446C"/>
    <w:rsid w:val="00F64497"/>
    <w:rsid w:val="00F65299"/>
    <w:rsid w:val="00F66ECA"/>
    <w:rsid w:val="00F66FBB"/>
    <w:rsid w:val="00F67FA3"/>
    <w:rsid w:val="00F702B3"/>
    <w:rsid w:val="00F70558"/>
    <w:rsid w:val="00F70A47"/>
    <w:rsid w:val="00F7318C"/>
    <w:rsid w:val="00F738E4"/>
    <w:rsid w:val="00F73D49"/>
    <w:rsid w:val="00F75102"/>
    <w:rsid w:val="00F753AE"/>
    <w:rsid w:val="00F755E4"/>
    <w:rsid w:val="00F76039"/>
    <w:rsid w:val="00F777A9"/>
    <w:rsid w:val="00F77C4E"/>
    <w:rsid w:val="00F801CB"/>
    <w:rsid w:val="00F833F7"/>
    <w:rsid w:val="00F84386"/>
    <w:rsid w:val="00F844BE"/>
    <w:rsid w:val="00F84FA6"/>
    <w:rsid w:val="00F854B4"/>
    <w:rsid w:val="00F863E4"/>
    <w:rsid w:val="00F900FF"/>
    <w:rsid w:val="00F906D2"/>
    <w:rsid w:val="00F90885"/>
    <w:rsid w:val="00F93DE7"/>
    <w:rsid w:val="00F94496"/>
    <w:rsid w:val="00F947C8"/>
    <w:rsid w:val="00F94C5D"/>
    <w:rsid w:val="00F957F1"/>
    <w:rsid w:val="00F95B18"/>
    <w:rsid w:val="00F964FB"/>
    <w:rsid w:val="00F96589"/>
    <w:rsid w:val="00FA212B"/>
    <w:rsid w:val="00FA5476"/>
    <w:rsid w:val="00FA5732"/>
    <w:rsid w:val="00FA715F"/>
    <w:rsid w:val="00FB1314"/>
    <w:rsid w:val="00FB3609"/>
    <w:rsid w:val="00FB36E6"/>
    <w:rsid w:val="00FB39E5"/>
    <w:rsid w:val="00FB5E91"/>
    <w:rsid w:val="00FB6AC4"/>
    <w:rsid w:val="00FB743A"/>
    <w:rsid w:val="00FC1143"/>
    <w:rsid w:val="00FC2C56"/>
    <w:rsid w:val="00FC356D"/>
    <w:rsid w:val="00FC3CAE"/>
    <w:rsid w:val="00FC478A"/>
    <w:rsid w:val="00FC4D13"/>
    <w:rsid w:val="00FC4DCE"/>
    <w:rsid w:val="00FC63CF"/>
    <w:rsid w:val="00FC68FC"/>
    <w:rsid w:val="00FD09AC"/>
    <w:rsid w:val="00FD1504"/>
    <w:rsid w:val="00FD1E69"/>
    <w:rsid w:val="00FD2B35"/>
    <w:rsid w:val="00FD2B7E"/>
    <w:rsid w:val="00FD2C38"/>
    <w:rsid w:val="00FD33E6"/>
    <w:rsid w:val="00FD3A7F"/>
    <w:rsid w:val="00FD4B6A"/>
    <w:rsid w:val="00FD5D4F"/>
    <w:rsid w:val="00FD6429"/>
    <w:rsid w:val="00FD7214"/>
    <w:rsid w:val="00FD789A"/>
    <w:rsid w:val="00FD78B0"/>
    <w:rsid w:val="00FD7A39"/>
    <w:rsid w:val="00FE2D23"/>
    <w:rsid w:val="00FE395C"/>
    <w:rsid w:val="00FE4390"/>
    <w:rsid w:val="00FE4393"/>
    <w:rsid w:val="00FE5175"/>
    <w:rsid w:val="00FE5B58"/>
    <w:rsid w:val="00FE617C"/>
    <w:rsid w:val="00FE63AB"/>
    <w:rsid w:val="00FE7127"/>
    <w:rsid w:val="00FF1FF7"/>
    <w:rsid w:val="00FF2B7E"/>
    <w:rsid w:val="00FF3FDD"/>
    <w:rsid w:val="00FF44E5"/>
    <w:rsid w:val="00FF5068"/>
    <w:rsid w:val="00FF5FD1"/>
    <w:rsid w:val="00FF64EE"/>
    <w:rsid w:val="00FF6753"/>
    <w:rsid w:val="00FF7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B36838E"/>
  <w15:docId w15:val="{5C38BEA5-A8E0-47EF-B720-586CE327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1A74"/>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4E1A74"/>
    <w:pPr>
      <w:keepNext/>
      <w:keepLines/>
      <w:spacing w:before="40" w:after="0"/>
      <w:outlineLvl w:val="1"/>
    </w:pPr>
    <w:rPr>
      <w:rFonts w:asciiTheme="majorHAnsi" w:eastAsiaTheme="majorEastAsia" w:hAnsiTheme="majorHAnsi" w:cstheme="majorBidi"/>
      <w:i/>
      <w:sz w:val="26"/>
      <w:szCs w:val="26"/>
    </w:rPr>
  </w:style>
  <w:style w:type="paragraph" w:styleId="Heading3">
    <w:name w:val="heading 3"/>
    <w:basedOn w:val="Normal"/>
    <w:next w:val="Normal"/>
    <w:link w:val="Heading3Char"/>
    <w:uiPriority w:val="9"/>
    <w:unhideWhenUsed/>
    <w:qFormat/>
    <w:rsid w:val="00467C06"/>
    <w:pPr>
      <w:keepNext/>
      <w:keepLines/>
      <w:spacing w:before="40" w:after="0"/>
      <w:ind w:left="720"/>
      <w:outlineLvl w:val="2"/>
    </w:pPr>
    <w:rPr>
      <w:rFonts w:asciiTheme="majorHAnsi" w:eastAsiaTheme="majorEastAsia" w:hAnsiTheme="majorHAnsi"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4EE5"/>
    <w:pPr>
      <w:ind w:left="720"/>
      <w:contextualSpacing/>
    </w:pPr>
  </w:style>
  <w:style w:type="character" w:styleId="Hyperlink">
    <w:name w:val="Hyperlink"/>
    <w:basedOn w:val="DefaultParagraphFont"/>
    <w:uiPriority w:val="99"/>
    <w:unhideWhenUsed/>
    <w:rsid w:val="00E44EE5"/>
    <w:rPr>
      <w:color w:val="0563C1" w:themeColor="hyperlink"/>
      <w:u w:val="single"/>
    </w:rPr>
  </w:style>
  <w:style w:type="table" w:styleId="TableGrid">
    <w:name w:val="Table Grid"/>
    <w:basedOn w:val="TableNormal"/>
    <w:uiPriority w:val="39"/>
    <w:rsid w:val="00E44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1A74"/>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4E1A74"/>
    <w:rPr>
      <w:rFonts w:asciiTheme="majorHAnsi" w:eastAsiaTheme="majorEastAsia" w:hAnsiTheme="majorHAnsi" w:cstheme="majorBidi"/>
      <w:i/>
      <w:sz w:val="26"/>
      <w:szCs w:val="26"/>
    </w:rPr>
  </w:style>
  <w:style w:type="character" w:customStyle="1" w:styleId="Heading3Char">
    <w:name w:val="Heading 3 Char"/>
    <w:basedOn w:val="DefaultParagraphFont"/>
    <w:link w:val="Heading3"/>
    <w:uiPriority w:val="9"/>
    <w:rsid w:val="00467C06"/>
    <w:rPr>
      <w:rFonts w:asciiTheme="majorHAnsi" w:eastAsiaTheme="majorEastAsia" w:hAnsiTheme="majorHAnsi" w:cstheme="majorBidi"/>
      <w:i/>
      <w:sz w:val="24"/>
      <w:szCs w:val="24"/>
    </w:rPr>
  </w:style>
  <w:style w:type="paragraph" w:styleId="Header">
    <w:name w:val="header"/>
    <w:basedOn w:val="Normal"/>
    <w:link w:val="HeaderChar"/>
    <w:uiPriority w:val="99"/>
    <w:unhideWhenUsed/>
    <w:rsid w:val="00510D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D7B"/>
  </w:style>
  <w:style w:type="paragraph" w:styleId="Footer">
    <w:name w:val="footer"/>
    <w:basedOn w:val="Normal"/>
    <w:link w:val="FooterChar"/>
    <w:uiPriority w:val="99"/>
    <w:unhideWhenUsed/>
    <w:rsid w:val="00510D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D7B"/>
  </w:style>
  <w:style w:type="paragraph" w:styleId="BalloonText">
    <w:name w:val="Balloon Text"/>
    <w:basedOn w:val="Normal"/>
    <w:link w:val="BalloonTextChar"/>
    <w:uiPriority w:val="99"/>
    <w:semiHidden/>
    <w:unhideWhenUsed/>
    <w:rsid w:val="003415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559"/>
    <w:rPr>
      <w:rFonts w:ascii="Segoe UI" w:hAnsi="Segoe UI" w:cs="Segoe UI"/>
      <w:sz w:val="18"/>
      <w:szCs w:val="18"/>
    </w:rPr>
  </w:style>
  <w:style w:type="paragraph" w:styleId="Bibliography">
    <w:name w:val="Bibliography"/>
    <w:basedOn w:val="Normal"/>
    <w:next w:val="Normal"/>
    <w:uiPriority w:val="37"/>
    <w:unhideWhenUsed/>
    <w:rsid w:val="000E1A40"/>
    <w:pPr>
      <w:tabs>
        <w:tab w:val="left" w:pos="504"/>
      </w:tabs>
      <w:spacing w:after="0" w:line="240" w:lineRule="auto"/>
      <w:ind w:left="504" w:hanging="504"/>
    </w:pPr>
  </w:style>
  <w:style w:type="paragraph" w:styleId="Revision">
    <w:name w:val="Revision"/>
    <w:hidden/>
    <w:uiPriority w:val="99"/>
    <w:semiHidden/>
    <w:rsid w:val="007631DF"/>
    <w:pPr>
      <w:spacing w:after="0" w:line="240" w:lineRule="auto"/>
    </w:pPr>
  </w:style>
  <w:style w:type="character" w:styleId="CommentReference">
    <w:name w:val="annotation reference"/>
    <w:basedOn w:val="DefaultParagraphFont"/>
    <w:uiPriority w:val="99"/>
    <w:semiHidden/>
    <w:unhideWhenUsed/>
    <w:rsid w:val="00F60929"/>
    <w:rPr>
      <w:sz w:val="16"/>
      <w:szCs w:val="16"/>
    </w:rPr>
  </w:style>
  <w:style w:type="paragraph" w:styleId="CommentText">
    <w:name w:val="annotation text"/>
    <w:basedOn w:val="Normal"/>
    <w:link w:val="CommentTextChar"/>
    <w:uiPriority w:val="99"/>
    <w:unhideWhenUsed/>
    <w:rsid w:val="00F60929"/>
    <w:pPr>
      <w:spacing w:line="240" w:lineRule="auto"/>
    </w:pPr>
    <w:rPr>
      <w:sz w:val="20"/>
      <w:szCs w:val="20"/>
    </w:rPr>
  </w:style>
  <w:style w:type="character" w:customStyle="1" w:styleId="CommentTextChar">
    <w:name w:val="Comment Text Char"/>
    <w:basedOn w:val="DefaultParagraphFont"/>
    <w:link w:val="CommentText"/>
    <w:uiPriority w:val="99"/>
    <w:rsid w:val="00F60929"/>
    <w:rPr>
      <w:sz w:val="20"/>
      <w:szCs w:val="20"/>
    </w:rPr>
  </w:style>
  <w:style w:type="paragraph" w:styleId="CommentSubject">
    <w:name w:val="annotation subject"/>
    <w:basedOn w:val="CommentText"/>
    <w:next w:val="CommentText"/>
    <w:link w:val="CommentSubjectChar"/>
    <w:uiPriority w:val="99"/>
    <w:semiHidden/>
    <w:unhideWhenUsed/>
    <w:rsid w:val="00F60929"/>
    <w:rPr>
      <w:b/>
      <w:bCs/>
    </w:rPr>
  </w:style>
  <w:style w:type="character" w:customStyle="1" w:styleId="CommentSubjectChar">
    <w:name w:val="Comment Subject Char"/>
    <w:basedOn w:val="CommentTextChar"/>
    <w:link w:val="CommentSubject"/>
    <w:uiPriority w:val="99"/>
    <w:semiHidden/>
    <w:rsid w:val="00F60929"/>
    <w:rPr>
      <w:b/>
      <w:bCs/>
      <w:sz w:val="20"/>
      <w:szCs w:val="20"/>
    </w:rPr>
  </w:style>
  <w:style w:type="character" w:styleId="FollowedHyperlink">
    <w:name w:val="FollowedHyperlink"/>
    <w:basedOn w:val="DefaultParagraphFont"/>
    <w:uiPriority w:val="99"/>
    <w:semiHidden/>
    <w:unhideWhenUsed/>
    <w:rsid w:val="00841706"/>
    <w:rPr>
      <w:color w:val="954F72" w:themeColor="followedHyperlink"/>
      <w:u w:val="single"/>
    </w:rPr>
  </w:style>
  <w:style w:type="character" w:customStyle="1" w:styleId="UnresolvedMention1">
    <w:name w:val="Unresolved Mention1"/>
    <w:basedOn w:val="DefaultParagraphFont"/>
    <w:uiPriority w:val="99"/>
    <w:semiHidden/>
    <w:unhideWhenUsed/>
    <w:rsid w:val="00BC577D"/>
    <w:rPr>
      <w:color w:val="605E5C"/>
      <w:shd w:val="clear" w:color="auto" w:fill="E1DFDD"/>
    </w:rPr>
  </w:style>
  <w:style w:type="paragraph" w:styleId="FootnoteText">
    <w:name w:val="footnote text"/>
    <w:basedOn w:val="Normal"/>
    <w:link w:val="FootnoteTextChar"/>
    <w:uiPriority w:val="99"/>
    <w:semiHidden/>
    <w:unhideWhenUsed/>
    <w:rsid w:val="005940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408F"/>
    <w:rPr>
      <w:sz w:val="20"/>
      <w:szCs w:val="20"/>
    </w:rPr>
  </w:style>
  <w:style w:type="character" w:styleId="FootnoteReference">
    <w:name w:val="footnote reference"/>
    <w:basedOn w:val="DefaultParagraphFont"/>
    <w:uiPriority w:val="99"/>
    <w:semiHidden/>
    <w:unhideWhenUsed/>
    <w:rsid w:val="0059408F"/>
    <w:rPr>
      <w:vertAlign w:val="superscript"/>
    </w:rPr>
  </w:style>
  <w:style w:type="paragraph" w:customStyle="1" w:styleId="EndNoteBibliographyTitle">
    <w:name w:val="EndNote Bibliography Title"/>
    <w:basedOn w:val="Normal"/>
    <w:link w:val="EndNoteBibliographyTitleChar"/>
    <w:rsid w:val="00F4194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41941"/>
    <w:rPr>
      <w:rFonts w:ascii="Calibri" w:hAnsi="Calibri" w:cs="Calibri"/>
      <w:noProof/>
      <w:lang w:val="en-US"/>
    </w:rPr>
  </w:style>
  <w:style w:type="paragraph" w:customStyle="1" w:styleId="EndNoteBibliography">
    <w:name w:val="EndNote Bibliography"/>
    <w:basedOn w:val="Normal"/>
    <w:link w:val="EndNoteBibliographyChar"/>
    <w:rsid w:val="00F4194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41941"/>
    <w:rPr>
      <w:rFonts w:ascii="Calibri" w:hAnsi="Calibri" w:cs="Calibri"/>
      <w:noProof/>
      <w:lang w:val="en-US"/>
    </w:rPr>
  </w:style>
  <w:style w:type="character" w:customStyle="1" w:styleId="UnresolvedMention2">
    <w:name w:val="Unresolved Mention2"/>
    <w:basedOn w:val="DefaultParagraphFont"/>
    <w:uiPriority w:val="99"/>
    <w:semiHidden/>
    <w:unhideWhenUsed/>
    <w:rsid w:val="00CB1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888724">
      <w:bodyDiv w:val="1"/>
      <w:marLeft w:val="0"/>
      <w:marRight w:val="0"/>
      <w:marTop w:val="0"/>
      <w:marBottom w:val="0"/>
      <w:divBdr>
        <w:top w:val="none" w:sz="0" w:space="0" w:color="auto"/>
        <w:left w:val="none" w:sz="0" w:space="0" w:color="auto"/>
        <w:bottom w:val="none" w:sz="0" w:space="0" w:color="auto"/>
        <w:right w:val="none" w:sz="0" w:space="0" w:color="auto"/>
      </w:divBdr>
    </w:div>
    <w:div w:id="437986279">
      <w:bodyDiv w:val="1"/>
      <w:marLeft w:val="0"/>
      <w:marRight w:val="0"/>
      <w:marTop w:val="0"/>
      <w:marBottom w:val="0"/>
      <w:divBdr>
        <w:top w:val="none" w:sz="0" w:space="0" w:color="auto"/>
        <w:left w:val="none" w:sz="0" w:space="0" w:color="auto"/>
        <w:bottom w:val="none" w:sz="0" w:space="0" w:color="auto"/>
        <w:right w:val="none" w:sz="0" w:space="0" w:color="auto"/>
      </w:divBdr>
    </w:div>
    <w:div w:id="679233614">
      <w:bodyDiv w:val="1"/>
      <w:marLeft w:val="0"/>
      <w:marRight w:val="0"/>
      <w:marTop w:val="0"/>
      <w:marBottom w:val="0"/>
      <w:divBdr>
        <w:top w:val="none" w:sz="0" w:space="0" w:color="auto"/>
        <w:left w:val="none" w:sz="0" w:space="0" w:color="auto"/>
        <w:bottom w:val="none" w:sz="0" w:space="0" w:color="auto"/>
        <w:right w:val="none" w:sz="0" w:space="0" w:color="auto"/>
      </w:divBdr>
    </w:div>
    <w:div w:id="689994200">
      <w:bodyDiv w:val="1"/>
      <w:marLeft w:val="0"/>
      <w:marRight w:val="0"/>
      <w:marTop w:val="0"/>
      <w:marBottom w:val="0"/>
      <w:divBdr>
        <w:top w:val="none" w:sz="0" w:space="0" w:color="auto"/>
        <w:left w:val="none" w:sz="0" w:space="0" w:color="auto"/>
        <w:bottom w:val="none" w:sz="0" w:space="0" w:color="auto"/>
        <w:right w:val="none" w:sz="0" w:space="0" w:color="auto"/>
      </w:divBdr>
    </w:div>
    <w:div w:id="937181765">
      <w:bodyDiv w:val="1"/>
      <w:marLeft w:val="0"/>
      <w:marRight w:val="0"/>
      <w:marTop w:val="0"/>
      <w:marBottom w:val="0"/>
      <w:divBdr>
        <w:top w:val="none" w:sz="0" w:space="0" w:color="auto"/>
        <w:left w:val="none" w:sz="0" w:space="0" w:color="auto"/>
        <w:bottom w:val="none" w:sz="0" w:space="0" w:color="auto"/>
        <w:right w:val="none" w:sz="0" w:space="0" w:color="auto"/>
      </w:divBdr>
    </w:div>
    <w:div w:id="937755204">
      <w:bodyDiv w:val="1"/>
      <w:marLeft w:val="0"/>
      <w:marRight w:val="0"/>
      <w:marTop w:val="0"/>
      <w:marBottom w:val="0"/>
      <w:divBdr>
        <w:top w:val="none" w:sz="0" w:space="0" w:color="auto"/>
        <w:left w:val="none" w:sz="0" w:space="0" w:color="auto"/>
        <w:bottom w:val="none" w:sz="0" w:space="0" w:color="auto"/>
        <w:right w:val="none" w:sz="0" w:space="0" w:color="auto"/>
      </w:divBdr>
    </w:div>
    <w:div w:id="989361978">
      <w:bodyDiv w:val="1"/>
      <w:marLeft w:val="0"/>
      <w:marRight w:val="0"/>
      <w:marTop w:val="0"/>
      <w:marBottom w:val="0"/>
      <w:divBdr>
        <w:top w:val="none" w:sz="0" w:space="0" w:color="auto"/>
        <w:left w:val="none" w:sz="0" w:space="0" w:color="auto"/>
        <w:bottom w:val="none" w:sz="0" w:space="0" w:color="auto"/>
        <w:right w:val="none" w:sz="0" w:space="0" w:color="auto"/>
      </w:divBdr>
    </w:div>
    <w:div w:id="997345359">
      <w:bodyDiv w:val="1"/>
      <w:marLeft w:val="0"/>
      <w:marRight w:val="0"/>
      <w:marTop w:val="0"/>
      <w:marBottom w:val="0"/>
      <w:divBdr>
        <w:top w:val="none" w:sz="0" w:space="0" w:color="auto"/>
        <w:left w:val="none" w:sz="0" w:space="0" w:color="auto"/>
        <w:bottom w:val="none" w:sz="0" w:space="0" w:color="auto"/>
        <w:right w:val="none" w:sz="0" w:space="0" w:color="auto"/>
      </w:divBdr>
    </w:div>
    <w:div w:id="1244686228">
      <w:bodyDiv w:val="1"/>
      <w:marLeft w:val="0"/>
      <w:marRight w:val="0"/>
      <w:marTop w:val="0"/>
      <w:marBottom w:val="0"/>
      <w:divBdr>
        <w:top w:val="none" w:sz="0" w:space="0" w:color="auto"/>
        <w:left w:val="none" w:sz="0" w:space="0" w:color="auto"/>
        <w:bottom w:val="none" w:sz="0" w:space="0" w:color="auto"/>
        <w:right w:val="none" w:sz="0" w:space="0" w:color="auto"/>
      </w:divBdr>
    </w:div>
    <w:div w:id="1388260868">
      <w:bodyDiv w:val="1"/>
      <w:marLeft w:val="0"/>
      <w:marRight w:val="0"/>
      <w:marTop w:val="0"/>
      <w:marBottom w:val="0"/>
      <w:divBdr>
        <w:top w:val="none" w:sz="0" w:space="0" w:color="auto"/>
        <w:left w:val="none" w:sz="0" w:space="0" w:color="auto"/>
        <w:bottom w:val="none" w:sz="0" w:space="0" w:color="auto"/>
        <w:right w:val="none" w:sz="0" w:space="0" w:color="auto"/>
      </w:divBdr>
    </w:div>
    <w:div w:id="1419524565">
      <w:bodyDiv w:val="1"/>
      <w:marLeft w:val="0"/>
      <w:marRight w:val="0"/>
      <w:marTop w:val="0"/>
      <w:marBottom w:val="0"/>
      <w:divBdr>
        <w:top w:val="none" w:sz="0" w:space="0" w:color="auto"/>
        <w:left w:val="none" w:sz="0" w:space="0" w:color="auto"/>
        <w:bottom w:val="none" w:sz="0" w:space="0" w:color="auto"/>
        <w:right w:val="none" w:sz="0" w:space="0" w:color="auto"/>
      </w:divBdr>
    </w:div>
    <w:div w:id="1432430462">
      <w:bodyDiv w:val="1"/>
      <w:marLeft w:val="0"/>
      <w:marRight w:val="0"/>
      <w:marTop w:val="0"/>
      <w:marBottom w:val="0"/>
      <w:divBdr>
        <w:top w:val="none" w:sz="0" w:space="0" w:color="auto"/>
        <w:left w:val="none" w:sz="0" w:space="0" w:color="auto"/>
        <w:bottom w:val="none" w:sz="0" w:space="0" w:color="auto"/>
        <w:right w:val="none" w:sz="0" w:space="0" w:color="auto"/>
      </w:divBdr>
    </w:div>
    <w:div w:id="1446192781">
      <w:bodyDiv w:val="1"/>
      <w:marLeft w:val="0"/>
      <w:marRight w:val="0"/>
      <w:marTop w:val="0"/>
      <w:marBottom w:val="0"/>
      <w:divBdr>
        <w:top w:val="none" w:sz="0" w:space="0" w:color="auto"/>
        <w:left w:val="none" w:sz="0" w:space="0" w:color="auto"/>
        <w:bottom w:val="none" w:sz="0" w:space="0" w:color="auto"/>
        <w:right w:val="none" w:sz="0" w:space="0" w:color="auto"/>
      </w:divBdr>
    </w:div>
    <w:div w:id="1673142624">
      <w:bodyDiv w:val="1"/>
      <w:marLeft w:val="0"/>
      <w:marRight w:val="0"/>
      <w:marTop w:val="0"/>
      <w:marBottom w:val="0"/>
      <w:divBdr>
        <w:top w:val="none" w:sz="0" w:space="0" w:color="auto"/>
        <w:left w:val="none" w:sz="0" w:space="0" w:color="auto"/>
        <w:bottom w:val="none" w:sz="0" w:space="0" w:color="auto"/>
        <w:right w:val="none" w:sz="0" w:space="0" w:color="auto"/>
      </w:divBdr>
    </w:div>
    <w:div w:id="1681883092">
      <w:bodyDiv w:val="1"/>
      <w:marLeft w:val="0"/>
      <w:marRight w:val="0"/>
      <w:marTop w:val="0"/>
      <w:marBottom w:val="0"/>
      <w:divBdr>
        <w:top w:val="none" w:sz="0" w:space="0" w:color="auto"/>
        <w:left w:val="none" w:sz="0" w:space="0" w:color="auto"/>
        <w:bottom w:val="none" w:sz="0" w:space="0" w:color="auto"/>
        <w:right w:val="none" w:sz="0" w:space="0" w:color="auto"/>
      </w:divBdr>
    </w:div>
    <w:div w:id="1784879507">
      <w:bodyDiv w:val="1"/>
      <w:marLeft w:val="0"/>
      <w:marRight w:val="0"/>
      <w:marTop w:val="0"/>
      <w:marBottom w:val="0"/>
      <w:divBdr>
        <w:top w:val="none" w:sz="0" w:space="0" w:color="auto"/>
        <w:left w:val="none" w:sz="0" w:space="0" w:color="auto"/>
        <w:bottom w:val="none" w:sz="0" w:space="0" w:color="auto"/>
        <w:right w:val="none" w:sz="0" w:space="0" w:color="auto"/>
      </w:divBdr>
    </w:div>
    <w:div w:id="1806584950">
      <w:bodyDiv w:val="1"/>
      <w:marLeft w:val="0"/>
      <w:marRight w:val="0"/>
      <w:marTop w:val="0"/>
      <w:marBottom w:val="0"/>
      <w:divBdr>
        <w:top w:val="none" w:sz="0" w:space="0" w:color="auto"/>
        <w:left w:val="none" w:sz="0" w:space="0" w:color="auto"/>
        <w:bottom w:val="none" w:sz="0" w:space="0" w:color="auto"/>
        <w:right w:val="none" w:sz="0" w:space="0" w:color="auto"/>
      </w:divBdr>
    </w:div>
    <w:div w:id="186470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johnston@york.ac.uk" TargetMode="External"/><Relationship Id="rId13" Type="http://schemas.openxmlformats.org/officeDocument/2006/relationships/image" Target="media/image2.png"/><Relationship Id="rId18" Type="http://schemas.openxmlformats.org/officeDocument/2006/relationships/hyperlink" Target="https://map.ox.ac.uk/explorer/"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gco.iarc.fr/today"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iicc.iarc.fr/results" TargetMode="External"/><Relationship Id="rId20" Type="http://schemas.openxmlformats.org/officeDocument/2006/relationships/hyperlink" Target="http://hdr.undp.org/en/dat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co.iarc.fr/"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ghsl.jrc.ec.europa.eu/index.php"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iicc.iarc.fr" TargetMode="External"/><Relationship Id="rId19" Type="http://schemas.openxmlformats.org/officeDocument/2006/relationships/hyperlink" Target="https://population.un.org/wpp/Download/Standard/Populatio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i5.iarc.fr" TargetMode="External"/><Relationship Id="rId14" Type="http://schemas.openxmlformats.org/officeDocument/2006/relationships/hyperlink" Target="https://esa.un.org/unpd/wpp/)"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FEFBD-AFA3-419A-B671-4F67A2B63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AE6BEF90.dotm</Template>
  <TotalTime>36</TotalTime>
  <Pages>28</Pages>
  <Words>49550</Words>
  <Characters>282441</Characters>
  <Application>Microsoft Office Word</Application>
  <DocSecurity>0</DocSecurity>
  <Lines>2353</Lines>
  <Paragraphs>662</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331329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Johnston</dc:creator>
  <cp:lastModifiedBy>Tom Johnston</cp:lastModifiedBy>
  <cp:revision>9</cp:revision>
  <cp:lastPrinted>2019-09-30T11:42:00Z</cp:lastPrinted>
  <dcterms:created xsi:type="dcterms:W3CDTF">2019-12-09T11:26:00Z</dcterms:created>
  <dcterms:modified xsi:type="dcterms:W3CDTF">2019-12-10T11:14:00Z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id="1boiDUIj"/&gt;&lt;style id="http://www.zotero.org/styles/elsevier-with-titles-bibliography-et-al" hasBibliography="1" bibliographyStyleHasBeenSet="1"/&gt;&lt;prefs&gt;&lt;pref name="fieldType" value="Field"/&gt;&lt;pref</vt:lpwstr>
  </property>
  <property fmtid="{D5CDD505-2E9C-101B-9397-08002B2CF9AE}" pid="3" name="ZOTERO_PREF_2">
    <vt:lpwstr> name="automaticJournalAbbreviations" value="true"/&gt;&lt;pref name="dontAskDelayCitationUpdates" value="true"/&gt;&lt;/prefs&gt;&lt;/data&gt;</vt:lpwstr>
  </property>
</Properties>
</file>