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3FBBE8" w14:textId="77777777" w:rsidR="0038409E" w:rsidRPr="00FD0E61" w:rsidRDefault="0038409E" w:rsidP="001448A4">
      <w:pPr>
        <w:pStyle w:val="Heading2"/>
        <w:spacing w:before="240" w:after="200" w:line="480" w:lineRule="auto"/>
      </w:pPr>
      <w:r w:rsidRPr="00FD0E61">
        <w:t xml:space="preserve">Abstract </w:t>
      </w:r>
    </w:p>
    <w:p w14:paraId="20189836" w14:textId="77777777" w:rsidR="0038409E" w:rsidRDefault="0038409E" w:rsidP="001448A4">
      <w:pPr>
        <w:spacing w:line="480" w:lineRule="auto"/>
        <w:jc w:val="both"/>
        <w:rPr>
          <w:rFonts w:cs="Times New Roman"/>
          <w:szCs w:val="24"/>
          <w:lang w:val="en-GB"/>
        </w:rPr>
      </w:pPr>
      <w:bookmarkStart w:id="0" w:name="_Hlk526681528"/>
      <w:r w:rsidRPr="00A40A4F">
        <w:rPr>
          <w:rFonts w:cs="Times New Roman"/>
          <w:szCs w:val="24"/>
        </w:rPr>
        <w:t xml:space="preserve">Effects of earthworms on </w:t>
      </w:r>
      <w:r>
        <w:rPr>
          <w:rFonts w:cs="Times New Roman"/>
          <w:szCs w:val="24"/>
        </w:rPr>
        <w:t>soil</w:t>
      </w:r>
      <w:r w:rsidRPr="00A40A4F">
        <w:rPr>
          <w:rFonts w:cs="Times New Roman"/>
          <w:szCs w:val="24"/>
        </w:rPr>
        <w:t xml:space="preserve"> physico-hydraulic properties, herbage production and wheat growth in long-term arable soils following conversion to ley were investigated</w:t>
      </w:r>
      <w:r>
        <w:rPr>
          <w:rFonts w:cs="Times New Roman"/>
          <w:szCs w:val="24"/>
          <w:lang w:val="en-GB"/>
        </w:rPr>
        <w:t xml:space="preserve">. </w:t>
      </w:r>
      <w:bookmarkStart w:id="1" w:name="_Hlk9350700"/>
      <w:r>
        <w:rPr>
          <w:rFonts w:cs="Times New Roman"/>
          <w:szCs w:val="24"/>
        </w:rPr>
        <w:t>Seven i</w:t>
      </w:r>
      <w:r w:rsidRPr="00A40A4F">
        <w:rPr>
          <w:rFonts w:cs="Times New Roman"/>
          <w:szCs w:val="24"/>
        </w:rPr>
        <w:t xml:space="preserve">ntact </w:t>
      </w:r>
      <w:r>
        <w:rPr>
          <w:rFonts w:cs="Times New Roman"/>
          <w:szCs w:val="24"/>
        </w:rPr>
        <w:t xml:space="preserve">soil </w:t>
      </w:r>
      <w:r w:rsidRPr="00A40A4F">
        <w:rPr>
          <w:rFonts w:cs="Times New Roman"/>
          <w:szCs w:val="24"/>
        </w:rPr>
        <w:t xml:space="preserve">monoliths were collected from </w:t>
      </w:r>
      <w:r>
        <w:rPr>
          <w:rFonts w:cs="Times New Roman"/>
          <w:szCs w:val="24"/>
        </w:rPr>
        <w:t xml:space="preserve">each of </w:t>
      </w:r>
      <w:r w:rsidRPr="00A40A4F">
        <w:rPr>
          <w:rFonts w:cs="Times New Roman"/>
          <w:szCs w:val="24"/>
        </w:rPr>
        <w:t>four arable fields.</w:t>
      </w:r>
      <w:r>
        <w:rPr>
          <w:rFonts w:cs="Times New Roman"/>
          <w:szCs w:val="24"/>
        </w:rPr>
        <w:t xml:space="preserve"> One monolith per field served as a control. The other s</w:t>
      </w:r>
      <w:r w:rsidRPr="00A40A4F">
        <w:rPr>
          <w:rFonts w:cs="Times New Roman"/>
          <w:szCs w:val="24"/>
        </w:rPr>
        <w:t>ix were defaunated</w:t>
      </w:r>
      <w:r>
        <w:rPr>
          <w:rFonts w:cs="Times New Roman"/>
          <w:szCs w:val="24"/>
        </w:rPr>
        <w:t xml:space="preserve"> </w:t>
      </w:r>
      <w:r w:rsidRPr="00A40A4F">
        <w:rPr>
          <w:rFonts w:cs="Times New Roman"/>
          <w:szCs w:val="24"/>
        </w:rPr>
        <w:t>by deep-freezing; three were left defaunated (DeF)</w:t>
      </w:r>
      <w:r>
        <w:rPr>
          <w:rFonts w:cs="Times New Roman"/>
          <w:szCs w:val="24"/>
        </w:rPr>
        <w:t xml:space="preserve"> and </w:t>
      </w:r>
      <w:r w:rsidRPr="00A40A4F">
        <w:rPr>
          <w:rFonts w:cs="Times New Roman"/>
          <w:szCs w:val="24"/>
        </w:rPr>
        <w:t>three (DeF+E)</w:t>
      </w:r>
      <w:r>
        <w:rPr>
          <w:rFonts w:cs="Times New Roman"/>
          <w:szCs w:val="24"/>
        </w:rPr>
        <w:t xml:space="preserve"> </w:t>
      </w:r>
      <w:r w:rsidRPr="00A40A4F">
        <w:rPr>
          <w:rFonts w:cs="Times New Roman"/>
          <w:szCs w:val="24"/>
        </w:rPr>
        <w:t xml:space="preserve">were </w:t>
      </w:r>
      <w:r>
        <w:rPr>
          <w:rFonts w:cs="Times New Roman"/>
          <w:szCs w:val="24"/>
        </w:rPr>
        <w:t>repopulated with</w:t>
      </w:r>
      <w:r w:rsidRPr="00A40A4F">
        <w:rPr>
          <w:rFonts w:cs="Times New Roman"/>
          <w:szCs w:val="24"/>
        </w:rPr>
        <w:t xml:space="preserve"> earthworms to mimic pasture field density and diversity.</w:t>
      </w:r>
      <w:bookmarkEnd w:id="1"/>
      <w:r>
        <w:rPr>
          <w:rFonts w:cs="Times New Roman"/>
          <w:szCs w:val="24"/>
          <w:lang w:val="en-GB"/>
        </w:rPr>
        <w:t xml:space="preserve"> </w:t>
      </w:r>
      <w:r w:rsidRPr="00A40A4F">
        <w:rPr>
          <w:rFonts w:cs="Times New Roman"/>
          <w:szCs w:val="24"/>
        </w:rPr>
        <w:t>The monoliths were planted with a grass-clover ley and inserted into pre-established ley strips in their original fields for 12 months. Hydraulic conductivity measurements at -0.5 cm tension (</w:t>
      </w:r>
      <w:r w:rsidRPr="00A40A4F">
        <w:rPr>
          <w:rFonts w:cs="Times New Roman"/>
          <w:i/>
          <w:szCs w:val="24"/>
        </w:rPr>
        <w:t>K</w:t>
      </w:r>
      <w:r w:rsidRPr="00A40A4F">
        <w:rPr>
          <w:rFonts w:cs="Times New Roman"/>
          <w:i/>
          <w:szCs w:val="24"/>
          <w:vertAlign w:val="subscript"/>
        </w:rPr>
        <w:t>0.5</w:t>
      </w:r>
      <w:r w:rsidRPr="00A40A4F">
        <w:rPr>
          <w:rFonts w:cs="Times New Roman"/>
          <w:szCs w:val="24"/>
        </w:rPr>
        <w:t xml:space="preserve">) were taken five times over the year. </w:t>
      </w:r>
      <w:r w:rsidRPr="00A40A4F">
        <w:rPr>
          <w:rFonts w:cs="Times New Roman"/>
          <w:i/>
          <w:szCs w:val="24"/>
        </w:rPr>
        <w:t>K</w:t>
      </w:r>
      <w:r w:rsidRPr="00A40A4F">
        <w:rPr>
          <w:rFonts w:cs="Times New Roman"/>
          <w:i/>
          <w:szCs w:val="24"/>
          <w:vertAlign w:val="subscript"/>
        </w:rPr>
        <w:t>0.5</w:t>
      </w:r>
      <w:r w:rsidRPr="00A40A4F">
        <w:rPr>
          <w:rFonts w:cs="Times New Roman"/>
          <w:i/>
          <w:szCs w:val="24"/>
        </w:rPr>
        <w:t xml:space="preserve"> </w:t>
      </w:r>
      <w:r w:rsidRPr="00A40A4F">
        <w:rPr>
          <w:rFonts w:cs="Times New Roman"/>
          <w:szCs w:val="24"/>
        </w:rPr>
        <w:t xml:space="preserve">significantly increased in summer 2017 and spring 2018 and decreased in winter 2017-18. </w:t>
      </w:r>
      <w:r w:rsidRPr="00A40A4F">
        <w:rPr>
          <w:rFonts w:cs="Times New Roman"/>
          <w:i/>
          <w:szCs w:val="24"/>
        </w:rPr>
        <w:t>K</w:t>
      </w:r>
      <w:r w:rsidRPr="00A40A4F">
        <w:rPr>
          <w:rFonts w:cs="Times New Roman"/>
          <w:i/>
          <w:szCs w:val="24"/>
          <w:vertAlign w:val="subscript"/>
        </w:rPr>
        <w:t>0.5</w:t>
      </w:r>
      <w:r w:rsidRPr="00A40A4F">
        <w:rPr>
          <w:rFonts w:cs="Times New Roman"/>
          <w:szCs w:val="24"/>
        </w:rPr>
        <w:t xml:space="preserve"> was significantly greater (47%) for DeF+E than DeF monoliths. By the end of the experiment, pores &gt;1 mm diameter made a significantly greater contribution to water flow in DeF+E </w:t>
      </w:r>
      <w:r w:rsidRPr="00A40A4F">
        <w:rPr>
          <w:szCs w:val="24"/>
        </w:rPr>
        <w:t xml:space="preserve">(98%) </w:t>
      </w:r>
      <w:r w:rsidRPr="00A40A4F">
        <w:rPr>
          <w:rFonts w:cs="Times New Roman"/>
          <w:szCs w:val="24"/>
        </w:rPr>
        <w:t xml:space="preserve">than DeF </w:t>
      </w:r>
      <w:r w:rsidRPr="00A40A4F">
        <w:rPr>
          <w:szCs w:val="24"/>
        </w:rPr>
        <w:t xml:space="preserve">(95%) </w:t>
      </w:r>
      <w:r w:rsidRPr="00A40A4F">
        <w:rPr>
          <w:rFonts w:cs="Times New Roman"/>
          <w:szCs w:val="24"/>
        </w:rPr>
        <w:t xml:space="preserve">monoliths. After only a year of arable to ley conversion, soil bulk density significantly decreased (by 6%), and organic matter (OM) content increased (by 29%) in the DeF treatments relative to the arable soil. </w:t>
      </w:r>
      <w:r>
        <w:rPr>
          <w:rFonts w:cs="Times New Roman"/>
          <w:szCs w:val="24"/>
        </w:rPr>
        <w:t>E</w:t>
      </w:r>
      <w:r w:rsidRPr="00A40A4F">
        <w:rPr>
          <w:rFonts w:cs="Times New Roman"/>
          <w:szCs w:val="24"/>
        </w:rPr>
        <w:t xml:space="preserve">arthworms improved soil quality further. Compared to DeF monoliths, DeF+E </w:t>
      </w:r>
      <w:r>
        <w:rPr>
          <w:rFonts w:cs="Times New Roman"/>
          <w:szCs w:val="24"/>
        </w:rPr>
        <w:t>monoliths had</w:t>
      </w:r>
      <w:r w:rsidRPr="00A40A4F">
        <w:rPr>
          <w:rFonts w:cs="Times New Roman"/>
          <w:szCs w:val="24"/>
        </w:rPr>
        <w:t xml:space="preserve"> significantly increased water-holding capacity (by 9%), plant-available water (by 21%), OM content (</w:t>
      </w:r>
      <w:r>
        <w:rPr>
          <w:rFonts w:cs="Times New Roman"/>
          <w:szCs w:val="24"/>
        </w:rPr>
        <w:t xml:space="preserve">by </w:t>
      </w:r>
      <w:r w:rsidRPr="00A40A4F">
        <w:rPr>
          <w:rFonts w:cs="Times New Roman"/>
          <w:szCs w:val="24"/>
        </w:rPr>
        <w:t>9%), grass-clover shoot dry biomass (by 58%), water-stable aggregates &gt; 250 µm (by 15%) and total N (by 3.5%). In a wheat bioassay following the field experiment, significantly more biomass (20%) was produced on DeF+E than DeF monolith soil, likely due to the changed soil physico-hydraulic properties. Our results show that earthworms play a significant role in improvements to soil quality and functions brought about by arable to ley conversion, and that augmenting depleted earthworm populations can help the restoration of soil qualities adversely impacted by intensive agriculture</w:t>
      </w:r>
      <w:r>
        <w:rPr>
          <w:rFonts w:cs="Times New Roman"/>
          <w:szCs w:val="24"/>
        </w:rPr>
        <w:t>.</w:t>
      </w:r>
    </w:p>
    <w:bookmarkEnd w:id="0"/>
    <w:p w14:paraId="6A941CCB" w14:textId="77777777" w:rsidR="0038409E" w:rsidRPr="005F4587" w:rsidRDefault="0038409E" w:rsidP="001448A4">
      <w:pPr>
        <w:spacing w:before="360" w:line="480" w:lineRule="auto"/>
        <w:jc w:val="both"/>
        <w:rPr>
          <w:szCs w:val="24"/>
        </w:rPr>
      </w:pPr>
      <w:r w:rsidRPr="00AC493A">
        <w:rPr>
          <w:rFonts w:cs="Times New Roman"/>
          <w:b/>
          <w:szCs w:val="24"/>
          <w:lang w:val="en-GB"/>
        </w:rPr>
        <w:lastRenderedPageBreak/>
        <w:t>Keywords:</w:t>
      </w:r>
      <w:r w:rsidRPr="00AC493A">
        <w:rPr>
          <w:rFonts w:cs="Times New Roman"/>
          <w:szCs w:val="24"/>
          <w:lang w:val="en-GB"/>
        </w:rPr>
        <w:t xml:space="preserve"> </w:t>
      </w:r>
      <w:r>
        <w:rPr>
          <w:rFonts w:cs="Times New Roman"/>
          <w:szCs w:val="24"/>
          <w:lang w:val="en-GB"/>
        </w:rPr>
        <w:t>Soil fauna, hydraulic conductivity</w:t>
      </w:r>
      <w:r w:rsidRPr="00AC493A">
        <w:rPr>
          <w:rFonts w:cs="Times New Roman"/>
          <w:szCs w:val="24"/>
          <w:lang w:val="en-GB"/>
        </w:rPr>
        <w:t xml:space="preserve">, </w:t>
      </w:r>
      <w:r>
        <w:rPr>
          <w:rFonts w:cs="Times New Roman"/>
          <w:szCs w:val="24"/>
          <w:lang w:val="en-GB"/>
        </w:rPr>
        <w:t xml:space="preserve">soil water release curves, </w:t>
      </w:r>
      <w:r w:rsidRPr="00AC493A">
        <w:rPr>
          <w:rFonts w:cs="Times New Roman"/>
          <w:szCs w:val="24"/>
          <w:lang w:val="en-GB"/>
        </w:rPr>
        <w:t>water</w:t>
      </w:r>
      <w:r>
        <w:rPr>
          <w:rFonts w:cs="Times New Roman"/>
          <w:szCs w:val="24"/>
          <w:lang w:val="en-GB"/>
        </w:rPr>
        <w:t>-</w:t>
      </w:r>
      <w:r w:rsidRPr="00AC493A">
        <w:rPr>
          <w:rFonts w:cs="Times New Roman"/>
          <w:szCs w:val="24"/>
          <w:lang w:val="en-GB"/>
        </w:rPr>
        <w:t>holding capacity,</w:t>
      </w:r>
      <w:r>
        <w:rPr>
          <w:rFonts w:cs="Times New Roman"/>
          <w:szCs w:val="24"/>
          <w:lang w:val="en-GB"/>
        </w:rPr>
        <w:t xml:space="preserve"> plant available water, wheat bioassay.</w:t>
      </w:r>
    </w:p>
    <w:p w14:paraId="4F217508" w14:textId="77777777" w:rsidR="0038409E" w:rsidRDefault="0038409E" w:rsidP="001448A4">
      <w:pPr>
        <w:spacing w:line="480" w:lineRule="auto"/>
        <w:jc w:val="center"/>
        <w:rPr>
          <w:rFonts w:cs="Times New Roman"/>
          <w:b/>
          <w:bCs/>
          <w:sz w:val="28"/>
          <w:szCs w:val="28"/>
        </w:rPr>
      </w:pPr>
      <w:r>
        <w:rPr>
          <w:rFonts w:cs="Times New Roman"/>
          <w:b/>
          <w:bCs/>
          <w:sz w:val="28"/>
          <w:szCs w:val="28"/>
        </w:rPr>
        <w:br w:type="page"/>
      </w:r>
    </w:p>
    <w:p w14:paraId="51939337" w14:textId="77777777" w:rsidR="0038409E" w:rsidRPr="00542F59" w:rsidRDefault="0038409E" w:rsidP="001448A4">
      <w:pPr>
        <w:pStyle w:val="Heading2"/>
        <w:numPr>
          <w:ilvl w:val="0"/>
          <w:numId w:val="14"/>
        </w:numPr>
        <w:spacing w:before="240" w:after="200" w:line="480" w:lineRule="auto"/>
      </w:pPr>
      <w:r w:rsidRPr="00542F59">
        <w:t>Introduction</w:t>
      </w:r>
    </w:p>
    <w:p w14:paraId="2583809F" w14:textId="77777777" w:rsidR="0038409E" w:rsidRDefault="0038409E" w:rsidP="001448A4">
      <w:pPr>
        <w:spacing w:line="480" w:lineRule="auto"/>
        <w:jc w:val="both"/>
        <w:rPr>
          <w:rFonts w:cs="Times New Roman"/>
          <w:szCs w:val="24"/>
        </w:rPr>
      </w:pPr>
      <w:r>
        <w:rPr>
          <w:rFonts w:cs="Times New Roman"/>
          <w:szCs w:val="24"/>
        </w:rPr>
        <w:t xml:space="preserve">Soil degradation affects </w:t>
      </w:r>
      <w:r w:rsidRPr="00385C89">
        <w:rPr>
          <w:rFonts w:cs="Times New Roman"/>
          <w:szCs w:val="24"/>
        </w:rPr>
        <w:t>about 3</w:t>
      </w:r>
      <w:r>
        <w:rPr>
          <w:rFonts w:cs="Times New Roman"/>
          <w:szCs w:val="24"/>
        </w:rPr>
        <w:t>3</w:t>
      </w:r>
      <w:r w:rsidRPr="00385C89">
        <w:rPr>
          <w:rFonts w:cs="Times New Roman"/>
          <w:szCs w:val="24"/>
        </w:rPr>
        <w:t xml:space="preserve">% of </w:t>
      </w:r>
      <w:r>
        <w:rPr>
          <w:rFonts w:cs="Times New Roman"/>
          <w:szCs w:val="24"/>
        </w:rPr>
        <w:t xml:space="preserve">land </w:t>
      </w:r>
      <w:r w:rsidRPr="00385C89">
        <w:rPr>
          <w:rFonts w:cs="Times New Roman"/>
          <w:szCs w:val="24"/>
        </w:rPr>
        <w:t xml:space="preserve">worldwide </w:t>
      </w:r>
      <w:r>
        <w:rPr>
          <w:rFonts w:cs="Times New Roman"/>
          <w:szCs w:val="24"/>
        </w:rPr>
        <w:t xml:space="preserve">and is a major threat to </w:t>
      </w:r>
      <w:r w:rsidRPr="00F70D18">
        <w:rPr>
          <w:rFonts w:cs="Times New Roman"/>
          <w:szCs w:val="24"/>
        </w:rPr>
        <w:t>future food security</w:t>
      </w:r>
      <w:r>
        <w:rPr>
          <w:rFonts w:cs="Times New Roman"/>
          <w:szCs w:val="24"/>
        </w:rPr>
        <w:t>,</w:t>
      </w:r>
      <w:r w:rsidRPr="00F70D18">
        <w:rPr>
          <w:rFonts w:cs="Times New Roman"/>
          <w:szCs w:val="24"/>
        </w:rPr>
        <w:t xml:space="preserve"> </w:t>
      </w:r>
      <w:r>
        <w:rPr>
          <w:rFonts w:cs="Times New Roman"/>
          <w:szCs w:val="24"/>
        </w:rPr>
        <w:t>increasing human vulnerability to extreme events resulting from climate change</w:t>
      </w:r>
      <w:r w:rsidR="00B8757D">
        <w:rPr>
          <w:rFonts w:cs="Times New Roman"/>
          <w:szCs w:val="24"/>
        </w:rPr>
        <w:t xml:space="preserve">  </w:t>
      </w:r>
      <w:r w:rsidR="00B8757D">
        <w:rPr>
          <w:rFonts w:cs="Times New Roman"/>
          <w:szCs w:val="24"/>
        </w:rPr>
        <w:fldChar w:fldCharType="begin" w:fldLock="1"/>
      </w:r>
      <w:r w:rsidR="00F56D1F">
        <w:rPr>
          <w:rFonts w:cs="Times New Roman"/>
          <w:szCs w:val="24"/>
        </w:rPr>
        <w:instrText>ADDIN CSL_CITATION {"citationItems":[{"id":"ITEM-1","itemData":{"author":[{"dropping-particle":"","family":"FAO","given":"","non-dropping-particle":"","parse-names":false,"suffix":""},{"dropping-particle":"","family":"ITPS","given":"","non-dropping-particle":"","parse-names":false,"suffix":""}],"id":"ITEM-1","issued":{"date-parts":[["2015"]]},"publisher-place":"Rome, Italy","title":"Status of the World’s Soil Resources (SWSR) – Main Report","type":"report"},"uris":["http://www.mendeley.com/documents/?uuid=0f71e7f3-7ee1-4162-a1bb-4551024801b9"]}],"mendeley":{"formattedCitation":"(FAO and ITPS, 2015)","plainTextFormattedCitation":"(FAO and ITPS, 2015)","previouslyFormattedCitation":"(FAO and ITPS, 2015)"},"properties":{"noteIndex":0},"schema":"https://github.com/citation-style-language/schema/raw/master/csl-citation.json"}</w:instrText>
      </w:r>
      <w:r w:rsidR="00B8757D">
        <w:rPr>
          <w:rFonts w:cs="Times New Roman"/>
          <w:szCs w:val="24"/>
        </w:rPr>
        <w:fldChar w:fldCharType="separate"/>
      </w:r>
      <w:r w:rsidR="00B8757D" w:rsidRPr="00B8757D">
        <w:rPr>
          <w:rFonts w:cs="Times New Roman"/>
          <w:noProof/>
          <w:szCs w:val="24"/>
        </w:rPr>
        <w:t>(FAO and ITPS, 2015)</w:t>
      </w:r>
      <w:r w:rsidR="00B8757D">
        <w:rPr>
          <w:rFonts w:cs="Times New Roman"/>
          <w:szCs w:val="24"/>
        </w:rPr>
        <w:fldChar w:fldCharType="end"/>
      </w:r>
      <w:r>
        <w:rPr>
          <w:rFonts w:cs="Times New Roman"/>
          <w:szCs w:val="24"/>
        </w:rPr>
        <w:t xml:space="preserve">. Estimates of the costs to the global economy of soil degradation range widely from </w:t>
      </w:r>
      <w:r w:rsidRPr="002101D3">
        <w:rPr>
          <w:rFonts w:cs="Times New Roman"/>
          <w:szCs w:val="24"/>
        </w:rPr>
        <w:t>US$231 billion</w:t>
      </w:r>
      <w:r>
        <w:rPr>
          <w:rFonts w:cs="Times New Roman"/>
          <w:szCs w:val="24"/>
        </w:rPr>
        <w:t xml:space="preserve"> per year</w:t>
      </w:r>
      <w:r w:rsidR="00F56D1F">
        <w:rPr>
          <w:rFonts w:cs="Times New Roman"/>
          <w:szCs w:val="24"/>
        </w:rPr>
        <w:t xml:space="preserve"> </w:t>
      </w:r>
      <w:r w:rsidR="00F56D1F">
        <w:rPr>
          <w:rFonts w:cs="Times New Roman"/>
          <w:szCs w:val="24"/>
        </w:rPr>
        <w:fldChar w:fldCharType="begin" w:fldLock="1"/>
      </w:r>
      <w:r w:rsidR="00F56D1F">
        <w:rPr>
          <w:rFonts w:cs="Times New Roman"/>
          <w:szCs w:val="24"/>
        </w:rPr>
        <w:instrText>ADDIN CSL_CITATION {"citationItems":[{"id":"ITEM-1","itemData":{"DOI":"10.1007/978-3-319-19168-3_6","ISBN":"978-3-319-19168-3","abstract":"Land degradation—defined by the Millennium Ecosystem Assessment report as the long-term loss of ecosystems services—is a global problem, negatively affecting the livelihoods and food security of billions of people. Intensifying efforts, mobilizing more investments and strengthening the policy commitment for addressing land degradation at the global level needs to be supported by a careful evaluation of the costs and benefits of action versus costs of inaction against land degradation. Consistent with the definition of land degradation, we adopt the Total Economic Value (TEV) approach to determine the costs of land degradation and use remote sensing data and global statistical databases in our analysis. The results show that the annual costs of land degradation due to land use and land cover change (LUCC) are about US$231 billion per year or about 0.41 % of the global GDP of US$56.49 trillion in 2007. Contrary to past global land degradation assessment studies, land degradation is severe in both tropical and temperate countries. However, the losses from LUCC are especially high in Sub-Saharan Africa, which accounts for 26 % of the total global costs of land degradation due to LUCC. However, the local tangible losses (mainly provisioning services) account only for 46 % of the total cost of land degradation and the rest of the cost is due to the losses of ecosystem services (ES) accruable largely to beneficiaries other than the local land users. These external ES losses include carbon sequestration, biodiversity, genetic information and cultural services. This implies that the global community bears the largest cost of land degradation, which suggests that efforts to address land degradation should be done bearing in mind that the global community, as a whole, incurs larger losses than the local communities experiencing land degradation. The cost of soil fertility mining due to using land degrading management practices on maize, rice and wheat is estimated to be about US$15 billion per year or 0.07 % of the global GDP. Though these results are based on a crop simulation approach that underestimates the impact of land degradation and covers only three crops, they reveal the high cost of land degradation for the production of the major food crops of the world. Our simulations also show that returns to investment in action against land degradation are twice larger than the cost of inaction in the first six years alone. Moreover, when one takes a 30-year plann…","author":[{"dropping-particle":"","family":"Nkonya","given":"Ephraim","non-dropping-particle":"","parse-names":false,"suffix":""},{"dropping-particle":"","family":"Anderson","given":"Weston","non-dropping-particle":"","parse-names":false,"suffix":""},{"dropping-particle":"","family":"Kato","given":"Edward","non-dropping-particle":"","parse-names":false,"suffix":""},{"dropping-particle":"","family":"Koo","given":"Jawoo","non-dropping-particle":"","parse-names":false,"suffix":""},{"dropping-particle":"","family":"Mirzabaev","given":"Alisher","non-dropping-particle":"","parse-names":false,"suffix":""},{"dropping-particle":"","family":"Braun","given":"Joachim","non-dropping-particle":"von","parse-names":false,"suffix":""},{"dropping-particle":"","family":"Meyer","given":"Stefan","non-dropping-particle":"","parse-names":false,"suffix":""}],"container-title":"Economics of Land Degradation and Improvement – A Global Assessment for Sustainable Development","editor":[{"dropping-particle":"","family":"Nkonya","given":"Ephraim","non-dropping-particle":"","parse-names":false,"suffix":""},{"dropping-particle":"","family":"Mirzabaev","given":"Alisher","non-dropping-particle":"","parse-names":false,"suffix":""},{"dropping-particle":"","family":"Braun","given":"Joachim","non-dropping-particle":"von","parse-names":false,"suffix":""}],"id":"ITEM-1","issued":{"date-parts":[["2016"]]},"page":"117-165","publisher":"Springer International Publishing","publisher-place":"Cham","title":"Global Cost of Land Degradation","type":"chapter"},"uris":["http://www.mendeley.com/documents/?uuid=09533ec3-8d23-4973-8d37-098ab3d6d224"]}],"mendeley":{"formattedCitation":"(Nkonya et al., 2016)","plainTextFormattedCitation":"(Nkonya et al., 2016)","previouslyFormattedCitation":"(Nkonya et al., 2016)"},"properties":{"noteIndex":0},"schema":"https://github.com/citation-style-language/schema/raw/master/csl-citation.json"}</w:instrText>
      </w:r>
      <w:r w:rsidR="00F56D1F">
        <w:rPr>
          <w:rFonts w:cs="Times New Roman"/>
          <w:szCs w:val="24"/>
        </w:rPr>
        <w:fldChar w:fldCharType="separate"/>
      </w:r>
      <w:r w:rsidR="00F56D1F" w:rsidRPr="00F56D1F">
        <w:rPr>
          <w:rFonts w:cs="Times New Roman"/>
          <w:noProof/>
          <w:szCs w:val="24"/>
        </w:rPr>
        <w:t>(Nkonya et al., 2016)</w:t>
      </w:r>
      <w:r w:rsidR="00F56D1F">
        <w:rPr>
          <w:rFonts w:cs="Times New Roman"/>
          <w:szCs w:val="24"/>
        </w:rPr>
        <w:fldChar w:fldCharType="end"/>
      </w:r>
      <w:r>
        <w:rPr>
          <w:rFonts w:cs="Times New Roman"/>
          <w:szCs w:val="24"/>
        </w:rPr>
        <w:t xml:space="preserve"> to US$</w:t>
      </w:r>
      <w:r w:rsidRPr="00385C89">
        <w:rPr>
          <w:rFonts w:cs="Times New Roman"/>
          <w:szCs w:val="24"/>
        </w:rPr>
        <w:t>10</w:t>
      </w:r>
      <w:r>
        <w:rPr>
          <w:rFonts w:cs="Times New Roman"/>
          <w:szCs w:val="24"/>
        </w:rPr>
        <w:t xml:space="preserve"> trillion per year </w:t>
      </w:r>
      <w:r w:rsidR="00F56D1F">
        <w:rPr>
          <w:rFonts w:cs="Times New Roman"/>
          <w:szCs w:val="24"/>
        </w:rPr>
        <w:fldChar w:fldCharType="begin" w:fldLock="1"/>
      </w:r>
      <w:r w:rsidR="00F56D1F">
        <w:rPr>
          <w:rFonts w:cs="Times New Roman"/>
          <w:szCs w:val="24"/>
        </w:rPr>
        <w:instrText>ADDIN CSL_CITATION {"citationItems":[{"id":"ITEM-1","itemData":{"author":[{"dropping-particle":"","family":"The Economics of Land Degradation","given":"","non-dropping-particle":"","parse-names":false,"suffix":""}],"id":"ITEM-1","issued":{"date-parts":[["2015"]]},"publisher-place":"www.eld-initiative.org","title":"The Value of Land:  Prosperous lands and positive rewards through sustainable land management","type":"report"},"uris":["http://www.mendeley.com/documents/?uuid=f817f5b7-98dd-4a6f-abe5-2a6371d87ca8"]}],"mendeley":{"formattedCitation":"(The Economics of Land Degradation, 2015)","plainTextFormattedCitation":"(The Economics of Land Degradation, 2015)","previouslyFormattedCitation":"(The Economics of Land Degradation, 2015)"},"properties":{"noteIndex":0},"schema":"https://github.com/citation-style-language/schema/raw/master/csl-citation.json"}</w:instrText>
      </w:r>
      <w:r w:rsidR="00F56D1F">
        <w:rPr>
          <w:rFonts w:cs="Times New Roman"/>
          <w:szCs w:val="24"/>
        </w:rPr>
        <w:fldChar w:fldCharType="separate"/>
      </w:r>
      <w:r w:rsidR="00F56D1F" w:rsidRPr="00F56D1F">
        <w:rPr>
          <w:rFonts w:cs="Times New Roman"/>
          <w:noProof/>
          <w:szCs w:val="24"/>
        </w:rPr>
        <w:t>(The Economics of Land Degradation, 2015)</w:t>
      </w:r>
      <w:r w:rsidR="00F56D1F">
        <w:rPr>
          <w:rFonts w:cs="Times New Roman"/>
          <w:szCs w:val="24"/>
        </w:rPr>
        <w:fldChar w:fldCharType="end"/>
      </w:r>
      <w:r w:rsidR="00F56D1F">
        <w:rPr>
          <w:rFonts w:cs="Times New Roman"/>
          <w:szCs w:val="24"/>
        </w:rPr>
        <w:t xml:space="preserve">, </w:t>
      </w:r>
      <w:r>
        <w:rPr>
          <w:rFonts w:cs="Times New Roman"/>
          <w:szCs w:val="24"/>
        </w:rPr>
        <w:t xml:space="preserve">which is equivalent to </w:t>
      </w:r>
      <w:r w:rsidRPr="00385C89">
        <w:rPr>
          <w:rFonts w:cs="Times New Roman"/>
          <w:szCs w:val="24"/>
        </w:rPr>
        <w:t>160% of the global spend on healthcare</w:t>
      </w:r>
      <w:r w:rsidR="00F56D1F">
        <w:rPr>
          <w:rFonts w:cs="Times New Roman"/>
          <w:szCs w:val="24"/>
        </w:rPr>
        <w:t xml:space="preserve"> </w:t>
      </w:r>
      <w:r w:rsidR="00F56D1F">
        <w:rPr>
          <w:rFonts w:cs="Times New Roman"/>
          <w:szCs w:val="24"/>
        </w:rPr>
        <w:fldChar w:fldCharType="begin" w:fldLock="1"/>
      </w:r>
      <w:r w:rsidR="00F56D1F">
        <w:rPr>
          <w:rFonts w:cs="Times New Roman"/>
          <w:szCs w:val="24"/>
        </w:rPr>
        <w:instrText>ADDIN CSL_CITATION {"citationItems":[{"id":"ITEM-1","itemData":{"author":[{"dropping-particle":"","family":"World Health Organisation","given":"","non-dropping-particle":"","parse-names":false,"suffix":""}],"id":"ITEM-1","issued":{"date-parts":[["2012"]]},"publisher-place":"http://www.who.int/news-room/fact-sheets/detail/spending-on-health-a-global-overview","title":"Spending on health: A global overview","type":"webpage","volume":"2018"},"uris":["http://www.mendeley.com/documents/?uuid=c966367b-8b1d-4ef1-b0f1-94d6f4dca7a8"]}],"mendeley":{"formattedCitation":"(World Health Organisation, 2012)","plainTextFormattedCitation":"(World Health Organisation, 2012)","previouslyFormattedCitation":"(World Health Organisation, 2012)"},"properties":{"noteIndex":0},"schema":"https://github.com/citation-style-language/schema/raw/master/csl-citation.json"}</w:instrText>
      </w:r>
      <w:r w:rsidR="00F56D1F">
        <w:rPr>
          <w:rFonts w:cs="Times New Roman"/>
          <w:szCs w:val="24"/>
        </w:rPr>
        <w:fldChar w:fldCharType="separate"/>
      </w:r>
      <w:r w:rsidR="00F56D1F" w:rsidRPr="00F56D1F">
        <w:rPr>
          <w:rFonts w:cs="Times New Roman"/>
          <w:noProof/>
          <w:szCs w:val="24"/>
        </w:rPr>
        <w:t>(World Health Organisation, 2012)</w:t>
      </w:r>
      <w:r w:rsidR="00F56D1F">
        <w:rPr>
          <w:rFonts w:cs="Times New Roman"/>
          <w:szCs w:val="24"/>
        </w:rPr>
        <w:fldChar w:fldCharType="end"/>
      </w:r>
      <w:r w:rsidR="00F56D1F">
        <w:rPr>
          <w:rFonts w:cs="Times New Roman"/>
          <w:szCs w:val="24"/>
        </w:rPr>
        <w:t>.</w:t>
      </w:r>
      <w:r>
        <w:rPr>
          <w:rFonts w:cs="Times New Roman"/>
          <w:szCs w:val="24"/>
        </w:rPr>
        <w:t xml:space="preserve"> Soil degradation involves both loss of soil functions, such as depleted organic matter content which reduces carbon, water and nutrient storage, and loss of soil volume caused by erosion and compaction. The degradation of soil quality and quantity are interlinked, as reduced water-holding capacity and infiltration rates and poorer crop establishment leave soil more vulnerable to wind and water erosion</w:t>
      </w:r>
      <w:r w:rsidR="00F56D1F">
        <w:rPr>
          <w:rFonts w:cs="Times New Roman"/>
          <w:szCs w:val="24"/>
        </w:rPr>
        <w:t xml:space="preserve"> </w:t>
      </w:r>
      <w:r w:rsidR="00F56D1F">
        <w:rPr>
          <w:rFonts w:cs="Times New Roman"/>
          <w:szCs w:val="24"/>
        </w:rPr>
        <w:fldChar w:fldCharType="begin" w:fldLock="1"/>
      </w:r>
      <w:r w:rsidR="00F56D1F">
        <w:rPr>
          <w:rFonts w:cs="Times New Roman"/>
          <w:szCs w:val="24"/>
        </w:rPr>
        <w:instrText>ADDIN CSL_CITATION {"citationItems":[{"id":"ITEM-1","itemData":{"DOI":"10.1051/agro:2007062","ISBN":"1773-0155","abstract":"Soil erosion is a critical environmental problem throughout the world’s terrestrial ecosystems. Erosion inflicts multiple, serious damages in managed ecosystems such as crops, pastures, or forests as well as in natural ecosystems. In particular, erosion reduces the water-holding capacity because of rapid water runoff, and reduces soil organic matter. As a result, nutrients and valuable soil biota are transported. At the same time, species diversity of plants, animals, and microbes is significantly reduced. One of the most effective measures for erosion control and regeneration the degraded former soil is the establishment of plant covers. Indeed, achieving future of safe environment depends on conserving soil, water, energy, and biological resources. Soil erosion can be controlled through a process of assessment at regional scales for the development and restoration of the plant cover, and the introduction of conservation measures in the areas at greatest risk. Thus, conservation of these vital resources needs to receive high priority to ensure the effective protection of managed and natural ecosystems. This review article highlights three majors topics: (1) the impact of erosion of soil productivity with particular focus on climate and soil erosion; soil seal and crust development; and C losses from soils; (2) land use and soil erosion with particular focus on soil loss in agricutural lands; shrub and forest lands; and the impact of erosion in the Mediterranean terraced lands; and (3) the impact of plant covers on soil erosion with particular focus on Mediterranean factors affecting vegetation; plant roots and erosion control; and plant cover and biodiversity.","author":[{"dropping-particle":"","family":"Durán Zuazo","given":"Víctor Hugo","non-dropping-particle":"","parse-names":false,"suffix":""},{"dropping-particle":"","family":"Rodríguez Pleguezuelo","given":"Carmen Rocío","non-dropping-particle":"","parse-names":false,"suffix":""}],"container-title":"Agronomy for Sustainable Development","id":"ITEM-1","issue":"1","issued":{"date-parts":[["2008"]]},"page":"65-86","title":"Soil-erosion and runoff prevention by plant covers. A review","type":"article-journal","volume":"28"},"uris":["http://www.mendeley.com/documents/?uuid=5ba3ca23-210f-4def-97a0-7e641d2b90e0"]},{"id":"ITEM-2","itemData":{"DOI":"https://doi.org/10.1016/j.iswcr.2017.12.004","ISBN":"2095-6339","abstract":"Despite recent improvements in overall soil health gained through conservation agriculture, which has become a global priority in agricultural systems, soil and water-related externalities (e.g., wind and water erosion) continue to persist or worsen. Using an inductive, systems approach, we tested the hypothesis that such externalities persist due to expansion of cultivation onto areas unsuitable for sustained production. To test this hypothesis, a variety of data sources and analyses were used to uncover the land and water resource dynamics underlying noteworthy cases of soil erosion (either wind or water) and hydrological effects (e.g., flooding, shifting hydrographs) throughout the central United States. Given the evidence, we failed to reject the hypothesis that cultivation expansion is contributing to increased soil and water externalities, since significant increases in cultivation on soils with severe erosion limitations were observed everywhere the externalities were documented. We discuss the case study results in terms of land use incentives (e.g., policy, economic, and biophysical), developing concepts of soil security, and ways to utilize case studies such as those presented to better communicate the value of soil and water resource conservation. Incorporating the tenets of soil potential and soil risk into soil health evaluations and cultivation decision-making is needed to better match the soil resource with land use and help avoid more extreme soil and water-related externalities.","author":[{"dropping-particle":"","family":"Turner","given":"Benjamin L","non-dropping-particle":"","parse-names":false,"suffix":""},{"dropping-particle":"","family":"Fuhrer","given":"Jay","non-dropping-particle":"","parse-names":false,"suffix":""},{"dropping-particle":"","family":"Wuellner","given":"Melissa","non-dropping-particle":"","parse-names":false,"suffix":""},{"dropping-particle":"","family":"Menendez","given":"Hector M","non-dropping-particle":"","parse-names":false,"suffix":""},{"dropping-particle":"","family":"Dunn","given":"Barry H","non-dropping-particle":"","parse-names":false,"suffix":""},{"dropping-particle":"","family":"Gates","given":"Roger","non-dropping-particle":"","parse-names":false,"suffix":""}],"container-title":"International Soil and Water Conservation Research","id":"ITEM-2","issue":"1","issued":{"date-parts":[["2018"]]},"page":"63-78","title":"Scientific case studies in land-use driven soil erosion in the central United States: Why soil potential and risk concepts should be included in the principles of soil health","type":"article-journal","volume":"6"},"uris":["http://www.mendeley.com/documents/?uuid=8936f57a-b70e-49b4-a454-f1e4a009b717"]},{"id":"ITEM-3","itemData":{"ISBN":"1","author":[{"dropping-particle":"","family":"United Nations Convention to Combat Desertification","given":"","non-dropping-particle":"","parse-names":false,"suffix":""}],"edition":"1","id":"ITEM-3","issued":{"date-parts":[["2017"]]},"publisher-place":"Bonn, Germany","title":"Global Land Outlook","type":"report"},"uris":["http://www.mendeley.com/documents/?uuid=de026dd5-4480-43fb-9ffa-28b1e6a2425b"]}],"mendeley":{"formattedCitation":"(Durán Zuazo and Rodríguez Pleguezuelo, 2008; Turner et al., 2018; United Nations Convention to Combat Desertification, 2017)","plainTextFormattedCitation":"(Durán Zuazo and Rodríguez Pleguezuelo, 2008; Turner et al., 2018; United Nations Convention to Combat Desertification, 2017)","previouslyFormattedCitation":"(Durán Zuazo and Rodríguez Pleguezuelo, 2008; Turner et al., 2018; United Nations Convention to Combat Desertification, 2017)"},"properties":{"noteIndex":0},"schema":"https://github.com/citation-style-language/schema/raw/master/csl-citation.json"}</w:instrText>
      </w:r>
      <w:r w:rsidR="00F56D1F">
        <w:rPr>
          <w:rFonts w:cs="Times New Roman"/>
          <w:szCs w:val="24"/>
        </w:rPr>
        <w:fldChar w:fldCharType="separate"/>
      </w:r>
      <w:r w:rsidR="00F56D1F" w:rsidRPr="00F56D1F">
        <w:rPr>
          <w:rFonts w:cs="Times New Roman"/>
          <w:noProof/>
          <w:szCs w:val="24"/>
        </w:rPr>
        <w:t>(Durán Zuazo and Rodríguez Pleguezuelo, 2008; Turner et al., 2018; United Nations Convention to Combat Desertification, 2017)</w:t>
      </w:r>
      <w:r w:rsidR="00F56D1F">
        <w:rPr>
          <w:rFonts w:cs="Times New Roman"/>
          <w:szCs w:val="24"/>
        </w:rPr>
        <w:fldChar w:fldCharType="end"/>
      </w:r>
      <w:r w:rsidR="00F56D1F">
        <w:rPr>
          <w:rFonts w:cs="Times New Roman"/>
          <w:szCs w:val="24"/>
        </w:rPr>
        <w:t xml:space="preserve">. </w:t>
      </w:r>
      <w:r>
        <w:rPr>
          <w:rFonts w:cs="Times New Roman"/>
          <w:szCs w:val="24"/>
        </w:rPr>
        <w:t>Intensive arable cultivation by growing annual crops on soils that are ploughed and harrowed each year is a major cause of soil degradation, yet as recently as 2016, 60% of arable land in England was cultivated in this way</w:t>
      </w:r>
      <w:r w:rsidR="00F56D1F">
        <w:rPr>
          <w:rFonts w:cs="Times New Roman"/>
          <w:szCs w:val="24"/>
        </w:rPr>
        <w:t xml:space="preserve"> </w:t>
      </w:r>
      <w:r w:rsidR="00F56D1F">
        <w:rPr>
          <w:rFonts w:cs="Times New Roman"/>
          <w:szCs w:val="24"/>
        </w:rPr>
        <w:fldChar w:fldCharType="begin" w:fldLock="1"/>
      </w:r>
      <w:r w:rsidR="00F56D1F">
        <w:rPr>
          <w:rFonts w:cs="Times New Roman"/>
          <w:szCs w:val="24"/>
        </w:rPr>
        <w:instrText>ADDIN CSL_CITATION {"citationItems":[{"id":"ITEM-1","itemData":{"DOI":"10.1111/sum.12241","ISBN":"0266-0032\r1475-2743","PMID":"27570358","abstract":"Reducing tillage intensity offers the possibility of moving towards sustainable intensification objectives. Reduced tillage (RT) practices, where the plough is not used, can provide a number of environmental and financial benefits, particularly for soil erosion control. Based on 2010 harvest year data from the nationally stratified Farm Business Survey and drawing on a sub-sample of 249 English arable farmers, we estimate that approximately 32% of arable land was established under RT, with 46% of farms using some form of RT. Farms more likely to use some form of RT were larger, located in the East Midlands and South East of England and classified as 'Cereals' farms. Application of RT techniques was not determined by the age or education level of the farmer. Individual crops impacted the choice of land preparation, with wheat and oilseed rape being more frequently planted after RT than field beans and root crops, which were almost always planted after ploughing. This result suggests there can be limitations to the applicability of RT. Average tillage depth was only slightly shallower for RT practices than ploughing, suggesting that the predominant RT practices are quite demanding in their energy use. Policy makers seeking to increase sustainable RT uptake will need to address farm-level capital investment constraints and target policies on farms growing crops, such as wheat and oilseed rape, that are better suited to RT practices.","author":[{"dropping-particle":"","family":"Townsend","given":"T J","non-dropping-particle":"","parse-names":false,"suffix":""},{"dropping-particle":"","family":"Ramsden","given":"S J","non-dropping-particle":"","parse-names":false,"suffix":""},{"dropping-particle":"","family":"Wilson","given":"P","non-dropping-particle":"","parse-names":false,"suffix":""}],"container-title":"Soil Use and Management","edition":"2015/12/11","id":"ITEM-1","issue":"1","issued":{"date-parts":[["2016"]]},"note":"27570358[pmid]\nPMC4986281[pmcid]\nSUM12241[PII]\nSoil Use Manag","page":"106-117","publisher":"John Wiley and Sons Inc.","title":"How do we cultivate in England? Tillage practices in crop production systems","type":"article-journal","volume":"32"},"uris":["http://www.mendeley.com/documents/?uuid=9a51b9a6-e7ce-44d0-86c9-5ee945cf93a6"]}],"mendeley":{"formattedCitation":"(Townsend et al., 2016)","plainTextFormattedCitation":"(Townsend et al., 2016)","previouslyFormattedCitation":"(Townsend et al., 2016)"},"properties":{"noteIndex":0},"schema":"https://github.com/citation-style-language/schema/raw/master/csl-citation.json"}</w:instrText>
      </w:r>
      <w:r w:rsidR="00F56D1F">
        <w:rPr>
          <w:rFonts w:cs="Times New Roman"/>
          <w:szCs w:val="24"/>
        </w:rPr>
        <w:fldChar w:fldCharType="separate"/>
      </w:r>
      <w:r w:rsidR="00F56D1F" w:rsidRPr="00F56D1F">
        <w:rPr>
          <w:rFonts w:cs="Times New Roman"/>
          <w:noProof/>
          <w:szCs w:val="24"/>
        </w:rPr>
        <w:t>(Townsend et al., 2016)</w:t>
      </w:r>
      <w:r w:rsidR="00F56D1F">
        <w:rPr>
          <w:rFonts w:cs="Times New Roman"/>
          <w:szCs w:val="24"/>
        </w:rPr>
        <w:fldChar w:fldCharType="end"/>
      </w:r>
      <w:r>
        <w:rPr>
          <w:rFonts w:cs="Times New Roman"/>
          <w:szCs w:val="24"/>
        </w:rPr>
        <w:t>. A</w:t>
      </w:r>
      <w:r w:rsidRPr="00345F90">
        <w:rPr>
          <w:rFonts w:cs="Times New Roman"/>
          <w:szCs w:val="24"/>
        </w:rPr>
        <w:t xml:space="preserve">rable farming </w:t>
      </w:r>
      <w:r>
        <w:rPr>
          <w:rFonts w:cs="Times New Roman"/>
          <w:szCs w:val="24"/>
        </w:rPr>
        <w:t>accounts for</w:t>
      </w:r>
      <w:r w:rsidRPr="00345F90">
        <w:rPr>
          <w:rFonts w:cs="Times New Roman"/>
          <w:szCs w:val="24"/>
        </w:rPr>
        <w:t xml:space="preserve"> </w:t>
      </w:r>
      <w:r>
        <w:rPr>
          <w:rFonts w:cs="Times New Roman"/>
          <w:szCs w:val="24"/>
        </w:rPr>
        <w:t>29</w:t>
      </w:r>
      <w:r w:rsidRPr="00345F90">
        <w:rPr>
          <w:rFonts w:cs="Times New Roman"/>
          <w:szCs w:val="24"/>
        </w:rPr>
        <w:t xml:space="preserve">% of the </w:t>
      </w:r>
      <w:r>
        <w:rPr>
          <w:rFonts w:cs="Times New Roman"/>
          <w:szCs w:val="24"/>
        </w:rPr>
        <w:t xml:space="preserve">land use of England and Wales and is responsible for </w:t>
      </w:r>
      <w:r w:rsidRPr="00345F90">
        <w:rPr>
          <w:rFonts w:cs="Times New Roman"/>
          <w:szCs w:val="24"/>
        </w:rPr>
        <w:t xml:space="preserve">31% of </w:t>
      </w:r>
      <w:r>
        <w:rPr>
          <w:rFonts w:cs="Times New Roman"/>
          <w:szCs w:val="24"/>
        </w:rPr>
        <w:t xml:space="preserve">the </w:t>
      </w:r>
      <w:r w:rsidRPr="00345F90">
        <w:rPr>
          <w:rFonts w:cs="Times New Roman"/>
          <w:szCs w:val="24"/>
        </w:rPr>
        <w:t>total costs</w:t>
      </w:r>
      <w:r>
        <w:rPr>
          <w:rFonts w:cs="Times New Roman"/>
          <w:szCs w:val="24"/>
        </w:rPr>
        <w:t xml:space="preserve"> associated with soil degradation, in terms of the loss of capacity of soils to deliver ecosystem services</w:t>
      </w:r>
      <w:r w:rsidR="00F56D1F">
        <w:rPr>
          <w:rFonts w:cs="Times New Roman"/>
          <w:szCs w:val="24"/>
        </w:rPr>
        <w:t xml:space="preserve"> </w:t>
      </w:r>
      <w:r w:rsidR="00F56D1F">
        <w:rPr>
          <w:rFonts w:cs="Times New Roman"/>
          <w:szCs w:val="24"/>
        </w:rPr>
        <w:fldChar w:fldCharType="begin" w:fldLock="1"/>
      </w:r>
      <w:r w:rsidR="003E1AFE">
        <w:rPr>
          <w:rFonts w:cs="Times New Roman"/>
          <w:szCs w:val="24"/>
        </w:rPr>
        <w:instrText>ADDIN CSL_CITATION {"citationItems":[{"id":"ITEM-1","itemData":{"DOI":"https://doi.org/10.1016/j.ecolecon.2015.07.026","ISBN":"0921-8009","author":[{"dropping-particle":"","family":"Graves","given":"A R","non-dropping-particle":"","parse-names":false,"suffix":""},{"dropping-particle":"","family":"Morris","given":"J","non-dropping-particle":"","parse-names":false,"suffix":""},{"dropping-particle":"","family":"Deeks","given":"L K","non-dropping-particle":"","parse-names":false,"suffix":""},{"dropping-particle":"","family":"Rickson","given":"R J","non-dropping-particle":"","parse-names":false,"suffix":""},{"dropping-particle":"","family":"Kibblewhite","given":"M G","non-dropping-particle":"","parse-names":false,"suffix":""},{"dropping-particle":"","family":"Harris","given":"J A","non-dropping-particle":"","parse-names":false,"suffix":""},{"dropping-particle":"","family":"Farewell","given":"T S","non-dropping-particle":"","parse-names":false,"suffix":""},{"dropping-particle":"","family":"Truckle","given":"I","non-dropping-particle":"","parse-names":false,"suffix":""}],"container-title":"Ecological Economics","id":"ITEM-1","issued":{"date-parts":[["2015"]]},"page":"399-413","title":"The total costs of soil degradation in England and Wales","type":"article-journal","volume":"119"},"uris":["http://www.mendeley.com/documents/?uuid=f266e88a-3558-4e46-b9e1-4bf76cfe5e27"]}],"mendeley":{"formattedCitation":"(Graves et al., 2015)","plainTextFormattedCitation":"(Graves et al., 2015)","previouslyFormattedCitation":"(Graves et al., 2015)"},"properties":{"noteIndex":0},"schema":"https://github.com/citation-style-language/schema/raw/master/csl-citation.json"}</w:instrText>
      </w:r>
      <w:r w:rsidR="00F56D1F">
        <w:rPr>
          <w:rFonts w:cs="Times New Roman"/>
          <w:szCs w:val="24"/>
        </w:rPr>
        <w:fldChar w:fldCharType="separate"/>
      </w:r>
      <w:r w:rsidR="00F56D1F" w:rsidRPr="00F56D1F">
        <w:rPr>
          <w:rFonts w:cs="Times New Roman"/>
          <w:noProof/>
          <w:szCs w:val="24"/>
        </w:rPr>
        <w:t>(Graves et al., 2015)</w:t>
      </w:r>
      <w:r w:rsidR="00F56D1F">
        <w:rPr>
          <w:rFonts w:cs="Times New Roman"/>
          <w:szCs w:val="24"/>
        </w:rPr>
        <w:fldChar w:fldCharType="end"/>
      </w:r>
      <w:r w:rsidR="00F56D1F">
        <w:rPr>
          <w:rFonts w:cs="Times New Roman"/>
          <w:szCs w:val="24"/>
        </w:rPr>
        <w:t>.</w:t>
      </w:r>
      <w:r>
        <w:rPr>
          <w:rFonts w:cs="Times New Roman"/>
          <w:szCs w:val="24"/>
        </w:rPr>
        <w:t xml:space="preserve"> These costs have been estimated at US$1.4 </w:t>
      </w:r>
      <w:r w:rsidRPr="006616AE">
        <w:rPr>
          <w:rFonts w:cs="Times New Roman"/>
          <w:szCs w:val="24"/>
        </w:rPr>
        <w:t>-</w:t>
      </w:r>
      <w:r>
        <w:rPr>
          <w:rFonts w:cs="Times New Roman"/>
          <w:szCs w:val="24"/>
        </w:rPr>
        <w:t xml:space="preserve"> 1.9</w:t>
      </w:r>
      <w:r w:rsidRPr="006616AE">
        <w:rPr>
          <w:rFonts w:cs="Times New Roman"/>
          <w:szCs w:val="24"/>
        </w:rPr>
        <w:t xml:space="preserve"> </w:t>
      </w:r>
      <w:r>
        <w:rPr>
          <w:rFonts w:cs="Times New Roman"/>
          <w:szCs w:val="24"/>
        </w:rPr>
        <w:t>bi</w:t>
      </w:r>
      <w:r w:rsidRPr="006616AE">
        <w:rPr>
          <w:rFonts w:cs="Times New Roman"/>
          <w:szCs w:val="24"/>
        </w:rPr>
        <w:t>llion per year</w:t>
      </w:r>
      <w:r>
        <w:rPr>
          <w:rFonts w:cs="Times New Roman"/>
          <w:szCs w:val="24"/>
        </w:rPr>
        <w:t xml:space="preserve"> without considering the cost of </w:t>
      </w:r>
      <w:r w:rsidRPr="00A351C4">
        <w:rPr>
          <w:rFonts w:cs="Times New Roman"/>
          <w:szCs w:val="24"/>
        </w:rPr>
        <w:t xml:space="preserve">diffuse </w:t>
      </w:r>
      <w:r>
        <w:rPr>
          <w:rFonts w:cs="Times New Roman"/>
          <w:szCs w:val="24"/>
        </w:rPr>
        <w:t>pollution</w:t>
      </w:r>
      <w:r w:rsidRPr="00A351C4">
        <w:rPr>
          <w:rFonts w:cs="Times New Roman"/>
          <w:szCs w:val="24"/>
        </w:rPr>
        <w:t>, soil biota loss and sealing</w:t>
      </w:r>
      <w:r w:rsidR="003E1AFE">
        <w:rPr>
          <w:rFonts w:cs="Times New Roman"/>
          <w:szCs w:val="24"/>
        </w:rPr>
        <w:t xml:space="preserve"> </w:t>
      </w:r>
      <w:r w:rsidR="003E1AFE">
        <w:rPr>
          <w:rFonts w:cs="Times New Roman"/>
          <w:szCs w:val="24"/>
        </w:rPr>
        <w:fldChar w:fldCharType="begin" w:fldLock="1"/>
      </w:r>
      <w:r w:rsidR="00884799">
        <w:rPr>
          <w:rFonts w:cs="Times New Roman"/>
          <w:szCs w:val="24"/>
        </w:rPr>
        <w:instrText>ADDIN CSL_CITATION {"citationItems":[{"id":"ITEM-1","itemData":{"DOI":"https://doi.org/10.1016/j.ecolecon.2015.07.026","ISBN":"0921-8009","author":[{"dropping-particle":"","family":"Graves","given":"A R","non-dropping-particle":"","parse-names":false,"suffix":""},{"dropping-particle":"","family":"Morris","given":"J","non-dropping-particle":"","parse-names":false,"suffix":""},{"dropping-particle":"","family":"Deeks","given":"L K","non-dropping-particle":"","parse-names":false,"suffix":""},{"dropping-particle":"","family":"Rickson","given":"R J","non-dropping-particle":"","parse-names":false,"suffix":""},{"dropping-particle":"","family":"Kibblewhite","given":"M G","non-dropping-particle":"","parse-names":false,"suffix":""},{"dropping-particle":"","family":"Harris","given":"J A","non-dropping-particle":"","parse-names":false,"suffix":""},{"dropping-particle":"","family":"Farewell","given":"T S","non-dropping-particle":"","parse-names":false,"suffix":""},{"dropping-particle":"","family":"Truckle","given":"I","non-dropping-particle":"","parse-names":false,"suffix":""}],"container-title":"Ecological Economics","id":"ITEM-1","issued":{"date-parts":[["2015"]]},"page":"399-413","title":"The total costs of soil degradation in England and Wales","type":"article-journal","volume":"119"},"uris":["http://www.mendeley.com/documents/?uuid=f266e88a-3558-4e46-b9e1-4bf76cfe5e27"]}],"mendeley":{"formattedCitation":"(Graves et al., 2015)","plainTextFormattedCitation":"(Graves et al., 2015)","previouslyFormattedCitation":"(Graves et al., 2015)"},"properties":{"noteIndex":0},"schema":"https://github.com/citation-style-language/schema/raw/master/csl-citation.json"}</w:instrText>
      </w:r>
      <w:r w:rsidR="003E1AFE">
        <w:rPr>
          <w:rFonts w:cs="Times New Roman"/>
          <w:szCs w:val="24"/>
        </w:rPr>
        <w:fldChar w:fldCharType="separate"/>
      </w:r>
      <w:r w:rsidR="003E1AFE" w:rsidRPr="003E1AFE">
        <w:rPr>
          <w:rFonts w:cs="Times New Roman"/>
          <w:noProof/>
          <w:szCs w:val="24"/>
        </w:rPr>
        <w:t>(Graves et al., 2015)</w:t>
      </w:r>
      <w:r w:rsidR="003E1AFE">
        <w:rPr>
          <w:rFonts w:cs="Times New Roman"/>
          <w:szCs w:val="24"/>
        </w:rPr>
        <w:fldChar w:fldCharType="end"/>
      </w:r>
      <w:r w:rsidR="003E1AFE">
        <w:rPr>
          <w:rFonts w:cs="Times New Roman"/>
          <w:szCs w:val="24"/>
        </w:rPr>
        <w:t>;</w:t>
      </w:r>
      <w:r>
        <w:rPr>
          <w:rFonts w:cs="Times New Roman"/>
          <w:szCs w:val="24"/>
        </w:rPr>
        <w:t xml:space="preserve"> the core contributions</w:t>
      </w:r>
      <w:r w:rsidDel="00243489">
        <w:rPr>
          <w:rFonts w:cs="Times New Roman"/>
          <w:szCs w:val="24"/>
        </w:rPr>
        <w:t xml:space="preserve"> </w:t>
      </w:r>
      <w:r>
        <w:rPr>
          <w:rFonts w:cs="Times New Roman"/>
          <w:szCs w:val="24"/>
        </w:rPr>
        <w:t>to these costs are estimated to be loss of soil organic matter</w:t>
      </w:r>
      <w:r w:rsidRPr="004B0A8C">
        <w:rPr>
          <w:rFonts w:cs="Times New Roman"/>
          <w:szCs w:val="24"/>
        </w:rPr>
        <w:t xml:space="preserve"> (47%), </w:t>
      </w:r>
      <w:r>
        <w:rPr>
          <w:rFonts w:cs="Times New Roman"/>
          <w:szCs w:val="24"/>
        </w:rPr>
        <w:t xml:space="preserve">compaction (39%) and erosion (12%). </w:t>
      </w:r>
    </w:p>
    <w:p w14:paraId="40EA0CDB" w14:textId="77777777" w:rsidR="0038409E" w:rsidRPr="00597EE8" w:rsidRDefault="0038409E" w:rsidP="001448A4">
      <w:pPr>
        <w:spacing w:line="480" w:lineRule="auto"/>
        <w:jc w:val="both"/>
        <w:rPr>
          <w:rFonts w:cs="Times New Roman"/>
          <w:szCs w:val="24"/>
        </w:rPr>
      </w:pPr>
      <w:r>
        <w:rPr>
          <w:rFonts w:cs="Times New Roman"/>
          <w:szCs w:val="24"/>
        </w:rPr>
        <w:t>Increasing awareness of the economic and environmental impacts of soil degradation, for example highlighted in the UK by a parliamentary inquiry into soil health</w:t>
      </w:r>
      <w:r w:rsidR="00884799">
        <w:rPr>
          <w:rFonts w:cs="Times New Roman"/>
          <w:szCs w:val="24"/>
        </w:rPr>
        <w:t xml:space="preserve"> </w:t>
      </w:r>
      <w:r w:rsidR="00884799">
        <w:rPr>
          <w:rFonts w:cs="Times New Roman"/>
          <w:szCs w:val="24"/>
        </w:rPr>
        <w:fldChar w:fldCharType="begin" w:fldLock="1"/>
      </w:r>
      <w:r w:rsidR="00884799">
        <w:rPr>
          <w:rFonts w:cs="Times New Roman"/>
          <w:szCs w:val="24"/>
        </w:rPr>
        <w:instrText>ADDIN CSL_CITATION {"citationItems":[{"id":"ITEM-1","itemData":{"author":[{"dropping-particle":"","family":"House of Commons","given":"","non-dropping-particle":"","parse-names":false,"suffix":""}],"container-title":"First Report of Session 2016–17","editor":[{"dropping-particle":"","family":"Environmental Audit Committee","given":"","non-dropping-particle":"","parse-names":false,"suffix":""}],"id":"ITEM-1","issued":{"date-parts":[["2016"]]},"note":"Cited By :1\nExport Date: 27 February 2018","title":"Soil health","type":"report"},"uris":["http://www.mendeley.com/documents/?uuid=c8d0eda1-84bc-4eb6-8061-717f0daa88cc"]}],"mendeley":{"formattedCitation":"(House of Commons, 2016)","plainTextFormattedCitation":"(House of Commons, 2016)","previouslyFormattedCitation":"(House of Commons, 2016)"},"properties":{"noteIndex":0},"schema":"https://github.com/citation-style-language/schema/raw/master/csl-citation.json"}</w:instrText>
      </w:r>
      <w:r w:rsidR="00884799">
        <w:rPr>
          <w:rFonts w:cs="Times New Roman"/>
          <w:szCs w:val="24"/>
        </w:rPr>
        <w:fldChar w:fldCharType="separate"/>
      </w:r>
      <w:r w:rsidR="00884799" w:rsidRPr="00884799">
        <w:rPr>
          <w:rFonts w:cs="Times New Roman"/>
          <w:noProof/>
          <w:szCs w:val="24"/>
        </w:rPr>
        <w:t>(House of Commons, 2016)</w:t>
      </w:r>
      <w:r w:rsidR="00884799">
        <w:rPr>
          <w:rFonts w:cs="Times New Roman"/>
          <w:szCs w:val="24"/>
        </w:rPr>
        <w:fldChar w:fldCharType="end"/>
      </w:r>
      <w:r w:rsidR="00884799">
        <w:rPr>
          <w:rFonts w:cs="Times New Roman"/>
          <w:szCs w:val="24"/>
        </w:rPr>
        <w:t>,</w:t>
      </w:r>
      <w:r>
        <w:rPr>
          <w:rFonts w:cs="Times New Roman"/>
          <w:szCs w:val="24"/>
        </w:rPr>
        <w:t xml:space="preserve"> has led to policies around the world to protect soil, for example, the policy </w:t>
      </w:r>
      <w:r w:rsidRPr="00065A9B">
        <w:rPr>
          <w:rFonts w:cs="Times New Roman"/>
          <w:szCs w:val="24"/>
        </w:rPr>
        <w:t xml:space="preserve">goal </w:t>
      </w:r>
      <w:r>
        <w:rPr>
          <w:rFonts w:cs="Times New Roman"/>
          <w:szCs w:val="24"/>
        </w:rPr>
        <w:t>in the UKs 25 year Environment Plan</w:t>
      </w:r>
      <w:r w:rsidR="00884799">
        <w:rPr>
          <w:rFonts w:cs="Times New Roman"/>
          <w:szCs w:val="24"/>
        </w:rPr>
        <w:t xml:space="preserve"> </w:t>
      </w:r>
      <w:r w:rsidR="00884799">
        <w:rPr>
          <w:rFonts w:cs="Times New Roman"/>
          <w:szCs w:val="24"/>
        </w:rPr>
        <w:fldChar w:fldCharType="begin" w:fldLock="1"/>
      </w:r>
      <w:r w:rsidR="003673E4">
        <w:rPr>
          <w:rFonts w:cs="Times New Roman"/>
          <w:szCs w:val="24"/>
        </w:rPr>
        <w:instrText>ADDIN CSL_CITATION {"citationItems":[{"id":"ITEM-1","itemData":{"author":[{"dropping-particle":"","family":"House of Commons","given":"","non-dropping-particle":"","parse-names":false,"suffix":""}],"container-title":"Eighth Report of Session 2017–19","editor":[{"dropping-particle":"","family":"Environmental Audit Committee","given":"","non-dropping-particle":"","parse-names":false,"suffix":""}],"id":"ITEM-1","issued":{"date-parts":[["2018"]]},"title":"The Government’s 25 Year Plan for the Environment","type":"report"},"uris":["http://www.mendeley.com/documents/?uuid=b7d88e24-39c6-43bf-aa1a-3098257867ca"]}],"mendeley":{"formattedCitation":"(House of Commons, 2018)","plainTextFormattedCitation":"(House of Commons, 2018)","previouslyFormattedCitation":"(House of Commons, 2018)"},"properties":{"noteIndex":0},"schema":"https://github.com/citation-style-language/schema/raw/master/csl-citation.json"}</w:instrText>
      </w:r>
      <w:r w:rsidR="00884799">
        <w:rPr>
          <w:rFonts w:cs="Times New Roman"/>
          <w:szCs w:val="24"/>
        </w:rPr>
        <w:fldChar w:fldCharType="separate"/>
      </w:r>
      <w:r w:rsidR="00884799" w:rsidRPr="00884799">
        <w:rPr>
          <w:rFonts w:cs="Times New Roman"/>
          <w:noProof/>
          <w:szCs w:val="24"/>
        </w:rPr>
        <w:t>(House of Commons, 2018)</w:t>
      </w:r>
      <w:r w:rsidR="00884799">
        <w:rPr>
          <w:rFonts w:cs="Times New Roman"/>
          <w:szCs w:val="24"/>
        </w:rPr>
        <w:fldChar w:fldCharType="end"/>
      </w:r>
      <w:r w:rsidR="00884799">
        <w:rPr>
          <w:rFonts w:cs="Times New Roman"/>
          <w:szCs w:val="24"/>
        </w:rPr>
        <w:t xml:space="preserve"> </w:t>
      </w:r>
      <w:r w:rsidRPr="00065A9B">
        <w:rPr>
          <w:rFonts w:cs="Times New Roman"/>
          <w:szCs w:val="24"/>
        </w:rPr>
        <w:t>to sustain</w:t>
      </w:r>
      <w:r>
        <w:rPr>
          <w:rFonts w:cs="Times New Roman"/>
          <w:szCs w:val="24"/>
        </w:rPr>
        <w:t xml:space="preserve">ably </w:t>
      </w:r>
      <w:r w:rsidRPr="00065A9B">
        <w:rPr>
          <w:rFonts w:cs="Times New Roman"/>
          <w:szCs w:val="24"/>
        </w:rPr>
        <w:t>manage</w:t>
      </w:r>
      <w:r>
        <w:rPr>
          <w:rFonts w:cs="Times New Roman"/>
          <w:szCs w:val="24"/>
        </w:rPr>
        <w:t xml:space="preserve"> all of England’s soils by 2030. Central to achieving this aspiration is the need to increase</w:t>
      </w:r>
      <w:r w:rsidRPr="00597EE8">
        <w:rPr>
          <w:rFonts w:cs="Times New Roman"/>
          <w:szCs w:val="24"/>
        </w:rPr>
        <w:t xml:space="preserve"> soil organic matter content, </w:t>
      </w:r>
      <w:r>
        <w:rPr>
          <w:rFonts w:cs="Times New Roman"/>
          <w:szCs w:val="24"/>
        </w:rPr>
        <w:t xml:space="preserve">create a better </w:t>
      </w:r>
      <w:r w:rsidRPr="00597EE8">
        <w:rPr>
          <w:rFonts w:cs="Times New Roman"/>
          <w:szCs w:val="24"/>
        </w:rPr>
        <w:t>soil structure</w:t>
      </w:r>
      <w:r w:rsidRPr="005705BE">
        <w:rPr>
          <w:rFonts w:cs="Times New Roman"/>
          <w:szCs w:val="24"/>
        </w:rPr>
        <w:t xml:space="preserve">, enhance the hydrological function of the soil (e.g. enhanced infiltration and water storage) and to </w:t>
      </w:r>
      <w:r w:rsidRPr="00597EE8">
        <w:rPr>
          <w:rFonts w:cs="Times New Roman"/>
          <w:szCs w:val="24"/>
        </w:rPr>
        <w:t>protect</w:t>
      </w:r>
      <w:r>
        <w:rPr>
          <w:rFonts w:cs="Times New Roman"/>
          <w:szCs w:val="24"/>
        </w:rPr>
        <w:t xml:space="preserve"> the</w:t>
      </w:r>
      <w:r w:rsidRPr="00597EE8">
        <w:rPr>
          <w:rFonts w:cs="Times New Roman"/>
          <w:szCs w:val="24"/>
        </w:rPr>
        <w:t xml:space="preserve"> soil </w:t>
      </w:r>
      <w:r>
        <w:rPr>
          <w:rFonts w:cs="Times New Roman"/>
          <w:szCs w:val="24"/>
        </w:rPr>
        <w:t>surface from erosion</w:t>
      </w:r>
      <w:r w:rsidR="003673E4">
        <w:rPr>
          <w:rFonts w:cs="Times New Roman"/>
          <w:szCs w:val="24"/>
        </w:rPr>
        <w:t xml:space="preserve"> </w:t>
      </w:r>
      <w:r w:rsidR="003673E4">
        <w:rPr>
          <w:rFonts w:cs="Times New Roman"/>
          <w:szCs w:val="24"/>
        </w:rPr>
        <w:fldChar w:fldCharType="begin" w:fldLock="1"/>
      </w:r>
      <w:r w:rsidR="003673E4">
        <w:rPr>
          <w:rFonts w:cs="Times New Roman"/>
          <w:szCs w:val="24"/>
        </w:rPr>
        <w:instrText>ADDIN CSL_CITATION {"citationItems":[{"id":"ITEM-1","itemData":{"DOI":"10.1007/978-1-4020-8709-7_15","ISBN":"978-1-4020-8709-7","abstract":"Restoration refers to the process of repairing and returning damaged or degraded soils (e.g., eroded agricultural soils, mined soils) to a condition similar to the predegradation level of capability for supporting plant growth and maintaining environmental quality. Degradation, which broadly refers to decline in soil’s capacity for a specific use (e.g., productivity, pollutant filtration, C sequestration) is somewhat a qualitative term. Thus, its quantitative parameterization is a high priority. In this textbook, the term restoration is used instead of reclamation, which sometimes refers to the processes of creating new lands.","author":[{"dropping-particle":"","family":"Blanco-Canqui","given":"Humberto","non-dropping-particle":"","parse-names":false,"suffix":""},{"dropping-particle":"","family":"Lal","given":"Rattan","non-dropping-particle":"","parse-names":false,"suffix":""}],"container-title":"Principles of Soil Conservation and Management","editor":[{"dropping-particle":"","family":"Blanco-Canqui","given":"Humberto","non-dropping-particle":"","parse-names":false,"suffix":""},{"dropping-particle":"","family":"Lal","given":"Rattan","non-dropping-particle":"","parse-names":false,"suffix":""}],"id":"ITEM-1","issued":{"date-parts":[["2008"]]},"page":"399-423","publisher":"Springer Netherlands","publisher-place":"Dordrecht","title":"Restoration of Eroded and Degraded Soils","type":"chapter"},"uris":["http://www.mendeley.com/documents/?uuid=183187a7-7ace-4ecf-ba78-d0e12a9b2f2d"]}],"mendeley":{"formattedCitation":"(Blanco-Canqui and Lal, 2008)","plainTextFormattedCitation":"(Blanco-Canqui and Lal, 2008)","previouslyFormattedCitation":"(Blanco-Canqui and Lal, 2008)"},"properties":{"noteIndex":0},"schema":"https://github.com/citation-style-language/schema/raw/master/csl-citation.json"}</w:instrText>
      </w:r>
      <w:r w:rsidR="003673E4">
        <w:rPr>
          <w:rFonts w:cs="Times New Roman"/>
          <w:szCs w:val="24"/>
        </w:rPr>
        <w:fldChar w:fldCharType="separate"/>
      </w:r>
      <w:r w:rsidR="003673E4" w:rsidRPr="003673E4">
        <w:rPr>
          <w:rFonts w:cs="Times New Roman"/>
          <w:noProof/>
          <w:szCs w:val="24"/>
        </w:rPr>
        <w:t>(Blanco-Canqui and Lal, 2008)</w:t>
      </w:r>
      <w:r w:rsidR="003673E4">
        <w:rPr>
          <w:rFonts w:cs="Times New Roman"/>
          <w:szCs w:val="24"/>
        </w:rPr>
        <w:fldChar w:fldCharType="end"/>
      </w:r>
      <w:r w:rsidR="003673E4">
        <w:rPr>
          <w:rFonts w:cs="Times New Roman"/>
          <w:szCs w:val="24"/>
        </w:rPr>
        <w:t>.</w:t>
      </w:r>
      <w:r>
        <w:rPr>
          <w:rFonts w:cs="Times New Roman"/>
          <w:szCs w:val="24"/>
        </w:rPr>
        <w:t xml:space="preserve"> </w:t>
      </w:r>
      <w:r w:rsidRPr="00597EE8">
        <w:rPr>
          <w:rFonts w:cs="Times New Roman"/>
          <w:szCs w:val="24"/>
        </w:rPr>
        <w:t>This c</w:t>
      </w:r>
      <w:r>
        <w:rPr>
          <w:rFonts w:cs="Times New Roman"/>
          <w:szCs w:val="24"/>
        </w:rPr>
        <w:t>ould</w:t>
      </w:r>
      <w:r w:rsidRPr="00597EE8">
        <w:rPr>
          <w:rFonts w:cs="Times New Roman"/>
          <w:szCs w:val="24"/>
        </w:rPr>
        <w:t xml:space="preserve"> be achieved in a number of ways, </w:t>
      </w:r>
      <w:r>
        <w:rPr>
          <w:rFonts w:cs="Times New Roman"/>
          <w:szCs w:val="24"/>
        </w:rPr>
        <w:t>including</w:t>
      </w:r>
      <w:r w:rsidRPr="00597EE8">
        <w:rPr>
          <w:rFonts w:cs="Times New Roman"/>
          <w:szCs w:val="24"/>
        </w:rPr>
        <w:t xml:space="preserve"> through the use of arable-ley rotations and minimum- or no-till methods</w:t>
      </w:r>
      <w:r w:rsidR="003673E4">
        <w:rPr>
          <w:rFonts w:cs="Times New Roman"/>
          <w:szCs w:val="24"/>
        </w:rPr>
        <w:t xml:space="preserve"> </w:t>
      </w:r>
      <w:r w:rsidR="003673E4">
        <w:rPr>
          <w:rFonts w:cs="Times New Roman"/>
          <w:szCs w:val="24"/>
        </w:rPr>
        <w:fldChar w:fldCharType="begin" w:fldLock="1"/>
      </w:r>
      <w:r w:rsidR="003673E4">
        <w:rPr>
          <w:rFonts w:cs="Times New Roman"/>
          <w:szCs w:val="24"/>
        </w:rPr>
        <w:instrText>ADDIN CSL_CITATION {"citationItems":[{"id":"ITEM-1","itemData":{"DOI":"https://doi.org/10.1016/j.ejsobi.2012.02.005","ISBN":"1164-5563","author":[{"dropping-particle":"","family":"Capelle","given":"Christine","non-dropping-particle":"van","parse-names":false,"suffix":""},{"dropping-particle":"","family":"Schrader","given":"Stefan","non-dropping-particle":"","parse-names":false,"suffix":""},{"dropping-particle":"","family":"Brunotte","given":"Joachim","non-dropping-particle":"","parse-names":false,"suffix":""}],"container-title":"European Journal of Soil Biology","id":"ITEM-1","issued":{"date-parts":[["2012"]]},"page":"165-181","title":"Tillage-induced changes in the functional diversity of soil biota – A review with a focus on German data","type":"article-journal","volume":"50"},"uris":["http://www.mendeley.com/documents/?uuid=dd8314f5-44b9-4cc0-b760-0c3ac4e9beff"]},{"id":"ITEM-2","itemData":{"DOI":"https://doi.org/10.1016/j.apsoil.2008.06.010","ISBN":"0929-1393","author":[{"dropping-particle":"","family":"Eekeren","given":"Nick","non-dropping-particle":"van","parse-names":false,"suffix":""},{"dropping-particle":"","family":"Bommelé","given":"Lydia","non-dropping-particle":"","parse-names":false,"suffix":""},{"dropping-particle":"","family":"Bloem","given":"Jaap","non-dropping-particle":"","parse-names":false,"suffix":""},{"dropping-particle":"","family":"Schouten","given":"Ton","non-dropping-particle":"","parse-names":false,"suffix":""},{"dropping-particle":"","family":"Rutgers","given":"Michiel","non-dropping-particle":"","parse-names":false,"suffix":""},{"dropping-particle":"","family":"Goede","given":"Ron","non-dropping-particle":"de","parse-names":false,"suffix":""},{"dropping-particle":"","family":"Reheul","given":"Dirk","non-dropping-particle":"","parse-names":false,"suffix":""},{"dropping-particle":"","family":"Brussaard","given":"Lijbert","non-dropping-particle":"","parse-names":false,"suffix":""}],"container-title":"Applied Soil Ecology","id":"ITEM-2","issue":"3","issued":{"date-parts":[["2008"]]},"page":"432-446","title":"Soil biological quality after 36 years of ley-arable cropping, permanent grassland and permanent arable cropping","type":"article-journal","volume":"40"},"uris":["http://www.mendeley.com/documents/?uuid=0fa23ecd-b6e8-471b-a942-86c24e00307c"]}],"mendeley":{"formattedCitation":"(van Capelle et al., 2012; van Eekeren et al., 2008)","plainTextFormattedCitation":"(van Capelle et al., 2012; van Eekeren et al., 2008)","previouslyFormattedCitation":"(van Capelle et al., 2012; van Eekeren et al., 2008)"},"properties":{"noteIndex":0},"schema":"https://github.com/citation-style-language/schema/raw/master/csl-citation.json"}</w:instrText>
      </w:r>
      <w:r w:rsidR="003673E4">
        <w:rPr>
          <w:rFonts w:cs="Times New Roman"/>
          <w:szCs w:val="24"/>
        </w:rPr>
        <w:fldChar w:fldCharType="separate"/>
      </w:r>
      <w:r w:rsidR="003673E4" w:rsidRPr="003673E4">
        <w:rPr>
          <w:rFonts w:cs="Times New Roman"/>
          <w:noProof/>
          <w:szCs w:val="24"/>
          <w:lang w:val="en-GB"/>
        </w:rPr>
        <w:t>(van Capelle et al., 2012; van Eekeren et al., 2008)</w:t>
      </w:r>
      <w:r w:rsidR="003673E4">
        <w:rPr>
          <w:rFonts w:cs="Times New Roman"/>
          <w:szCs w:val="24"/>
        </w:rPr>
        <w:fldChar w:fldCharType="end"/>
      </w:r>
      <w:r w:rsidR="003673E4" w:rsidRPr="003673E4">
        <w:rPr>
          <w:rFonts w:cs="Times New Roman"/>
          <w:szCs w:val="24"/>
          <w:lang w:val="en-GB"/>
        </w:rPr>
        <w:t>.</w:t>
      </w:r>
      <w:r w:rsidRPr="003673E4">
        <w:rPr>
          <w:rFonts w:cs="Times New Roman"/>
          <w:szCs w:val="24"/>
          <w:lang w:val="en-GB"/>
        </w:rPr>
        <w:t xml:space="preserve"> </w:t>
      </w:r>
      <w:r>
        <w:rPr>
          <w:rFonts w:cs="Times New Roman"/>
          <w:noProof/>
          <w:szCs w:val="24"/>
        </w:rPr>
        <w:t xml:space="preserve">These </w:t>
      </w:r>
      <w:r>
        <w:rPr>
          <w:rFonts w:cs="Times New Roman"/>
          <w:szCs w:val="24"/>
        </w:rPr>
        <w:t>are less damaging to earthworms</w:t>
      </w:r>
      <w:r w:rsidR="003673E4">
        <w:rPr>
          <w:rFonts w:cs="Times New Roman"/>
          <w:szCs w:val="24"/>
        </w:rPr>
        <w:t xml:space="preserve"> </w:t>
      </w:r>
      <w:r w:rsidR="003673E4">
        <w:rPr>
          <w:rFonts w:cs="Times New Roman"/>
          <w:szCs w:val="24"/>
        </w:rPr>
        <w:fldChar w:fldCharType="begin" w:fldLock="1"/>
      </w:r>
      <w:r w:rsidR="00320DE0">
        <w:rPr>
          <w:rFonts w:cs="Times New Roman"/>
          <w:szCs w:val="24"/>
        </w:rPr>
        <w:instrText>ADDIN CSL_CITATION {"citationItems":[{"id":"ITEM-1","itemData":{"DOI":"10.2307/2403277","ISBN":"00218901, 13652664","abstract":"(1) Earthworm populations in direct drilled and ploughed plots were assessed twice annually for 5 years in a continuous cereal experiment at Woburn. (2) In two other experiments, on continuous cereals at Rothamsted and Boxworth, populations of earthworms were assessed twice annually from the fourth to eighth years of cropping. The cultivations compared were deep ploughing, chisel ploughing and direct drilling. (3) Populations of the deep burrowing earthworms Lumbricus terrestris and Allolobophora longa became much greater in direct drilled than in ploughed plots and, after 8 years of direct drilling, were 17.5 and 37.3 times more numerous than in ploughed plots, at Boxworth and Rothamsted, respectively. Populations of deep burrowing species in chisel ploughed plots were intermediate between those in direct drilled and ploughed plots. By contrast, differences between populations of the shallow working earthworms A. caliginosa and A. chlorotica were much less, the greatest increase in direct drilled plots over ploughed ones being 3.4 times. (4) A survey on Lee Farm in Sussex, of earthworm populations in seven fields that had been direct drilled with cereals for several years and seven fields that had been ploughed and sown with cereals, showed significant differences in populations of L. terrestris and A. longa between ploughed and direct drilled fields but not of A. chlorotica or A. caliginosa. (5) There were significant negative correlations between populations of L. terrestris and A. longa and between those of A. chlorotica and A. caliginosa in the survey.","author":[{"dropping-particle":"","family":"Edwards","given":"C A","non-dropping-particle":"","parse-names":false,"suffix":""},{"dropping-particle":"","family":"Lofty","given":"J R","non-dropping-particle":"","parse-names":false,"suffix":""}],"container-title":"Journal of Applied Ecology","id":"ITEM-1","issue":"3","issued":{"date-parts":[["1982"]]},"page":"723-734","publisher":"[British Ecological Society, Wiley]","title":"The effect of direct drilling and minimal cultivation on earthworm populations","type":"article-journal","volume":"19"},"uris":["http://www.mendeley.com/documents/?uuid=d6890d47-7201-4c11-a36d-95835f0af6f5"]}],"mendeley":{"formattedCitation":"(Edwards and Lofty, 1982)","plainTextFormattedCitation":"(Edwards and Lofty, 1982)","previouslyFormattedCitation":"(Edwards and Lofty, 1982)"},"properties":{"noteIndex":0},"schema":"https://github.com/citation-style-language/schema/raw/master/csl-citation.json"}</w:instrText>
      </w:r>
      <w:r w:rsidR="003673E4">
        <w:rPr>
          <w:rFonts w:cs="Times New Roman"/>
          <w:szCs w:val="24"/>
        </w:rPr>
        <w:fldChar w:fldCharType="separate"/>
      </w:r>
      <w:r w:rsidR="003673E4" w:rsidRPr="003673E4">
        <w:rPr>
          <w:rFonts w:cs="Times New Roman"/>
          <w:noProof/>
          <w:szCs w:val="24"/>
        </w:rPr>
        <w:t>(Edwards and Lofty, 1982)</w:t>
      </w:r>
      <w:r w:rsidR="003673E4">
        <w:rPr>
          <w:rFonts w:cs="Times New Roman"/>
          <w:szCs w:val="24"/>
        </w:rPr>
        <w:fldChar w:fldCharType="end"/>
      </w:r>
      <w:r>
        <w:rPr>
          <w:rFonts w:cs="Times New Roman"/>
          <w:szCs w:val="24"/>
        </w:rPr>
        <w:t xml:space="preserve"> and mycorrhizal fungal symbionts of plant roots, that together assist in soil aggregate stabilization and soil carbon sequestration</w:t>
      </w:r>
      <w:r w:rsidR="003673E4">
        <w:rPr>
          <w:rFonts w:cs="Times New Roman"/>
          <w:szCs w:val="24"/>
        </w:rPr>
        <w:t xml:space="preserve"> </w:t>
      </w:r>
      <w:r w:rsidR="00320DE0">
        <w:rPr>
          <w:rFonts w:cs="Times New Roman"/>
          <w:szCs w:val="24"/>
        </w:rPr>
        <w:fldChar w:fldCharType="begin" w:fldLock="1"/>
      </w:r>
      <w:r w:rsidR="00320DE0">
        <w:rPr>
          <w:rFonts w:cs="Times New Roman"/>
          <w:szCs w:val="24"/>
        </w:rPr>
        <w:instrText>ADDIN CSL_CITATION {"citationItems":[{"id":"ITEM-1","itemData":{"DOI":"10.3389/fmicb.2016.01095","ISBN":"1664-302X","abstract":"Experiences worldwide reveal that degraded lands restoration projects achieve little success or fail. Hence, understanding the underlying causes and accordingly, devising appropriate restoration mechanisms is crucial. In doing so, the ever-increasing aspiration and global commitments in degraded lands restoration could be realized. Here we explain that arbuscular mycorrhizal fungi (AMF) biotechnology is a potential mechanism to significantly improve the restoration success of degraded lands. There are abundant scientific evidences to demonstrate that AMF significantly improve soil attributes, increase above and belowground biodiversity, significantly improve tree/shrub seedlings survival, growth and establishment on moisture and nutrient stressed soils. AMF have also been shown to drive plant succession and may prevent invasion by alien species. The very few conditions where infective AMF are low in abundance and diversity is when the soil erodes, is disturbed and is devoid of vegetation cover. These are all common features of degraded lands. Meanwhile, degraded lands harbor low levels of infective AMF abundance and diversity. Therefore, the successful restoration of infective AMF can potentially improve the restoration success of degraded lands. Better AMF inoculation effects result when inocula are composed of native fungi instead of exotics, early seral instead of late seral fungi, and are consortia instead of few or single species. Future research efforts should focus on AMF effect on plant community primary productivity and plant competition. Further investigation focusing on forest ecosystems, and carried out at the field condition is highly recommended. Devising cheap and ethically widely accepted inocula production methods and better ways of AMF in situ management for effective restoration of degraded lands will also remain to be important research areas.","author":[{"dropping-particle":"","family":"Asmelash","given":"F","non-dropping-particle":"","parse-names":false,"suffix":""},{"dropping-particle":"","family":"Bekele","given":"T","non-dropping-particle":"","parse-names":false,"suffix":""},{"dropping-particle":"","family":"Birhane","given":"E","non-dropping-particle":"","parse-names":false,"suffix":""}],"container-title":"Frontiers in Microbiology","id":"ITEM-1","issued":{"date-parts":[["2016"]]},"language":"English","note":"ISI Document Delivery No.: DS1HY\nTimes Cited: 3\nCited Reference Count: 150\nCited References: \nABBOTT LK, 1991, AGR ECOSYST ENVIRON, V35, P121, DOI 10.1016/0167-8809(91)90048-3\nAdholeya A, 2005, SOIL BIOL, V4, P315\nAerts Raf, 2011, BMC Ecology, V11, P29, DOI 10.1186/1472-6785-11-29\nALEXANDER I, 1992, PHILOS T ROY SOC B, V335, P379, DOI 10.1098/rstb.1992.0029\nAl-Karaki GN, 2013, DEV SOIL CLASSIFICAT, p823\nAllen EB, 2003, ECOL APPL, V13, P1701, DOI 10.1890/02-5309\nAmir H, 2013, MYCORRHIZA, V23, P585, DOI 10.1007/s00572-013-0499-6\nAngelini C, 2011, BIOSCIENCE, V61, P782, DOI 10.1525/bio.2011.61.10.8\nAntunes PM, 2007, PEDOBIOLOGIA, V51, P281, DOI 10.1016/j.pedobi.2007.04.007\nAradottir AL, 2013, ADV AGRON, V120, P173, DOI 10.1016/B978-0-12-407686-0.00003-8\nAronson J., 1993, Restoration Ecology, V1, P8, DOI 10.1111/j.1526-100X.1993.tb00004.x\nAuge RM, 2004, CAN J SOIL SCI, V84, P373, DOI 10.4141/S04-002\nAzcon-Aguilar C., 1999, MYCORRHIZA STRUCTURE, P391\nBago B, 2005, SOIL BIOL, V4, P111\nBai ZG, 2008, SOIL USE MANAGE, V24, P223, DOI 10.1111/j.1475-2743.2008.00169.x\nBanerjee K, 2013, BRAZ J MICROBIOL, V44, P587, DOI 10.1590/S1517-83822013005000046\nBarea JM, 2011, J ARID ENVIRON, V75, P1292, DOI 10.1016/j.jaridenv.2011.06.001\nBarea JM, 2002, ANTON LEEUW INT J G, V81, P343, DOI 10.1023/A:1020588701325\nBECARD G, 1988, NEW PHYTOL, V108, P211, DOI 10.1111/j.1469-8137.1988.tb03698.x\nBender SF, 2015, SOIL BIOL BIOCHEM, V80, P283, DOI 10.1016/j.soilbio.2014.10.016\nBever JD, 2009, ECOL LETT, V12, P13, DOI 10.1111/j.1461-0248.2008.01254.x\nBirhane E, 2015, PLANT ECOL DIVERS, V8, P387, DOI 10.1080/17550874.2014.992488\nBirhane E, 2014, J PLANT ECOL, V7, P298, DOI 10.1093/jpe/rtt031\nBirhane E, 2012, OECOLOGIA, V169, P895, DOI 10.1007/s00442-012-2258-3\nBirhane E, 2010, FOREST ECOL MANAG, V260, P2160, DOI 10.1016/j.foreco.2010.09.010\nBrundrett M., 1996, ACIAR MONOGRAPH, V32\nBrundrett MC, 2009, PLANT SOIL, V320, P37, DOI 10.1007/s11104-008-9877-9\nBrundrett M. C., 2002, PLANT CONSERVATION B, P151\nCardozo Junior F. M., 2012, African Journal of Microbiology Research, V6, P7198\nConvention on Biological Diversity (CBD), 2010, AICH BIOD TARG\nChagnon PL, 2013, TRENDS PLANT SCI, V18, P484, DOI 10.1016/j.tplants.2013.05.001\nChoi YD, 2004, ECOL RES, V19, P75, DOI 10.1111/j.1440-1703.2003.00594.x\nCortines E, 2009, REV ARVORE, V33, P927, DOI 10.1590/S0100-67622009000500015\nCranenbrouck S, 2005, SOIL BIOL, V4, P341\nDag A, 2009, CROP PASTURE SCI, V60, P427, DOI 10.1071/CP08143\nDavison J, 2011, FEMS MICROBIOL ECOL, V78, P103, DOI 10.1111/j.1574-6941.2011.01103.x\nDuponnois R, 2011, SOIL BIOL BIOCHEM, V43, P2160, DOI 10.1016/j.soilbio.2011.06.020\nEgler F. E., 1954, VEGETATIO, V4, P412, DOI DOI 10.1007/BF00275587\nFigueiredo M. V. B., 2010, PLANT GROWTH HLTH PR, P21, DOI DOI 10.1007/978-3-642-13612-2_2\nFile AL, 2012, PLOS ONE, V7, DOI 10.1371/journal.pone.0045648\nFinlay RD, 2008, J EXP BOT, V59, P1115, DOI 10.1093/jxb/ern059\nFISCHER CR, 1994, BIOTROPICA, V26, P369, DOI 10.2307/2389230\nFortin JA, 2005, SOIL BIOL, V4, P3\nFRIESE CF, 1991, MYCOLOGIA, V83, P409, DOI 10.2307/3760351\nGarcia K, 2014, FRONT PLANT SCI, V5, DOI 10.3389/fpls.2014.00337\nGianinazzi S, 2010, MYCORRHIZA, V20, P519, DOI 10.1007/s00572-010-0333-3\nGleason HA, 1927, ECOLOGY, V8, P299, DOI 10.2307/1929332\nGomez-Aparicio L, 2009, J ECOL, V97, P1202, DOI 10.1111/j.1365-2745.2009.01573.x\nGood MK, 2014, OECOLOGIA, V175, P261, DOI 10.1007/s00442-014-2886-x\nGotzenberger L, 2012, BIOL REV, V87, P111, DOI 10.1111/j.1469-185X.2011.00187.x\nGovindarajulu M, 2005, NATURE, V435, P819, DOI 10.1038/nature03610\nGutjahr C, 2014, CURR OPIN PLANT BIOL, V20, P26, DOI 10.1016/j.pbi.2014.04.003\nHabte M., 2001, Plant nutrition: food security and sustainability of agro-ecosystems through basic and applied research. Fourteenth International Plant Nutrition Colloquium, Hannover, Germany, P644\nHABTE M, 1989, BIOL FERT SOILS, V7, P164, DOI 10.1007/BF00292576\nHailemariam M, 2013, AGROFOREST SYST, V87, P1261, DOI 10.1007/s10457-013-9634-9\nHarris JA, 2006, RESTOR ECOL, V14, P170, DOI 10.1111/j.1526-100X.2006.00136.x\nHartnett DC, 1999, ECOLOGY, V80, P1187, DOI 10.1890/0012-9658(1999)080[1187:MIPCSA]2.0.CO;2\nHeneghan L, 2008, RESTOR ECOL, V16, P608, DOI 10.1111/j.1526-100X.2008.00477.x\nHerman DJ, 2012, FEMS MICROBIOL ECOL, V80, P236, DOI 10.1111/j.1574-6941.2011.01292.x\nHiggs E, 2014, FRONT ECOL ENVIRON, V12, P499, DOI 10.1890/110267\nHildebrandt U, 2007, PHYTOCHEMISTRY, V68, P139, DOI 10.1016/j.phytochem.2006.09.023\nHobbs R. J., 2007, LINKING RESTORATION, P150\nHoeksema JD, 2010, ECOL LETT, V13, P394, DOI 10.1111/j.1461-0248.2009.01430.x\nHoll KD, 2011, RESTOR ECOL, V19, P470, DOI 10.1111/j.1526-100X.2010.00674.x\nHrynkiewicz K, 2011, ENV PROTECTION STRAT, P35\nHuante P, 2012, REV ARVORE, V36, P279, DOI 10.1590/S0100-67622012000200009\nIJdo M, 2011, MYCORRHIZA, V21, P1, DOI 10.1007/s00572-010-0337-z\nJacobs DF, 2015, NEW FOREST, V46, P601, DOI 10.1007/s11056-015-9513-5\nJanos DP, 2013, PLOS ONE, V8, DOI 10.1371/journal.pone.0057716\nJANOS DP, 1980, BIOTROPICA, V12, P56, DOI 10.2307/2388157\nJanouskova M, 2013, APPL ENVIRON MICROB, V79, P6507, DOI 10.1128/AEM.02135-13\nJASPER DA, 1989, NEW PHYTOL, V112, P101, DOI 10.1111/j.1469-8137.1989.tb00314.x\nJeffries P, 2002, MYCORRHIZAL TECHNOLOGY IN AGRICULTURE: FROM GENES TO BIOPRODUCTS, P151\nJohnson NC, 1997, NEW PHYTOL, V135, P575, DOI 10.1046/j.1469-8137.1997.00729.x\nKapulnik Y, 2010, SYMBIOSIS, V52, P103, DOI 10.1007/s13199-010-0085-z\nKarthikeyan A, 2012, ANN FOR RES, V55, P207\nKiers ET, 2000, ECOL LETT, V3, P106, DOI 10.1046/j.1461-0248.2000.00126.x\nKikvidze Z, 2010, WEB ECOLOGY, V10, P50, DOI DOI 10.5194/WE-10-50-2010\nKikvidze Z, 2015, ECOLOGY, V96, P2064, DOI 10.1890/14-2443.1\nKlironomos JN, 2000, ECOL LETT, V3, P137, DOI 10.1046/j.1461-0248.2000.00131.x\nKlironomos JN, 2003, ECOLOGY, V84, P2292, DOI 10.1890/02-0413\nKoide RT, 2004, MYCORRHIZA, V14, P145, DOI 10.1007/s00572-004-0307-4\nKula AAR, 2005, ECOL LETT, V8, P61, DOI 10.1111/j.1461-0248.2004.00690.x\nKumar Akhilesh, 2010, Engineering, V2, P683, DOI 10.4236/eng.2010.29088\nLamb D, 2005, SCIENCE, V310, P1628, DOI 10.1126/science.1111773\nLarcher W, 1995, PHYSL PLANT ECOLOGY\nLee EH, 2013, MYCOBIOLOGY, V41, P121, DOI 10.5941/MYCO.2013.41.3.121\nLeifheit EF, 2015, SOIL BIOL BIOCHEM, V81, P323, DOI 10.1016/j.soilbio.2014.12.003\nLekberg Y, 2005, NEW PHYTOL, V168, P189, DOI 10.1111/j.1469-8137.2005.01490.x\nLerat S, 2003, NEW PHYTOL, V157, P589, DOI 10.1046/j.1469-8137.2003.00691.x\nLeyval C, 1997, MYCORRHIZA, V7, P139, DOI 10.1007/s005720050174\nLin GG, 2015, J ECOL, V103, P1224, DOI 10.1111/1365-2745.12429\nMack RN, 2000, ECOL APPL, V10, P689, DOI 10.1890/1051-0761(2000)010[0689:BICEGC]2.0.CO;2\nMaherali H, 2007, SCIENCE, V316, P1746, DOI 10.1126/science.1143082\nManaut N, 2015, ECOL ENG, V79, P113, DOI 10.1016/j.ecoleng.2015.03.007\nMarschner H., 1995, MINERAL NUTR HIGHER\nMICHELSEN A, 1992, FOREST ECOL MANAG, V48, P335, DOI 10.1016/0378-1127(92)90154-2\nMiyasaka S.S., 2003, MANUAL ARBUSCULAR MY\nNavarro JM, 2014, J PLANT PHYSIOL, V171, P76, DOI 10.1016/j.jplph.2013.06.006\nODUM EP, 1969, SCIENCE, V164, P262, DOI 10.1126/science.164.3877.262\nOnguene NA, 2005, FOREST ECOL MANAG, V210, P283, DOI 10.1016/j.foreco.2005.02.038\nOsorio NW, 2001, ARID LAND RES MANAG, V15, P263, DOI 10.1080/15324980152119810\nOuahmane L, 2007, J APPL MICROBIOL, V103, P683, DOI 10.1111/j.1365-2672.2007.03296.x\nPadilla FM, 2009, BASIC APPL ECOL, V10, P640, DOI 10.1016/j.baae.2009.03.003\nPalmer MA, 1997, RESTOR ECOL, V5, P291, DOI 10.1046/j.1526-100X.1997.00543.x\nParniske M., 2008, MICROBIOLOGY, V6, P763, DOI [10.1038/nrmicro1987, DOI 10.1038/NRMICRO1987]\nPERRY DA, 1987, CAN J FOREST RES, V17, P929, DOI 10.1139/x87-145\nPouyu-Rojas E, 2000, PESQUI AGROPECU BRAS, V35, P103, DOI 10.1590/S0100-204X2000000100013\nPuri A, 2013, SYMBIOSIS, V59, P87, DOI 10.1007/s13199-012-0213-z\nQuoreshi Ali M., 2008, P303, DOI 10.1007/978-1-4020-8770-7_13\nRedecker D, 2006, MYCOLOGIA, V98, P885, DOI 10.3852/mycologia.98.6.885\nRenker C, 2004, ASSEMBLY RULES RESTO, P189\nRequena N, 2001, APPL ENVIRON MICROB, V67, P495, DOI 10.1128/AEM.67.2.495-498.2001\nRiginos C, 2009, ECOLOGY, V90, P335, DOI 10.1890/08-0462.1\nRillig MC, 2004, ECOL LETT, V7, P740, DOI 10.1111/j.1461-0248.2004.00620.x\nRodriguez-Echeverria S., 2007, FUNCTIONAL PLANT ECO, P581\nRuiz-Jaen MC, 2005, RESTOR ECOL, V13, P569, DOI 10.1111/j.1526-100X.2005.00072.x\nSaharan BC, 2011, LIFE SCI MED RES, V21, P1, DOI DOI 10.4172/2157-7471.1000266\nSanon A., 2010, CURRENT RES TECHNOLO, V2, P230\nScheublin TR, 2007, J ECOL, V95, P631, DOI 10.1111/j.1365-2745.2007.01244.x\nSchnitzer SA, 2011, ECOLOGY, V92, P296, DOI 10.1890/10-0773.1\nSchnoor TK, 2011, MYCORRHIZA, V21, P211, DOI 10.1007/s00572-010-0325-3\nSchussler A, 2007, PLANT SIGNAL BEHAV, V2, P431, DOI 10.4161/psb.2.5.4465\n[SER Society for Ecological Restoration International Science &amp;amp; Policy Working Group], 2004, SER INT PRIM EC REST\nSimard SW, 2010, CLIMATE CHANGE AND VARIABILITY, P275\nSKUJINS J, 1986, MIRCEN Journal of Applied Microbiology and Biotechnology, V2, P161, DOI 10.1007/BF00937191\nSmith SE, 2011, PLANT PHYSIOL, V156, P1050, DOI 10.1104/pp.111.174581\nSmith SE, 2011, ANNU REV PLANT BIOL, V62, P227, DOI 10.1146/annurev-arplant-042110-103846\nSoares CRFS, 2008, BIOL FERT SOILS, V44, P833, DOI 10.1007/s00374-007-0265-z\nSoka G., 2014, Open Journal of Ecology, V4, P11, DOI 10.4236/oje.2014.41002\nSong YY, 2014, SCI REP-UK, V4, DOI 10.1038/srep03915\nTAYLOR TN, 1995, MYCOLOGIA, V87, P560, DOI 10.2307/3760776\nThomas E, 2014, FOREST ECOL MANAG, V333, P66, DOI 10.1016/j.foreco.2014.07.015\nTimonen S, 2006, SOIL BIOL, V7, P155\nUnited Nations (UN), 2015, TRANSF OUR WORLD 203\nvan der Heijden MGA, 1999, OIKOS, V87, P408, DOI 10.2307/3546758\nvan der Heijden MGA, 1998, NATURE, V396, P69, DOI 10.1038/23932\nVeiga RSL, 2011, PLOS ONE, V6, DOI 10.1371/journal.pone.0027825\nVogelsang KM, 2006, NEW PHYTOL, V172, P554, DOI 10.1111/j.1469-8137.2006.01854.x\nWalder F, 2012, PLANT PHYSIOL, V159, P789, DOI 10.1104/pp.112.195727\nWang B, 2006, MYCORRHIZA, V16, P299, DOI 10.1007/s00572-005-0033-6\nWeremijewicz J, 2013, NEW PHYTOL, V198, P203, DOI 10.1111/nph.12125\nWorld Resource Institute, 2015, WHAT IS DEGR LAND\nWubet T, 2006, CAN J BOT, V84, P1617, DOI 10.1139/B06-121\nWubet T, 2009, MYCOL PROG, V8, P317, DOI 10.1007/s11557-009-0602-8\nYang H., 2014, SCI WORLD J, V2014, P1, DOI DOI 10.1155/2014/746506\nYoung TP, 2005, ECOL LETT, V8, P662, DOI 10.1111/j.1461-0248.2005.00764.x\nYoung TP, 2001, ECOLOGICAL RESTORATI, V19, P5, DOI DOI 10.3368/ER.19.1.5\nZedler J. B., 2005, SAN FRANCISCO ESTUAR, V3, P1, DOI 10.15447/sfews.2005v3iss2art4\nZobel M, 2014, J VEG SCI, V25, P1133, DOI 10.1111/jvs.12191\nAsmelash, Fisseha Bekele, Tamrat Birhane, Emiru\n3\n17\n109\nFrontiers media sa\nLausanne","page":"15","title":"The Potential Role of Arbuscular Mycorrhizal Fungi in the Restoration of Degraded Lands","type":"article-journal","volume":"7"},"uris":["http://www.mendeley.com/documents/?uuid=6c73105b-3fb1-4efd-bb74-4c4cad1e4b06"]},{"id":"ITEM-2","itemData":{"DOI":"doi:10.1111/j.1461-0248.2009.01303.x","abstract":"Abstract We examined the role of arbuscular mycorrhizal fungi (AMF) in ecosystems using soil aggregate stability and C and N storage as representative ecosystem processes. We utilized a wide gradient in AMF abundance, obtained through long-term (17 and 6 years) large-scale field manipulations. Burning and N-fertilization increased soil AMF hyphae, glomalin-related soil protein (GRSP) pools and water-stable macroaggregates while fungicide applications reduced AMF hyphae, GRSP and water-stable macroaggregates. We found that AMF abundance was a surprisingly dominant factor explaining the vast majority of variability in soil aggregation. This experimental field study, involving long-term diverse management practices of native multispecies prairie communities, invariably showed a close positive correlation between AMF hyphal abundance and soil aggregation, and C and N sequestration. This highly significant linear correlation suggests there are serious consequences to the loss of AMF from ecosystems.","author":[{"dropping-particle":"","family":"Wilson","given":"Gail W T","non-dropping-particle":"","parse-names":false,"suffix":""},{"dropping-particle":"","family":"Rice","given":"Charles W","non-dropping-particle":"","parse-names":false,"suffix":""},{"dropping-particle":"","family":"Rillig","given":"Matthias C","non-dropping-particle":"","parse-names":false,"suffix":""},{"dropping-particle":"","family":"Springer","given":"Adam","non-dropping-particle":"","parse-names":false,"suffix":""},{"dropping-particle":"","family":"Hartnett","given":"David C","non-dropping-particle":"","parse-names":false,"suffix":""}],"container-title":"Ecology Letters","id":"ITEM-2","issue":"5","issued":{"date-parts":[["2009"]]},"page":"452-461","title":"Soil aggregation and carbon sequestration are tightly correlated with the abundance of arbuscular mycorrhizal fungi: results from long-term field experiments","type":"article-journal","volume":"12"},"uris":["http://www.mendeley.com/documents/?uuid=0932a240-81bf-4bbc-972f-a4157f646676"]},{"id":"ITEM-3","itemData":{"DOI":"10.1038/ncomms3576\rhttps://www.nature.com/articles/ncomms3576#supplementary-information","author":[{"dropping-particle":"","family":"Zhang","given":"Weixin","non-dropping-particle":"","parse-names":false,"suffix":""},{"dropping-particle":"","family":"Hendrix","given":"Paul F","non-dropping-particle":"","parse-names":false,"suffix":""},{"dropping-particle":"","family":"Dame","given":"Lauren E","non-dropping-particle":"","parse-names":false,"suffix":""},{"dropping-particle":"","family":"Burke","given":"Roger A","non-dropping-particle":"","parse-names":false,"suffix":""},{"dropping-particle":"","family":"Wu","given":"Jianping","non-dropping-particle":"","parse-names":false,"suffix":""},{"dropping-particle":"","family":"Neher","given":"Deborah A","non-dropping-particle":"","parse-names":false,"suffix":""},{"dropping-particle":"","family":"Li","given":"Jianxiong","non-dropping-particle":"","parse-names":false,"suffix":""},{"dropping-particle":"","family":"Shao","given":"Yuanhu","non-dropping-particle":"","parse-names":false,"suffix":""},{"dropping-particle":"","family":"Fu","given":"Shenglei","non-dropping-particle":"","parse-names":false,"suffix":""}],"container-title":"Nature Communications","id":"ITEM-3","issued":{"date-parts":[["2013"]]},"page":"2576","publisher":"Nature Publishing Group, a division of Macmillan Publishers Limited. All Rights Reserved.","title":"Earthworms facilitate carbon sequestration through unequal amplification of carbon stabilization compared with mineralization","type":"article-journal","volume":"4"},"uris":["http://www.mendeley.com/documents/?uuid=3976641b-d216-4524-9c6d-4a689690c464"]}],"mendeley":{"formattedCitation":"(Asmelash et al., 2016; Wilson et al., 2009; Zhang et al., 2013)","plainTextFormattedCitation":"(Asmelash et al., 2016; Wilson et al., 2009; Zhang et al., 2013)","previouslyFormattedCitation":"(Asmelash et al., 2016; Wilson et al., 2009; Zhang et al., 2013)"},"properties":{"noteIndex":0},"schema":"https://github.com/citation-style-language/schema/raw/master/csl-citation.json"}</w:instrText>
      </w:r>
      <w:r w:rsidR="00320DE0">
        <w:rPr>
          <w:rFonts w:cs="Times New Roman"/>
          <w:szCs w:val="24"/>
        </w:rPr>
        <w:fldChar w:fldCharType="separate"/>
      </w:r>
      <w:r w:rsidR="00320DE0" w:rsidRPr="008D68D6">
        <w:rPr>
          <w:rFonts w:cs="Times New Roman"/>
          <w:noProof/>
          <w:szCs w:val="24"/>
          <w:lang w:val="en-GB"/>
        </w:rPr>
        <w:t>(Asmelash et al., 2016; Wilson et al., 2009; Zhang et al., 2013)</w:t>
      </w:r>
      <w:r w:rsidR="00320DE0">
        <w:rPr>
          <w:rFonts w:cs="Times New Roman"/>
          <w:szCs w:val="24"/>
        </w:rPr>
        <w:fldChar w:fldCharType="end"/>
      </w:r>
      <w:r w:rsidR="00320DE0" w:rsidRPr="008D68D6">
        <w:rPr>
          <w:rFonts w:cs="Times New Roman"/>
          <w:szCs w:val="24"/>
          <w:lang w:val="en-GB"/>
        </w:rPr>
        <w:t xml:space="preserve">. </w:t>
      </w:r>
      <w:r w:rsidRPr="00597EE8">
        <w:rPr>
          <w:rFonts w:cs="Times New Roman"/>
          <w:szCs w:val="24"/>
        </w:rPr>
        <w:t>Whil</w:t>
      </w:r>
      <w:r>
        <w:rPr>
          <w:rFonts w:cs="Times New Roman"/>
          <w:szCs w:val="24"/>
        </w:rPr>
        <w:t>e</w:t>
      </w:r>
      <w:r w:rsidRPr="00597EE8">
        <w:rPr>
          <w:rFonts w:cs="Times New Roman"/>
          <w:szCs w:val="24"/>
        </w:rPr>
        <w:t xml:space="preserve"> these management approaches </w:t>
      </w:r>
      <w:r w:rsidRPr="00597EE8">
        <w:rPr>
          <w:rFonts w:cs="Times New Roman"/>
          <w:szCs w:val="24"/>
          <w:lang w:val="en-GB"/>
        </w:rPr>
        <w:t>favour</w:t>
      </w:r>
      <w:r w:rsidRPr="00597EE8">
        <w:rPr>
          <w:rFonts w:cs="Times New Roman"/>
          <w:szCs w:val="24"/>
        </w:rPr>
        <w:t xml:space="preserve"> the development of earthworm populations</w:t>
      </w:r>
      <w:r w:rsidR="00320DE0">
        <w:rPr>
          <w:rFonts w:cs="Times New Roman"/>
          <w:szCs w:val="24"/>
        </w:rPr>
        <w:t xml:space="preserve"> </w:t>
      </w:r>
      <w:r w:rsidR="00320DE0">
        <w:rPr>
          <w:rFonts w:cs="Times New Roman"/>
          <w:szCs w:val="24"/>
        </w:rPr>
        <w:fldChar w:fldCharType="begin" w:fldLock="1"/>
      </w:r>
      <w:r w:rsidR="00320DE0">
        <w:rPr>
          <w:rFonts w:cs="Times New Roman"/>
          <w:szCs w:val="24"/>
        </w:rPr>
        <w:instrText>ADDIN CSL_CITATION {"citationItems":[{"id":"ITEM-1","itemData":{"DOI":"Doi 10.1016/S0167-1987(00)00173-2","ISBN":"0167-1987","abstract":"Conflicting reports in the literature on the effects of tillage on earthworms are reviewed in the light of their roles in agroecosystem functioning. Tillage can change the abundance (by 2-9 times) as well as the composition (diversity) of earthworm populations. The actual impact is dependent on soil factors, climatic conditions and the tillage operations but hitherto this information was seldom provided in research reports. The declines in earthworm population often reported in conventionally tilled soils are associated with undesirable changes in the soil environmental conditions resulting from excessive tillage. Different species of earthworm respond differently to tillage. While the abundance of the deep burrowing species (anecic) tends to decline under tillage, particularly under deep ploughing, endogeic species can actually increase in number especially when there is increased food supply. Under conservation tillage systems, earthworms can potentially play a more important role than under conventional tillage in the functioning of the farming systems because of their abilities to modify the soil physical environment and nutrient cycling. However, adoption of conservation tillage does not automatically result in an optimal earthworm population in terms of abundance and diversity. There are opportunities to introduce more beneficial species to improve the ecological performance of agro-ecosystems. More research is needed to fully understand the ecology of different earthworm species, their interactions and their potential roles in promoting more sustainable farming systems. (C) 2001 Elsevier Science B.V. All rights reserved.","author":[{"dropping-particle":"","family":"Chan","given":"K Y","non-dropping-particle":"","parse-names":false,"suffix":""}],"container-title":"Soil &amp; Tillage Research","id":"ITEM-1","issue":"4","issued":{"date-parts":[["2001"]]},"language":"English","note":"396HX\nTimes Cited:162\nCited References Count:52","page":"179-191","title":"An overview of some tillage impacts on earthworm population abundance and diversity - implications for functioning in soils","type":"article-journal","volume":"57"},"uris":["http://www.mendeley.com/documents/?uuid=453a00a0-74b6-4a71-8954-5b7f7960da9d"]},{"id":"ITEM-2","itemData":{"DOI":"https://doi.org/10.1016/j.ejsobi.2012.02.005","ISBN":"1164-5563","author":[{"dropping-particle":"","family":"Capelle","given":"Christine","non-dropping-particle":"van","parse-names":false,"suffix":""},{"dropping-particle":"","family":"Schrader","given":"Stefan","non-dropping-particle":"","parse-names":false,"suffix":""},{"dropping-particle":"","family":"Brunotte","given":"Joachim","non-dropping-particle":"","parse-names":false,"suffix":""}],"container-title":"European Journal of Soil Biology","id":"ITEM-2","issued":{"date-parts":[["2012"]]},"page":"165-181","title":"Tillage-induced changes in the functional diversity of soil biota – A review with a focus on German data","type":"article-journal","volume":"50"},"uris":["http://www.mendeley.com/documents/?uuid=dd8314f5-44b9-4cc0-b760-0c3ac4e9beff"]}],"mendeley":{"formattedCitation":"(Chan, 2001; van Capelle et al., 2012)","plainTextFormattedCitation":"(Chan, 2001; van Capelle et al., 2012)","previouslyFormattedCitation":"(Chan, 2001; van Capelle et al., 2012)"},"properties":{"noteIndex":0},"schema":"https://github.com/citation-style-language/schema/raw/master/csl-citation.json"}</w:instrText>
      </w:r>
      <w:r w:rsidR="00320DE0">
        <w:rPr>
          <w:rFonts w:cs="Times New Roman"/>
          <w:szCs w:val="24"/>
        </w:rPr>
        <w:fldChar w:fldCharType="separate"/>
      </w:r>
      <w:r w:rsidR="00320DE0" w:rsidRPr="00320DE0">
        <w:rPr>
          <w:rFonts w:cs="Times New Roman"/>
          <w:noProof/>
          <w:szCs w:val="24"/>
        </w:rPr>
        <w:t>(Chan, 2001; van Capelle et al., 2012)</w:t>
      </w:r>
      <w:r w:rsidR="00320DE0">
        <w:rPr>
          <w:rFonts w:cs="Times New Roman"/>
          <w:szCs w:val="24"/>
        </w:rPr>
        <w:fldChar w:fldCharType="end"/>
      </w:r>
      <w:r w:rsidR="00320DE0">
        <w:rPr>
          <w:rFonts w:cs="Times New Roman"/>
          <w:szCs w:val="24"/>
        </w:rPr>
        <w:t xml:space="preserve"> </w:t>
      </w:r>
      <w:r w:rsidRPr="00597EE8">
        <w:rPr>
          <w:rFonts w:cs="Times New Roman"/>
          <w:szCs w:val="24"/>
        </w:rPr>
        <w:t xml:space="preserve">it is </w:t>
      </w:r>
      <w:r w:rsidRPr="008C2C52">
        <w:rPr>
          <w:rFonts w:cs="Times New Roman"/>
          <w:szCs w:val="24"/>
        </w:rPr>
        <w:t xml:space="preserve">unclear </w:t>
      </w:r>
      <w:r>
        <w:rPr>
          <w:rFonts w:cs="Times New Roman"/>
          <w:szCs w:val="24"/>
        </w:rPr>
        <w:t xml:space="preserve">as to </w:t>
      </w:r>
      <w:r w:rsidRPr="008C2C52">
        <w:rPr>
          <w:rFonts w:cs="Times New Roman"/>
          <w:szCs w:val="24"/>
        </w:rPr>
        <w:t>the extent to which</w:t>
      </w:r>
      <w:r w:rsidRPr="00597EE8">
        <w:rPr>
          <w:rFonts w:cs="Times New Roman"/>
          <w:szCs w:val="24"/>
        </w:rPr>
        <w:t xml:space="preserve"> the action of the earthworms, </w:t>
      </w:r>
      <w:r w:rsidRPr="008C2C52">
        <w:rPr>
          <w:rFonts w:cs="Times New Roman"/>
          <w:szCs w:val="24"/>
        </w:rPr>
        <w:t>as distinct from</w:t>
      </w:r>
      <w:r w:rsidRPr="00597EE8">
        <w:rPr>
          <w:rFonts w:cs="Times New Roman"/>
          <w:szCs w:val="24"/>
        </w:rPr>
        <w:t xml:space="preserve"> other </w:t>
      </w:r>
      <w:r>
        <w:rPr>
          <w:rFonts w:cs="Times New Roman"/>
          <w:szCs w:val="24"/>
        </w:rPr>
        <w:t xml:space="preserve">effects </w:t>
      </w:r>
      <w:r w:rsidRPr="00597EE8">
        <w:rPr>
          <w:rFonts w:cs="Times New Roman"/>
          <w:szCs w:val="24"/>
        </w:rPr>
        <w:t>of these management methods</w:t>
      </w:r>
      <w:r>
        <w:rPr>
          <w:rFonts w:cs="Times New Roman"/>
          <w:szCs w:val="24"/>
        </w:rPr>
        <w:t xml:space="preserve">, </w:t>
      </w:r>
      <w:r w:rsidRPr="008C2C52">
        <w:rPr>
          <w:rFonts w:cs="Times New Roman"/>
          <w:szCs w:val="24"/>
        </w:rPr>
        <w:t xml:space="preserve">such as </w:t>
      </w:r>
      <w:r>
        <w:rPr>
          <w:rFonts w:cs="Times New Roman"/>
          <w:szCs w:val="24"/>
        </w:rPr>
        <w:t xml:space="preserve">reduced soil disturbance, </w:t>
      </w:r>
      <w:r w:rsidRPr="008C2C52">
        <w:rPr>
          <w:rFonts w:cs="Times New Roman"/>
          <w:szCs w:val="24"/>
        </w:rPr>
        <w:t>greater aggregation of soil</w:t>
      </w:r>
      <w:r>
        <w:rPr>
          <w:rFonts w:cs="Times New Roman"/>
          <w:szCs w:val="24"/>
        </w:rPr>
        <w:t xml:space="preserve"> by perennial plant roots and </w:t>
      </w:r>
      <w:r w:rsidRPr="008C2C52">
        <w:rPr>
          <w:rFonts w:cs="Times New Roman"/>
          <w:szCs w:val="24"/>
        </w:rPr>
        <w:t>mycorrhizal fungal</w:t>
      </w:r>
      <w:r>
        <w:rPr>
          <w:rFonts w:cs="Times New Roman"/>
          <w:szCs w:val="24"/>
        </w:rPr>
        <w:t xml:space="preserve"> hyphae,</w:t>
      </w:r>
      <w:r w:rsidRPr="008C2C52">
        <w:rPr>
          <w:rFonts w:cs="Times New Roman"/>
          <w:szCs w:val="24"/>
        </w:rPr>
        <w:t xml:space="preserve"> and increased organic matter</w:t>
      </w:r>
      <w:r>
        <w:rPr>
          <w:rFonts w:cs="Times New Roman"/>
          <w:szCs w:val="24"/>
        </w:rPr>
        <w:t xml:space="preserve"> inputs</w:t>
      </w:r>
      <w:r w:rsidRPr="008C2C52">
        <w:rPr>
          <w:rFonts w:cs="Times New Roman"/>
          <w:szCs w:val="24"/>
        </w:rPr>
        <w:t>,</w:t>
      </w:r>
      <w:r w:rsidRPr="00597EE8">
        <w:rPr>
          <w:rFonts w:cs="Times New Roman"/>
          <w:szCs w:val="24"/>
        </w:rPr>
        <w:t xml:space="preserve"> give rise to observed improvements in soil properties. </w:t>
      </w:r>
    </w:p>
    <w:p w14:paraId="6DFC1721" w14:textId="77777777" w:rsidR="0038409E" w:rsidRDefault="0038409E" w:rsidP="001448A4">
      <w:pPr>
        <w:spacing w:line="480" w:lineRule="auto"/>
        <w:jc w:val="both"/>
        <w:rPr>
          <w:rFonts w:cs="Times New Roman"/>
          <w:szCs w:val="24"/>
        </w:rPr>
      </w:pPr>
      <w:r>
        <w:rPr>
          <w:rFonts w:cs="Times New Roman"/>
          <w:szCs w:val="24"/>
        </w:rPr>
        <w:t>Earthworms increase soil organic matter content by incorporating organic material into soil</w:t>
      </w:r>
      <w:r w:rsidR="00320DE0">
        <w:rPr>
          <w:rFonts w:cs="Times New Roman"/>
          <w:szCs w:val="24"/>
        </w:rPr>
        <w:t xml:space="preserve"> </w:t>
      </w:r>
      <w:r w:rsidR="00320DE0">
        <w:rPr>
          <w:rFonts w:cs="Times New Roman"/>
          <w:szCs w:val="24"/>
        </w:rPr>
        <w:fldChar w:fldCharType="begin" w:fldLock="1"/>
      </w:r>
      <w:r w:rsidR="00320DE0">
        <w:rPr>
          <w:rFonts w:cs="Times New Roman"/>
          <w:szCs w:val="24"/>
        </w:rPr>
        <w:instrText>ADDIN CSL_CITATION {"citationItems":[{"id":"ITEM-1","itemData":{"DOI":"10.1890/12-1760.1","ISBN":"1939-5582","abstract":"To examine the mechanisms of earthworm effects on forest soil C and N, we double-labeled leaf litter with 13C and 15N, applied it to sugar maple forest plots with and without earthworms, and traced isotopes into soil pools. The experimental design included forest plots with different earthworm community composition (dominated by Lumbricus terrestris or L. rubellus). Soil carbon pools were 37% lower in earthworm-invaded plots largely because of the elimination of the forest floor horizons, and mineral soil C:N was lower in earthworm plots despite the mixing of high C:N organic matter into soil by earthworms. Litter disappearance over the first winter–spring was highest in the L. terrestris (T) plots, but during the warm season, rapid loss of litter was observed in both L. rubellus (R) and T plots. After two years, 22.0% ± 5.4% of 13C released from litter was recovered in soil with no significant differences among plots. Total recovery of added 13C (decaying litter plus soil) was much higher in no-worm (NW) plots (61–68%) than in R and T plots (20–29%) as much of the litter remained in the former whereas it had disappeared in the latter. Much higher percentage recovery of 15N than 13C was observed, with significantly lower values for T than R and NW plots. Higher overwinter earthworm activity in T plots contributed to lower soil N recovery. In earthworm-invaded plots isotope enrichment was highest in macroaggregates and microaggregates whereas in NW plots silt plus clay fractions were most enriched. The net effect of litter mixing and priming of recalcitrant soil organic matter (SOM), stabilization of SOM in soil aggregates, and alteration of the soil microbial community by earthworm activity results in loss of SOM and lowering of the C:N ratio. We suggest that earthworm stoichiometry plays a fundamental role in regulating C and N dynamics of forest SOM.","author":[{"dropping-particle":"","family":"Fahey","given":"Timothy J","non-dropping-particle":"","parse-names":false,"suffix":""},{"dropping-particle":"","family":"Yavitt","given":"Joseph B","non-dropping-particle":"","parse-names":false,"suffix":""},{"dropping-particle":"","family":"Sherman","given":"Ruth E","non-dropping-particle":"","parse-names":false,"suffix":""},{"dropping-particle":"","family":"Maerz","given":"John C","non-dropping-particle":"","parse-names":false,"suffix":""},{"dropping-particle":"","family":"Groffman","given":"Peter M","non-dropping-particle":"","parse-names":false,"suffix":""},{"dropping-particle":"","family":"Fisk","given":"Melany C","non-dropping-particle":"","parse-names":false,"suffix":""},{"dropping-particle":"","family":"Bohlen","given":"Patrick J","non-dropping-particle":"","parse-names":false,"suffix":""}],"container-title":"Ecological Applications","id":"ITEM-1","issue":"5","issued":{"date-parts":[["2013"]]},"page":"1185-1201","publisher":"Ecological Society of America","title":"Earthworm effects on the incorporation of litter C and N into soil organic matter in a sugar maple forest","type":"article-journal","volume":"23"},"uris":["http://www.mendeley.com/documents/?uuid=81cc28ec-adc0-4cd9-9e96-760507c488cc"]}],"mendeley":{"formattedCitation":"(Fahey et al., 2013)","plainTextFormattedCitation":"(Fahey et al., 2013)","previouslyFormattedCitation":"(Fahey et al., 2013)"},"properties":{"noteIndex":0},"schema":"https://github.com/citation-style-language/schema/raw/master/csl-citation.json"}</w:instrText>
      </w:r>
      <w:r w:rsidR="00320DE0">
        <w:rPr>
          <w:rFonts w:cs="Times New Roman"/>
          <w:szCs w:val="24"/>
        </w:rPr>
        <w:fldChar w:fldCharType="separate"/>
      </w:r>
      <w:r w:rsidR="00320DE0" w:rsidRPr="00320DE0">
        <w:rPr>
          <w:rFonts w:cs="Times New Roman"/>
          <w:noProof/>
          <w:szCs w:val="24"/>
        </w:rPr>
        <w:t>(Fahey et al., 2013)</w:t>
      </w:r>
      <w:r w:rsidR="00320DE0">
        <w:rPr>
          <w:rFonts w:cs="Times New Roman"/>
          <w:szCs w:val="24"/>
        </w:rPr>
        <w:fldChar w:fldCharType="end"/>
      </w:r>
      <w:r w:rsidR="00320DE0">
        <w:rPr>
          <w:rFonts w:cs="Times New Roman"/>
          <w:szCs w:val="24"/>
        </w:rPr>
        <w:t>,</w:t>
      </w:r>
      <w:r>
        <w:rPr>
          <w:rFonts w:cs="Times New Roman"/>
          <w:szCs w:val="24"/>
        </w:rPr>
        <w:t xml:space="preserve"> enhance soil aggregation in which organic carbon is protected</w:t>
      </w:r>
      <w:r w:rsidR="00320DE0">
        <w:rPr>
          <w:rFonts w:cs="Times New Roman"/>
          <w:szCs w:val="24"/>
        </w:rPr>
        <w:t xml:space="preserve"> </w:t>
      </w:r>
      <w:r w:rsidR="00320DE0">
        <w:rPr>
          <w:rFonts w:cs="Times New Roman"/>
          <w:szCs w:val="24"/>
        </w:rPr>
        <w:fldChar w:fldCharType="begin" w:fldLock="1"/>
      </w:r>
      <w:r w:rsidR="00320DE0">
        <w:rPr>
          <w:rFonts w:cs="Times New Roman"/>
          <w:szCs w:val="24"/>
        </w:rPr>
        <w:instrText>ADDIN CSL_CITATION {"citationItems":[{"id":"ITEM-1","itemData":{"DOI":"10.18520/cs/v113/i06/1064-1071","ISBN":"0011-3891","abstract":"Earthworms commonly occur within the soil. They alter physico-chemical and biological regimes of the soil through their activities, such as burrowing, casting, feeding and propagating, and therefore are known as ` ecosystem engineers'. Through their activities, they provide a number of ecosystem services which are ecologically and socio-economically important. This article reviews the role of earthworms in improving soil structural and functional properties, which serves as key determinants of soil ecosystem services and economic benefits for the farmers. A methodology of economic evaluation of the agro-ecosystem services provided by earthworms has been demonstrated. Further, the information gaps and future research have been discussed for ensuring sustainable agroecosystems management.","author":[{"dropping-particle":"","family":"Sharma","given":"D K","non-dropping-particle":"","parse-names":false,"suffix":""},{"dropping-particle":"","family":"Tomar","given":"S","non-dropping-particle":"","parse-names":false,"suffix":""},{"dropping-particle":"","family":"Chakraborty","given":"D","non-dropping-particle":"","parse-names":false,"suffix":""}],"container-title":"Current Science","id":"ITEM-1","issue":"6","issued":{"date-parts":[["2017"]]},"language":"English","note":"ISI Document Delivery No.: FH8GH\nTimes Cited: 0\nCited Reference Count: 90\nCited References: \nAira M, 2003, PEDOBIOLOGIA, V47, P877, DOI 10.1016/S0031-4056(04)70283-8\nAlegre JC, 1996, SOIL SCI SOC AM J, V60, P1522, DOI 10.2136/sssaj1996.03615995006000050033x\nAmosse J, 2015, GEODERMA, V243, P50, DOI 10.1016/j.geoderma.2014.12.007\nAvizinis E. J., 2012, THESIS\nBarois I., 1992, CONSERVATION SOIL FE, P35\nBastardie F, 2003, APPL SOIL ECOL, V24, P3, DOI 10.1016/S0929-1393(03)00071-4\nBertora C, 2007, SOIL BIOL BIOCHEM, V39, P632, DOI 10.1016/j.soilbio.2006.09.015\nBhadauria Tunira, 2010, Applied and Environmental Soil Science, V2010, P1, DOI 10.1155/2010/816073\nBlair John M., 1995, P127\nBlanchart E, 1997, SOIL BIOL BIOCHEM, V29, P431, DOI 10.1016/S0038-0717(96)00042-9\nBlanchart E, 1999, EARTHWORM MANAGEMENT IN TROPICAL AGROECOSYSTEMS, P149\nBlouin M, 2013, EUR J SOIL SCI, V64, P161, DOI 10.1111/ejss.12025\nBoag B., 2006, P CROP PROT NO BR, P51\nBottinelli N, 2010, GEODERMA, V156, P43, DOI 10.1016/j.geoderma.2010.01.006\nBoyd J, 2003, 0263 RES FUT\nBrown GG, 1999, EARTHWORM MANAGEMENT IN TROPICAL AGROECOSYSTEMS, P87\nByers JE, 2006, TRENDS ECOL EVOL, V21, P493, DOI 10.1016/j.tree.2006.06.002\nCastellanos-Navarrete A, 2012, SOIL TILL RES, V123, P61, DOI 10.1016/j.still.2012.03.011\nChan YC, 2011, WASTE MANAGE RES, V29, P540, DOI 10.1177/0734242X10375587\nChapuis-Lardy L, 2010, APPL SOIL ECOL, V45, P201, DOI 10.1016/j.apsoil.2010.04.006\nContreras-Ramos SM, 2009, APPL SOIL ECOL, V41, P69, DOI 10.1016/j.apsoil.2008.09.001\nContreras-Ramos SM, 2005, BIOL FERT SOILS, V41, P190, DOI 10.1007/s00374-004-0821-8\nCostanza R, 1997, NATURE, V387, P253, DOI 10.1038/387253a0\nDai J, 2004, SOIL BIOL BIOCHEM, V36, P91, DOI 10.1016/j.soilbio.2003.09.001\nDASH MC, 1980, OIKOS, V34, P322, DOI 10.2307/3544291\nDerouard L, 1997, SOIL BIOL BIOCHEM, V29, P541, DOI 10.1016/S0038-0717(96)00035-1\nDevi SH, 2009, J ENVIRON BIOL, V30, P1013\nDevliegher W, 1997, SOIL BIOL BIOCHEM, V29, P1721, DOI 10.1016/S0038-0717(97)00068-0\nDominguez J, 2003, PEDOBIOLOGIA, V47, P53, DOI 10.1078/0031-4056-00169\nEDWARDS WM, 1990, GEODERMA, V46, P73, DOI 10.1016/0016-7061(90)90008-W\nErnst G, 2009, EUR J SOIL BIOL, V45, P207, DOI 10.1016/j.ejsobi.2009.01.001\nFischer C, 2014, PLOS ONE, V9, DOI 10.1371/journal.pone.0098987\nFonte SJ, 2007, SOIL BIOL BIOCHEM, V39, P1014, DOI 10.1016/j.soilbio.2006.11.011\nFonte SJ, 2010, ECOL APPL, V20, P1061, DOI 10.1890/09-0795.1\nFrancis GS, 1998, APPL SOIL ECOL, V10, P11, DOI 10.1016/S0929-1393(98)00045-6\nFraser PM, 1996, APPL SOIL ECOL, V3, P49, DOI 10.1016/0929-1393(95)00062-3\nGiannopoulos G, 2010, SOIL BIOL BIOCHEM, V42, P618, DOI 10.1016/j.soilbio.2009.12.015\nGilot C, 1997, SOIL BIOL BIOCHEM, V29, P353, DOI 10.1016/S0038-0717(96)00046-6\nGilotVillenave C, 1996, APPL SOIL ECOL, V4, P201, DOI 10.1016/S0929-1393(96)00119-9\nHale C. M., 2008, ECOSYSTEMS, V8, P911\nHARTENSTEIN R, 1980, J ENVIRON QUAL, V9, P23, DOI 10.2134/jeq1980.00472425000900010007x\nHaynes RJ, 1998, EUR J SOIL SCI, V49, P629, DOI 10.1046/j.1365-2389.1998.4940629.x\nIreland MP, 1983, HEAVY METALS UPTAKE\nJONES CG, 1994, OIKOS, V69, P373, DOI 10.2307/3545850\nKeith A.M., 2012, ECON J, VII, P91\nKruapukdee A. W., 2013, 4 ICERD INT C ENV RU\nLandell-Mills N., 2002, SILVER BULLET FOOLS\nLavelle P., 2004, EARTH WORM ECOLOGY\nLavelle P., 2010, EARTHWORM ECOLOGY, P103\nLe Bayon RC, 2006, SOIL BIOL BIOCHEM, V38, P235, DOI 10.1016/j.soilbio.2005.05.013\nLee KE, 1985, EARTHWORMS THEIR ECO\nLubbers IM, 2013, NAT CLIM CHANGE, V3, P187, DOI [10.1038/nclimate1692, 10.1038/NCLIMATE1692]\nLukkari T, 2005, APPL SOIL ECOL, V30, P133, DOI 10.1016/j.apsoil.2005.02.001\nLyons KG, 2005, CONSERV BIOL, V19, P1019, DOI 10.1111/j.1523-1739.2005.00106.x\nMA, 2005, EC HUM WELL BEING SY\nMARTIN A, 1993, GEODERMA, V56, P331, DOI 10.1016/0016-7061(93)90121-Z\nMcColl H. P., 2012, J AGR RES, V25, P239\nMilleret R, 2009, PLANT SOIL, V316, P1, DOI 10.1007/s11104-008-9753-7\nMore B. C., 2012, Journal of Environmental Research and Development, V7, P1047\nMunnoli Prakash Mallappa, 2011, Environmentalist, V31, P394, DOI 10.1007/s10669-011-9353-6\nPARMELEE RW, 1988, PEDOBIOLOGIA, V32, P355\nPIETZ RI, 1984, J ENVIRON QUAL, V13, P651, DOI 10.2134/jeq1984.00472425001300040028x\nPIMENTEL D, 1995, SCIENCE, V267, P1117, DOI 10.1126/science.267.5201.1117\nPokarzhevskii AD, 1997, SOIL BIOL BIOCHEM, V29, P559, DOI 10.1016/S0038-0717(96)00180-0\nRiley H, 2008, AGR ECOSYST ENVIRON, V124, P275, DOI 10.1016/j.agee.2007.11.002\nRizhiya E, 2007, SOIL BIOL BIOCHEM, V39, P2058, DOI 10.1016/j.soilbio.2007.03.008\nROSSWALL T, 1984, PLANT SOIL, V76, P3, DOI 10.1007/BF02205563\nSanchez-de Leon Y, 2014, SOIL BIOL BIOCHEM, V68, P223, DOI 10.1016/j.soilbio.2013.09.023\nSandhu HS, 2008, ECOL ECON, V64, P835, DOI 10.1016/j.ecolecon.2007.05.007\nSatchell JE, 1967, SOIL BIOLOGY, P259\nSHARPLEY AN, 1976, SOIL BIOL BIOCHEM, V8, P341, DOI 10.1016/0038-0717(76)90030-4\nShuster WD, 2001, SOIL BIOL BIOCHEM, V33, P983, DOI 10.1016/S0038-0717(01)00002-5\nSinha Rajiv K., 2008, Environmentalist, V28, P409, DOI 10.1007/s10669-008-9162-8\nSperatti AB, 2008, APPL SOIL ECOL, V38, P27, DOI 10.1016/j.apsoil.2007.08.009\nSperatti AB, 2007, BIOL FERT SOILS, V44, P405, DOI 10.1007/s00374-007-0224-8\nSrinithi M, 2010, RES J CHEM ENVIRON, V14, P39\nStefan S., 2002, 7 S EARTHW EC UNPUB\nSuhane RK, 2007, VERMICOMPOST, P88\nTianxiang L., 2008, ACTA ECOL SIN, V28, P993\nvan Groenigen JW, 2014, SCI REP-UK, V4, DOI 10.1038/srep06365\nVillenave C., 2010, APPL ENV SOIL SCI, P7\nVos HMJ, 2014, SOIL BIOL BIOCHEM, V79, P34, DOI 10.1016/j.soilbio.2014.08.018\nWhalen JK, 2000, BIOL FERT SOILS, V32, P347, DOI 10.1007/s003740000259\nWielopolski L, 2010, SOIL SCI SOC AM J, V74, P812, DOI 10.2136/sssaj2009.0205\nWironen M, 2006, CAN J FOREST RES, V36, P845, DOI 10.1139/X06-016\nWright JP, 2006, BIOSCIENCE, V56, P203, DOI 10.1641/0006-3568(2006)056[0203:TCOOAE]2.0.CO;2\nWunder S, 2005, 42 CIFOR\nZangerle A, 2011, GEODERMA, V167-68, P303, DOI 10.1016/j.geoderma.2011.09.004\nZhang BG, 2000, SOIL BIOL BIOCHEM, V32, P2055, DOI 10.1016/S0038-0717(00)00111-5\nZhen-zhong W., 1998, J ENVIRON SCI, V10, P437\nSharma, D. K. Tomar, S. Chakraborty, D.\nDepartment of Science and Technology, New Delhi\nOur thanks to the Department of Science and Technology, New Delhi for providing financial support for this work. We also thank the Indian Agricultural Research Institute, New Delhi, India for providing the platform to conduct the study.\n0\n46\nIndian acad sciences\nBangalore","page":"1064-1071","title":"Role of earthworm in improving soil structure and functioning","type":"article-journal","volume":"113"},"uris":["http://www.mendeley.com/documents/?uuid=68ad23a3-bd2d-4989-a5c4-651815075063"]}],"mendeley":{"formattedCitation":"(Sharma et al., 2017)","plainTextFormattedCitation":"(Sharma et al., 2017)","previouslyFormattedCitation":"(Sharma et al., 2017)"},"properties":{"noteIndex":0},"schema":"https://github.com/citation-style-language/schema/raw/master/csl-citation.json"}</w:instrText>
      </w:r>
      <w:r w:rsidR="00320DE0">
        <w:rPr>
          <w:rFonts w:cs="Times New Roman"/>
          <w:szCs w:val="24"/>
        </w:rPr>
        <w:fldChar w:fldCharType="separate"/>
      </w:r>
      <w:r w:rsidR="00320DE0" w:rsidRPr="00320DE0">
        <w:rPr>
          <w:rFonts w:cs="Times New Roman"/>
          <w:noProof/>
          <w:szCs w:val="24"/>
        </w:rPr>
        <w:t>(Sharma et al., 2017)</w:t>
      </w:r>
      <w:r w:rsidR="00320DE0">
        <w:rPr>
          <w:rFonts w:cs="Times New Roman"/>
          <w:szCs w:val="24"/>
        </w:rPr>
        <w:fldChar w:fldCharType="end"/>
      </w:r>
      <w:r w:rsidR="00320DE0">
        <w:rPr>
          <w:rFonts w:cs="Times New Roman"/>
          <w:szCs w:val="24"/>
        </w:rPr>
        <w:t xml:space="preserve">, </w:t>
      </w:r>
      <w:r>
        <w:rPr>
          <w:rFonts w:cs="Times New Roman"/>
          <w:szCs w:val="24"/>
        </w:rPr>
        <w:t>and generate macropores that increase soil water flow</w:t>
      </w:r>
      <w:r w:rsidR="00320DE0">
        <w:rPr>
          <w:rFonts w:cs="Times New Roman"/>
          <w:szCs w:val="24"/>
        </w:rPr>
        <w:t xml:space="preserve"> </w:t>
      </w:r>
      <w:r w:rsidR="00320DE0">
        <w:rPr>
          <w:rFonts w:cs="Times New Roman"/>
          <w:szCs w:val="24"/>
        </w:rPr>
        <w:fldChar w:fldCharType="begin" w:fldLock="1"/>
      </w:r>
      <w:r w:rsidR="00320DE0">
        <w:rPr>
          <w:rFonts w:cs="Times New Roman"/>
          <w:szCs w:val="24"/>
        </w:rPr>
        <w:instrText>ADDIN CSL_CITATION {"citationItems":[{"id":"ITEM-1","itemData":{"DOI":"Doi 10.1016/S0929-1393(98)00045-6","ISBN":"0929-1393","abstract":"The burrowing characteristics of three common introduced European lumbricid earthworm species were studied in New Zealand agricultural soils. Large (30 cm internal diameterx50 cm high) cylinders were filled with topsoil (0-25 cm) and subsoil (25-50 cm), sieved to remove earthworms and other soil macrofauna. Cylinders were inoculated with either mature Aporrectodea caliginosa, Octolasion cyaneum (both endogeic species) or Lumbricus rubellus (an epigeic species) at the rates of 300 and 600 m(-2). Additional control (nil earthworms) and mixed species treatments were also included in the experiment. Cylinders were buried in the field for six months before sampling. After six months, most of the introduced O. Cyaneum and L. rubellus earthworms had died, but significant populations of A. caliginosa were present in all treatments. However, it appears that the different species of inoculated earthworms had created contrasting burrowing patterns. L. rubellus was most active in the top 10 cm of the topsoil, although it did create burrows to at least 21 cm depth. L. rubellus did not create any burrows in the subsoil. Both A. caliginosa and O. cyaneum burrowed relatively evenly throughout the topsoil. Both species also created burrows at all depths sampled in the subsoil. Under saturated conditions, most water how occurred through earthworm burrows. In the topsoil, burrows of A. caliginosa were more continuous and better connected to the soil surface than burrows of O. cyaneum. In contrast, O. cyaneum created the most continuous burrows through the subsoil.","author":[{"dropping-particle":"","family":"Francis","given":"G S","non-dropping-particle":"","parse-names":false,"suffix":""},{"dropping-particle":"","family":"Fraser","given":"P M","non-dropping-particle":"","parse-names":false,"suffix":""}],"container-title":"Applied Soil Ecology","id":"ITEM-1","issue":"1-2","issued":{"date-parts":[["1998"]]},"language":"English","note":"137TM\nTimes Cited:49\nCited References Count:24","page":"11-19","title":"The effects of three earthworm species on soil macroporosity and hydraulic conductivity","type":"article-journal","volume":"10"},"uris":["http://www.mendeley.com/documents/?uuid=ffbf2e21-0cfe-4792-a73f-3bb849e9abc4"]}],"mendeley":{"formattedCitation":"(Francis and Fraser, 1998)","plainTextFormattedCitation":"(Francis and Fraser, 1998)","previouslyFormattedCitation":"(Francis and Fraser, 1998)"},"properties":{"noteIndex":0},"schema":"https://github.com/citation-style-language/schema/raw/master/csl-citation.json"}</w:instrText>
      </w:r>
      <w:r w:rsidR="00320DE0">
        <w:rPr>
          <w:rFonts w:cs="Times New Roman"/>
          <w:szCs w:val="24"/>
        </w:rPr>
        <w:fldChar w:fldCharType="separate"/>
      </w:r>
      <w:r w:rsidR="00320DE0" w:rsidRPr="00320DE0">
        <w:rPr>
          <w:rFonts w:cs="Times New Roman"/>
          <w:noProof/>
          <w:szCs w:val="24"/>
        </w:rPr>
        <w:t>(Francis and Fraser, 1998)</w:t>
      </w:r>
      <w:r w:rsidR="00320DE0">
        <w:rPr>
          <w:rFonts w:cs="Times New Roman"/>
          <w:szCs w:val="24"/>
        </w:rPr>
        <w:fldChar w:fldCharType="end"/>
      </w:r>
      <w:r w:rsidR="00320DE0">
        <w:rPr>
          <w:rFonts w:cs="Times New Roman"/>
          <w:szCs w:val="24"/>
        </w:rPr>
        <w:t xml:space="preserve">, </w:t>
      </w:r>
      <w:r>
        <w:rPr>
          <w:rFonts w:cs="Times New Roman"/>
          <w:szCs w:val="24"/>
        </w:rPr>
        <w:t>which in turn protects the soil surface against erosion</w:t>
      </w:r>
      <w:r w:rsidR="00320DE0">
        <w:rPr>
          <w:rFonts w:cs="Times New Roman"/>
          <w:szCs w:val="24"/>
        </w:rPr>
        <w:t xml:space="preserve"> </w:t>
      </w:r>
      <w:r w:rsidR="00320DE0">
        <w:rPr>
          <w:rFonts w:cs="Times New Roman"/>
          <w:szCs w:val="24"/>
        </w:rPr>
        <w:fldChar w:fldCharType="begin" w:fldLock="1"/>
      </w:r>
      <w:r w:rsidR="00FE48F3">
        <w:rPr>
          <w:rFonts w:cs="Times New Roman"/>
          <w:szCs w:val="24"/>
        </w:rPr>
        <w:instrText>ADDIN CSL_CITATION {"citationItems":[{"id":"ITEM-1","itemData":{"DOI":"10.1016/j.apsoil.2012.04.004","ISBN":"0929-1393","abstract":"Earthworms and termites, as soil engineers, play a major role in the regulation of biogeochemical processes and the provision of ecosystem services. They create biogenic aggregates on the soil surface, e.g.. earthworm casts and termite sheetings, which can influence soil erosion and the downward transfer of fertility. We assessed the effect of the micro-relief generated by earthworms and termites on soil hydrodynamic properties, and soil and nutrient losses. Eighteen 1 m x 1 m plots were established for rainfall simulation experiments (2 runs of 40 min rain, intensity 90 mm h(-1)) in a steep slope fallow in Northern Vietnam. The soil surface of the micro-plots differed in the proportions of earthworm casts and termite sheetings. The results confirmed the importance of soil biostructures in the regulation of pedohydrological properties of soils. Although globular water-stable earthworm casts promote water infiltration in soil and decrease soil and nutrient losses, the unstable termite sheetings break-down rapidly and generate structural crusts which foster water runoff and soil detachment. No relation was observed between the abundance or biomass of earthworms or termites and the pedohydrological properties measured during the rainfall simulations. This therefore suggests that soil engineers can have greater impact on ecosystem functioning through their biogenic structures rather than as a result of their own abundance or biomass. (c) 2012 Elsevier B.V. All rights reserved.","author":[{"dropping-particle":"","family":"Jouquet","given":"P","non-dropping-particle":"","parse-names":false,"suffix":""},{"dropping-particle":"","family":"Janeau","given":"J L","non-dropping-particle":"","parse-names":false,"suffix":""},{"dropping-particle":"","family":"Pisano","given":"A","non-dropping-particle":"","parse-names":false,"suffix":""},{"dropping-particle":"","family":"Sy","given":"H T","non-dropping-particle":"","parse-names":false,"suffix":""},{"dropping-particle":"","family":"Orange","given":"D","non-dropping-particle":"","parse-names":false,"suffix":""},{"dropping-particle":"","family":"Luu","given":"T N M","non-dropping-particle":"","parse-names":false,"suffix":""},{"dropping-particle":"","family":"Valentin","given":"C","non-dropping-particle":"","parse-names":false,"suffix":""}],"container-title":"Applied Soil Ecology","id":"ITEM-1","issued":{"date-parts":[["2012"]]},"language":"English","note":"Sp. Iss. SI\n020DT\nTimes Cited:9\nCited References Count:55","page":"161-168","title":"Influence of earthworms and termites on runoff and erosion in a tropical steep slope fallow in Vietnam: A rainfall simulation experiment","type":"article-journal","volume":"61"},"uris":["http://www.mendeley.com/documents/?uuid=58d32a99-56ae-49b5-8311-04faf0f94acd"]}],"mendeley":{"formattedCitation":"(Jouquet et al., 2012)","plainTextFormattedCitation":"(Jouquet et al., 2012)","previouslyFormattedCitation":"(Jouquet et al., 2012)"},"properties":{"noteIndex":0},"schema":"https://github.com/citation-style-language/schema/raw/master/csl-citation.json"}</w:instrText>
      </w:r>
      <w:r w:rsidR="00320DE0">
        <w:rPr>
          <w:rFonts w:cs="Times New Roman"/>
          <w:szCs w:val="24"/>
        </w:rPr>
        <w:fldChar w:fldCharType="separate"/>
      </w:r>
      <w:r w:rsidR="00320DE0" w:rsidRPr="00320DE0">
        <w:rPr>
          <w:rFonts w:cs="Times New Roman"/>
          <w:noProof/>
          <w:szCs w:val="24"/>
        </w:rPr>
        <w:t>(Jouquet et al., 2012)</w:t>
      </w:r>
      <w:r w:rsidR="00320DE0">
        <w:rPr>
          <w:rFonts w:cs="Times New Roman"/>
          <w:szCs w:val="24"/>
        </w:rPr>
        <w:fldChar w:fldCharType="end"/>
      </w:r>
      <w:r w:rsidR="00320DE0">
        <w:rPr>
          <w:rFonts w:cs="Times New Roman"/>
          <w:szCs w:val="24"/>
        </w:rPr>
        <w:t xml:space="preserve">. </w:t>
      </w:r>
      <w:r>
        <w:rPr>
          <w:rFonts w:cs="Times New Roman"/>
          <w:szCs w:val="24"/>
        </w:rPr>
        <w:t>Adding earthworms to improve soil properties</w:t>
      </w:r>
      <w:r w:rsidR="00FE48F3">
        <w:rPr>
          <w:rFonts w:cs="Times New Roman"/>
          <w:szCs w:val="24"/>
        </w:rPr>
        <w:t xml:space="preserve"> </w:t>
      </w:r>
      <w:r w:rsidR="00FE48F3">
        <w:rPr>
          <w:rFonts w:cs="Times New Roman"/>
          <w:szCs w:val="24"/>
        </w:rPr>
        <w:fldChar w:fldCharType="begin" w:fldLock="1"/>
      </w:r>
      <w:r w:rsidR="00FE48F3">
        <w:rPr>
          <w:rFonts w:cs="Times New Roman"/>
          <w:szCs w:val="24"/>
        </w:rPr>
        <w:instrText>ADDIN CSL_CITATION {"citationItems":[{"id":"ITEM-1","itemData":{"DOI":"10.1007/s10669-009-9242-4","ISBN":"1573-2991","author":[{"dropping-particle":"","family":"Sinha","given":"Rajiv K","non-dropping-particle":"","parse-names":false,"suffix":""}],"container-title":"The Environmentalist","id":"ITEM-1","issue":"4","issued":{"date-parts":[["2009"]]},"page":"339","title":"Earthworms: the miracle of nature (Charles Darwin’s ‘unheralded soldiers of mankind &amp; farmer’s friends’)","type":"article-journal","volume":"29"},"uris":["http://www.mendeley.com/documents/?uuid=a45b3f3c-df74-4e81-8130-6a959b36b1a2"]},{"id":"ITEM-2","itemData":{"DOI":"10.4236/ti.2010.13019","author":[{"dropping-particle":"","family":"Sinha","given":"Rajiv K","non-dropping-particle":"","parse-names":false,"suffix":""},{"dropping-particle":"","family":"Agarwal","given":"Sunita","non-dropping-particle":"","parse-names":false,"suffix":""},{"dropping-particle":"","family":"Chauhan","given":"Krunal","non-dropping-particle":"","parse-names":false,"suffix":""},{"dropping-particle":"","family":"Chandran","given":"Vinod","non-dropping-particle":"","parse-names":false,"suffix":""},{"dropping-particle":"","family":"Soni","given":"Brijal Kiranbhai","non-dropping-particle":"","parse-names":false,"suffix":""}],"container-title":"Technology and Investment","id":"ITEM-2","issued":{"date-parts":[["2010"]]},"page":"19","title":"Vermiculture Technology: Reviving the Dreams of Sir Charles Darwin for Scientific Use of Earthworms in Sustainable Development Programs","type":"article-journal","volume":"Vol.01No.0"},"uris":["http://www.mendeley.com/documents/?uuid=3574c48a-f0af-4855-b0ec-ef333177da91"]}],"mendeley":{"formattedCitation":"(Sinha, 2009; Sinha et al., 2010)","plainTextFormattedCitation":"(Sinha, 2009; Sinha et al., 2010)","previouslyFormattedCitation":"(Sinha, 2009; Sinha et al., 2010)"},"properties":{"noteIndex":0},"schema":"https://github.com/citation-style-language/schema/raw/master/csl-citation.json"}</w:instrText>
      </w:r>
      <w:r w:rsidR="00FE48F3">
        <w:rPr>
          <w:rFonts w:cs="Times New Roman"/>
          <w:szCs w:val="24"/>
        </w:rPr>
        <w:fldChar w:fldCharType="separate"/>
      </w:r>
      <w:r w:rsidR="00FE48F3" w:rsidRPr="00FE48F3">
        <w:rPr>
          <w:rFonts w:cs="Times New Roman"/>
          <w:noProof/>
          <w:szCs w:val="24"/>
        </w:rPr>
        <w:t>(Sinha, 2009; Sinha et al., 2010)</w:t>
      </w:r>
      <w:r w:rsidR="00FE48F3">
        <w:rPr>
          <w:rFonts w:cs="Times New Roman"/>
          <w:szCs w:val="24"/>
        </w:rPr>
        <w:fldChar w:fldCharType="end"/>
      </w:r>
      <w:r w:rsidR="00FE48F3">
        <w:rPr>
          <w:rFonts w:cs="Times New Roman"/>
          <w:szCs w:val="24"/>
        </w:rPr>
        <w:t xml:space="preserve">, </w:t>
      </w:r>
      <w:r w:rsidRPr="00ED434A">
        <w:rPr>
          <w:rFonts w:cs="Times New Roman"/>
          <w:szCs w:val="24"/>
        </w:rPr>
        <w:t>especially in combination with land</w:t>
      </w:r>
      <w:r>
        <w:rPr>
          <w:rFonts w:cs="Times New Roman"/>
          <w:szCs w:val="24"/>
        </w:rPr>
        <w:t>-</w:t>
      </w:r>
      <w:r w:rsidRPr="00ED434A">
        <w:rPr>
          <w:rFonts w:cs="Times New Roman"/>
          <w:szCs w:val="24"/>
        </w:rPr>
        <w:t xml:space="preserve">management changes that are </w:t>
      </w:r>
      <w:r w:rsidRPr="00ED434A">
        <w:rPr>
          <w:rFonts w:cs="Times New Roman"/>
          <w:szCs w:val="24"/>
          <w:lang w:val="en-GB"/>
        </w:rPr>
        <w:t>more favourable to them such as introduction of leys into arable rotations, has the potential to be economically affordable</w:t>
      </w:r>
      <w:r>
        <w:rPr>
          <w:rFonts w:cs="Times New Roman"/>
          <w:szCs w:val="24"/>
        </w:rPr>
        <w:t xml:space="preserve">, environmentally sustainable and socially acceptable. </w:t>
      </w:r>
      <w:r w:rsidRPr="006C56AD">
        <w:rPr>
          <w:rFonts w:cs="Times New Roman"/>
          <w:szCs w:val="24"/>
        </w:rPr>
        <w:t xml:space="preserve">Earthworms can process </w:t>
      </w:r>
      <w:r w:rsidRPr="0064787B">
        <w:rPr>
          <w:rFonts w:cs="Times New Roman"/>
          <w:szCs w:val="24"/>
        </w:rPr>
        <w:t>up to 250 tonnes ha</w:t>
      </w:r>
      <w:r w:rsidRPr="0064787B">
        <w:rPr>
          <w:rFonts w:cs="Times New Roman"/>
          <w:szCs w:val="24"/>
          <w:vertAlign w:val="superscript"/>
        </w:rPr>
        <w:t>-1</w:t>
      </w:r>
      <w:r w:rsidRPr="006C56AD">
        <w:rPr>
          <w:rFonts w:cs="Times New Roman"/>
          <w:szCs w:val="24"/>
        </w:rPr>
        <w:t xml:space="preserve"> of soil each year</w:t>
      </w:r>
      <w:r w:rsidR="00FE48F3">
        <w:rPr>
          <w:rFonts w:cs="Times New Roman"/>
          <w:szCs w:val="24"/>
        </w:rPr>
        <w:t xml:space="preserve"> </w:t>
      </w:r>
      <w:r w:rsidR="00FE48F3">
        <w:rPr>
          <w:rFonts w:cs="Times New Roman"/>
          <w:szCs w:val="24"/>
        </w:rPr>
        <w:fldChar w:fldCharType="begin" w:fldLock="1"/>
      </w:r>
      <w:r w:rsidR="00CC438B">
        <w:rPr>
          <w:rFonts w:cs="Times New Roman"/>
          <w:szCs w:val="24"/>
        </w:rPr>
        <w:instrText>ADDIN CSL_CITATION {"citationItems":[{"id":"ITEM-1","itemData":{"DOI":"10.1155/2010/830853","author":[{"dropping-particle":"","family":"Birkas","given":"Marta","non-dropping-particle":"","parse-names":false,"suffix":""},{"dropping-particle":"","family":"Bottlik","given":"Laszlo","non-dropping-particle":"","parse-names":false,"suffix":""},{"dropping-particle":"","family":"Stingli","given":"Attila","non-dropping-particle":"","parse-names":false,"suffix":""},{"dropping-particle":"","family":"Gyuricza","given":"Csaba","non-dropping-particle":"","parse-names":false,"suffix":""},{"dropping-particle":"","family":"Jol","given":"","non-dropping-particle":"","parse-names":false,"suffix":""},{"dropping-particle":"","family":"#225","given":"","non-dropping-particle":"","parse-names":false,"suffix":""},{"dropping-particle":"","family":"nkai","given":"M","non-dropping-particle":"","parse-names":false,"suffix":""},{"dropping-particle":"","family":"#225","given":"","non-dropping-particle":"","parse-names":false,"suffix":""},{"dropping-particle":"","family":"rton","given":"","non-dropping-particle":"","parse-names":false,"suffix":""}],"container-title":"Applied and Environmental Soil Science","id":"ITEM-1","issued":{"date-parts":[["2010"]]},"title":"Effect of Soil Physical State on the Earthworms in Hungary","type":"article-journal","volume":"2010"},"uris":["http://www.mendeley.com/documents/?uuid=7dd25649-c6a2-4af6-b42f-6a80b63546e7"]},{"id":"ITEM-2","itemData":{"DOI":"10.1007/s00374-013-0808-4","ISBN":"1432-0789","abstract":"Earthworms (Annelida: Oligochaeta) deposit several tons per hectare of casts enriched in nutrients and/or arbuscular mycorrhizal fungi (AMF) and create a spatial and temporal soil heterogeneity that can play a role in structuring plant communities. However, while we begin to understand the role of surface casts, it is still unclear to what extent plants utilize subsurface casts. We conducted a greenhouse experiment using large mesocosms (volume 45 l) to test whether (1) soil microsites consisting of earthworm casts with or without AMF (four Glomus taxa) affect the biomass production of 11 grassland plant species comprising the three functional groups grasses, forbs, and legumes, (2) different ecological groups of earthworms (soil dwellers—Aporrectodea caliginosa vs. vertical burrowers—Lumbricus terrestris) alter potential influences of soil microsites (i.e., four earthworms × two subsurface microsites × two AMF treatments). Soil microsites were artificially inserted in a 25-cm depth, and afterwards, plant species were sown in a regular pattern; the experiment ran for 6 months. Our results show that minute amounts of subsurface casts (0.89 g kg−1 soil) decreased the shoot and root production of forbs and legumes, but not that of grasses. The presence of earthworms reduced root biomass of grasses only. Our data also suggest that subsurface casts provide microsites from which root AMF colonization can start. Ecological groups of earthworms did not differ in their effects on plant production or AMF distribution. Taken together, these findings suggest that subsurface earthworm casts might play a role in structuring plant communities by specifically affecting the growth of certain functional groups of plants.","author":[{"dropping-particle":"","family":"Zaller","given":"Johann G","non-dropping-particle":"","parse-names":false,"suffix":""},{"dropping-particle":"","family":"Wechselberger","given":"Katharina F","non-dropping-particle":"","parse-names":false,"suffix":""},{"dropping-particle":"","family":"Gorfer","given":"Markus","non-dropping-particle":"","parse-names":false,"suffix":""},{"dropping-particle":"","family":"Hann","given":"Patrick","non-dropping-particle":"","parse-names":false,"suffix":""},{"dropping-particle":"","family":"Frank","given":"Thomas","non-dropping-particle":"","parse-names":false,"suffix":""},{"dropping-particle":"","family":"Wanek","given":"Wolfgang","non-dropping-particle":"","parse-names":false,"suffix":""},{"dropping-particle":"","family":"Drapela","given":"Thomas","non-dropping-particle":"","parse-names":false,"suffix":""}],"container-title":"Biology and Fertility of Soils","id":"ITEM-2","issue":"8","issued":{"date-parts":[["2013"]]},"page":"1097-1107","title":"Subsurface earthworm casts can be important soil microsites specifically influencing the growth of grassland plants","type":"article-journal","volume":"49"},"uris":["http://www.mendeley.com/documents/?uuid=b464256e-e002-414f-b69c-f92e9169483f"]}],"mendeley":{"formattedCitation":"(Birkas et al., 2010; Zaller et al., 2013)","plainTextFormattedCitation":"(Birkas et al., 2010; Zaller et al., 2013)","previouslyFormattedCitation":"(Birkas et al., 2010; Zaller et al., 2013)"},"properties":{"noteIndex":0},"schema":"https://github.com/citation-style-language/schema/raw/master/csl-citation.json"}</w:instrText>
      </w:r>
      <w:r w:rsidR="00FE48F3">
        <w:rPr>
          <w:rFonts w:cs="Times New Roman"/>
          <w:szCs w:val="24"/>
        </w:rPr>
        <w:fldChar w:fldCharType="separate"/>
      </w:r>
      <w:r w:rsidR="00FE48F3" w:rsidRPr="00FE48F3">
        <w:rPr>
          <w:rFonts w:cs="Times New Roman"/>
          <w:noProof/>
          <w:szCs w:val="24"/>
        </w:rPr>
        <w:t>(Birkas et al., 2010; Zaller et al., 2013)</w:t>
      </w:r>
      <w:r w:rsidR="00FE48F3">
        <w:rPr>
          <w:rFonts w:cs="Times New Roman"/>
          <w:szCs w:val="24"/>
        </w:rPr>
        <w:fldChar w:fldCharType="end"/>
      </w:r>
      <w:r w:rsidR="00CC438B">
        <w:rPr>
          <w:rFonts w:cs="Times New Roman"/>
          <w:szCs w:val="24"/>
        </w:rPr>
        <w:t xml:space="preserve"> </w:t>
      </w:r>
      <w:r>
        <w:rPr>
          <w:rFonts w:cs="Times New Roman"/>
          <w:szCs w:val="24"/>
        </w:rPr>
        <w:t xml:space="preserve">and reproduce rapidly under optimal soil conditions when sufficient food is provided </w:t>
      </w:r>
      <w:r w:rsidRPr="00C84275">
        <w:rPr>
          <w:rFonts w:cs="Times New Roman"/>
          <w:szCs w:val="24"/>
        </w:rPr>
        <w:t xml:space="preserve">(≈ 27-82 </w:t>
      </w:r>
      <w:r>
        <w:rPr>
          <w:rFonts w:cs="Times New Roman"/>
          <w:szCs w:val="24"/>
        </w:rPr>
        <w:t>earth</w:t>
      </w:r>
      <w:r w:rsidRPr="00C84275">
        <w:rPr>
          <w:rFonts w:cs="Times New Roman"/>
          <w:szCs w:val="24"/>
        </w:rPr>
        <w:t>worms per year from a single adult earthworm)</w:t>
      </w:r>
      <w:r w:rsidR="00CC438B">
        <w:rPr>
          <w:rFonts w:cs="Times New Roman"/>
          <w:szCs w:val="24"/>
        </w:rPr>
        <w:t xml:space="preserve"> </w:t>
      </w:r>
      <w:r w:rsidR="00CC438B">
        <w:rPr>
          <w:rFonts w:cs="Times New Roman"/>
          <w:szCs w:val="24"/>
        </w:rPr>
        <w:fldChar w:fldCharType="begin" w:fldLock="1"/>
      </w:r>
      <w:r w:rsidR="00CC438B">
        <w:rPr>
          <w:rFonts w:cs="Times New Roman"/>
          <w:szCs w:val="24"/>
        </w:rPr>
        <w:instrText>ADDIN CSL_CITATION {"citationItems":[{"id":"ITEM-1","itemData":{"DOI":"10.1007/978-3-642-14636-7_7","ISBN":"978-3-642-14636-7","author":[{"dropping-particle":"","family":"Butt","given":"Kevin Richard","non-dropping-particle":"","parse-names":false,"suffix":""},{"dropping-particle":"","family":"Lowe","given":"Christopher Nathan","non-dropping-particle":"","parse-names":false,"suffix":""}],"container-title":"Biology of Earthworms","editor":[{"dropping-particle":"","family":"Karaca","given":"Ayten","non-dropping-particle":"","parse-names":false,"suffix":""}],"id":"ITEM-1","issued":{"date-parts":[["2011"]]},"page":"107-121","publisher":"Springer Berlin Heidelberg","publisher-place":"Berlin","title":"Controlled cultivation of endogeic and anecic earthworms","type":"chapter"},"uris":["http://www.mendeley.com/documents/?uuid=47cb8381-397b-49be-8412-7b3ec85c4349"]},{"id":"ITEM-2","itemData":{"DOI":"10.1016/j.apsoil.2014.06.001","ISBN":"0929-1393","abstract":"Earthworms are significant ecosystem engineers and are an important component of the diet of many vertebrates and invertebrates, so the ability to predict their distribution and abundance would have wide application in ecology, conservation and land management. Earthworm viability is known to be affected by the availability and quality of food resources, soil water conditions and temperature, but has not yet been modelled mechanistically to link effects on individuals to field population responses. Here we present a novel model capable of predicting the effects of land management and environmental conditions on the distribution and abundance of Aporrectodea caliginosa, the dominant earthworm species in agroecosystems. Our process-based approach uses individual based modelling (IBM), in which each individual has its own energy budget. Individual earthworm energy budgets follow established principles of physiological ecology and are parameterised for A. caliginosa from experimental measurements under optimal conditions. Under suboptimal conditions (e.g. food limitation, low soil temperatures and water contents) reproduction is prioritised over growth. Good model agreement to independent laboratory data on individual cocoon production and growth of body mass, under variable feeding and temperature conditions support our representation of A. caliginosa physiology through energy budgets. Our mechanistic model is able to accurately predict A. caliginosa distribution and abundance in spatially heterogeneous soil profiles representative of field study conditions. Essential here is the explicit modelling of earthworm behaviour in the soil profile. Local earthworm movement responds to a trade-off between food availability and soil water conditions, and this determines the spatiotemporal distribution of the population in the soil profile. Importantly, multiple environmental variables can be manipulated simultaneously in the model to explore earthworm population exposure and effects to combinations of stressors. Potential applications include prediction of the population-level effects of pesticides and changes in soil management e.g. conservation tillage and climate change. (C) 2014 Elsevier B.V. All rights reserved.","author":[{"dropping-particle":"","family":"Johnston","given":"A S A","non-dropping-particle":"","parse-names":false,"suffix":""},{"dropping-particle":"","family":"Holmstrup","given":"M","non-dropping-particle":"","parse-names":false,"suffix":""},{"dropping-particle":"","family":"Hodson","given":"M E","non-dropping-particle":"","parse-names":false,"suffix":""},{"dropping-particle":"","family":"Thorbek","given":"P","non-dropping-particle":"","parse-names":false,"suffix":""},{"dropping-particle":"","family":"Alvarez","given":"T","non-dropping-particle":"","parse-names":false,"suffix":""},{"dropping-particle":"","family":"Sibly","given":"R M","non-dropping-particle":"","parse-names":false,"suffix":""}],"container-title":"Applied Soil Ecology","id":"ITEM-2","issued":{"date-parts":[["2014"]]},"language":"English","note":"Au4on\nTimes Cited:2\nCited References Count:71","page":"112-123","title":"Earthworm distribution and abundance predicted by a process-based model","type":"article-journal","volume":"84"},"uris":["http://www.mendeley.com/documents/?uuid=e5ecd1a7-d9a3-4e24-9124-9bdb78e99427"]},{"id":"ITEM-3","itemData":{"DOI":"10.1016/j.pedobi.2005.04.005","ISBN":"0031-4056","abstract":"Developments in ecotoxicology and soil restoration have led to an increase in earthworm research over the past 20 years. Rearing of earthworms under laboratory conditions has therefore become desirable, but perceived difficulties have beset this practice. A review of recent research on the development of earthworm culture techniques for temperate, soil dwelling (anecic and endogeic) species is presented. Critical abiotic and biotic factors including soil moisture, organic matter, temperature, pH, earthworm density and species composition are considered, and optimal values provided for four species (Allolobophora chlorotica, Aporrectodea caliginosa, Aporrectodea Tonga and Lumbricus terrestris). Published figures relating to growth to maturity, cocoon production and cocoon viability, for these frequently studied species are collated and advice offered for culture of other soil dwelling species. (c) 2005 Elsevier GmbH. All rights reserved.","author":[{"dropping-particle":"","family":"Lowe","given":"C N","non-dropping-particle":"","parse-names":false,"suffix":""},{"dropping-particle":"","family":"Butt","given":"K R","non-dropping-particle":"","parse-names":false,"suffix":""}],"container-title":"Pedobiologia","id":"ITEM-3","issue":"5","issued":{"date-parts":[["2005"]]},"language":"English","note":"976YK\nTimes Cited:77\nCited References Count:59","page":"401-413","title":"Culture techniques for soil dwelling earthworms: A review","type":"article-journal","volume":"49"},"uris":["http://www.mendeley.com/documents/?uuid=452b5b97-3dfd-4490-a9f5-16c31fc50d18"]}],"mendeley":{"formattedCitation":"(Butt and Lowe, 2011; Johnston et al., 2014; Lowe and Butt, 2005)","plainTextFormattedCitation":"(Butt and Lowe, 2011; Johnston et al., 2014; Lowe and Butt, 2005)","previouslyFormattedCitation":"(Butt and Lowe, 2011; Johnston et al., 2014; Lowe and Butt, 2005)"},"properties":{"noteIndex":0},"schema":"https://github.com/citation-style-language/schema/raw/master/csl-citation.json"}</w:instrText>
      </w:r>
      <w:r w:rsidR="00CC438B">
        <w:rPr>
          <w:rFonts w:cs="Times New Roman"/>
          <w:szCs w:val="24"/>
        </w:rPr>
        <w:fldChar w:fldCharType="separate"/>
      </w:r>
      <w:r w:rsidR="00CC438B" w:rsidRPr="00CC438B">
        <w:rPr>
          <w:rFonts w:cs="Times New Roman"/>
          <w:noProof/>
          <w:szCs w:val="24"/>
        </w:rPr>
        <w:t>(Butt and Lowe, 2011; Johnston et al., 2014; Lowe and Butt, 2005)</w:t>
      </w:r>
      <w:r w:rsidR="00CC438B">
        <w:rPr>
          <w:rFonts w:cs="Times New Roman"/>
          <w:szCs w:val="24"/>
        </w:rPr>
        <w:fldChar w:fldCharType="end"/>
      </w:r>
      <w:r w:rsidR="00CC438B">
        <w:rPr>
          <w:rFonts w:cs="Times New Roman"/>
          <w:szCs w:val="24"/>
        </w:rPr>
        <w:t xml:space="preserve">, </w:t>
      </w:r>
      <w:r>
        <w:rPr>
          <w:rFonts w:cs="Times New Roman"/>
          <w:szCs w:val="24"/>
        </w:rPr>
        <w:t>which could lead to rapid changes in soil properties. The effect of earthworms depends both on which earthworm species are present and the soil conditions</w:t>
      </w:r>
      <w:r w:rsidR="00CC438B">
        <w:rPr>
          <w:rFonts w:cs="Times New Roman"/>
          <w:szCs w:val="24"/>
        </w:rPr>
        <w:t xml:space="preserve"> </w:t>
      </w:r>
      <w:r w:rsidR="00CC438B">
        <w:rPr>
          <w:rFonts w:cs="Times New Roman"/>
          <w:szCs w:val="24"/>
        </w:rPr>
        <w:fldChar w:fldCharType="begin" w:fldLock="1"/>
      </w:r>
      <w:r w:rsidR="00CC438B">
        <w:rPr>
          <w:rFonts w:cs="Times New Roman"/>
          <w:szCs w:val="24"/>
        </w:rPr>
        <w:instrText>ADDIN CSL_CITATION {"citationItems":[{"id":"ITEM-1","itemData":{"DOI":"10.1016/j.apsoil.2013.12.006","ISBN":"0929-1393","abstract":"Earthworms are recognized to increase soil porosity, reorganize soil structure, and stimulate soil microflora and nutrient mineralization. The properties of earthworm casts should depend both on earthworm species or ecological group and on soil properties. Interactions between earthworm species and soil types have been suggested, but only poorly demonstrated. In order to better understand those interactions, two hypotheses led our study: (1) Soil type has a greater influence on cast properties than earthworm; (2) Earthworms from different species influence cast properties differently; (3) The intensity and direction of the impact of each earthworm species on cast properties vary with soil properties. Fifteen physical and chemical variables (N-NH4+, N-NO3-, total organic C and N, C/N ratio, CaCO3, pH, P, K+,Mg2+, Mn2+,Na+, CEC, moisture, wettability) were measured in casts of three earthworm species (Lumbricus terrestris, Allolobophora chlorotica and Aporrectodea rosea) produced in three temperate soils. Univariate and multivariate analyses showed that earthworm species and soil types significantly impacted cast properties. pH, N-t, K and Mg contents were interactively altered by both factors. Multivariate analysis showed that a difference of soil type had a major impact on casts properties (62%) compared to the impact of a difference of earthworm species (10%). Cast properties were most impacted by L. terrestris, then by A. chlorotica and last by A. rosea. The response ratio (ratio of the properties of the casts to the properties of the bulk soil) was used to quantify the effect of earthworm species compared to the control soil. It showed a higher response of variables in casts in nutrient-rich soils, especially in casts of L. terrestris. The interactions between earthworm species and soil types on cast properties were discussed with regards to earthworm ecology, properties of the soil, and earthworm modifications of cast microflora. (C) 2013 Elsevier B.V. All rights reserved.","author":[{"dropping-particle":"","family":"Clause","given":"J","non-dropping-particle":"","parse-names":false,"suffix":""},{"dropping-particle":"","family":"Barot","given":"S","non-dropping-particle":"","parse-names":false,"suffix":""},{"dropping-particle":"","family":"Richard","given":"B","non-dropping-particle":"","parse-names":false,"suffix":""},{"dropping-particle":"","family":"Decaens","given":"T","non-dropping-particle":"","parse-names":false,"suffix":""},{"dropping-particle":"","family":"Forey","given":"E","non-dropping-particle":"","parse-names":false,"suffix":""}],"container-title":"Applied Soil Ecology","id":"ITEM-1","issued":{"date-parts":[["2014"]]},"language":"English","note":"Ar1ck\nTimes Cited:1\nCited References Count:60","page":"149-158","title":"The interactions between soil type and earthworm species determine the properties of earthworm casts","type":"article-journal","volume":"83"},"uris":["http://www.mendeley.com/documents/?uuid=e9571cd8-dbc6-4d36-9b07-bc67e41b839a"]},{"id":"ITEM-2","itemData":{"author":[{"dropping-particle":"","family":"Hallam","given":"Jamal.","non-dropping-particle":"","parse-names":false,"suffix":""}],"container-title":"Environment and Geography","id":"ITEM-2","issued":{"date-parts":[["2018"]]},"number-of-pages":"305","publisher":"University of York","publisher-place":"York, UK","title":"Soil hydraulic function: Earthworm-plant root interactions. Unpublished PhD Thesis","type":"thesis","volume":"Unpublishe"},"uris":["http://www.mendeley.com/documents/?uuid=9b03da83-4b8b-4fa7-aca4-5e4a90c70764"]},{"id":"ITEM-3","itemData":{"DOI":"https://doi.org/10.1016/j.soilbio.2013.06.005","ISBN":"0038-0717","author":[{"dropping-particle":"","family":"Hedde","given":"M","non-dropping-particle":"","parse-names":false,"suffix":""},{"dropping-particle":"","family":"Bureau","given":"F","non-dropping-particle":"","parse-names":false,"suffix":""},{"dropping-particle":"","family":"Delporte","given":"P","non-dropping-particle":"","parse-names":false,"suffix":""},{"dropping-particle":"","family":"Cécillon","given":"L","non-dropping-particle":"","parse-names":false,"suffix":""},{"dropping-particle":"","family":"Decaëns","given":"T","non-dropping-particle":"","parse-names":false,"suffix":""}],"container-title":"Soil Biology and Biochemistry","id":"ITEM-3","issued":{"date-parts":[["2013"]]},"page":"264-273","title":"The effects of earthworm species on soil behaviour depend on land use","type":"article-journal","volume":"65"},"uris":["http://www.mendeley.com/documents/?uuid=4c8a6797-9095-4603-81b9-3a7e1c23aa6a"]}],"mendeley":{"formattedCitation":"(Clause et al., 2014; Hallam, 2018; Hedde et al., 2013)","plainTextFormattedCitation":"(Clause et al., 2014; Hallam, 2018; Hedde et al., 2013)","previouslyFormattedCitation":"(Clause et al., 2014; Hallam, 2018; Hedde et al., 2013)"},"properties":{"noteIndex":0},"schema":"https://github.com/citation-style-language/schema/raw/master/csl-citation.json"}</w:instrText>
      </w:r>
      <w:r w:rsidR="00CC438B">
        <w:rPr>
          <w:rFonts w:cs="Times New Roman"/>
          <w:szCs w:val="24"/>
        </w:rPr>
        <w:fldChar w:fldCharType="separate"/>
      </w:r>
      <w:r w:rsidR="00CC438B" w:rsidRPr="008D68D6">
        <w:rPr>
          <w:rFonts w:cs="Times New Roman"/>
          <w:noProof/>
          <w:szCs w:val="24"/>
          <w:lang w:val="en-GB"/>
        </w:rPr>
        <w:t>(Clause et al., 2014; Hallam, 2018; Hedde et al., 2013)</w:t>
      </w:r>
      <w:r w:rsidR="00CC438B">
        <w:rPr>
          <w:rFonts w:cs="Times New Roman"/>
          <w:szCs w:val="24"/>
        </w:rPr>
        <w:fldChar w:fldCharType="end"/>
      </w:r>
      <w:r w:rsidR="00CC438B" w:rsidRPr="008D68D6">
        <w:rPr>
          <w:rFonts w:cs="Times New Roman"/>
          <w:szCs w:val="24"/>
          <w:lang w:val="en-GB"/>
        </w:rPr>
        <w:t xml:space="preserve">. </w:t>
      </w:r>
      <w:r>
        <w:rPr>
          <w:rFonts w:cs="Times New Roman"/>
          <w:szCs w:val="24"/>
        </w:rPr>
        <w:t xml:space="preserve">Typically, in field conditions, earthworms are present in mixed communities comprising several </w:t>
      </w:r>
      <w:r w:rsidRPr="001C20F3">
        <w:rPr>
          <w:rFonts w:cs="Times New Roman"/>
          <w:szCs w:val="24"/>
        </w:rPr>
        <w:t>species</w:t>
      </w:r>
      <w:r>
        <w:rPr>
          <w:rFonts w:cs="Times New Roman"/>
          <w:szCs w:val="24"/>
        </w:rPr>
        <w:t>, belonging to the three main ecological groups - epigeic, endogeic and anecic</w:t>
      </w:r>
      <w:r w:rsidR="00CC438B">
        <w:rPr>
          <w:rFonts w:cs="Times New Roman"/>
          <w:szCs w:val="24"/>
        </w:rPr>
        <w:t xml:space="preserve"> </w:t>
      </w:r>
      <w:r w:rsidR="00CC438B">
        <w:rPr>
          <w:rFonts w:cs="Times New Roman"/>
          <w:szCs w:val="24"/>
        </w:rPr>
        <w:fldChar w:fldCharType="begin" w:fldLock="1"/>
      </w:r>
      <w:r w:rsidR="00CC438B">
        <w:rPr>
          <w:rFonts w:cs="Times New Roman"/>
          <w:szCs w:val="24"/>
        </w:rPr>
        <w:instrText>ADDIN CSL_CITATION {"citationItems":[{"id":"ITEM-1","itemData":{"ISBN":"1028-8880 (Print)\r1028-8880","PMID":"18814642","abstract":"Earthworms are considered as soil engineers because of their effects on soil properties and their influence on the availability of resources for other organisms, including microorganisms and plants. However, the links between their impacts on the soil environment and the resulting modification of natural selection pressures on engineer as well as on other organisms have received little attention. Earthworms are known to have a positive influence on the soil fabric and on the decomposition and mineralization of litter by breaking down organic matter and producing large amounts of fasces, thereby mixing litter with the mineral soil. Therefore, they play an important part in changes from one humus from to another according to forest succession patterns. Consequently, they are also expected to be good bio-indicators for forest site quality and are thus useful when planning forest production improvement. Earthworm's populations are as indicator that in exploited regions is destruction indicator and reclamation plans is nature return indicator. In this study we summarized the current knowledge in relation to earthworm's ecology in forest soils as ecosystem engineers.","author":[{"dropping-particle":"","family":"Kooch","given":"Y","non-dropping-particle":"","parse-names":false,"suffix":""},{"dropping-particle":"","family":"Jalilvand","given":"H","non-dropping-particle":"","parse-names":false,"suffix":""}],"container-title":"Pak J Biol Sci","edition":"2008/09/26","id":"ITEM-1","issue":"6","issued":{"date-parts":[["2008"]]},"language":"eng","note":"Kooch, Yahya\nJalilvand, Hamid\nJournal Article\nReview\nPakistan\nPak J Biol Sci. 2008 Mar 15;11(6):819-25.","page":"819-825","title":"Earthworms as ecosystem engineers and the most important detritivors in forest soils","type":"article-journal","volume":"11"},"uris":["http://www.mendeley.com/documents/?uuid=de2a408f-d76d-43ed-bd21-5752000e88e5"]}],"mendeley":{"formattedCitation":"(Kooch and Jalilvand, 2008)","plainTextFormattedCitation":"(Kooch and Jalilvand, 2008)","previouslyFormattedCitation":"(Kooch and Jalilvand, 2008)"},"properties":{"noteIndex":0},"schema":"https://github.com/citation-style-language/schema/raw/master/csl-citation.json"}</w:instrText>
      </w:r>
      <w:r w:rsidR="00CC438B">
        <w:rPr>
          <w:rFonts w:cs="Times New Roman"/>
          <w:szCs w:val="24"/>
        </w:rPr>
        <w:fldChar w:fldCharType="separate"/>
      </w:r>
      <w:r w:rsidR="00CC438B" w:rsidRPr="00CC438B">
        <w:rPr>
          <w:rFonts w:cs="Times New Roman"/>
          <w:noProof/>
          <w:szCs w:val="24"/>
        </w:rPr>
        <w:t>(Kooch and Jalilvand, 2008)</w:t>
      </w:r>
      <w:r w:rsidR="00CC438B">
        <w:rPr>
          <w:rFonts w:cs="Times New Roman"/>
          <w:szCs w:val="24"/>
        </w:rPr>
        <w:fldChar w:fldCharType="end"/>
      </w:r>
      <w:r w:rsidR="00CC438B">
        <w:rPr>
          <w:rFonts w:cs="Times New Roman"/>
          <w:szCs w:val="24"/>
        </w:rPr>
        <w:t xml:space="preserve"> </w:t>
      </w:r>
      <w:r>
        <w:rPr>
          <w:rFonts w:cs="Times New Roman"/>
          <w:szCs w:val="24"/>
        </w:rPr>
        <w:t>- that interact with other soil biota and plant roots. Under laboratory conditions, individual earthworm species interactions with plant roots have resulted in significantly greater improvements in soil physico-hydraulic properties by endogeic compared to anecic earthworm species</w:t>
      </w:r>
      <w:r w:rsidR="00CC438B">
        <w:rPr>
          <w:rFonts w:cs="Times New Roman"/>
          <w:szCs w:val="24"/>
        </w:rPr>
        <w:t xml:space="preserve"> </w:t>
      </w:r>
      <w:r w:rsidR="00CC438B">
        <w:rPr>
          <w:rFonts w:cs="Times New Roman"/>
          <w:szCs w:val="24"/>
        </w:rPr>
        <w:fldChar w:fldCharType="begin" w:fldLock="1"/>
      </w:r>
      <w:r w:rsidR="000013B0">
        <w:rPr>
          <w:rFonts w:cs="Times New Roman"/>
          <w:szCs w:val="24"/>
        </w:rPr>
        <w:instrText>ADDIN CSL_CITATION {"citationItems":[{"id":"ITEM-1","itemData":{"author":[{"dropping-particle":"","family":"Hallam","given":"Jamal.","non-dropping-particle":"","parse-names":false,"suffix":""}],"container-title":"Environment and Geography","id":"ITEM-1","issued":{"date-parts":[["2018"]]},"number-of-pages":"305","publisher":"University of York","publisher-place":"York, UK","title":"Soil hydraulic function: Earthworm-plant root interactions. Unpublished PhD Thesis","type":"thesis","volume":"Unpublishe"},"uris":["http://www.mendeley.com/documents/?uuid=9b03da83-4b8b-4fa7-aca4-5e4a90c70764"]}],"mendeley":{"formattedCitation":"(Hallam, 2018)","plainTextFormattedCitation":"(Hallam, 2018)","previouslyFormattedCitation":"(Hallam, 2018)"},"properties":{"noteIndex":0},"schema":"https://github.com/citation-style-language/schema/raw/master/csl-citation.json"}</w:instrText>
      </w:r>
      <w:r w:rsidR="00CC438B">
        <w:rPr>
          <w:rFonts w:cs="Times New Roman"/>
          <w:szCs w:val="24"/>
        </w:rPr>
        <w:fldChar w:fldCharType="separate"/>
      </w:r>
      <w:r w:rsidR="00CC438B" w:rsidRPr="00CC438B">
        <w:rPr>
          <w:rFonts w:cs="Times New Roman"/>
          <w:noProof/>
          <w:szCs w:val="24"/>
        </w:rPr>
        <w:t>(Hallam, 2018)</w:t>
      </w:r>
      <w:r w:rsidR="00CC438B">
        <w:rPr>
          <w:rFonts w:cs="Times New Roman"/>
          <w:szCs w:val="24"/>
        </w:rPr>
        <w:fldChar w:fldCharType="end"/>
      </w:r>
      <w:r w:rsidR="00CC438B">
        <w:rPr>
          <w:rFonts w:cs="Times New Roman"/>
          <w:szCs w:val="24"/>
        </w:rPr>
        <w:t>.</w:t>
      </w:r>
      <w:r>
        <w:rPr>
          <w:rFonts w:cs="Times New Roman"/>
          <w:szCs w:val="24"/>
        </w:rPr>
        <w:t xml:space="preserve"> </w:t>
      </w:r>
    </w:p>
    <w:p w14:paraId="7B104A91" w14:textId="77777777" w:rsidR="0038409E" w:rsidRPr="00683B28" w:rsidRDefault="0038409E" w:rsidP="001448A4">
      <w:pPr>
        <w:spacing w:after="0" w:line="480" w:lineRule="auto"/>
        <w:jc w:val="both"/>
        <w:rPr>
          <w:rFonts w:cs="Times New Roman"/>
          <w:szCs w:val="24"/>
        </w:rPr>
      </w:pPr>
      <w:r w:rsidRPr="00683B28">
        <w:rPr>
          <w:rFonts w:cs="Times New Roman"/>
          <w:szCs w:val="24"/>
        </w:rPr>
        <w:t xml:space="preserve">This study forms part of the larger NERC Soil Security </w:t>
      </w:r>
      <w:proofErr w:type="spellStart"/>
      <w:r w:rsidRPr="00683B28">
        <w:rPr>
          <w:rFonts w:cs="Times New Roman"/>
          <w:szCs w:val="24"/>
        </w:rPr>
        <w:t>Programme</w:t>
      </w:r>
      <w:proofErr w:type="spellEnd"/>
      <w:r w:rsidRPr="00683B28">
        <w:rPr>
          <w:rFonts w:cs="Times New Roman"/>
          <w:szCs w:val="24"/>
        </w:rPr>
        <w:t xml:space="preserve"> SoilBioHedge project which </w:t>
      </w:r>
      <w:r w:rsidRPr="00D065B6">
        <w:rPr>
          <w:rFonts w:cs="Times New Roman"/>
          <w:color w:val="000000" w:themeColor="text1"/>
          <w:kern w:val="24"/>
        </w:rPr>
        <w:t xml:space="preserve">tested the hypothesis that grass-clover leys sown into arable fields and connected to hedgerows and </w:t>
      </w:r>
      <w:proofErr w:type="spellStart"/>
      <w:r w:rsidRPr="00D065B6">
        <w:rPr>
          <w:rFonts w:cs="Times New Roman"/>
          <w:color w:val="000000" w:themeColor="text1"/>
          <w:kern w:val="24"/>
        </w:rPr>
        <w:t>unploughed</w:t>
      </w:r>
      <w:proofErr w:type="spellEnd"/>
      <w:r w:rsidRPr="00D065B6">
        <w:rPr>
          <w:rFonts w:cs="Times New Roman"/>
          <w:color w:val="000000" w:themeColor="text1"/>
          <w:kern w:val="24"/>
        </w:rPr>
        <w:t xml:space="preserve"> grassy margins enable key ecosystem-engineers (earthworms, mycorrhizal fungi) to recolonize fields, restoring and improving soil quality compared to leys unconnected to field margins. </w:t>
      </w:r>
      <w:r w:rsidRPr="00683B28">
        <w:rPr>
          <w:rFonts w:cs="Times New Roman"/>
          <w:szCs w:val="24"/>
        </w:rPr>
        <w:t xml:space="preserve">The aim of the experiment detailed here was to isolate the effects of earthworm communities on soil physico-hydraulic properties and plant growth </w:t>
      </w:r>
      <w:bookmarkStart w:id="2" w:name="_Hlk9351124"/>
      <w:r w:rsidRPr="00683B28">
        <w:rPr>
          <w:rFonts w:cs="Times New Roman"/>
          <w:szCs w:val="24"/>
        </w:rPr>
        <w:t>from the effects due to the change in cultivation and vegetation</w:t>
      </w:r>
      <w:r>
        <w:rPr>
          <w:rFonts w:cs="Times New Roman"/>
          <w:szCs w:val="24"/>
        </w:rPr>
        <w:t xml:space="preserve"> when arable soils are converted to grass-clover leys</w:t>
      </w:r>
      <w:r w:rsidRPr="00683B28">
        <w:rPr>
          <w:rFonts w:cs="Times New Roman"/>
          <w:szCs w:val="24"/>
        </w:rPr>
        <w:t xml:space="preserve">. To achieve this aim we conducted experiments </w:t>
      </w:r>
      <w:r>
        <w:rPr>
          <w:rFonts w:cs="Times New Roman"/>
          <w:szCs w:val="24"/>
        </w:rPr>
        <w:t>using</w:t>
      </w:r>
      <w:r w:rsidRPr="00683B28">
        <w:rPr>
          <w:rFonts w:cs="Times New Roman"/>
          <w:szCs w:val="24"/>
        </w:rPr>
        <w:t xml:space="preserve"> intact soil monoliths</w:t>
      </w:r>
      <w:r w:rsidR="000013B0">
        <w:rPr>
          <w:rFonts w:cs="Times New Roman"/>
          <w:szCs w:val="24"/>
        </w:rPr>
        <w:t xml:space="preserve"> </w:t>
      </w:r>
      <w:r w:rsidR="000013B0">
        <w:rPr>
          <w:rFonts w:cs="Times New Roman"/>
          <w:szCs w:val="24"/>
        </w:rPr>
        <w:fldChar w:fldCharType="begin" w:fldLock="1"/>
      </w:r>
      <w:r w:rsidR="007660E4">
        <w:rPr>
          <w:rFonts w:cs="Times New Roman"/>
          <w:szCs w:val="24"/>
        </w:rPr>
        <w:instrText>ADDIN CSL_CITATION {"citationItems":[{"id":"ITEM-1","itemData":{"DOI":"10.4141/s05-062","author":[{"dropping-particle":"","family":"Allaire","given":"Suzanne A","non-dropping-particle":"","parse-names":false,"suffix":""},{"dropping-particle":"van","family":"Bochove","given":"Eric","non-dropping-particle":"","parse-names":false,"suffix":""}],"container-title":"Canadian Journal of Soil Science","id":"ITEM-1","issue":"5","issued":{"date-parts":[["2006"]]},"page":"885-896","title":"Collecting large soil monoliths","type":"article-journal","volume":"86"},"uris":["http://www.mendeley.com/documents/?uuid=bd9626e9-379d-4ab9-b35c-9cf2f72020cd"]}],"mendeley":{"formattedCitation":"(Allaire and Bochove, 2006)","plainTextFormattedCitation":"(Allaire and Bochove, 2006)","previouslyFormattedCitation":"(Allaire and Bochove, 2006)"},"properties":{"noteIndex":0},"schema":"https://github.com/citation-style-language/schema/raw/master/csl-citation.json"}</w:instrText>
      </w:r>
      <w:r w:rsidR="000013B0">
        <w:rPr>
          <w:rFonts w:cs="Times New Roman"/>
          <w:szCs w:val="24"/>
        </w:rPr>
        <w:fldChar w:fldCharType="separate"/>
      </w:r>
      <w:r w:rsidR="000013B0" w:rsidRPr="000013B0">
        <w:rPr>
          <w:rFonts w:cs="Times New Roman"/>
          <w:noProof/>
          <w:szCs w:val="24"/>
        </w:rPr>
        <w:t>(Allaire and Bochove, 2006)</w:t>
      </w:r>
      <w:r w:rsidR="000013B0">
        <w:rPr>
          <w:rFonts w:cs="Times New Roman"/>
          <w:szCs w:val="24"/>
        </w:rPr>
        <w:fldChar w:fldCharType="end"/>
      </w:r>
      <w:r w:rsidR="000013B0">
        <w:rPr>
          <w:rFonts w:cs="Times New Roman"/>
          <w:szCs w:val="24"/>
        </w:rPr>
        <w:t xml:space="preserve"> </w:t>
      </w:r>
      <w:r w:rsidRPr="00683B28">
        <w:rPr>
          <w:rFonts w:cs="Times New Roman"/>
          <w:szCs w:val="24"/>
        </w:rPr>
        <w:t>in arable fields</w:t>
      </w:r>
      <w:bookmarkEnd w:id="2"/>
      <w:r w:rsidRPr="00683B28">
        <w:rPr>
          <w:rFonts w:cs="Times New Roman"/>
          <w:szCs w:val="24"/>
        </w:rPr>
        <w:t>. We set out to test the hypothesis that earthworm populations make a substantial contribution to improvements in soil properties and functions in addition to improvements resulting from converting arable land that has been intensively cultivated for many decades into grass-clover leys. These improvements are expected to include increased soil carbon sequestration, increased aggregate stability, and changes to hydrological functions such as increased infiltration rates and water storage</w:t>
      </w:r>
      <w:r w:rsidR="007660E4">
        <w:rPr>
          <w:rFonts w:cs="Times New Roman"/>
          <w:szCs w:val="24"/>
        </w:rPr>
        <w:t xml:space="preserve"> </w:t>
      </w:r>
      <w:r w:rsidR="007660E4">
        <w:rPr>
          <w:rFonts w:cs="Times New Roman"/>
          <w:szCs w:val="24"/>
        </w:rPr>
        <w:fldChar w:fldCharType="begin" w:fldLock="1"/>
      </w:r>
      <w:r w:rsidR="00A87FB4">
        <w:rPr>
          <w:rFonts w:cs="Times New Roman"/>
          <w:szCs w:val="24"/>
        </w:rPr>
        <w:instrText>ADDIN CSL_CITATION {"citationItems":[{"id":"ITEM-1","itemData":{"DOI":"10.1111/ejss.12025","ISBN":"1351-0754","abstract":"Biodiversity is responsible for the provision of many ecosystem services; human well-being is based on these services, and consequently on biodiversity. In soil, earthworms represent the largest component of the animal biomass and are commonly termed ecosystem engineers'. This review considers the contribution of earthworms to ecosystem services through pedogenesis, development of soil structure, water regulation, nutrient cycling, primary production, climate regulation, pollution remediation and cultural services. Although there has been much research into the role of earthworms in soil ecology, this review demonstrates substantial gaps in our knowledge related in particular to difficulties in identifying the effects of species, land use and climate. The review aims to assist people involved in all aspects of land management, including conservation, agriculture, mining or other industries, to obtain a broad knowledge of earthworms and ecosystem services.","author":[{"dropping-particle":"","family":"Blouin","given":"M","non-dropping-particle":"","parse-names":false,"suffix":""},{"dropping-particle":"","family":"Hodson","given":"M E","non-dropping-particle":"","parse-names":false,"suffix":""},{"dropping-particle":"","family":"Delgado","given":"E A","non-dropping-particle":"","parse-names":false,"suffix":""},{"dropping-particle":"","family":"Baker","given":"G","non-dropping-particle":"","parse-names":false,"suffix":""},{"dropping-particle":"","family":"Brussaard","given":"L","non-dropping-particle":"","parse-names":false,"suffix":""},{"dropping-particle":"","family":"Butt","given":"K R","non-dropping-particle":"","parse-names":false,"suffix":""},{"dropping-particle":"","family":"Dai","given":"J","non-dropping-particle":"","parse-names":false,"suffix":""},{"dropping-particle":"","family":"Dendooven","given":"L","non-dropping-particle":"","parse-names":false,"suffix":""},{"dropping-particle":"","family":"Peres","given":"G","non-dropping-particle":"","parse-names":false,"suffix":""},{"dropping-particle":"","family":"Tondoh","given":"J E","non-dropping-particle":"","parse-names":false,"suffix":""},{"dropping-particle":"","family":"Cluzeau","given":"D","non-dropping-particle":"","parse-names":false,"suffix":""},{"dropping-particle":"","family":"Brun","given":"J J","non-dropping-particle":"","parse-names":false,"suffix":""}],"container-title":"European Journal of Soil Science","id":"ITEM-1","issue":"2","issued":{"date-parts":[["2013"]]},"language":"English","note":"112AU\nTimes Cited:70\nCited References Count:255","page":"161-182","title":"A review of earthworm impact on soil function and ecosystem services","type":"article-journal","volume":"64"},"uris":["http://www.mendeley.com/documents/?uuid=9335d71b-bdaf-47e9-bace-a01d2d8806ca"]}],"mendeley":{"formattedCitation":"(Blouin et al., 2013)","plainTextFormattedCitation":"(Blouin et al., 2013)","previouslyFormattedCitation":"(Blouin et al., 2013)"},"properties":{"noteIndex":0},"schema":"https://github.com/citation-style-language/schema/raw/master/csl-citation.json"}</w:instrText>
      </w:r>
      <w:r w:rsidR="007660E4">
        <w:rPr>
          <w:rFonts w:cs="Times New Roman"/>
          <w:szCs w:val="24"/>
        </w:rPr>
        <w:fldChar w:fldCharType="separate"/>
      </w:r>
      <w:r w:rsidR="007660E4" w:rsidRPr="007660E4">
        <w:rPr>
          <w:rFonts w:cs="Times New Roman"/>
          <w:noProof/>
          <w:szCs w:val="24"/>
        </w:rPr>
        <w:t>(Blouin et al., 2013)</w:t>
      </w:r>
      <w:r w:rsidR="007660E4">
        <w:rPr>
          <w:rFonts w:cs="Times New Roman"/>
          <w:szCs w:val="24"/>
        </w:rPr>
        <w:fldChar w:fldCharType="end"/>
      </w:r>
      <w:r w:rsidR="007660E4">
        <w:rPr>
          <w:rFonts w:cs="Times New Roman"/>
          <w:szCs w:val="24"/>
        </w:rPr>
        <w:t>.</w:t>
      </w:r>
      <w:r w:rsidRPr="00683B28">
        <w:rPr>
          <w:rFonts w:cs="Times New Roman"/>
          <w:szCs w:val="24"/>
        </w:rPr>
        <w:t xml:space="preserve"> </w:t>
      </w:r>
    </w:p>
    <w:p w14:paraId="3B098700" w14:textId="77777777" w:rsidR="0038409E" w:rsidRDefault="0038409E" w:rsidP="001448A4">
      <w:pPr>
        <w:spacing w:after="0" w:line="240" w:lineRule="auto"/>
        <w:rPr>
          <w:rFonts w:cs="Times New Roman"/>
          <w:szCs w:val="24"/>
        </w:rPr>
      </w:pPr>
    </w:p>
    <w:p w14:paraId="778CDB3F" w14:textId="77777777" w:rsidR="0038409E" w:rsidRDefault="0038409E" w:rsidP="001448A4">
      <w:pPr>
        <w:spacing w:line="480" w:lineRule="auto"/>
        <w:jc w:val="both"/>
        <w:rPr>
          <w:rFonts w:cs="Times New Roman"/>
          <w:szCs w:val="24"/>
        </w:rPr>
      </w:pPr>
      <w:r>
        <w:rPr>
          <w:rFonts w:cs="Times New Roman"/>
          <w:szCs w:val="24"/>
        </w:rPr>
        <w:t>Using soil monoliths taken from arable fields, grass-clover leys were established, and earthworm populations manipulated (see Methods for details).</w:t>
      </w:r>
      <w:r w:rsidRPr="009F6526">
        <w:rPr>
          <w:rFonts w:cs="Times New Roman"/>
          <w:szCs w:val="24"/>
        </w:rPr>
        <w:t xml:space="preserve"> </w:t>
      </w:r>
      <w:r>
        <w:rPr>
          <w:rFonts w:cs="Times New Roman"/>
          <w:szCs w:val="24"/>
        </w:rPr>
        <w:t xml:space="preserve">We monitored soil hydraulic conductivity at five time points and plant shoot biomass twice over 12 months. At the end of the experiment, </w:t>
      </w:r>
      <w:r w:rsidRPr="00D75A89">
        <w:rPr>
          <w:rFonts w:cs="Times New Roman"/>
          <w:szCs w:val="24"/>
        </w:rPr>
        <w:t>we measured soil water release curves, soil water</w:t>
      </w:r>
      <w:r>
        <w:rPr>
          <w:rFonts w:cs="Times New Roman"/>
          <w:szCs w:val="24"/>
        </w:rPr>
        <w:t>-</w:t>
      </w:r>
      <w:r w:rsidRPr="00D75A89">
        <w:rPr>
          <w:rFonts w:cs="Times New Roman"/>
          <w:szCs w:val="24"/>
        </w:rPr>
        <w:t xml:space="preserve">holding capacity, </w:t>
      </w:r>
      <w:r>
        <w:rPr>
          <w:rFonts w:cs="Times New Roman"/>
          <w:szCs w:val="24"/>
        </w:rPr>
        <w:t xml:space="preserve">bulk density, percentage soil mass in water-stable </w:t>
      </w:r>
      <w:r w:rsidRPr="00D75A89">
        <w:rPr>
          <w:rFonts w:cs="Times New Roman"/>
          <w:szCs w:val="24"/>
        </w:rPr>
        <w:t>aggregate</w:t>
      </w:r>
      <w:r>
        <w:rPr>
          <w:rFonts w:cs="Times New Roman"/>
          <w:szCs w:val="24"/>
        </w:rPr>
        <w:t xml:space="preserve">s &gt; </w:t>
      </w:r>
      <w:r w:rsidRPr="00873BFA">
        <w:rPr>
          <w:szCs w:val="24"/>
        </w:rPr>
        <w:t>250 µm</w:t>
      </w:r>
      <w:r>
        <w:rPr>
          <w:rFonts w:cs="Times New Roman"/>
          <w:szCs w:val="24"/>
        </w:rPr>
        <w:t xml:space="preserve">, organic matter content, </w:t>
      </w:r>
      <w:r w:rsidRPr="00D30DA2">
        <w:rPr>
          <w:rFonts w:cs="Times New Roman"/>
          <w:szCs w:val="24"/>
        </w:rPr>
        <w:t xml:space="preserve">total </w:t>
      </w:r>
      <w:r>
        <w:rPr>
          <w:rFonts w:cs="Times New Roman"/>
          <w:szCs w:val="24"/>
        </w:rPr>
        <w:t xml:space="preserve">nitrogen content, </w:t>
      </w:r>
      <w:r w:rsidRPr="00D75A89">
        <w:rPr>
          <w:rFonts w:cs="Times New Roman"/>
          <w:szCs w:val="24"/>
        </w:rPr>
        <w:t xml:space="preserve">and </w:t>
      </w:r>
      <w:r>
        <w:rPr>
          <w:rFonts w:cs="Times New Roman"/>
          <w:szCs w:val="24"/>
        </w:rPr>
        <w:t xml:space="preserve">earthworm diversity. Soil from </w:t>
      </w:r>
      <w:r w:rsidRPr="00DA522E">
        <w:rPr>
          <w:rFonts w:cs="Times New Roman"/>
          <w:szCs w:val="24"/>
        </w:rPr>
        <w:t xml:space="preserve">each monolith was </w:t>
      </w:r>
      <w:r>
        <w:rPr>
          <w:rFonts w:cs="Times New Roman"/>
          <w:szCs w:val="24"/>
        </w:rPr>
        <w:t xml:space="preserve">then </w:t>
      </w:r>
      <w:r w:rsidRPr="00DA522E">
        <w:rPr>
          <w:rFonts w:cs="Times New Roman"/>
          <w:szCs w:val="24"/>
        </w:rPr>
        <w:t xml:space="preserve">used </w:t>
      </w:r>
      <w:r>
        <w:rPr>
          <w:rFonts w:cs="Times New Roman"/>
          <w:szCs w:val="24"/>
        </w:rPr>
        <w:t xml:space="preserve">in a </w:t>
      </w:r>
      <w:r w:rsidRPr="008B2C30">
        <w:rPr>
          <w:rFonts w:cs="Times New Roman"/>
          <w:szCs w:val="24"/>
        </w:rPr>
        <w:t>6</w:t>
      </w:r>
      <w:r>
        <w:rPr>
          <w:rFonts w:cs="Times New Roman"/>
          <w:szCs w:val="24"/>
        </w:rPr>
        <w:t xml:space="preserve">-week wheat growth bioassay. </w:t>
      </w:r>
      <w:r>
        <w:t>These studies enabled us to test the effects of earthworms on a set of key measures of soil quality and functions that deliver important ecosystem services such as carbon sequestration, water infiltration and storage, flood risk reduction and crop production.</w:t>
      </w:r>
    </w:p>
    <w:p w14:paraId="71C3EE54" w14:textId="77777777" w:rsidR="0038409E" w:rsidRDefault="0038409E" w:rsidP="001448A4">
      <w:pPr>
        <w:spacing w:line="480" w:lineRule="auto"/>
        <w:jc w:val="both"/>
      </w:pPr>
    </w:p>
    <w:p w14:paraId="049B02D5" w14:textId="77777777" w:rsidR="0038409E" w:rsidRDefault="0038409E" w:rsidP="001448A4">
      <w:pPr>
        <w:spacing w:line="480" w:lineRule="auto"/>
        <w:jc w:val="both"/>
        <w:sectPr w:rsidR="0038409E" w:rsidSect="00A84731">
          <w:footerReference w:type="default" r:id="rId7"/>
          <w:pgSz w:w="11906" w:h="16838"/>
          <w:pgMar w:top="1440" w:right="1440" w:bottom="1440" w:left="1440" w:header="708" w:footer="708" w:gutter="0"/>
          <w:lnNumType w:countBy="1" w:restart="continuous"/>
          <w:cols w:space="708"/>
          <w:docGrid w:linePitch="360"/>
        </w:sectPr>
      </w:pPr>
    </w:p>
    <w:p w14:paraId="49C851A9" w14:textId="77777777" w:rsidR="0038409E" w:rsidRDefault="0038409E" w:rsidP="001448A4">
      <w:pPr>
        <w:pStyle w:val="Heading2"/>
        <w:numPr>
          <w:ilvl w:val="0"/>
          <w:numId w:val="14"/>
        </w:numPr>
        <w:spacing w:before="240" w:after="200" w:line="480" w:lineRule="auto"/>
      </w:pPr>
      <w:bookmarkStart w:id="3" w:name="_Hlk528179441"/>
      <w:r w:rsidRPr="00542F59">
        <w:t>Materials and methods</w:t>
      </w:r>
    </w:p>
    <w:p w14:paraId="24F1A7A6" w14:textId="77777777" w:rsidR="0038409E" w:rsidRPr="007032AA" w:rsidRDefault="0038409E" w:rsidP="001448A4">
      <w:pPr>
        <w:pStyle w:val="Heading3"/>
        <w:numPr>
          <w:ilvl w:val="1"/>
          <w:numId w:val="14"/>
        </w:numPr>
        <w:spacing w:before="360" w:after="200" w:line="480" w:lineRule="auto"/>
      </w:pPr>
      <w:r w:rsidRPr="007032AA">
        <w:t>Site and experimental design</w:t>
      </w:r>
    </w:p>
    <w:p w14:paraId="65B94A51" w14:textId="77777777" w:rsidR="0038409E" w:rsidRDefault="0038409E" w:rsidP="001448A4">
      <w:pPr>
        <w:spacing w:before="360" w:line="480" w:lineRule="auto"/>
        <w:jc w:val="both"/>
        <w:rPr>
          <w:rFonts w:cs="Times New Roman"/>
          <w:szCs w:val="24"/>
        </w:rPr>
      </w:pPr>
      <w:r>
        <w:rPr>
          <w:rFonts w:cs="Times New Roman"/>
          <w:szCs w:val="24"/>
        </w:rPr>
        <w:t>Seven intact m</w:t>
      </w:r>
      <w:r w:rsidRPr="00DF769A">
        <w:rPr>
          <w:rFonts w:cs="Times New Roman"/>
          <w:szCs w:val="24"/>
        </w:rPr>
        <w:t xml:space="preserve">onoliths were extracted from </w:t>
      </w:r>
      <w:r>
        <w:rPr>
          <w:rFonts w:cs="Times New Roman"/>
          <w:szCs w:val="24"/>
        </w:rPr>
        <w:t xml:space="preserve">each of four arable </w:t>
      </w:r>
      <w:r w:rsidRPr="00DF769A">
        <w:rPr>
          <w:rFonts w:cs="Times New Roman"/>
          <w:szCs w:val="24"/>
        </w:rPr>
        <w:t>fields</w:t>
      </w:r>
      <w:r>
        <w:rPr>
          <w:rFonts w:cs="Times New Roman"/>
          <w:szCs w:val="24"/>
        </w:rPr>
        <w:t xml:space="preserve"> (approximately 70 m from the field margin) </w:t>
      </w:r>
      <w:r w:rsidRPr="00DF769A">
        <w:rPr>
          <w:rFonts w:cs="Times New Roman"/>
          <w:szCs w:val="24"/>
        </w:rPr>
        <w:t xml:space="preserve">in March 2017 at the University of Leeds </w:t>
      </w:r>
      <w:r>
        <w:rPr>
          <w:rFonts w:cs="Times New Roman"/>
          <w:szCs w:val="24"/>
        </w:rPr>
        <w:t>Farm</w:t>
      </w:r>
      <w:r w:rsidRPr="00DF769A">
        <w:rPr>
          <w:rFonts w:cs="Times New Roman"/>
          <w:szCs w:val="24"/>
        </w:rPr>
        <w:t xml:space="preserve"> (</w:t>
      </w:r>
      <w:r>
        <w:rPr>
          <w:rFonts w:cs="Times New Roman"/>
          <w:szCs w:val="24"/>
        </w:rPr>
        <w:t>northern</w:t>
      </w:r>
      <w:r w:rsidRPr="00DF769A">
        <w:rPr>
          <w:rFonts w:cs="Times New Roman"/>
          <w:szCs w:val="24"/>
        </w:rPr>
        <w:t xml:space="preserve"> England; 53° 52' 25.2'' N</w:t>
      </w:r>
      <w:r>
        <w:rPr>
          <w:rFonts w:cs="Times New Roman"/>
          <w:szCs w:val="24"/>
        </w:rPr>
        <w:t>,</w:t>
      </w:r>
      <w:r w:rsidRPr="00DF769A">
        <w:rPr>
          <w:rFonts w:cs="Times New Roman"/>
          <w:szCs w:val="24"/>
        </w:rPr>
        <w:t xml:space="preserve"> 1° 19' 47.0" W</w:t>
      </w:r>
      <w:r>
        <w:rPr>
          <w:rFonts w:cs="Times New Roman"/>
          <w:szCs w:val="24"/>
        </w:rPr>
        <w:t>; Figure 1).</w:t>
      </w:r>
      <w:r w:rsidRPr="00DF769A">
        <w:rPr>
          <w:rFonts w:cs="Times New Roman"/>
          <w:szCs w:val="24"/>
        </w:rPr>
        <w:t xml:space="preserve"> </w:t>
      </w:r>
      <w:r>
        <w:rPr>
          <w:rFonts w:cs="Times New Roman"/>
          <w:szCs w:val="24"/>
        </w:rPr>
        <w:t xml:space="preserve">The fields had been cultivated and used to grow annual arable crops every year since they were last converted from ley in 1988 (Copse); 1994 </w:t>
      </w:r>
      <w:r w:rsidRPr="00DF769A">
        <w:rPr>
          <w:rFonts w:cs="Times New Roman"/>
          <w:szCs w:val="24"/>
        </w:rPr>
        <w:t>(Big Sub</w:t>
      </w:r>
      <w:r>
        <w:rPr>
          <w:rFonts w:cs="Times New Roman"/>
          <w:szCs w:val="24"/>
        </w:rPr>
        <w:t>s</w:t>
      </w:r>
      <w:r w:rsidRPr="00DF769A">
        <w:rPr>
          <w:rFonts w:cs="Times New Roman"/>
          <w:szCs w:val="24"/>
        </w:rPr>
        <w:t>tation East (BSE)</w:t>
      </w:r>
      <w:r>
        <w:rPr>
          <w:rFonts w:cs="Times New Roman"/>
          <w:szCs w:val="24"/>
        </w:rPr>
        <w:t xml:space="preserve"> and </w:t>
      </w:r>
      <w:r w:rsidRPr="00DF769A">
        <w:rPr>
          <w:rFonts w:cs="Times New Roman"/>
          <w:szCs w:val="24"/>
        </w:rPr>
        <w:t>Big Substation West (BSW)</w:t>
      </w:r>
      <w:r>
        <w:rPr>
          <w:rFonts w:cs="Times New Roman"/>
          <w:szCs w:val="24"/>
        </w:rPr>
        <w:t>)</w:t>
      </w:r>
      <w:r w:rsidRPr="00DF769A">
        <w:rPr>
          <w:rFonts w:cs="Times New Roman"/>
          <w:szCs w:val="24"/>
        </w:rPr>
        <w:t xml:space="preserve">, </w:t>
      </w:r>
      <w:r>
        <w:rPr>
          <w:rFonts w:cs="Times New Roman"/>
          <w:szCs w:val="24"/>
        </w:rPr>
        <w:t>and 2009 (</w:t>
      </w:r>
      <w:r w:rsidRPr="00DF769A">
        <w:rPr>
          <w:rFonts w:cs="Times New Roman"/>
          <w:szCs w:val="24"/>
        </w:rPr>
        <w:t xml:space="preserve">Hillside (HS)). </w:t>
      </w:r>
      <w:r>
        <w:rPr>
          <w:rFonts w:cs="Times New Roman"/>
          <w:szCs w:val="24"/>
        </w:rPr>
        <w:t xml:space="preserve">The monoliths were extracted from the permanent arable area between a pair of ley strips (3 m wide and 70 m long, and 48 m apart), which extended into each of the fields from the hedges, having been sown in May 2015 as part of the NERC Soil Security </w:t>
      </w:r>
      <w:proofErr w:type="spellStart"/>
      <w:r>
        <w:rPr>
          <w:rFonts w:cs="Times New Roman"/>
          <w:szCs w:val="24"/>
        </w:rPr>
        <w:t>Programme</w:t>
      </w:r>
      <w:proofErr w:type="spellEnd"/>
      <w:r>
        <w:rPr>
          <w:rFonts w:cs="Times New Roman"/>
          <w:szCs w:val="24"/>
        </w:rPr>
        <w:t xml:space="preserve"> research project SoilBioHedge (Figure 1). </w:t>
      </w:r>
      <w:r w:rsidRPr="00DF769A">
        <w:rPr>
          <w:rFonts w:cs="Times New Roman"/>
          <w:szCs w:val="24"/>
        </w:rPr>
        <w:t>The soil in each field was a Cambisol</w:t>
      </w:r>
      <w:r w:rsidR="00A87FB4">
        <w:rPr>
          <w:rFonts w:cs="Times New Roman"/>
          <w:szCs w:val="24"/>
        </w:rPr>
        <w:t xml:space="preserve"> </w:t>
      </w:r>
      <w:r w:rsidR="00A87FB4">
        <w:rPr>
          <w:rFonts w:cs="Times New Roman"/>
          <w:szCs w:val="24"/>
        </w:rPr>
        <w:fldChar w:fldCharType="begin" w:fldLock="1"/>
      </w:r>
      <w:r w:rsidR="00D52DB8">
        <w:rPr>
          <w:rFonts w:cs="Times New Roman"/>
          <w:szCs w:val="24"/>
        </w:rPr>
        <w:instrText>ADDIN CSL_CITATION {"citationItems":[{"id":"ITEM-1","itemData":{"author":[{"dropping-particle":"","family":"WRB","given":"","non-dropping-particle":"","parse-names":false,"suffix":""}],"edition":"2","id":"ITEM-1","issued":{"date-parts":[["2006"]]},"publisher":"ISRIC-FAO","publisher-place":"Rome","title":"World reference base for soil resources","type":"book"},"uris":["http://www.mendeley.com/documents/?uuid=f184c82c-e70c-4f64-9392-51cd32cd0416"]}],"mendeley":{"formattedCitation":"(WRB, 2006)","plainTextFormattedCitation":"(WRB, 2006)","previouslyFormattedCitation":"(WRB, 2006)"},"properties":{"noteIndex":0},"schema":"https://github.com/citation-style-language/schema/raw/master/csl-citation.json"}</w:instrText>
      </w:r>
      <w:r w:rsidR="00A87FB4">
        <w:rPr>
          <w:rFonts w:cs="Times New Roman"/>
          <w:szCs w:val="24"/>
        </w:rPr>
        <w:fldChar w:fldCharType="separate"/>
      </w:r>
      <w:r w:rsidR="00A87FB4" w:rsidRPr="00A87FB4">
        <w:rPr>
          <w:rFonts w:cs="Times New Roman"/>
          <w:noProof/>
          <w:szCs w:val="24"/>
        </w:rPr>
        <w:t>(WRB, 2006)</w:t>
      </w:r>
      <w:r w:rsidR="00A87FB4">
        <w:rPr>
          <w:rFonts w:cs="Times New Roman"/>
          <w:szCs w:val="24"/>
        </w:rPr>
        <w:fldChar w:fldCharType="end"/>
      </w:r>
      <w:r w:rsidR="00A87FB4">
        <w:rPr>
          <w:rFonts w:cs="Times New Roman"/>
          <w:szCs w:val="24"/>
        </w:rPr>
        <w:t xml:space="preserve"> </w:t>
      </w:r>
      <w:r w:rsidRPr="00DF769A">
        <w:rPr>
          <w:rFonts w:cs="Times New Roman"/>
          <w:szCs w:val="24"/>
        </w:rPr>
        <w:t>and basic properties ar</w:t>
      </w:r>
      <w:r>
        <w:rPr>
          <w:rFonts w:cs="Times New Roman"/>
          <w:szCs w:val="24"/>
        </w:rPr>
        <w:t>e</w:t>
      </w:r>
      <w:r w:rsidRPr="00DF769A">
        <w:rPr>
          <w:rFonts w:cs="Times New Roman"/>
          <w:szCs w:val="24"/>
        </w:rPr>
        <w:t xml:space="preserve"> summarized in</w:t>
      </w:r>
      <w:r>
        <w:rPr>
          <w:rFonts w:cs="Times New Roman"/>
          <w:szCs w:val="24"/>
        </w:rPr>
        <w:t xml:space="preserve"> Table 1.</w:t>
      </w:r>
    </w:p>
    <w:p w14:paraId="1064FC6A" w14:textId="77777777" w:rsidR="0038409E" w:rsidRDefault="0038409E" w:rsidP="001448A4">
      <w:pPr>
        <w:spacing w:after="0" w:line="480" w:lineRule="auto"/>
        <w:jc w:val="both"/>
        <w:rPr>
          <w:rFonts w:cs="Times New Roman"/>
          <w:szCs w:val="24"/>
        </w:rPr>
      </w:pPr>
      <w:r w:rsidRPr="00950CA7">
        <w:rPr>
          <w:rFonts w:cs="Times New Roman"/>
          <w:szCs w:val="24"/>
        </w:rPr>
        <w:t xml:space="preserve">The </w:t>
      </w:r>
      <w:r>
        <w:rPr>
          <w:rFonts w:cs="Times New Roman"/>
          <w:szCs w:val="24"/>
        </w:rPr>
        <w:t>seven</w:t>
      </w:r>
      <w:r w:rsidRPr="00950CA7">
        <w:rPr>
          <w:rFonts w:cs="Times New Roman"/>
          <w:szCs w:val="24"/>
        </w:rPr>
        <w:t xml:space="preserve"> monoliths from each field were used to produce three treatments: </w:t>
      </w:r>
      <w:proofErr w:type="spellStart"/>
      <w:r w:rsidRPr="00950CA7">
        <w:rPr>
          <w:rFonts w:cs="Times New Roman"/>
          <w:szCs w:val="24"/>
        </w:rPr>
        <w:t>i</w:t>
      </w:r>
      <w:proofErr w:type="spellEnd"/>
      <w:r w:rsidRPr="00950CA7">
        <w:rPr>
          <w:rFonts w:cs="Times New Roman"/>
          <w:szCs w:val="24"/>
        </w:rPr>
        <w:t>) unfrozen control, (</w:t>
      </w:r>
      <w:r w:rsidRPr="00950CA7">
        <w:rPr>
          <w:rFonts w:cs="Times New Roman"/>
          <w:i/>
          <w:szCs w:val="24"/>
        </w:rPr>
        <w:t>n</w:t>
      </w:r>
      <w:r w:rsidRPr="00950CA7">
        <w:rPr>
          <w:rFonts w:cs="Times New Roman"/>
          <w:szCs w:val="24"/>
        </w:rPr>
        <w:t xml:space="preserve"> = 1 per field) ii) frozen (defaunated) monoliths not inoculated with earthworms, abbreviated to DeF (</w:t>
      </w:r>
      <w:r w:rsidRPr="00950CA7">
        <w:rPr>
          <w:rFonts w:cs="Times New Roman"/>
          <w:i/>
          <w:szCs w:val="24"/>
        </w:rPr>
        <w:t>n</w:t>
      </w:r>
      <w:r w:rsidRPr="00950CA7">
        <w:rPr>
          <w:rFonts w:cs="Times New Roman"/>
          <w:szCs w:val="24"/>
        </w:rPr>
        <w:t xml:space="preserve"> = 3), iii) frozen monoliths inoculated with earthworms, abbreviated to DeF+E (</w:t>
      </w:r>
      <w:r w:rsidRPr="00950CA7">
        <w:rPr>
          <w:rFonts w:cs="Times New Roman"/>
          <w:i/>
          <w:szCs w:val="24"/>
        </w:rPr>
        <w:t>n</w:t>
      </w:r>
      <w:r w:rsidRPr="00950CA7">
        <w:rPr>
          <w:rFonts w:cs="Times New Roman"/>
          <w:szCs w:val="24"/>
        </w:rPr>
        <w:t xml:space="preserve"> = 3). The monoliths were planted with a grass-clover ley (see below) and were returned to their fields of origin in late March 2017 towards the ends of the 2-year-old ley strips furthest from the field edge. The monolith experiment ran until mid-April 2018.</w:t>
      </w:r>
    </w:p>
    <w:p w14:paraId="0D343312" w14:textId="77777777" w:rsidR="0038409E" w:rsidRDefault="0038409E" w:rsidP="001448A4">
      <w:pPr>
        <w:spacing w:before="360" w:line="480" w:lineRule="auto"/>
        <w:jc w:val="both"/>
        <w:rPr>
          <w:rFonts w:cs="Times New Roman"/>
          <w:szCs w:val="24"/>
        </w:rPr>
        <w:sectPr w:rsidR="0038409E" w:rsidSect="001448A4">
          <w:pgSz w:w="12240" w:h="15840"/>
          <w:pgMar w:top="1440" w:right="1440" w:bottom="1440" w:left="1440" w:header="720" w:footer="720" w:gutter="0"/>
          <w:lnNumType w:countBy="1" w:restart="continuous"/>
          <w:cols w:space="720"/>
          <w:docGrid w:linePitch="360"/>
        </w:sectPr>
      </w:pPr>
    </w:p>
    <w:p w14:paraId="2697F4BC" w14:textId="77777777" w:rsidR="0038409E" w:rsidRPr="00DF769A" w:rsidRDefault="0038409E" w:rsidP="001448A4">
      <w:pPr>
        <w:spacing w:before="600" w:line="480" w:lineRule="auto"/>
        <w:jc w:val="center"/>
        <w:rPr>
          <w:rFonts w:cs="Times New Roman"/>
          <w:szCs w:val="24"/>
        </w:rPr>
      </w:pPr>
      <w:r>
        <w:rPr>
          <w:noProof/>
          <w:lang w:val="en-GB" w:eastAsia="en-GB"/>
        </w:rPr>
        <w:drawing>
          <wp:inline distT="0" distB="0" distL="0" distR="0" wp14:anchorId="4D5FEAA7" wp14:editId="73B9DFA8">
            <wp:extent cx="5939790" cy="4810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4810760"/>
                    </a:xfrm>
                    <a:prstGeom prst="rect">
                      <a:avLst/>
                    </a:prstGeom>
                    <a:noFill/>
                    <a:ln>
                      <a:noFill/>
                    </a:ln>
                  </pic:spPr>
                </pic:pic>
              </a:graphicData>
            </a:graphic>
          </wp:inline>
        </w:drawing>
      </w:r>
    </w:p>
    <w:p w14:paraId="2E9496CE" w14:textId="59209414" w:rsidR="0038409E" w:rsidRDefault="0038409E" w:rsidP="001448A4">
      <w:pPr>
        <w:pStyle w:val="Caption"/>
        <w:spacing w:before="120" w:after="360" w:line="480" w:lineRule="auto"/>
        <w:jc w:val="center"/>
        <w:rPr>
          <w:rFonts w:cs="Times New Roman"/>
          <w:iCs w:val="0"/>
          <w:szCs w:val="22"/>
        </w:rPr>
      </w:pPr>
      <w:bookmarkStart w:id="4" w:name="_Ref525132145"/>
      <w:r w:rsidRPr="00D52AE8">
        <w:rPr>
          <w:rFonts w:cs="Times New Roman"/>
          <w:iCs w:val="0"/>
          <w:szCs w:val="22"/>
        </w:rPr>
        <w:t xml:space="preserve">Figure </w:t>
      </w:r>
      <w:r w:rsidRPr="00D52AE8">
        <w:rPr>
          <w:rFonts w:cs="Times New Roman"/>
          <w:iCs w:val="0"/>
          <w:szCs w:val="22"/>
        </w:rPr>
        <w:fldChar w:fldCharType="begin"/>
      </w:r>
      <w:r w:rsidRPr="00D52AE8">
        <w:rPr>
          <w:rFonts w:cs="Times New Roman"/>
          <w:iCs w:val="0"/>
          <w:szCs w:val="22"/>
        </w:rPr>
        <w:instrText xml:space="preserve"> SEQ Figure \* ARABIC </w:instrText>
      </w:r>
      <w:r w:rsidRPr="00D52AE8">
        <w:rPr>
          <w:rFonts w:cs="Times New Roman"/>
          <w:iCs w:val="0"/>
          <w:szCs w:val="22"/>
        </w:rPr>
        <w:fldChar w:fldCharType="separate"/>
      </w:r>
      <w:r w:rsidR="00A87FE5">
        <w:rPr>
          <w:rFonts w:cs="Times New Roman"/>
          <w:iCs w:val="0"/>
          <w:noProof/>
          <w:szCs w:val="22"/>
        </w:rPr>
        <w:t>1</w:t>
      </w:r>
      <w:r w:rsidRPr="00D52AE8">
        <w:rPr>
          <w:rFonts w:cs="Times New Roman"/>
          <w:iCs w:val="0"/>
          <w:szCs w:val="22"/>
        </w:rPr>
        <w:fldChar w:fldCharType="end"/>
      </w:r>
      <w:bookmarkEnd w:id="4"/>
      <w:r w:rsidRPr="00D52AE8">
        <w:rPr>
          <w:rFonts w:cs="Times New Roman"/>
          <w:iCs w:val="0"/>
          <w:szCs w:val="22"/>
        </w:rPr>
        <w:t>. The location of the four arable fields, Big Sub</w:t>
      </w:r>
      <w:r>
        <w:rPr>
          <w:rFonts w:cs="Times New Roman"/>
          <w:iCs w:val="0"/>
          <w:szCs w:val="22"/>
        </w:rPr>
        <w:t>station</w:t>
      </w:r>
      <w:r w:rsidRPr="00D52AE8">
        <w:rPr>
          <w:rFonts w:cs="Times New Roman"/>
          <w:iCs w:val="0"/>
          <w:szCs w:val="22"/>
        </w:rPr>
        <w:t xml:space="preserve"> East (BSE), Big Substation West (BSW), Copse and Hillside (HS) in which the experiment was carried out</w:t>
      </w:r>
      <w:r w:rsidRPr="009F6526">
        <w:t xml:space="preserve"> </w:t>
      </w:r>
      <w:r w:rsidRPr="009F6526">
        <w:rPr>
          <w:rFonts w:cs="Times New Roman"/>
          <w:iCs w:val="0"/>
          <w:szCs w:val="22"/>
        </w:rPr>
        <w:t>and the two pasture fields (Valley field and Warren Paddock) from which earthworm</w:t>
      </w:r>
      <w:r>
        <w:rPr>
          <w:rFonts w:cs="Times New Roman"/>
          <w:iCs w:val="0"/>
          <w:szCs w:val="22"/>
        </w:rPr>
        <w:t xml:space="preserve">s </w:t>
      </w:r>
      <w:r w:rsidRPr="009F6526">
        <w:rPr>
          <w:rFonts w:cs="Times New Roman"/>
          <w:iCs w:val="0"/>
          <w:szCs w:val="22"/>
        </w:rPr>
        <w:t>were collected</w:t>
      </w:r>
      <w:r>
        <w:rPr>
          <w:rFonts w:cs="Times New Roman"/>
          <w:iCs w:val="0"/>
          <w:szCs w:val="22"/>
        </w:rPr>
        <w:t xml:space="preserve"> to </w:t>
      </w:r>
      <w:r w:rsidRPr="007C311E">
        <w:rPr>
          <w:rFonts w:cs="Times New Roman"/>
          <w:iCs w:val="0"/>
          <w:szCs w:val="22"/>
        </w:rPr>
        <w:t>repopulate</w:t>
      </w:r>
      <w:r>
        <w:rPr>
          <w:rFonts w:cs="Times New Roman"/>
          <w:iCs w:val="0"/>
          <w:szCs w:val="22"/>
        </w:rPr>
        <w:t xml:space="preserve"> the monoliths</w:t>
      </w:r>
      <w:r w:rsidRPr="00D52AE8">
        <w:rPr>
          <w:rFonts w:cs="Times New Roman"/>
          <w:iCs w:val="0"/>
          <w:szCs w:val="22"/>
        </w:rPr>
        <w:t xml:space="preserve">. The </w:t>
      </w:r>
      <w:r>
        <w:rPr>
          <w:rFonts w:cs="Times New Roman"/>
          <w:iCs w:val="0"/>
          <w:szCs w:val="22"/>
        </w:rPr>
        <w:t>paired</w:t>
      </w:r>
      <w:r w:rsidRPr="00D52AE8">
        <w:rPr>
          <w:rFonts w:cs="Times New Roman"/>
          <w:iCs w:val="0"/>
          <w:szCs w:val="22"/>
        </w:rPr>
        <w:t xml:space="preserve"> green strips within each </w:t>
      </w:r>
      <w:r>
        <w:rPr>
          <w:rFonts w:cs="Times New Roman"/>
          <w:iCs w:val="0"/>
          <w:szCs w:val="22"/>
        </w:rPr>
        <w:t xml:space="preserve">arable </w:t>
      </w:r>
      <w:r w:rsidRPr="00D52AE8">
        <w:rPr>
          <w:rFonts w:cs="Times New Roman"/>
          <w:iCs w:val="0"/>
          <w:szCs w:val="22"/>
        </w:rPr>
        <w:t>field are the</w:t>
      </w:r>
      <w:r>
        <w:rPr>
          <w:rFonts w:cs="Times New Roman"/>
          <w:iCs w:val="0"/>
          <w:szCs w:val="22"/>
        </w:rPr>
        <w:t xml:space="preserve"> 70 m long</w:t>
      </w:r>
      <w:r w:rsidRPr="00D52AE8">
        <w:rPr>
          <w:rFonts w:cs="Times New Roman"/>
          <w:iCs w:val="0"/>
          <w:szCs w:val="22"/>
        </w:rPr>
        <w:t xml:space="preserve"> ley strips </w:t>
      </w:r>
      <w:r>
        <w:rPr>
          <w:rFonts w:cs="Times New Roman"/>
          <w:iCs w:val="0"/>
          <w:szCs w:val="22"/>
        </w:rPr>
        <w:t xml:space="preserve">between which the monoliths were sampled from, and near the end of which </w:t>
      </w:r>
      <w:r w:rsidRPr="00D52AE8">
        <w:rPr>
          <w:rFonts w:cs="Times New Roman"/>
          <w:iCs w:val="0"/>
          <w:szCs w:val="22"/>
        </w:rPr>
        <w:t xml:space="preserve">the monoliths were </w:t>
      </w:r>
      <w:r>
        <w:rPr>
          <w:rFonts w:cs="Times New Roman"/>
          <w:iCs w:val="0"/>
          <w:szCs w:val="22"/>
        </w:rPr>
        <w:t>installed following defaunation by freezing</w:t>
      </w:r>
      <w:r w:rsidRPr="00D52AE8">
        <w:rPr>
          <w:rFonts w:cs="Times New Roman"/>
          <w:iCs w:val="0"/>
          <w:szCs w:val="22"/>
        </w:rPr>
        <w:t>.</w:t>
      </w:r>
    </w:p>
    <w:p w14:paraId="156A33C1" w14:textId="77777777" w:rsidR="0038409E" w:rsidRDefault="0038409E" w:rsidP="001448A4">
      <w:pPr>
        <w:pStyle w:val="Caption"/>
        <w:spacing w:before="120" w:after="360" w:line="480" w:lineRule="auto"/>
        <w:rPr>
          <w:rFonts w:cs="Times New Roman"/>
        </w:rPr>
      </w:pPr>
      <w:r w:rsidRPr="00D52AE8">
        <w:rPr>
          <w:rFonts w:cs="Times New Roman"/>
          <w:iCs w:val="0"/>
          <w:szCs w:val="22"/>
        </w:rPr>
        <w:t xml:space="preserve"> </w:t>
      </w:r>
      <w:bookmarkStart w:id="5" w:name="_Ref525135156"/>
      <w:bookmarkStart w:id="6" w:name="_Hlk490391330"/>
      <w:r>
        <w:rPr>
          <w:rFonts w:cs="Times New Roman"/>
        </w:rPr>
        <w:br w:type="page"/>
      </w:r>
      <w:bookmarkStart w:id="7" w:name="_Hlk9355677"/>
      <w:bookmarkEnd w:id="5"/>
      <w:bookmarkEnd w:id="6"/>
    </w:p>
    <w:bookmarkEnd w:id="7"/>
    <w:p w14:paraId="26504191" w14:textId="77777777" w:rsidR="0038409E" w:rsidRPr="00D86A0D" w:rsidRDefault="0038409E" w:rsidP="001448A4">
      <w:pPr>
        <w:pStyle w:val="Heading3"/>
        <w:numPr>
          <w:ilvl w:val="1"/>
          <w:numId w:val="14"/>
        </w:numPr>
        <w:spacing w:before="360" w:after="200" w:line="480" w:lineRule="auto"/>
      </w:pPr>
      <w:r w:rsidRPr="00D86A0D">
        <w:t>Monolith preparation</w:t>
      </w:r>
      <w:r>
        <w:t xml:space="preserve"> and grass-clover planting</w:t>
      </w:r>
    </w:p>
    <w:p w14:paraId="6FF011F8" w14:textId="77777777" w:rsidR="0038409E" w:rsidRDefault="0038409E" w:rsidP="001448A4">
      <w:pPr>
        <w:spacing w:before="120" w:line="480" w:lineRule="auto"/>
        <w:jc w:val="both"/>
        <w:rPr>
          <w:rFonts w:cs="Times New Roman"/>
          <w:szCs w:val="24"/>
        </w:rPr>
      </w:pPr>
      <w:r>
        <w:rPr>
          <w:rFonts w:cs="Times New Roman"/>
          <w:szCs w:val="24"/>
        </w:rPr>
        <w:t xml:space="preserve">Seven undisturbed monoliths </w:t>
      </w:r>
      <w:r w:rsidRPr="00864659">
        <w:rPr>
          <w:rFonts w:cs="Times New Roman"/>
          <w:szCs w:val="24"/>
        </w:rPr>
        <w:t>(22 cm deep, 36 cm long x</w:t>
      </w:r>
      <w:r>
        <w:rPr>
          <w:rFonts w:cs="Times New Roman"/>
          <w:szCs w:val="24"/>
        </w:rPr>
        <w:t xml:space="preserve"> </w:t>
      </w:r>
      <w:r w:rsidRPr="00864659">
        <w:rPr>
          <w:rFonts w:cs="Times New Roman"/>
          <w:szCs w:val="24"/>
        </w:rPr>
        <w:t>27cm wide</w:t>
      </w:r>
      <w:r>
        <w:rPr>
          <w:rFonts w:cs="Times New Roman"/>
          <w:szCs w:val="24"/>
        </w:rPr>
        <w:t xml:space="preserve">) were carefully extracted from </w:t>
      </w:r>
      <w:r w:rsidRPr="007152D5">
        <w:rPr>
          <w:rFonts w:cs="Times New Roman"/>
          <w:szCs w:val="24"/>
        </w:rPr>
        <w:t xml:space="preserve">the arable portion of </w:t>
      </w:r>
      <w:r>
        <w:rPr>
          <w:rFonts w:cs="Times New Roman"/>
          <w:szCs w:val="24"/>
        </w:rPr>
        <w:t>each field following procedures similar to</w:t>
      </w:r>
      <w:r w:rsidR="00D52DB8">
        <w:rPr>
          <w:rFonts w:cs="Times New Roman"/>
          <w:szCs w:val="24"/>
        </w:rPr>
        <w:t xml:space="preserve"> </w:t>
      </w:r>
      <w:r w:rsidR="00D52DB8">
        <w:rPr>
          <w:rFonts w:cs="Times New Roman"/>
          <w:noProof/>
          <w:szCs w:val="24"/>
        </w:rPr>
        <w:t>Allaire and Bochove</w:t>
      </w:r>
      <w:r w:rsidR="00D52DB8">
        <w:rPr>
          <w:rFonts w:cs="Times New Roman"/>
          <w:szCs w:val="24"/>
        </w:rPr>
        <w:t xml:space="preserve"> </w:t>
      </w:r>
      <w:r w:rsidR="00D52DB8">
        <w:rPr>
          <w:rFonts w:cs="Times New Roman"/>
          <w:szCs w:val="24"/>
        </w:rPr>
        <w:fldChar w:fldCharType="begin" w:fldLock="1"/>
      </w:r>
      <w:r w:rsidR="00A95650">
        <w:rPr>
          <w:rFonts w:cs="Times New Roman"/>
          <w:szCs w:val="24"/>
        </w:rPr>
        <w:instrText>ADDIN CSL_CITATION {"citationItems":[{"id":"ITEM-1","itemData":{"DOI":"10.4141/s05-062","author":[{"dropping-particle":"","family":"Allaire","given":"Suzanne A","non-dropping-particle":"","parse-names":false,"suffix":""},{"dropping-particle":"van","family":"Bochove","given":"Eric","non-dropping-particle":"","parse-names":false,"suffix":""}],"container-title":"Canadian Journal of Soil Science","id":"ITEM-1","issue":"5","issued":{"date-parts":[["2006"]]},"page":"885-896","title":"Collecting large soil monoliths","type":"article-journal","volume":"86"},"suppress-author":1,"uris":["http://www.mendeley.com/documents/?uuid=bd9626e9-379d-4ab9-b35c-9cf2f72020cd"]}],"mendeley":{"formattedCitation":"(2006)","plainTextFormattedCitation":"(2006)","previouslyFormattedCitation":"(2006)"},"properties":{"noteIndex":0},"schema":"https://github.com/citation-style-language/schema/raw/master/csl-citation.json"}</w:instrText>
      </w:r>
      <w:r w:rsidR="00D52DB8">
        <w:rPr>
          <w:rFonts w:cs="Times New Roman"/>
          <w:szCs w:val="24"/>
        </w:rPr>
        <w:fldChar w:fldCharType="separate"/>
      </w:r>
      <w:r w:rsidR="00D52DB8" w:rsidRPr="00D52DB8">
        <w:rPr>
          <w:rFonts w:cs="Times New Roman"/>
          <w:noProof/>
          <w:szCs w:val="24"/>
        </w:rPr>
        <w:t>(2006)</w:t>
      </w:r>
      <w:r w:rsidR="00D52DB8">
        <w:rPr>
          <w:rFonts w:cs="Times New Roman"/>
          <w:szCs w:val="24"/>
        </w:rPr>
        <w:fldChar w:fldCharType="end"/>
      </w:r>
      <w:r>
        <w:rPr>
          <w:rFonts w:cs="Times New Roman"/>
          <w:szCs w:val="24"/>
        </w:rPr>
        <w:t xml:space="preserve"> and placed into plastic boxes. </w:t>
      </w:r>
      <w:r w:rsidRPr="007A148B">
        <w:rPr>
          <w:rFonts w:cs="Times New Roman"/>
          <w:szCs w:val="24"/>
        </w:rPr>
        <w:t>Each box ha</w:t>
      </w:r>
      <w:r>
        <w:rPr>
          <w:rFonts w:cs="Times New Roman"/>
          <w:szCs w:val="24"/>
        </w:rPr>
        <w:t>d</w:t>
      </w:r>
      <w:r w:rsidRPr="007A148B">
        <w:rPr>
          <w:rFonts w:cs="Times New Roman"/>
          <w:szCs w:val="24"/>
        </w:rPr>
        <w:t xml:space="preserve"> drainage holes </w:t>
      </w:r>
      <w:r>
        <w:rPr>
          <w:rFonts w:cs="Times New Roman"/>
          <w:szCs w:val="24"/>
        </w:rPr>
        <w:t xml:space="preserve">of </w:t>
      </w:r>
      <w:r w:rsidRPr="0097765B">
        <w:rPr>
          <w:rFonts w:cs="Times New Roman"/>
          <w:szCs w:val="24"/>
        </w:rPr>
        <w:t>10</w:t>
      </w:r>
      <w:r>
        <w:rPr>
          <w:rFonts w:cs="Times New Roman"/>
          <w:szCs w:val="24"/>
        </w:rPr>
        <w:t xml:space="preserve"> mm diameter </w:t>
      </w:r>
      <w:r w:rsidRPr="007A148B">
        <w:rPr>
          <w:rFonts w:cs="Times New Roman"/>
          <w:szCs w:val="24"/>
        </w:rPr>
        <w:t xml:space="preserve">in the bottom and </w:t>
      </w:r>
      <w:r>
        <w:rPr>
          <w:rFonts w:cs="Times New Roman"/>
          <w:szCs w:val="24"/>
        </w:rPr>
        <w:t xml:space="preserve">8 mm diameter in the </w:t>
      </w:r>
      <w:r w:rsidRPr="007A148B">
        <w:rPr>
          <w:rFonts w:cs="Times New Roman"/>
          <w:szCs w:val="24"/>
        </w:rPr>
        <w:t xml:space="preserve">sides </w:t>
      </w:r>
      <w:r>
        <w:rPr>
          <w:rFonts w:cs="Times New Roman"/>
          <w:szCs w:val="24"/>
        </w:rPr>
        <w:t xml:space="preserve">which were covered in </w:t>
      </w:r>
      <w:r w:rsidRPr="007A148B">
        <w:rPr>
          <w:rFonts w:cs="Times New Roman"/>
          <w:szCs w:val="24"/>
        </w:rPr>
        <w:t xml:space="preserve">nylon mesh </w:t>
      </w:r>
      <w:r>
        <w:rPr>
          <w:rFonts w:cs="Times New Roman"/>
          <w:szCs w:val="24"/>
        </w:rPr>
        <w:t xml:space="preserve">on both the inside </w:t>
      </w:r>
      <w:r w:rsidRPr="007A148B">
        <w:rPr>
          <w:rFonts w:cs="Times New Roman"/>
          <w:szCs w:val="24"/>
        </w:rPr>
        <w:t>and outside</w:t>
      </w:r>
      <w:r>
        <w:rPr>
          <w:rFonts w:cs="Times New Roman"/>
          <w:szCs w:val="24"/>
        </w:rPr>
        <w:t xml:space="preserve"> (see </w:t>
      </w:r>
      <w:r w:rsidRPr="00DC6677">
        <w:rPr>
          <w:rFonts w:cs="Times New Roman"/>
          <w:szCs w:val="24"/>
        </w:rPr>
        <w:t>Figure S1</w:t>
      </w:r>
      <w:r>
        <w:rPr>
          <w:rFonts w:cs="Times New Roman"/>
          <w:szCs w:val="24"/>
        </w:rPr>
        <w:t>)</w:t>
      </w:r>
      <w:r w:rsidRPr="007A148B">
        <w:rPr>
          <w:rFonts w:cs="Times New Roman"/>
          <w:szCs w:val="24"/>
        </w:rPr>
        <w:t xml:space="preserve">. A mesh size of 0.5 mm was used to </w:t>
      </w:r>
      <w:r>
        <w:rPr>
          <w:rFonts w:cs="Times New Roman"/>
          <w:szCs w:val="24"/>
        </w:rPr>
        <w:t xml:space="preserve">try to prevent </w:t>
      </w:r>
      <w:r w:rsidRPr="007A148B">
        <w:rPr>
          <w:rFonts w:cs="Times New Roman"/>
          <w:szCs w:val="24"/>
        </w:rPr>
        <w:t xml:space="preserve">the </w:t>
      </w:r>
      <w:r>
        <w:rPr>
          <w:rFonts w:cs="Times New Roman"/>
          <w:szCs w:val="24"/>
        </w:rPr>
        <w:t xml:space="preserve">entry and </w:t>
      </w:r>
      <w:r w:rsidRPr="007A148B">
        <w:rPr>
          <w:rFonts w:cs="Times New Roman"/>
          <w:szCs w:val="24"/>
        </w:rPr>
        <w:t>exit</w:t>
      </w:r>
      <w:r>
        <w:rPr>
          <w:rFonts w:cs="Times New Roman"/>
          <w:szCs w:val="24"/>
        </w:rPr>
        <w:t xml:space="preserve"> </w:t>
      </w:r>
      <w:r w:rsidRPr="007A148B">
        <w:rPr>
          <w:rFonts w:cs="Times New Roman"/>
          <w:szCs w:val="24"/>
        </w:rPr>
        <w:t>of earthworms or other soil macrofauna</w:t>
      </w:r>
      <w:r>
        <w:rPr>
          <w:rFonts w:cs="Times New Roman"/>
          <w:szCs w:val="24"/>
        </w:rPr>
        <w:t xml:space="preserve"> over the duration of the experiment</w:t>
      </w:r>
      <w:r w:rsidRPr="007A148B">
        <w:rPr>
          <w:rFonts w:cs="Times New Roman"/>
          <w:szCs w:val="24"/>
        </w:rPr>
        <w:t xml:space="preserve">. </w:t>
      </w:r>
      <w:r>
        <w:rPr>
          <w:rFonts w:cs="Times New Roman"/>
          <w:szCs w:val="24"/>
        </w:rPr>
        <w:t>The c</w:t>
      </w:r>
      <w:r w:rsidRPr="007A148B">
        <w:rPr>
          <w:rFonts w:cs="Times New Roman"/>
          <w:szCs w:val="24"/>
        </w:rPr>
        <w:t xml:space="preserve">ontrol </w:t>
      </w:r>
      <w:r>
        <w:rPr>
          <w:rFonts w:cs="Times New Roman"/>
          <w:szCs w:val="24"/>
        </w:rPr>
        <w:t>monolith (</w:t>
      </w:r>
      <w:r w:rsidRPr="007A148B">
        <w:rPr>
          <w:rFonts w:cs="Times New Roman"/>
          <w:i/>
          <w:szCs w:val="24"/>
        </w:rPr>
        <w:t>n</w:t>
      </w:r>
      <w:r w:rsidRPr="007A148B">
        <w:rPr>
          <w:rFonts w:cs="Times New Roman"/>
          <w:szCs w:val="24"/>
        </w:rPr>
        <w:t xml:space="preserve"> = 1) </w:t>
      </w:r>
      <w:r>
        <w:rPr>
          <w:rFonts w:cs="Times New Roman"/>
          <w:szCs w:val="24"/>
        </w:rPr>
        <w:t xml:space="preserve">from each field </w:t>
      </w:r>
      <w:r w:rsidRPr="007A148B">
        <w:rPr>
          <w:rFonts w:cs="Times New Roman"/>
          <w:szCs w:val="24"/>
        </w:rPr>
        <w:t xml:space="preserve">was </w:t>
      </w:r>
      <w:r>
        <w:rPr>
          <w:rFonts w:cs="Times New Roman"/>
          <w:szCs w:val="24"/>
        </w:rPr>
        <w:t>immediately placed in an excavated hole in the ley strip of the field from which the monolith was taken</w:t>
      </w:r>
      <w:r w:rsidRPr="007A148B">
        <w:rPr>
          <w:rFonts w:cs="Times New Roman"/>
          <w:szCs w:val="24"/>
        </w:rPr>
        <w:t xml:space="preserve">. </w:t>
      </w:r>
    </w:p>
    <w:p w14:paraId="67EE3D12" w14:textId="77777777" w:rsidR="0038409E" w:rsidRDefault="0038409E" w:rsidP="001448A4">
      <w:pPr>
        <w:spacing w:before="120" w:line="480" w:lineRule="auto"/>
        <w:jc w:val="both"/>
        <w:rPr>
          <w:rFonts w:cs="Times New Roman"/>
          <w:szCs w:val="24"/>
        </w:rPr>
      </w:pPr>
      <w:r>
        <w:rPr>
          <w:rFonts w:cs="Times New Roman"/>
          <w:szCs w:val="24"/>
        </w:rPr>
        <w:t xml:space="preserve">To maintain soil structural integrity, we needed a non-invasive way of manipulating earthworm populations. Previous studies that have used </w:t>
      </w:r>
      <w:r w:rsidRPr="002D5548">
        <w:rPr>
          <w:rFonts w:cs="Times New Roman"/>
          <w:szCs w:val="24"/>
        </w:rPr>
        <w:t xml:space="preserve">mustard </w:t>
      </w:r>
      <w:r>
        <w:rPr>
          <w:rFonts w:cs="Times New Roman"/>
          <w:szCs w:val="24"/>
        </w:rPr>
        <w:t>solution and electro-shocking were found to have an incomplete effect on earthworm extraction</w:t>
      </w:r>
      <w:r w:rsidR="00A95650">
        <w:rPr>
          <w:rFonts w:cs="Times New Roman"/>
          <w:szCs w:val="24"/>
        </w:rPr>
        <w:t xml:space="preserve"> </w:t>
      </w:r>
      <w:r w:rsidR="00A95650">
        <w:rPr>
          <w:rFonts w:cs="Times New Roman"/>
          <w:szCs w:val="24"/>
        </w:rPr>
        <w:fldChar w:fldCharType="begin" w:fldLock="1"/>
      </w:r>
      <w:r w:rsidR="00CC3C82">
        <w:rPr>
          <w:rFonts w:cs="Times New Roman"/>
          <w:szCs w:val="24"/>
        </w:rPr>
        <w:instrText>ADDIN CSL_CITATION {"citationItems":[{"id":"ITEM-1","itemData":{"DOI":"https://doi.org/10.1016/j.ejsobi.2007.10.002","ISBN":"1164-5563","author":[{"dropping-particle":"","family":"Eisenhauer","given":"Nico","non-dropping-particle":"","parse-names":false,"suffix":""},{"dropping-particle":"","family":"Straube","given":"Daniela","non-dropping-particle":"","parse-names":false,"suffix":""},{"dropping-particle":"","family":"Scheu","given":"Stefan","non-dropping-particle":"","parse-names":false,"suffix":""}],"container-title":"European Journal of Soil Biology","id":"ITEM-1","issue":"1","issued":{"date-parts":[["2008"]]},"page":"141-145","title":"Efficiency of two widespread non-destructive extraction methods under dry soil conditions for different ecological earthworm groups","type":"article-journal","volume":"44"},"uris":["http://www.mendeley.com/documents/?uuid=d642d0bd-e36f-4708-9676-b82848df8046"]}],"mendeley":{"formattedCitation":"(Eisenhauer et al., 2008)","plainTextFormattedCitation":"(Eisenhauer et al., 2008)","previouslyFormattedCitation":"(Eisenhauer et al., 2008)"},"properties":{"noteIndex":0},"schema":"https://github.com/citation-style-language/schema/raw/master/csl-citation.json"}</w:instrText>
      </w:r>
      <w:r w:rsidR="00A95650">
        <w:rPr>
          <w:rFonts w:cs="Times New Roman"/>
          <w:szCs w:val="24"/>
        </w:rPr>
        <w:fldChar w:fldCharType="separate"/>
      </w:r>
      <w:r w:rsidR="00A95650" w:rsidRPr="00A95650">
        <w:rPr>
          <w:rFonts w:cs="Times New Roman"/>
          <w:noProof/>
          <w:szCs w:val="24"/>
        </w:rPr>
        <w:t>(Eisenhauer et al., 2008)</w:t>
      </w:r>
      <w:r w:rsidR="00A95650">
        <w:rPr>
          <w:rFonts w:cs="Times New Roman"/>
          <w:szCs w:val="24"/>
        </w:rPr>
        <w:fldChar w:fldCharType="end"/>
      </w:r>
      <w:r w:rsidR="00A95650">
        <w:rPr>
          <w:rFonts w:cs="Times New Roman"/>
          <w:szCs w:val="24"/>
        </w:rPr>
        <w:t>.</w:t>
      </w:r>
      <w:r>
        <w:rPr>
          <w:rFonts w:cs="Times New Roman"/>
          <w:szCs w:val="24"/>
        </w:rPr>
        <w:t xml:space="preserve"> Deep freezing (-20 °C) </w:t>
      </w:r>
      <w:r w:rsidRPr="00ED434A">
        <w:rPr>
          <w:rFonts w:cs="Times New Roman"/>
          <w:szCs w:val="24"/>
        </w:rPr>
        <w:t>has been reported to be</w:t>
      </w:r>
      <w:r>
        <w:rPr>
          <w:rFonts w:cs="Times New Roman"/>
          <w:szCs w:val="24"/>
        </w:rPr>
        <w:t xml:space="preserve"> totally effective for eliminating earthworms and a range of other soil macro- and meso-fauna such as oribatid mites and collembola though it appears to have little effect on soil micro-fauna such as ciliates, nematodes, rotifers and tardigrades and soil microbiota</w:t>
      </w:r>
      <w:r w:rsidR="00CC3C82">
        <w:rPr>
          <w:rFonts w:cs="Times New Roman"/>
          <w:szCs w:val="24"/>
        </w:rPr>
        <w:t xml:space="preserve"> </w:t>
      </w:r>
      <w:r w:rsidR="00CC3C82">
        <w:rPr>
          <w:rFonts w:cs="Times New Roman"/>
          <w:szCs w:val="24"/>
        </w:rPr>
        <w:fldChar w:fldCharType="begin" w:fldLock="1"/>
      </w:r>
      <w:r w:rsidR="00CC3C82">
        <w:rPr>
          <w:rFonts w:cs="Times New Roman"/>
          <w:szCs w:val="24"/>
        </w:rPr>
        <w:instrText>ADDIN CSL_CITATION {"citationItems":[{"id":"ITEM-1","itemData":{"DOI":"https://doi.org/10.1016/S0065-2113(08)60961-X","ISBN":"0065-2113","author":[{"dropping-particle":"","family":"Barley","given":"K P","non-dropping-particle":"","parse-names":false,"suffix":""}],"container-title":"Advances in Agronomy","editor":[{"dropping-particle":"","family":"Norman","given":"A G","non-dropping-particle":"","parse-names":false,"suffix":""}],"id":"ITEM-1","issued":{"date-parts":[["1961"]]},"page":"249-268","publisher":"Academic Press","title":"The Abundance of Earthworms in Agricultural Land and Their Possible Significance in Agriculture","type":"chapter","volume":"13"},"uris":["http://www.mendeley.com/documents/?uuid=4b221da8-ddaa-4bf4-a74e-80b7e9acd8f7"]},{"id":"ITEM-2","itemData":{"DOI":"10.1007/bf00336169","ISBN":"1432-0789","abstract":"Equipment and handling methods for the preparation of soil mesocosms were developed. The mesocosms were used to investigate the interrelationships between mesofauna and microflora in a coniferous forest soil. Soil monoliths were taken from the ground, defaunated by deep-freezing, wrapped in nets to control reimmigration of different faunal size-classes, and replanted in the field for 8 months. in a practical test the technique described here proved to be an inexpensive field method for producing a replicated series of mesocosm in a short time. Deep-freezing is appropriate for defaunating soil monoliths. The fine nets effectively exluded meso-and macrofauna. No significant differences were found in the abundance of Enchytraeids and Collembola between recolonized mesocosms and the undisturbed control at the end of the study period. In contrast, oribatid mite abundace was still greatly reduced in the recolonized esocosms. Dominance structure and species composition of the more dominant oribatid species in the different treatments were apparently similar. To compensate for the low colonization ability of oribatids, a reintroduction of selected animal size-classes to defaunated monoliths is recommended.","author":[{"dropping-particle":"","family":"Bruckner","given":"Alexander","non-dropping-particle":"","parse-names":false,"suffix":""},{"dropping-particle":"","family":"Wright","given":"John","non-dropping-particle":"","parse-names":false,"suffix":""},{"dropping-particle":"","family":"Kampichler","given":"Christian","non-dropping-particle":"","parse-names":false,"suffix":""},{"dropping-particle":"","family":"Bauer","given":"Roswitha","non-dropping-particle":"","parse-names":false,"suffix":""},{"dropping-particle":"","family":"Kandeler","given":"Ellen","non-dropping-particle":"","parse-names":false,"suffix":""}],"container-title":"Biology and Fertility of Soils","id":"ITEM-2","issue":"2","issued":{"date-parts":[["1995"]]},"page":"257-262","title":"A method of preparing mesocosms for assessing complex biotic processes in soils","type":"article-journal","volume":"19"},"uris":["http://www.mendeley.com/documents/?uuid=87230d4c-6fab-4a68-9b5d-202306dda2d9"]},{"id":"ITEM-3","itemData":{"author":[{"dropping-particle":"","family":"Kandeler","given":"E","non-dropping-particle":"","parse-names":false,"suffix":""},{"dropping-particle":"","family":"Winter","given":"B","non-dropping-particle":"","parse-names":false,"suffix":""},{"dropping-particle":"","family":"Kampichler","given":"C","non-dropping-particle":"","parse-names":false,"suffix":""},{"dropping-particle":"","family":"Bruckner","given":"A","non-dropping-particle":"","parse-names":false,"suffix":""}],"container-title":"Beyond the biomass: compositional and functional analysis of soil microbial communities","editor":[{"dropping-particle":"","family":"Ritz","given":"K","non-dropping-particle":"","parse-names":false,"suffix":""},{"dropping-particle":"","family":"Dighton","given":"J","non-dropping-particle":"","parse-names":false,"suffix":""},{"dropping-particle":"","family":"Giller","given":"K E","non-dropping-particle":"","parse-names":false,"suffix":""}],"id":"ITEM-3","issued":{"date-parts":[["1994"]]},"page":"181 – 189","publisher":"John Wiley &amp; Sons","publisher-place":"Chichester","title":"Effects of mesofaunal exclusion on microbial biomass and enzymatic activities in field mesocosms","type":"chapter"},"uris":["http://www.mendeley.com/documents/?uuid=0ef7826d-c34d-4692-b780-920a729d7366"]}],"mendeley":{"formattedCitation":"(Barley, 1961; Bruckner et al., 1995; Kandeler et al., 1994)","plainTextFormattedCitation":"(Barley, 1961; Bruckner et al., 1995; Kandeler et al., 1994)","previouslyFormattedCitation":"(Barley, 1961; Bruckner et al., 1995; Kandeler et al., 1994)"},"properties":{"noteIndex":0},"schema":"https://github.com/citation-style-language/schema/raw/master/csl-citation.json"}</w:instrText>
      </w:r>
      <w:r w:rsidR="00CC3C82">
        <w:rPr>
          <w:rFonts w:cs="Times New Roman"/>
          <w:szCs w:val="24"/>
        </w:rPr>
        <w:fldChar w:fldCharType="separate"/>
      </w:r>
      <w:r w:rsidR="00CC3C82" w:rsidRPr="00CC3C82">
        <w:rPr>
          <w:rFonts w:cs="Times New Roman"/>
          <w:noProof/>
          <w:szCs w:val="24"/>
          <w:lang w:val="en-GB"/>
        </w:rPr>
        <w:t>(Barley, 1961; Bruckner et al., 1995; Kandeler et al., 1994)</w:t>
      </w:r>
      <w:r w:rsidR="00CC3C82">
        <w:rPr>
          <w:rFonts w:cs="Times New Roman"/>
          <w:szCs w:val="24"/>
        </w:rPr>
        <w:fldChar w:fldCharType="end"/>
      </w:r>
      <w:r w:rsidR="00CC3C82">
        <w:rPr>
          <w:rFonts w:cs="Times New Roman"/>
          <w:szCs w:val="24"/>
        </w:rPr>
        <w:t>.</w:t>
      </w:r>
      <w:r w:rsidRPr="00CC3C82">
        <w:rPr>
          <w:rFonts w:cs="Times New Roman"/>
          <w:szCs w:val="24"/>
          <w:lang w:val="en-GB"/>
        </w:rPr>
        <w:t xml:space="preserve"> </w:t>
      </w:r>
      <w:r w:rsidRPr="007A148B">
        <w:rPr>
          <w:rFonts w:cs="Times New Roman"/>
          <w:szCs w:val="24"/>
        </w:rPr>
        <w:t xml:space="preserve">The remaining 24 </w:t>
      </w:r>
      <w:bookmarkStart w:id="8" w:name="_Hlk25525491"/>
      <w:r w:rsidRPr="007A148B">
        <w:rPr>
          <w:rFonts w:cs="Times New Roman"/>
          <w:szCs w:val="24"/>
        </w:rPr>
        <w:t xml:space="preserve">monoliths were </w:t>
      </w:r>
      <w:r>
        <w:rPr>
          <w:rFonts w:cs="Times New Roman"/>
          <w:szCs w:val="24"/>
        </w:rPr>
        <w:t xml:space="preserve">therefore </w:t>
      </w:r>
      <w:r w:rsidRPr="007A148B">
        <w:rPr>
          <w:rFonts w:cs="Times New Roman"/>
          <w:szCs w:val="24"/>
        </w:rPr>
        <w:t xml:space="preserve">defaunated by deep-freezing </w:t>
      </w:r>
      <w:bookmarkStart w:id="9" w:name="_Hlk25524959"/>
      <w:r w:rsidRPr="007A148B">
        <w:rPr>
          <w:rFonts w:cs="Times New Roman"/>
          <w:szCs w:val="24"/>
        </w:rPr>
        <w:t xml:space="preserve">at -20 </w:t>
      </w:r>
      <w:r w:rsidRPr="0048068C">
        <w:rPr>
          <w:rFonts w:cs="Times New Roman"/>
          <w:szCs w:val="24"/>
        </w:rPr>
        <w:t>°C</w:t>
      </w:r>
      <w:r>
        <w:rPr>
          <w:rFonts w:cs="Times New Roman"/>
          <w:szCs w:val="24"/>
        </w:rPr>
        <w:t xml:space="preserve"> </w:t>
      </w:r>
      <w:bookmarkEnd w:id="9"/>
      <w:r>
        <w:rPr>
          <w:rFonts w:cs="Times New Roman"/>
          <w:szCs w:val="24"/>
        </w:rPr>
        <w:t>for three weeks</w:t>
      </w:r>
      <w:bookmarkEnd w:id="8"/>
      <w:r>
        <w:rPr>
          <w:rFonts w:cs="Times New Roman"/>
          <w:szCs w:val="24"/>
        </w:rPr>
        <w:t>. After defaunation, all 28 monoliths were planted with the grass-clover ley.</w:t>
      </w:r>
    </w:p>
    <w:p w14:paraId="39A9BD9F" w14:textId="77777777" w:rsidR="0038409E" w:rsidRDefault="0038409E" w:rsidP="001448A4">
      <w:pPr>
        <w:spacing w:line="480" w:lineRule="auto"/>
        <w:jc w:val="both"/>
        <w:rPr>
          <w:rFonts w:cs="Times New Roman"/>
          <w:szCs w:val="24"/>
        </w:rPr>
      </w:pPr>
      <w:r>
        <w:rPr>
          <w:rFonts w:cs="Times New Roman"/>
          <w:szCs w:val="24"/>
        </w:rPr>
        <w:t xml:space="preserve">Because clover establishment is slow, established plants were collected from the 2-year ley strips in the fields (Figure 1); their roots were thoroughly washed to remove any earthworms and their cocoons. Six white clover plants with extensive lateral root systems, and 3 red clover plants with strong taproots, were carefully </w:t>
      </w:r>
      <w:r w:rsidRPr="007A148B">
        <w:rPr>
          <w:rFonts w:cs="Times New Roman"/>
          <w:szCs w:val="24"/>
        </w:rPr>
        <w:t xml:space="preserve">transplanted </w:t>
      </w:r>
      <w:r>
        <w:rPr>
          <w:rFonts w:cs="Times New Roman"/>
          <w:szCs w:val="24"/>
        </w:rPr>
        <w:t xml:space="preserve">into </w:t>
      </w:r>
      <w:r w:rsidRPr="007A148B">
        <w:rPr>
          <w:rFonts w:cs="Times New Roman"/>
          <w:szCs w:val="24"/>
        </w:rPr>
        <w:t xml:space="preserve">each monolith. The monoliths were kept indoors for one day and then </w:t>
      </w:r>
      <w:r>
        <w:rPr>
          <w:rFonts w:cs="Times New Roman"/>
          <w:szCs w:val="24"/>
        </w:rPr>
        <w:t>2 g</w:t>
      </w:r>
      <w:r w:rsidRPr="007A148B">
        <w:rPr>
          <w:rFonts w:cs="Times New Roman"/>
          <w:szCs w:val="24"/>
        </w:rPr>
        <w:t xml:space="preserve"> of </w:t>
      </w:r>
      <w:r>
        <w:rPr>
          <w:rFonts w:cs="Times New Roman"/>
          <w:szCs w:val="24"/>
        </w:rPr>
        <w:t>hybrid and Italian ryegrass, using the same mixture of clover-grass seeds “</w:t>
      </w:r>
      <w:r w:rsidRPr="00144BCC">
        <w:rPr>
          <w:rFonts w:cs="Times New Roman"/>
          <w:szCs w:val="24"/>
        </w:rPr>
        <w:t>Broadsword Hi Pro</w:t>
      </w:r>
      <w:r>
        <w:rPr>
          <w:rFonts w:cs="Times New Roman"/>
          <w:szCs w:val="24"/>
        </w:rPr>
        <w:t xml:space="preserve">” (Oliver Seeds, Lincoln UK) </w:t>
      </w:r>
      <w:r w:rsidRPr="006D5C07">
        <w:rPr>
          <w:rFonts w:cs="Times New Roman"/>
          <w:szCs w:val="24"/>
        </w:rPr>
        <w:t xml:space="preserve">as planted in the leys, </w:t>
      </w:r>
      <w:r w:rsidRPr="007A148B">
        <w:rPr>
          <w:rFonts w:cs="Times New Roman"/>
          <w:szCs w:val="24"/>
        </w:rPr>
        <w:t>were scattered on the surface of each monolith</w:t>
      </w:r>
      <w:r>
        <w:rPr>
          <w:rFonts w:cs="Times New Roman"/>
          <w:szCs w:val="24"/>
        </w:rPr>
        <w:t xml:space="preserve">. The monoliths were </w:t>
      </w:r>
      <w:r w:rsidRPr="007A148B">
        <w:rPr>
          <w:rFonts w:cs="Times New Roman"/>
          <w:szCs w:val="24"/>
        </w:rPr>
        <w:t>kept in</w:t>
      </w:r>
      <w:r>
        <w:rPr>
          <w:rFonts w:cs="Times New Roman"/>
          <w:szCs w:val="24"/>
        </w:rPr>
        <w:t xml:space="preserve">doors </w:t>
      </w:r>
      <w:r w:rsidRPr="007A148B">
        <w:rPr>
          <w:rFonts w:cs="Times New Roman"/>
          <w:szCs w:val="24"/>
        </w:rPr>
        <w:t>for another 24 hours</w:t>
      </w:r>
      <w:r>
        <w:rPr>
          <w:rFonts w:cs="Times New Roman"/>
          <w:szCs w:val="24"/>
        </w:rPr>
        <w:t xml:space="preserve"> and then, o</w:t>
      </w:r>
      <w:r w:rsidRPr="007A148B">
        <w:rPr>
          <w:rFonts w:cs="Times New Roman"/>
          <w:szCs w:val="24"/>
        </w:rPr>
        <w:t>n the third day, watered to stimulate grass seed germination</w:t>
      </w:r>
      <w:r>
        <w:rPr>
          <w:rFonts w:cs="Times New Roman"/>
          <w:szCs w:val="24"/>
        </w:rPr>
        <w:t xml:space="preserve"> and </w:t>
      </w:r>
      <w:r w:rsidRPr="007A148B">
        <w:rPr>
          <w:rFonts w:cs="Times New Roman"/>
          <w:szCs w:val="24"/>
        </w:rPr>
        <w:t>moved outdoors</w:t>
      </w:r>
      <w:r>
        <w:rPr>
          <w:rFonts w:cs="Times New Roman"/>
          <w:szCs w:val="24"/>
        </w:rPr>
        <w:t>. Blocks of soil were excavated from the ley strips of the fields from which the monoliths had been extracted and the monoliths placed in the holes so that they were level with the surrounding soil. M</w:t>
      </w:r>
      <w:r w:rsidRPr="007A148B">
        <w:rPr>
          <w:rFonts w:cs="Times New Roman"/>
          <w:szCs w:val="24"/>
        </w:rPr>
        <w:t xml:space="preserve">esh fences </w:t>
      </w:r>
      <w:r>
        <w:rPr>
          <w:rFonts w:cs="Times New Roman"/>
          <w:szCs w:val="24"/>
        </w:rPr>
        <w:t>of 15 cm height and</w:t>
      </w:r>
      <w:r w:rsidRPr="007A148B">
        <w:rPr>
          <w:rFonts w:cs="Times New Roman"/>
          <w:szCs w:val="24"/>
        </w:rPr>
        <w:t xml:space="preserve"> supported by a </w:t>
      </w:r>
      <w:r>
        <w:rPr>
          <w:rFonts w:cs="Times New Roman"/>
          <w:szCs w:val="24"/>
        </w:rPr>
        <w:t>bamboo</w:t>
      </w:r>
      <w:r w:rsidRPr="007A148B">
        <w:rPr>
          <w:rFonts w:cs="Times New Roman"/>
          <w:szCs w:val="24"/>
        </w:rPr>
        <w:t xml:space="preserve"> frame were placed </w:t>
      </w:r>
      <w:r>
        <w:rPr>
          <w:rFonts w:cs="Times New Roman"/>
          <w:szCs w:val="24"/>
        </w:rPr>
        <w:t xml:space="preserve">around </w:t>
      </w:r>
      <w:r w:rsidRPr="007A148B">
        <w:rPr>
          <w:rFonts w:cs="Times New Roman"/>
          <w:szCs w:val="24"/>
        </w:rPr>
        <w:t>the monoliths to prevent earthworms coming in and out</w:t>
      </w:r>
      <w:r>
        <w:rPr>
          <w:rFonts w:cs="Times New Roman"/>
          <w:szCs w:val="24"/>
        </w:rPr>
        <w:t xml:space="preserve"> over the surface</w:t>
      </w:r>
      <w:r w:rsidRPr="007A148B">
        <w:rPr>
          <w:rFonts w:cs="Times New Roman"/>
          <w:szCs w:val="24"/>
        </w:rPr>
        <w:t xml:space="preserve">. </w:t>
      </w:r>
    </w:p>
    <w:p w14:paraId="3FDC4DAF" w14:textId="77777777" w:rsidR="0038409E" w:rsidRPr="00CA44CD" w:rsidRDefault="0038409E" w:rsidP="001448A4">
      <w:pPr>
        <w:pStyle w:val="Heading3"/>
        <w:numPr>
          <w:ilvl w:val="1"/>
          <w:numId w:val="14"/>
        </w:numPr>
        <w:spacing w:before="360" w:after="200" w:line="480" w:lineRule="auto"/>
      </w:pPr>
      <w:r w:rsidRPr="00CA44CD">
        <w:t>Earthworm collection and culturing</w:t>
      </w:r>
    </w:p>
    <w:p w14:paraId="019D1303" w14:textId="77777777" w:rsidR="0038409E" w:rsidRDefault="0038409E" w:rsidP="001448A4">
      <w:pPr>
        <w:spacing w:line="480" w:lineRule="auto"/>
        <w:jc w:val="both"/>
        <w:rPr>
          <w:rFonts w:cs="Times New Roman"/>
          <w:szCs w:val="24"/>
        </w:rPr>
      </w:pPr>
      <w:r>
        <w:rPr>
          <w:rFonts w:cs="Times New Roman"/>
          <w:szCs w:val="24"/>
        </w:rPr>
        <w:t>Three defaunated monoliths per replicate field were repopulated with e</w:t>
      </w:r>
      <w:r w:rsidRPr="002C1238">
        <w:rPr>
          <w:rFonts w:cs="Times New Roman"/>
          <w:szCs w:val="24"/>
        </w:rPr>
        <w:t>arthworm</w:t>
      </w:r>
      <w:r>
        <w:rPr>
          <w:rFonts w:cs="Times New Roman"/>
          <w:szCs w:val="24"/>
        </w:rPr>
        <w:t>s. Although earthworm populations will not instantaneously return to pasture levels when arable soils are put into ley, our data from the main SoilBioHedge experiment (unpublished) indicate that earthworm populations within the ley strips reach levels equivalent to the nearby pasture within two years. Therefore</w:t>
      </w:r>
      <w:r w:rsidR="00CC3C82">
        <w:rPr>
          <w:rFonts w:cs="Times New Roman"/>
          <w:szCs w:val="24"/>
        </w:rPr>
        <w:t>,</w:t>
      </w:r>
      <w:r>
        <w:rPr>
          <w:rFonts w:cs="Times New Roman"/>
          <w:szCs w:val="24"/>
        </w:rPr>
        <w:t xml:space="preserve"> we repopulated the monoliths to give a population diversity and density based on </w:t>
      </w:r>
      <w:r w:rsidRPr="002C1238">
        <w:rPr>
          <w:rFonts w:cs="Times New Roman"/>
          <w:szCs w:val="24"/>
        </w:rPr>
        <w:t xml:space="preserve">that </w:t>
      </w:r>
      <w:r w:rsidRPr="007152D5">
        <w:rPr>
          <w:rFonts w:cs="Times New Roman"/>
          <w:szCs w:val="24"/>
        </w:rPr>
        <w:t xml:space="preserve">measured previously by ourselves </w:t>
      </w:r>
      <w:r w:rsidRPr="002C1238">
        <w:rPr>
          <w:rFonts w:cs="Times New Roman"/>
          <w:szCs w:val="24"/>
        </w:rPr>
        <w:t>in</w:t>
      </w:r>
      <w:r>
        <w:rPr>
          <w:rFonts w:cs="Times New Roman"/>
          <w:szCs w:val="24"/>
        </w:rPr>
        <w:t xml:space="preserve"> nearby </w:t>
      </w:r>
      <w:r w:rsidRPr="002C1238">
        <w:rPr>
          <w:rFonts w:cs="Times New Roman"/>
          <w:szCs w:val="24"/>
        </w:rPr>
        <w:t>pasture field</w:t>
      </w:r>
      <w:r>
        <w:rPr>
          <w:rFonts w:cs="Times New Roman"/>
          <w:szCs w:val="24"/>
        </w:rPr>
        <w:t>s</w:t>
      </w:r>
      <w:r w:rsidRPr="002C1238">
        <w:rPr>
          <w:rFonts w:cs="Times New Roman"/>
          <w:szCs w:val="24"/>
        </w:rPr>
        <w:t xml:space="preserve"> </w:t>
      </w:r>
      <w:r>
        <w:rPr>
          <w:rFonts w:cs="Times New Roman"/>
          <w:szCs w:val="24"/>
        </w:rPr>
        <w:t>(</w:t>
      </w:r>
      <w:bookmarkStart w:id="10" w:name="_Hlk526691498"/>
      <w:r>
        <w:rPr>
          <w:rFonts w:cs="Times New Roman"/>
          <w:szCs w:val="24"/>
        </w:rPr>
        <w:t>Valley Field and Warren Paddock</w:t>
      </w:r>
      <w:bookmarkEnd w:id="10"/>
      <w:r>
        <w:rPr>
          <w:rFonts w:cs="Times New Roman"/>
          <w:szCs w:val="24"/>
        </w:rPr>
        <w:t xml:space="preserve">, Figure 1) on the same farm </w:t>
      </w:r>
      <w:r w:rsidRPr="002C1238">
        <w:rPr>
          <w:rFonts w:cs="Times New Roman"/>
          <w:szCs w:val="24"/>
        </w:rPr>
        <w:t>in December 2016</w:t>
      </w:r>
      <w:r>
        <w:rPr>
          <w:rFonts w:cs="Times New Roman"/>
          <w:szCs w:val="24"/>
        </w:rPr>
        <w:t xml:space="preserve"> (Table 2)</w:t>
      </w:r>
      <w:r w:rsidRPr="002C1238">
        <w:rPr>
          <w:rFonts w:cs="Times New Roman"/>
          <w:szCs w:val="24"/>
        </w:rPr>
        <w:t>.</w:t>
      </w:r>
      <w:r>
        <w:rPr>
          <w:rFonts w:cs="Times New Roman"/>
          <w:szCs w:val="24"/>
        </w:rPr>
        <w:t xml:space="preserve"> </w:t>
      </w:r>
      <w:r w:rsidRPr="00044C59">
        <w:rPr>
          <w:rFonts w:cs="Times New Roman"/>
          <w:szCs w:val="24"/>
        </w:rPr>
        <w:t xml:space="preserve">Earthworms were collected </w:t>
      </w:r>
      <w:r>
        <w:rPr>
          <w:rFonts w:cs="Times New Roman"/>
          <w:szCs w:val="24"/>
        </w:rPr>
        <w:t xml:space="preserve">from pasture fields by excavating the soil </w:t>
      </w:r>
      <w:r w:rsidRPr="00044C59">
        <w:rPr>
          <w:rFonts w:cs="Times New Roman"/>
          <w:szCs w:val="24"/>
        </w:rPr>
        <w:t xml:space="preserve">to a </w:t>
      </w:r>
      <w:r>
        <w:rPr>
          <w:rFonts w:cs="Times New Roman"/>
          <w:szCs w:val="24"/>
        </w:rPr>
        <w:t>depth of 20</w:t>
      </w:r>
      <w:r w:rsidRPr="00044C59">
        <w:rPr>
          <w:rFonts w:cs="Times New Roman"/>
          <w:szCs w:val="24"/>
        </w:rPr>
        <w:t xml:space="preserve"> cm </w:t>
      </w:r>
      <w:r>
        <w:rPr>
          <w:rFonts w:cs="Times New Roman"/>
          <w:szCs w:val="24"/>
        </w:rPr>
        <w:t>and</w:t>
      </w:r>
      <w:r w:rsidRPr="00044C59">
        <w:rPr>
          <w:rFonts w:cs="Times New Roman"/>
          <w:szCs w:val="24"/>
        </w:rPr>
        <w:t xml:space="preserve"> hand </w:t>
      </w:r>
      <w:r>
        <w:rPr>
          <w:rFonts w:cs="Times New Roman"/>
          <w:szCs w:val="24"/>
        </w:rPr>
        <w:t>sorting. The earthworms were classified using the</w:t>
      </w:r>
      <w:r w:rsidRPr="00044C59">
        <w:rPr>
          <w:rFonts w:cs="Times New Roman"/>
          <w:szCs w:val="24"/>
        </w:rPr>
        <w:t xml:space="preserve"> </w:t>
      </w:r>
      <w:r w:rsidRPr="009E43FB">
        <w:rPr>
          <w:rFonts w:cs="Times New Roman"/>
          <w:szCs w:val="24"/>
        </w:rPr>
        <w:t xml:space="preserve">OPAL </w:t>
      </w:r>
      <w:r>
        <w:rPr>
          <w:rFonts w:cs="Times New Roman"/>
          <w:szCs w:val="24"/>
        </w:rPr>
        <w:t>earthworm identification key</w:t>
      </w:r>
      <w:r w:rsidR="00CC3C82">
        <w:rPr>
          <w:rFonts w:cs="Times New Roman"/>
          <w:szCs w:val="24"/>
        </w:rPr>
        <w:t xml:space="preserve"> </w:t>
      </w:r>
      <w:r w:rsidR="00CC3C82">
        <w:rPr>
          <w:rFonts w:cs="Times New Roman"/>
          <w:szCs w:val="24"/>
        </w:rPr>
        <w:fldChar w:fldCharType="begin" w:fldLock="1"/>
      </w:r>
      <w:r w:rsidR="00CC3C82">
        <w:rPr>
          <w:rFonts w:cs="Times New Roman"/>
          <w:szCs w:val="24"/>
        </w:rPr>
        <w:instrText>ADDIN CSL_CITATION {"citationItems":[{"id":"ITEM-1","itemData":{"author":[{"dropping-particle":"","family":"Jones","given":"David T","non-dropping-particle":"","parse-names":false,"suffix":""},{"dropping-particle":"","family":"Lowe","given":"Chris N","non-dropping-particle":"","parse-names":false,"suffix":""}],"id":"ITEM-1","issued":{"date-parts":[["2009"]]},"publisher":"OPAL Soil Centre, Imperial College London","publisher-place":"UK","title":"Key to common british earthworms","type":"article"},"uris":["http://www.mendeley.com/documents/?uuid=3cc21c34-b4b6-4495-88dc-a018409435c9"]}],"mendeley":{"formattedCitation":"(Jones and Lowe, 2009)","plainTextFormattedCitation":"(Jones and Lowe, 2009)","previouslyFormattedCitation":"(Jones and Lowe, 2009)"},"properties":{"noteIndex":0},"schema":"https://github.com/citation-style-language/schema/raw/master/csl-citation.json"}</w:instrText>
      </w:r>
      <w:r w:rsidR="00CC3C82">
        <w:rPr>
          <w:rFonts w:cs="Times New Roman"/>
          <w:szCs w:val="24"/>
        </w:rPr>
        <w:fldChar w:fldCharType="separate"/>
      </w:r>
      <w:r w:rsidR="00CC3C82" w:rsidRPr="00CC3C82">
        <w:rPr>
          <w:rFonts w:cs="Times New Roman"/>
          <w:noProof/>
          <w:szCs w:val="24"/>
        </w:rPr>
        <w:t>(Jones and Lowe, 2009)</w:t>
      </w:r>
      <w:r w:rsidR="00CC3C82">
        <w:rPr>
          <w:rFonts w:cs="Times New Roman"/>
          <w:szCs w:val="24"/>
        </w:rPr>
        <w:fldChar w:fldCharType="end"/>
      </w:r>
      <w:r w:rsidR="00CC3C82">
        <w:rPr>
          <w:rFonts w:cs="Times New Roman"/>
          <w:szCs w:val="24"/>
        </w:rPr>
        <w:t>,</w:t>
      </w:r>
      <w:r>
        <w:rPr>
          <w:rFonts w:cs="Times New Roman"/>
          <w:szCs w:val="24"/>
        </w:rPr>
        <w:t xml:space="preserve"> rinsed</w:t>
      </w:r>
      <w:r w:rsidRPr="00801B0E">
        <w:rPr>
          <w:rFonts w:cs="Times New Roman"/>
          <w:szCs w:val="24"/>
        </w:rPr>
        <w:t xml:space="preserve"> with deionized water</w:t>
      </w:r>
      <w:r>
        <w:rPr>
          <w:rFonts w:cs="Times New Roman"/>
          <w:szCs w:val="24"/>
        </w:rPr>
        <w:t xml:space="preserve"> and placed </w:t>
      </w:r>
      <w:r w:rsidRPr="00012D6D">
        <w:rPr>
          <w:rFonts w:cs="Times New Roman"/>
          <w:szCs w:val="24"/>
        </w:rPr>
        <w:t xml:space="preserve">in containers </w:t>
      </w:r>
      <w:r>
        <w:rPr>
          <w:rFonts w:cs="Times New Roman"/>
          <w:szCs w:val="24"/>
        </w:rPr>
        <w:t>of</w:t>
      </w:r>
      <w:r w:rsidRPr="00012D6D">
        <w:rPr>
          <w:rFonts w:cs="Times New Roman"/>
          <w:szCs w:val="24"/>
        </w:rPr>
        <w:t xml:space="preserve"> soil </w:t>
      </w:r>
      <w:r>
        <w:rPr>
          <w:rFonts w:cs="Times New Roman"/>
          <w:szCs w:val="24"/>
        </w:rPr>
        <w:t xml:space="preserve">from each field from which the monoliths had been extracted </w:t>
      </w:r>
      <w:r w:rsidRPr="00012D6D">
        <w:rPr>
          <w:rFonts w:cs="Times New Roman"/>
          <w:szCs w:val="24"/>
        </w:rPr>
        <w:t xml:space="preserve">and </w:t>
      </w:r>
      <w:r w:rsidRPr="00C71569">
        <w:rPr>
          <w:rFonts w:cs="Times New Roman"/>
          <w:szCs w:val="24"/>
        </w:rPr>
        <w:t>maintained</w:t>
      </w:r>
      <w:r w:rsidRPr="00012D6D">
        <w:rPr>
          <w:rFonts w:cs="Times New Roman"/>
          <w:szCs w:val="24"/>
        </w:rPr>
        <w:t xml:space="preserve"> </w:t>
      </w:r>
      <w:r>
        <w:rPr>
          <w:rFonts w:cs="Times New Roman"/>
          <w:szCs w:val="24"/>
        </w:rPr>
        <w:t xml:space="preserve">at </w:t>
      </w:r>
      <w:r w:rsidRPr="00012D6D">
        <w:rPr>
          <w:rFonts w:cs="Times New Roman"/>
          <w:szCs w:val="24"/>
        </w:rPr>
        <w:t>15</w:t>
      </w:r>
      <w:r>
        <w:rPr>
          <w:rFonts w:cs="Times New Roman"/>
          <w:szCs w:val="24"/>
        </w:rPr>
        <w:t xml:space="preserve"> </w:t>
      </w:r>
      <w:r w:rsidRPr="00012D6D">
        <w:rPr>
          <w:rFonts w:cs="Times New Roman"/>
          <w:szCs w:val="24"/>
        </w:rPr>
        <w:t xml:space="preserve">°C </w:t>
      </w:r>
      <w:r>
        <w:rPr>
          <w:rFonts w:cs="Times New Roman"/>
          <w:szCs w:val="24"/>
        </w:rPr>
        <w:t>in</w:t>
      </w:r>
      <w:r w:rsidRPr="00012D6D">
        <w:rPr>
          <w:rFonts w:cs="Times New Roman"/>
          <w:szCs w:val="24"/>
        </w:rPr>
        <w:t xml:space="preserve"> darkness</w:t>
      </w:r>
      <w:r w:rsidR="00CC3C82">
        <w:rPr>
          <w:rFonts w:cs="Times New Roman"/>
          <w:szCs w:val="24"/>
        </w:rPr>
        <w:t xml:space="preserve"> </w:t>
      </w:r>
      <w:r w:rsidR="00CC3C82">
        <w:rPr>
          <w:rFonts w:cs="Times New Roman"/>
          <w:szCs w:val="24"/>
        </w:rPr>
        <w:fldChar w:fldCharType="begin" w:fldLock="1"/>
      </w:r>
      <w:r w:rsidR="00CC3C82">
        <w:rPr>
          <w:rFonts w:cs="Times New Roman"/>
          <w:szCs w:val="24"/>
        </w:rPr>
        <w:instrText>ADDIN CSL_CITATION {"citationItems":[{"id":"ITEM-1","itemData":{"ISBN":"0031-4056","abstract":"Laboratory based experiments were carried out to assess the effects of temperatures, in the range 0-25-degrees-C, on intensive production of the earthworm Lumbricus terrestris L. Each phase of the life cycle was examined. Cocoon production of 25.3 cocoons, over a continuous twelve months, was greatest at a constant 15-degrees-C compared with two fluctuating temperature regimes. Length of cocoon incubation was shortest at 20-degrees-C, taking 70 days, with hatchability at 74%. With a feed of paper pulp, greatest hatchling growth rates of 20-30 mg . g-1 . d -1 were recorded at 20-degrees-C. Hatchling mortality at twenty weeks was less than 13% at all temperatures tested below 25-degrees-C. A temperature between 15 and 20-degrees-C was concluded to be the most satisfactory for overall L. terrestris production.","author":[{"dropping-particle":"","family":"Butt","given":"K R","non-dropping-particle":"","parse-names":false,"suffix":""}],"container-title":"Pedobiologia","id":"ITEM-1","issue":"4","issued":{"date-parts":[["1991"]]},"language":"English","note":"Gb127\nTimes Cited:46\nCited References Count:35","page":"257-264","title":"The effects of temperature on the intensive production of lumbricus-terrestris (Oligochaeta, Lumbricidae)","type":"article-journal","volume":"35"},"uris":["http://www.mendeley.com/documents/?uuid=115db58c-76e0-4a40-b89d-416fbe202eb4"]}],"mendeley":{"formattedCitation":"(Butt, 1991)","plainTextFormattedCitation":"(Butt, 1991)","previouslyFormattedCitation":"(Butt, 1991)"},"properties":{"noteIndex":0},"schema":"https://github.com/citation-style-language/schema/raw/master/csl-citation.json"}</w:instrText>
      </w:r>
      <w:r w:rsidR="00CC3C82">
        <w:rPr>
          <w:rFonts w:cs="Times New Roman"/>
          <w:szCs w:val="24"/>
        </w:rPr>
        <w:fldChar w:fldCharType="separate"/>
      </w:r>
      <w:r w:rsidR="00CC3C82" w:rsidRPr="00CC3C82">
        <w:rPr>
          <w:rFonts w:cs="Times New Roman"/>
          <w:noProof/>
          <w:szCs w:val="24"/>
        </w:rPr>
        <w:t>(Butt, 1991)</w:t>
      </w:r>
      <w:r w:rsidR="00CC3C82">
        <w:rPr>
          <w:rFonts w:cs="Times New Roman"/>
          <w:szCs w:val="24"/>
        </w:rPr>
        <w:fldChar w:fldCharType="end"/>
      </w:r>
      <w:r w:rsidRPr="00012D6D">
        <w:rPr>
          <w:rFonts w:cs="Times New Roman"/>
          <w:szCs w:val="24"/>
        </w:rPr>
        <w:t xml:space="preserve"> </w:t>
      </w:r>
      <w:r>
        <w:rPr>
          <w:rFonts w:cs="Times New Roman"/>
          <w:szCs w:val="24"/>
        </w:rPr>
        <w:t>to ensure that individuals were viable</w:t>
      </w:r>
      <w:r w:rsidRPr="002D59CE">
        <w:rPr>
          <w:rFonts w:cs="Times New Roman"/>
          <w:szCs w:val="24"/>
        </w:rPr>
        <w:t xml:space="preserve"> </w:t>
      </w:r>
      <w:r w:rsidRPr="00C71569">
        <w:rPr>
          <w:rFonts w:cs="Times New Roman"/>
          <w:szCs w:val="24"/>
        </w:rPr>
        <w:t>prior to the experiment</w:t>
      </w:r>
      <w:r>
        <w:rPr>
          <w:rFonts w:cs="Times New Roman"/>
          <w:szCs w:val="24"/>
        </w:rPr>
        <w:t>.</w:t>
      </w:r>
      <w:r w:rsidRPr="00012D6D">
        <w:rPr>
          <w:rFonts w:cs="Times New Roman"/>
          <w:szCs w:val="24"/>
        </w:rPr>
        <w:t xml:space="preserve"> </w:t>
      </w:r>
      <w:r w:rsidRPr="00801B0E">
        <w:rPr>
          <w:rFonts w:cs="Times New Roman"/>
          <w:szCs w:val="24"/>
        </w:rPr>
        <w:t>After 3 days</w:t>
      </w:r>
      <w:r>
        <w:rPr>
          <w:rFonts w:cs="Times New Roman"/>
          <w:szCs w:val="24"/>
        </w:rPr>
        <w:t xml:space="preserve"> </w:t>
      </w:r>
      <w:r w:rsidRPr="00801B0E">
        <w:rPr>
          <w:rFonts w:cs="Times New Roman"/>
          <w:szCs w:val="24"/>
        </w:rPr>
        <w:t>acclimati</w:t>
      </w:r>
      <w:r>
        <w:rPr>
          <w:rFonts w:cs="Times New Roman"/>
          <w:szCs w:val="24"/>
        </w:rPr>
        <w:t>zation</w:t>
      </w:r>
      <w:r w:rsidRPr="00801B0E">
        <w:rPr>
          <w:rFonts w:cs="Times New Roman"/>
          <w:szCs w:val="24"/>
        </w:rPr>
        <w:t xml:space="preserve">, the viable adult earthworms were </w:t>
      </w:r>
      <w:r>
        <w:rPr>
          <w:rFonts w:cs="Times New Roman"/>
          <w:szCs w:val="24"/>
        </w:rPr>
        <w:t>rinsed</w:t>
      </w:r>
      <w:r w:rsidRPr="00801B0E">
        <w:rPr>
          <w:rFonts w:cs="Times New Roman"/>
          <w:szCs w:val="24"/>
        </w:rPr>
        <w:t xml:space="preserve"> again with deionized water, </w:t>
      </w:r>
      <w:r>
        <w:rPr>
          <w:rFonts w:cs="Times New Roman"/>
          <w:szCs w:val="24"/>
        </w:rPr>
        <w:t xml:space="preserve">dried </w:t>
      </w:r>
      <w:r w:rsidRPr="00801B0E">
        <w:rPr>
          <w:rFonts w:cs="Times New Roman"/>
          <w:szCs w:val="24"/>
        </w:rPr>
        <w:t xml:space="preserve">with tissue paper, weighed and </w:t>
      </w:r>
      <w:r>
        <w:rPr>
          <w:rFonts w:cs="Times New Roman"/>
          <w:szCs w:val="24"/>
        </w:rPr>
        <w:t>put in containers ready for inoculation at the surface of the DeF+E monoliths. Earthworms were placed on the surface of the monoliths and watched until they had completely entered the soil to avoid losses to birds or other earthworm predators.</w:t>
      </w:r>
    </w:p>
    <w:p w14:paraId="01EF04CE" w14:textId="77777777" w:rsidR="0038409E" w:rsidRDefault="0038409E" w:rsidP="001448A4">
      <w:pPr>
        <w:spacing w:line="480" w:lineRule="auto"/>
        <w:jc w:val="both"/>
        <w:rPr>
          <w:rFonts w:cs="Times New Roman"/>
          <w:szCs w:val="24"/>
        </w:rPr>
      </w:pPr>
      <w:r>
        <w:rPr>
          <w:rFonts w:cs="Times New Roman"/>
          <w:szCs w:val="24"/>
        </w:rPr>
        <w:t>To ensure earthworm inoculation success and survival of the more vulnerable species during the experiment we followed the recommendations of</w:t>
      </w:r>
      <w:r w:rsidR="00CC3C82">
        <w:rPr>
          <w:rFonts w:cs="Times New Roman"/>
          <w:szCs w:val="24"/>
        </w:rPr>
        <w:t xml:space="preserve"> </w:t>
      </w:r>
      <w:r w:rsidR="00CC3C82">
        <w:rPr>
          <w:rFonts w:cs="Times New Roman"/>
          <w:szCs w:val="24"/>
        </w:rPr>
        <w:fldChar w:fldCharType="begin" w:fldLock="1"/>
      </w:r>
      <w:r w:rsidR="00CC3C82">
        <w:rPr>
          <w:rFonts w:cs="Times New Roman"/>
          <w:szCs w:val="24"/>
        </w:rPr>
        <w:instrText>ADDIN CSL_CITATION {"citationItems":[{"id":"ITEM-1","itemData":{"DOI":"doi:10.1111/j.1526-100X.2008.00483.x","abstract":"Abstract Restoration ecology requires theoretical consideration of a habitat’s former structure and function before the practice of ecological restoration is applied. However, experience has shown that this does not always occur and aspects such as soil ecology have often been an afterthought. Here, case study material relates the use of earthworms at selected sites in the United Kingdom. Due to their soil-forming capabilities, these organisms may be essential to reconstruction of soils when drastic activities have despoiled an area. While describing in brief the type of work undertaken, these case studies seek to illustrate some of the misunderstandings/problems/deliberately negative acts that have too often accompanied use of earthworms in soil restoration. From such experiences, implications for practice are suggested that should lead to a greater understanding and appropriate utilization of earthworms in future projects.","author":[{"dropping-particle":"","family":"Butt","given":"Kevin R","non-dropping-particle":"","parse-names":false,"suffix":""}],"container-title":"Restoration Ecology","id":"ITEM-1","issue":"4","issued":{"date-parts":[["2008"]]},"page":"637-641","title":"Earthworms in Soil Restoration: Lessons Learned from United Kingdom Case Studies of Land Reclamation","type":"article-journal","volume":"16"},"uris":["http://www.mendeley.com/documents/?uuid=a6c2d4ae-cdb7-411b-9b7e-4858ae35dd63"]}],"mendeley":{"formattedCitation":"(Butt, 2008)","plainTextFormattedCitation":"(Butt, 2008)","previouslyFormattedCitation":"(Butt, 2008)"},"properties":{"noteIndex":0},"schema":"https://github.com/citation-style-language/schema/raw/master/csl-citation.json"}</w:instrText>
      </w:r>
      <w:r w:rsidR="00CC3C82">
        <w:rPr>
          <w:rFonts w:cs="Times New Roman"/>
          <w:szCs w:val="24"/>
        </w:rPr>
        <w:fldChar w:fldCharType="separate"/>
      </w:r>
      <w:r w:rsidR="00CC3C82" w:rsidRPr="00CC3C82">
        <w:rPr>
          <w:rFonts w:cs="Times New Roman"/>
          <w:noProof/>
          <w:szCs w:val="24"/>
        </w:rPr>
        <w:t>(Butt, 2008)</w:t>
      </w:r>
      <w:r w:rsidR="00CC3C82">
        <w:rPr>
          <w:rFonts w:cs="Times New Roman"/>
          <w:szCs w:val="24"/>
        </w:rPr>
        <w:fldChar w:fldCharType="end"/>
      </w:r>
      <w:r>
        <w:rPr>
          <w:rFonts w:cs="Times New Roman"/>
          <w:szCs w:val="24"/>
        </w:rPr>
        <w:t xml:space="preserve"> in repeating additions after the summer. Our main concern was earthworm survival during high summer temperatures (see </w:t>
      </w:r>
      <w:r w:rsidRPr="00EF42B9">
        <w:rPr>
          <w:rFonts w:cs="Times New Roman"/>
          <w:szCs w:val="24"/>
        </w:rPr>
        <w:t>Table S</w:t>
      </w:r>
      <w:r>
        <w:rPr>
          <w:rFonts w:cs="Times New Roman"/>
          <w:szCs w:val="24"/>
        </w:rPr>
        <w:t xml:space="preserve">3) and low soil moisture conditions, </w:t>
      </w:r>
      <w:r w:rsidRPr="009B6547">
        <w:rPr>
          <w:rFonts w:cs="Times New Roman"/>
          <w:szCs w:val="24"/>
        </w:rPr>
        <w:t xml:space="preserve">as the depth of the boxes </w:t>
      </w:r>
      <w:r>
        <w:rPr>
          <w:rFonts w:cs="Times New Roman"/>
          <w:szCs w:val="24"/>
        </w:rPr>
        <w:t>limits the depth to which earthworms can retreat from surface conditions. Earthworms were therefore added to the DeF+E monoliths twice, on 31</w:t>
      </w:r>
      <w:r w:rsidRPr="00476B2A">
        <w:rPr>
          <w:rFonts w:cs="Times New Roman"/>
          <w:szCs w:val="24"/>
          <w:vertAlign w:val="superscript"/>
        </w:rPr>
        <w:t>st</w:t>
      </w:r>
      <w:r>
        <w:rPr>
          <w:rFonts w:cs="Times New Roman"/>
          <w:szCs w:val="24"/>
        </w:rPr>
        <w:t xml:space="preserve"> of March 2017 at the start of the experiment, and again on the 15</w:t>
      </w:r>
      <w:r w:rsidRPr="004918E9">
        <w:rPr>
          <w:rFonts w:cs="Times New Roman"/>
          <w:szCs w:val="24"/>
          <w:vertAlign w:val="superscript"/>
        </w:rPr>
        <w:t>th</w:t>
      </w:r>
      <w:r>
        <w:rPr>
          <w:rFonts w:cs="Times New Roman"/>
          <w:szCs w:val="24"/>
        </w:rPr>
        <w:t xml:space="preserve"> of November 2017, at approximately the same density and species composition (we were unable to collect sufficient </w:t>
      </w:r>
      <w:r w:rsidRPr="00756FB9">
        <w:rPr>
          <w:rFonts w:cs="Times New Roman"/>
          <w:i/>
          <w:iCs/>
          <w:szCs w:val="24"/>
          <w:lang w:val="en-GB" w:eastAsia="en-GB"/>
        </w:rPr>
        <w:t>Allolobophora longa</w:t>
      </w:r>
      <w:r>
        <w:rPr>
          <w:rFonts w:cs="Times New Roman"/>
          <w:szCs w:val="24"/>
        </w:rPr>
        <w:t xml:space="preserve"> in March 2017 and sufficient </w:t>
      </w:r>
      <w:r w:rsidRPr="003362F8">
        <w:rPr>
          <w:rFonts w:cs="Times New Roman"/>
          <w:i/>
          <w:szCs w:val="24"/>
        </w:rPr>
        <w:t>Lumbricus castaneus</w:t>
      </w:r>
      <w:r>
        <w:rPr>
          <w:rFonts w:cs="Times New Roman"/>
          <w:szCs w:val="24"/>
        </w:rPr>
        <w:t xml:space="preserve"> </w:t>
      </w:r>
      <w:r w:rsidRPr="003362F8">
        <w:rPr>
          <w:rFonts w:cs="Times New Roman"/>
          <w:szCs w:val="24"/>
        </w:rPr>
        <w:t xml:space="preserve">and </w:t>
      </w:r>
      <w:r w:rsidRPr="003362F8">
        <w:rPr>
          <w:rFonts w:cs="Times New Roman"/>
          <w:i/>
          <w:szCs w:val="24"/>
        </w:rPr>
        <w:t>Aporrectodea rosea</w:t>
      </w:r>
      <w:r w:rsidRPr="003362F8">
        <w:rPr>
          <w:rFonts w:cs="Times New Roman"/>
          <w:szCs w:val="24"/>
        </w:rPr>
        <w:t xml:space="preserve"> </w:t>
      </w:r>
      <w:r>
        <w:rPr>
          <w:rFonts w:cs="Times New Roman"/>
          <w:szCs w:val="24"/>
        </w:rPr>
        <w:t>for the November 2017 restock, Table 2</w:t>
      </w:r>
      <w:r w:rsidRPr="004918E9">
        <w:t xml:space="preserve">, </w:t>
      </w:r>
      <w:r>
        <w:t xml:space="preserve">and </w:t>
      </w:r>
      <w:r w:rsidRPr="00EF42B9">
        <w:t>Table S</w:t>
      </w:r>
      <w:r>
        <w:t xml:space="preserve">2 </w:t>
      </w:r>
      <w:r w:rsidRPr="004918E9">
        <w:t xml:space="preserve">for </w:t>
      </w:r>
      <w:r>
        <w:t xml:space="preserve">further </w:t>
      </w:r>
      <w:r w:rsidRPr="004918E9">
        <w:t>details).</w:t>
      </w:r>
      <w:r>
        <w:rPr>
          <w:rFonts w:cs="Times New Roman"/>
          <w:szCs w:val="24"/>
        </w:rPr>
        <w:t xml:space="preserve"> To reduce the abundance of earthworms, that </w:t>
      </w:r>
      <w:r w:rsidRPr="00E47789">
        <w:rPr>
          <w:rFonts w:cs="Times New Roman"/>
          <w:szCs w:val="24"/>
        </w:rPr>
        <w:t>despite the barriers had managed to recolonize</w:t>
      </w:r>
      <w:r>
        <w:rPr>
          <w:rFonts w:cs="Times New Roman"/>
          <w:szCs w:val="24"/>
        </w:rPr>
        <w:t xml:space="preserve"> the DeF monoliths, we applied </w:t>
      </w:r>
      <w:r>
        <w:rPr>
          <w:rFonts w:cs="Calibri"/>
        </w:rPr>
        <w:t>up to 3 L of a</w:t>
      </w:r>
      <w:r w:rsidRPr="00907F6B">
        <w:rPr>
          <w:rFonts w:cs="Calibri"/>
        </w:rPr>
        <w:t>llyl isothiocyanate</w:t>
      </w:r>
      <w:r>
        <w:rPr>
          <w:rFonts w:cs="Calibri"/>
        </w:rPr>
        <w:t xml:space="preserve"> </w:t>
      </w:r>
      <w:r w:rsidRPr="00166BE4">
        <w:rPr>
          <w:rFonts w:cs="Calibri"/>
        </w:rPr>
        <w:t xml:space="preserve">at 0.1g </w:t>
      </w:r>
      <w:r>
        <w:rPr>
          <w:rFonts w:cs="Calibri"/>
        </w:rPr>
        <w:t>L</w:t>
      </w:r>
      <w:r w:rsidRPr="00166BE4">
        <w:rPr>
          <w:rFonts w:cs="Calibri"/>
          <w:vertAlign w:val="superscript"/>
        </w:rPr>
        <w:t>-1</w:t>
      </w:r>
      <w:r>
        <w:rPr>
          <w:rFonts w:cs="Calibri"/>
        </w:rPr>
        <w:t xml:space="preserve"> per monolith</w:t>
      </w:r>
      <w:r w:rsidR="00CC3C82">
        <w:rPr>
          <w:rFonts w:cs="Calibri"/>
        </w:rPr>
        <w:t xml:space="preserve"> </w:t>
      </w:r>
      <w:r w:rsidR="00CC3C82">
        <w:rPr>
          <w:rFonts w:cs="Calibri"/>
        </w:rPr>
        <w:fldChar w:fldCharType="begin" w:fldLock="1"/>
      </w:r>
      <w:r w:rsidR="001448A4">
        <w:rPr>
          <w:rFonts w:cs="Calibri"/>
        </w:rPr>
        <w:instrText>ADDIN CSL_CITATION {"citationItems":[{"id":"ITEM-1","itemData":{"DOI":"https://doi.org/10.1016/S0929-1393(02)00106-3","ISBN":"0929-1393","author":[{"dropping-particle":"","family":"Zaborski","given":"Edmond R","non-dropping-particle":"","parse-names":false,"suffix":""}],"container-title":"Applied Soil Ecology","id":"ITEM-1","issue":"1","issued":{"date-parts":[["2003"]]},"page":"87-95","title":"Allyl isothiocyanate: an alternative chemical expellant for sampling earthworms","type":"article-journal","volume":"22"},"uris":["http://www.mendeley.com/documents/?uuid=33fbebbe-68d5-4d96-82e2-e308b1e46413"]}],"mendeley":{"formattedCitation":"(Zaborski, 2003)","plainTextFormattedCitation":"(Zaborski, 2003)","previouslyFormattedCitation":"(Zaborski, 2003)"},"properties":{"noteIndex":0},"schema":"https://github.com/citation-style-language/schema/raw/master/csl-citation.json"}</w:instrText>
      </w:r>
      <w:r w:rsidR="00CC3C82">
        <w:rPr>
          <w:rFonts w:cs="Calibri"/>
        </w:rPr>
        <w:fldChar w:fldCharType="separate"/>
      </w:r>
      <w:r w:rsidR="00CC3C82" w:rsidRPr="00CC3C82">
        <w:rPr>
          <w:rFonts w:cs="Calibri"/>
          <w:noProof/>
        </w:rPr>
        <w:t>(Zaborski, 2003)</w:t>
      </w:r>
      <w:r w:rsidR="00CC3C82">
        <w:rPr>
          <w:rFonts w:cs="Calibri"/>
        </w:rPr>
        <w:fldChar w:fldCharType="end"/>
      </w:r>
      <w:r w:rsidR="00CC3C82">
        <w:rPr>
          <w:rFonts w:cs="Calibri"/>
        </w:rPr>
        <w:t xml:space="preserve"> </w:t>
      </w:r>
      <w:r>
        <w:rPr>
          <w:rFonts w:cs="Times New Roman"/>
          <w:szCs w:val="24"/>
        </w:rPr>
        <w:t xml:space="preserve">in November 2017, when the soil moisture content was approaching field capacity and earthworms were very active, to expel any earthworms. We found 0 – 8 adults and 1 – 14 juveniles in each monolith, (see </w:t>
      </w:r>
      <w:r w:rsidRPr="00EF42B9">
        <w:rPr>
          <w:rFonts w:cs="Times New Roman"/>
          <w:szCs w:val="24"/>
        </w:rPr>
        <w:t>Table S</w:t>
      </w:r>
      <w:r>
        <w:rPr>
          <w:rFonts w:cs="Times New Roman"/>
          <w:szCs w:val="24"/>
        </w:rPr>
        <w:t xml:space="preserve">4 </w:t>
      </w:r>
      <w:r w:rsidRPr="00160A0F">
        <w:rPr>
          <w:rFonts w:cs="Times New Roman"/>
          <w:szCs w:val="24"/>
        </w:rPr>
        <w:t>for details</w:t>
      </w:r>
      <w:r>
        <w:rPr>
          <w:rFonts w:cs="Times New Roman"/>
          <w:szCs w:val="24"/>
        </w:rPr>
        <w:t>).</w:t>
      </w:r>
    </w:p>
    <w:p w14:paraId="4997F47B" w14:textId="77777777" w:rsidR="0038409E" w:rsidRDefault="0038409E" w:rsidP="001448A4">
      <w:pPr>
        <w:spacing w:line="480" w:lineRule="auto"/>
        <w:jc w:val="both"/>
      </w:pPr>
      <w:r>
        <w:rPr>
          <w:rFonts w:cs="Times New Roman"/>
          <w:szCs w:val="24"/>
        </w:rPr>
        <w:br w:type="page"/>
      </w:r>
    </w:p>
    <w:p w14:paraId="658AE703" w14:textId="77777777" w:rsidR="0038409E" w:rsidRDefault="0038409E" w:rsidP="001448A4">
      <w:pPr>
        <w:pStyle w:val="Heading3"/>
        <w:numPr>
          <w:ilvl w:val="1"/>
          <w:numId w:val="14"/>
        </w:numPr>
        <w:spacing w:before="720" w:after="200" w:line="480" w:lineRule="auto"/>
        <w:ind w:left="788" w:hanging="431"/>
      </w:pPr>
      <w:r w:rsidRPr="00142858">
        <w:t>Measurements</w:t>
      </w:r>
      <w:r>
        <w:t xml:space="preserve"> </w:t>
      </w:r>
      <w:r w:rsidRPr="00FB5493">
        <w:t>made</w:t>
      </w:r>
      <w:r>
        <w:t xml:space="preserve"> during the experiment </w:t>
      </w:r>
    </w:p>
    <w:p w14:paraId="1CCD44E5" w14:textId="77777777" w:rsidR="0038409E" w:rsidRPr="00E93CC3" w:rsidRDefault="0038409E" w:rsidP="001448A4">
      <w:pPr>
        <w:pStyle w:val="ListParagraph"/>
        <w:numPr>
          <w:ilvl w:val="2"/>
          <w:numId w:val="14"/>
        </w:numPr>
        <w:spacing w:before="240" w:after="240" w:line="480" w:lineRule="auto"/>
        <w:jc w:val="both"/>
        <w:outlineLvl w:val="3"/>
        <w:rPr>
          <w:rFonts w:cs="Times New Roman"/>
          <w:bCs/>
          <w:i/>
          <w:iCs/>
          <w:szCs w:val="24"/>
        </w:rPr>
      </w:pPr>
      <w:r w:rsidRPr="00E93CC3">
        <w:rPr>
          <w:rFonts w:cs="Times New Roman"/>
          <w:bCs/>
          <w:i/>
          <w:iCs/>
          <w:szCs w:val="24"/>
        </w:rPr>
        <w:t>Hydraulic conductivity (K)</w:t>
      </w:r>
    </w:p>
    <w:p w14:paraId="09D8C0C3" w14:textId="77777777" w:rsidR="0038409E" w:rsidRPr="008303A5" w:rsidRDefault="0038409E" w:rsidP="001448A4">
      <w:pPr>
        <w:spacing w:line="480" w:lineRule="auto"/>
        <w:jc w:val="both"/>
        <w:rPr>
          <w:rFonts w:cs="Times New Roman"/>
          <w:szCs w:val="24"/>
        </w:rPr>
      </w:pPr>
      <w:r w:rsidRPr="00AD4E74">
        <w:rPr>
          <w:rFonts w:cs="Times New Roman"/>
          <w:i/>
          <w:szCs w:val="24"/>
        </w:rPr>
        <w:t>K</w:t>
      </w:r>
      <w:r w:rsidRPr="00806B00">
        <w:rPr>
          <w:rFonts w:cs="Times New Roman"/>
          <w:szCs w:val="24"/>
        </w:rPr>
        <w:t xml:space="preserve"> was measured </w:t>
      </w:r>
      <w:r>
        <w:rPr>
          <w:rFonts w:cs="Times New Roman"/>
          <w:szCs w:val="24"/>
        </w:rPr>
        <w:t>five times, once per season, over the duration of the experiment (spring 2017, 23-26</w:t>
      </w:r>
      <w:r w:rsidRPr="00454E5D">
        <w:rPr>
          <w:rFonts w:cs="Times New Roman"/>
          <w:szCs w:val="24"/>
          <w:vertAlign w:val="superscript"/>
        </w:rPr>
        <w:t>th</w:t>
      </w:r>
      <w:r>
        <w:rPr>
          <w:rFonts w:cs="Times New Roman"/>
          <w:szCs w:val="24"/>
        </w:rPr>
        <w:t xml:space="preserve"> May; summer 2017, 21-25</w:t>
      </w:r>
      <w:r w:rsidRPr="00454E5D">
        <w:rPr>
          <w:rFonts w:cs="Times New Roman"/>
          <w:szCs w:val="24"/>
          <w:vertAlign w:val="superscript"/>
        </w:rPr>
        <w:t>th</w:t>
      </w:r>
      <w:r>
        <w:rPr>
          <w:rFonts w:cs="Times New Roman"/>
          <w:szCs w:val="24"/>
        </w:rPr>
        <w:t xml:space="preserve"> August; autumn 2017, 3</w:t>
      </w:r>
      <w:r w:rsidRPr="008455DB">
        <w:rPr>
          <w:rFonts w:cs="Times New Roman"/>
          <w:szCs w:val="24"/>
          <w:vertAlign w:val="superscript"/>
        </w:rPr>
        <w:t>rd</w:t>
      </w:r>
      <w:r>
        <w:rPr>
          <w:rFonts w:cs="Times New Roman"/>
          <w:szCs w:val="24"/>
        </w:rPr>
        <w:t>-10</w:t>
      </w:r>
      <w:r w:rsidRPr="00454E5D">
        <w:rPr>
          <w:rFonts w:cs="Times New Roman"/>
          <w:szCs w:val="24"/>
          <w:vertAlign w:val="superscript"/>
        </w:rPr>
        <w:t>th</w:t>
      </w:r>
      <w:r>
        <w:rPr>
          <w:rFonts w:cs="Times New Roman"/>
          <w:szCs w:val="24"/>
        </w:rPr>
        <w:t xml:space="preserve"> November; winter 2017-18, 26</w:t>
      </w:r>
      <w:r w:rsidRPr="002C7909">
        <w:rPr>
          <w:rFonts w:cs="Times New Roman"/>
          <w:szCs w:val="24"/>
          <w:vertAlign w:val="superscript"/>
        </w:rPr>
        <w:t>th</w:t>
      </w:r>
      <w:r>
        <w:rPr>
          <w:rFonts w:cs="Times New Roman"/>
          <w:szCs w:val="24"/>
        </w:rPr>
        <w:t xml:space="preserve"> January to 2</w:t>
      </w:r>
      <w:r>
        <w:rPr>
          <w:rFonts w:cs="Times New Roman"/>
          <w:szCs w:val="24"/>
          <w:vertAlign w:val="superscript"/>
        </w:rPr>
        <w:t>nd</w:t>
      </w:r>
      <w:r>
        <w:rPr>
          <w:rFonts w:cs="Times New Roman"/>
          <w:szCs w:val="24"/>
        </w:rPr>
        <w:t xml:space="preserve"> February; and spring 2018, 3</w:t>
      </w:r>
      <w:r w:rsidRPr="00D7628B">
        <w:rPr>
          <w:rFonts w:cs="Times New Roman"/>
          <w:szCs w:val="24"/>
          <w:vertAlign w:val="superscript"/>
        </w:rPr>
        <w:t>rd</w:t>
      </w:r>
      <w:r>
        <w:rPr>
          <w:rFonts w:cs="Times New Roman"/>
          <w:szCs w:val="24"/>
        </w:rPr>
        <w:t>-6</w:t>
      </w:r>
      <w:r w:rsidRPr="00454E5D">
        <w:rPr>
          <w:rFonts w:cs="Times New Roman"/>
          <w:szCs w:val="24"/>
          <w:vertAlign w:val="superscript"/>
        </w:rPr>
        <w:t>th</w:t>
      </w:r>
      <w:r>
        <w:rPr>
          <w:rFonts w:cs="Times New Roman"/>
          <w:szCs w:val="24"/>
        </w:rPr>
        <w:t xml:space="preserve"> April 2018)</w:t>
      </w:r>
      <w:r w:rsidRPr="00806B00">
        <w:rPr>
          <w:rFonts w:cs="Times New Roman"/>
          <w:szCs w:val="24"/>
        </w:rPr>
        <w:t xml:space="preserve">. </w:t>
      </w:r>
      <w:r>
        <w:rPr>
          <w:rFonts w:cs="Times New Roman"/>
          <w:szCs w:val="24"/>
        </w:rPr>
        <w:t>The measurements were made</w:t>
      </w:r>
      <w:r w:rsidRPr="00806B00">
        <w:rPr>
          <w:rFonts w:cs="Times New Roman"/>
          <w:szCs w:val="24"/>
        </w:rPr>
        <w:t xml:space="preserve"> using </w:t>
      </w:r>
      <w:r>
        <w:rPr>
          <w:rFonts w:cs="Times New Roman"/>
          <w:szCs w:val="24"/>
        </w:rPr>
        <w:t xml:space="preserve">a </w:t>
      </w:r>
      <w:r w:rsidRPr="00806B00">
        <w:rPr>
          <w:rFonts w:cs="Times New Roman"/>
          <w:szCs w:val="24"/>
        </w:rPr>
        <w:t>Decagon Mini Disk Portable Tension Infiltrometer</w:t>
      </w:r>
      <w:r w:rsidR="001448A4">
        <w:rPr>
          <w:rFonts w:cs="Times New Roman"/>
          <w:szCs w:val="24"/>
        </w:rPr>
        <w:t xml:space="preserve"> </w:t>
      </w:r>
      <w:r w:rsidR="001448A4">
        <w:rPr>
          <w:rFonts w:cs="Times New Roman"/>
          <w:szCs w:val="24"/>
        </w:rPr>
        <w:fldChar w:fldCharType="begin" w:fldLock="1"/>
      </w:r>
      <w:r w:rsidR="001448A4">
        <w:rPr>
          <w:rFonts w:cs="Times New Roman"/>
          <w:szCs w:val="24"/>
        </w:rPr>
        <w:instrText>ADDIN CSL_CITATION {"citationItems":[{"id":"ITEM-1","itemData":{"author":[{"dropping-particle":"","family":"Decagon Devices Inc","given":"","non-dropping-particle":"","parse-names":false,"suffix":""}],"id":"ITEM-1","issued":{"date-parts":[["2016"]]},"publisher-place":"Pullman, WA","title":"Decagon biophysical instruments: Minidisk infiltrometers","type":"article"},"uris":["http://www.mendeley.com/documents/?uuid=ce1f775d-3a3d-4229-affc-6c87799f04bc"]}],"mendeley":{"formattedCitation":"(Decagon Devices Inc, 2016)","plainTextFormattedCitation":"(Decagon Devices Inc, 2016)","previouslyFormattedCitation":"(Decagon Devices Inc, 2016)"},"properties":{"noteIndex":0},"schema":"https://github.com/citation-style-language/schema/raw/master/csl-citation.json"}</w:instrText>
      </w:r>
      <w:r w:rsidR="001448A4">
        <w:rPr>
          <w:rFonts w:cs="Times New Roman"/>
          <w:szCs w:val="24"/>
        </w:rPr>
        <w:fldChar w:fldCharType="separate"/>
      </w:r>
      <w:r w:rsidR="001448A4" w:rsidRPr="001448A4">
        <w:rPr>
          <w:rFonts w:cs="Times New Roman"/>
          <w:noProof/>
          <w:szCs w:val="24"/>
        </w:rPr>
        <w:t>(Decagon Devices Inc, 2016)</w:t>
      </w:r>
      <w:r w:rsidR="001448A4">
        <w:rPr>
          <w:rFonts w:cs="Times New Roman"/>
          <w:szCs w:val="24"/>
        </w:rPr>
        <w:fldChar w:fldCharType="end"/>
      </w:r>
      <w:r w:rsidR="001448A4">
        <w:rPr>
          <w:rFonts w:cs="Times New Roman"/>
          <w:szCs w:val="24"/>
        </w:rPr>
        <w:t xml:space="preserve"> </w:t>
      </w:r>
      <w:r>
        <w:rPr>
          <w:szCs w:val="24"/>
        </w:rPr>
        <w:t>with an</w:t>
      </w:r>
      <w:r w:rsidRPr="00873BFA">
        <w:rPr>
          <w:szCs w:val="24"/>
        </w:rPr>
        <w:t xml:space="preserve"> </w:t>
      </w:r>
      <w:r>
        <w:rPr>
          <w:szCs w:val="24"/>
        </w:rPr>
        <w:t>infiltrometer placed on a thin</w:t>
      </w:r>
      <w:r w:rsidRPr="00873BFA">
        <w:rPr>
          <w:szCs w:val="24"/>
        </w:rPr>
        <w:t xml:space="preserve"> sand layer to </w:t>
      </w:r>
      <w:r>
        <w:rPr>
          <w:szCs w:val="24"/>
        </w:rPr>
        <w:t>ensure</w:t>
      </w:r>
      <w:r w:rsidRPr="00873BFA">
        <w:rPr>
          <w:szCs w:val="24"/>
        </w:rPr>
        <w:t xml:space="preserve"> </w:t>
      </w:r>
      <w:r>
        <w:rPr>
          <w:szCs w:val="24"/>
        </w:rPr>
        <w:t xml:space="preserve">good </w:t>
      </w:r>
      <w:r w:rsidRPr="00873BFA">
        <w:rPr>
          <w:szCs w:val="24"/>
        </w:rPr>
        <w:t>contact between the tension dis</w:t>
      </w:r>
      <w:r>
        <w:rPr>
          <w:szCs w:val="24"/>
        </w:rPr>
        <w:t>c</w:t>
      </w:r>
      <w:r w:rsidRPr="00873BFA">
        <w:rPr>
          <w:szCs w:val="24"/>
        </w:rPr>
        <w:t xml:space="preserve"> and </w:t>
      </w:r>
      <w:r>
        <w:rPr>
          <w:szCs w:val="24"/>
        </w:rPr>
        <w:t>monolith</w:t>
      </w:r>
      <w:r w:rsidRPr="00873BFA">
        <w:rPr>
          <w:szCs w:val="24"/>
        </w:rPr>
        <w:t xml:space="preserve"> surface</w:t>
      </w:r>
      <w:r w:rsidR="001448A4">
        <w:rPr>
          <w:szCs w:val="24"/>
        </w:rPr>
        <w:t xml:space="preserve"> </w:t>
      </w:r>
      <w:r w:rsidR="001448A4">
        <w:rPr>
          <w:szCs w:val="24"/>
        </w:rPr>
        <w:fldChar w:fldCharType="begin" w:fldLock="1"/>
      </w:r>
      <w:r w:rsidR="001448A4">
        <w:rPr>
          <w:szCs w:val="24"/>
        </w:rPr>
        <w:instrText>ADDIN CSL_CITATION {"citationItems":[{"id":"ITEM-1","itemData":{"ISBN":"1983-4063","author":[{"dropping-particle":"","family":"Köhne","given":"John M","non-dropping-particle":"","parse-names":false,"suffix":""},{"dropping-particle":"","family":"Alves Júnior","given":"José","non-dropping-particle":"","parse-names":false,"suffix":""},{"dropping-particle":"","family":"Köhne","given":"Sigrid","non-dropping-particle":"","parse-names":false,"suffix":""},{"dropping-particle":"","family":"Tiemeyer","given":"Bärbel","non-dropping-particle":"","parse-names":false,"suffix":""},{"dropping-particle":"","family":"Lennartz","given":"Bernd","non-dropping-particle":"","parse-names":false,"suffix":""},{"dropping-particle":"","family":"Kruse","given":"Jens","non-dropping-particle":"","parse-names":false,"suffix":""}],"container-title":"Pesquisa Agropecuária Tropical","id":"ITEM-1","issued":{"date-parts":[["2011"]]},"page":"336-347","title":"Double-ring and tension infiltrometer measurements of hydraulic conductivity and mobile soil regions","type":"article-journal","volume":"41"},"uris":["http://www.mendeley.com/documents/?uuid=9b705b2e-5502-4a16-9866-52dd098e5e44"]},{"id":"ITEM-2","itemData":{"abstract":"A new procedure is presented for in situ determination of saturated and near-saturated hydraulic conductivity [Kfs and K(ψ)], from a sequence of steady infiltration measurements made at several tensions on a single infiltration surface. The method applies to tension infiltration from either a surface disk or from within a ring inserted a small distance into the soil. The analysis employs a modification of Wooding's solution for infiltration from a shallow pond, combined with numerically determined shape factors that account for the interaction effects between flow geometry and soil properties. The method is found, via numerical simulations, to have an overall accuracy within about ±7%, regardless of whether the predicted K(ψ) function is flat with an indistinct air-entry value, steep with a distinct air-entry value, or very steep with no air-entry value. -from Authors","author":[{"dropping-particle":"","family":"Reynolds","given":"W D","non-dropping-particle":"","parse-names":false,"suffix":""},{"dropping-particle":"","family":"Elrick","given":"D E","non-dropping-particle":"","parse-names":false,"suffix":""}],"container-title":"Soil Science Society of America Journal","id":"ITEM-2","issue":"3","issued":{"date-parts":[["1991"]]},"note":"Export Date: 22 September 2016","page":"633-639","title":"Determination of hydraulic conductivity using a tension infiltrometer","type":"article-journal","volume":"55"},"uris":["http://www.mendeley.com/documents/?uuid=b3692534-fb26-4df3-a304-a85025aee513"]}],"mendeley":{"formattedCitation":"(Köhne et al., 2011; Reynolds and Elrick, 1991)","plainTextFormattedCitation":"(Köhne et al., 2011; Reynolds and Elrick, 1991)","previouslyFormattedCitation":"(Köhne et al., 2011; Reynolds and Elrick, 1991)"},"properties":{"noteIndex":0},"schema":"https://github.com/citation-style-language/schema/raw/master/csl-citation.json"}</w:instrText>
      </w:r>
      <w:r w:rsidR="001448A4">
        <w:rPr>
          <w:szCs w:val="24"/>
        </w:rPr>
        <w:fldChar w:fldCharType="separate"/>
      </w:r>
      <w:r w:rsidR="001448A4" w:rsidRPr="001448A4">
        <w:rPr>
          <w:noProof/>
          <w:szCs w:val="24"/>
        </w:rPr>
        <w:t>(Köhne et al., 2011; Reynolds and Elrick, 1991)</w:t>
      </w:r>
      <w:r w:rsidR="001448A4">
        <w:rPr>
          <w:szCs w:val="24"/>
        </w:rPr>
        <w:fldChar w:fldCharType="end"/>
      </w:r>
      <w:r w:rsidR="001448A4">
        <w:rPr>
          <w:szCs w:val="24"/>
        </w:rPr>
        <w:t>.</w:t>
      </w:r>
      <w:r w:rsidRPr="00873BFA">
        <w:rPr>
          <w:szCs w:val="24"/>
        </w:rPr>
        <w:t xml:space="preserve"> </w:t>
      </w:r>
      <w:r>
        <w:rPr>
          <w:szCs w:val="24"/>
        </w:rPr>
        <w:t xml:space="preserve">Measurements were made </w:t>
      </w:r>
      <w:r w:rsidRPr="00806B00">
        <w:rPr>
          <w:rFonts w:cs="Times New Roman"/>
          <w:szCs w:val="24"/>
        </w:rPr>
        <w:t>at potentials of -6, -3, -1 cm and -0.5 cm until steady-state flow was reached</w:t>
      </w:r>
      <w:r>
        <w:rPr>
          <w:rFonts w:cs="Times New Roman"/>
          <w:szCs w:val="24"/>
        </w:rPr>
        <w:t xml:space="preserve">, corresponding to water flow through pores less than 0.5, 1, 3 and 6 mm in diameter respectively. </w:t>
      </w:r>
      <w:r>
        <w:rPr>
          <w:szCs w:val="24"/>
        </w:rPr>
        <w:t xml:space="preserve">To avoid </w:t>
      </w:r>
      <w:r w:rsidRPr="00873BFA">
        <w:rPr>
          <w:szCs w:val="24"/>
        </w:rPr>
        <w:t>hysteresis effects</w:t>
      </w:r>
      <w:r>
        <w:rPr>
          <w:szCs w:val="24"/>
        </w:rPr>
        <w:t xml:space="preserve">, </w:t>
      </w:r>
      <w:r w:rsidRPr="00554D19">
        <w:rPr>
          <w:i/>
          <w:szCs w:val="24"/>
        </w:rPr>
        <w:t>K</w:t>
      </w:r>
      <w:r w:rsidRPr="00873BFA">
        <w:rPr>
          <w:szCs w:val="24"/>
        </w:rPr>
        <w:t xml:space="preserve"> </w:t>
      </w:r>
      <w:r>
        <w:rPr>
          <w:szCs w:val="24"/>
        </w:rPr>
        <w:t>measurements were made in an ascending tension sequence</w:t>
      </w:r>
      <w:r w:rsidR="001448A4">
        <w:rPr>
          <w:szCs w:val="24"/>
        </w:rPr>
        <w:t xml:space="preserve"> </w:t>
      </w:r>
      <w:r w:rsidR="001448A4">
        <w:rPr>
          <w:szCs w:val="24"/>
        </w:rPr>
        <w:fldChar w:fldCharType="begin" w:fldLock="1"/>
      </w:r>
      <w:r w:rsidR="001448A4">
        <w:rPr>
          <w:szCs w:val="24"/>
        </w:rPr>
        <w:instrText>ADDIN CSL_CITATION {"citationItems":[{"id":"ITEM-1","itemData":{"DOI":"10.1002/(sici)1099-1085(19970315)11:3&lt;287::aid-hyp443&gt;3.0.co;2-l","ISBN":"0885-6087","abstract":"A limitation of existing models of water and solute movement in fen peats is that they fail to represent processes in the unsaturated zone. This limitation is largely due to a lack of data on the hydraulic properties of unsaturated peat, in particular the relationship between hydraulic conductivity (K) and pressure head (psi). A tension infiltrometer was used to measure K(psi) of a fen peat in Somerset, England. It was found that macropores could be important in water and solute movement in this soil type. It was also found that (i) variability of K in this peat was less than that reported for other peats and mineral soils, and (ii) the K data were better described by a log-normal distribution than a normal distribution in accord with findings from other peat and mineral soils. Recommendations on improving the understanding of water and solute movement in the unsaturated zone of this soil type are made. (C) 1997 by John Wiley &amp; Sons. Ltd.","author":[{"dropping-particle":"","family":"Baird","given":"A J","non-dropping-particle":"","parse-names":false,"suffix":""}],"container-title":"Hydrological Processes","id":"ITEM-1","issue":"3","issued":{"date-parts":[["1997"]]},"language":"English","note":"ISI Document Delivery No.: WP569\nTimes Cited: 50\nCited Reference Count: 35\nBaird, AJ\n51\n0\n14\nJohn wiley &amp;amp; sons ltd\nW sussex","page":"287-295","title":"Field estimation of macropore functioning and surface hydraulic conductivity in a fen peat","type":"article-journal","volume":"11"},"uris":["http://www.mendeley.com/documents/?uuid=1279a1d3-a849-4825-bed7-1d34f07b2384"]}],"mendeley":{"formattedCitation":"(Baird, 1997)","plainTextFormattedCitation":"(Baird, 1997)","previouslyFormattedCitation":"(Baird, 1997)"},"properties":{"noteIndex":0},"schema":"https://github.com/citation-style-language/schema/raw/master/csl-citation.json"}</w:instrText>
      </w:r>
      <w:r w:rsidR="001448A4">
        <w:rPr>
          <w:szCs w:val="24"/>
        </w:rPr>
        <w:fldChar w:fldCharType="separate"/>
      </w:r>
      <w:r w:rsidR="001448A4" w:rsidRPr="001448A4">
        <w:rPr>
          <w:noProof/>
          <w:szCs w:val="24"/>
        </w:rPr>
        <w:t>(Baird, 1997)</w:t>
      </w:r>
      <w:r w:rsidR="001448A4">
        <w:rPr>
          <w:szCs w:val="24"/>
        </w:rPr>
        <w:fldChar w:fldCharType="end"/>
      </w:r>
      <w:r w:rsidR="001448A4">
        <w:rPr>
          <w:szCs w:val="24"/>
        </w:rPr>
        <w:t>.</w:t>
      </w:r>
      <w:r w:rsidRPr="00873BFA">
        <w:rPr>
          <w:szCs w:val="24"/>
        </w:rPr>
        <w:t xml:space="preserve"> </w:t>
      </w:r>
      <w:r w:rsidRPr="00873BFA">
        <w:rPr>
          <w:i/>
          <w:szCs w:val="24"/>
        </w:rPr>
        <w:t>K</w:t>
      </w:r>
      <w:r w:rsidRPr="00873BFA">
        <w:rPr>
          <w:szCs w:val="24"/>
        </w:rPr>
        <w:t xml:space="preserve"> for three dimensional infiltration </w:t>
      </w:r>
      <w:r>
        <w:rPr>
          <w:szCs w:val="24"/>
        </w:rPr>
        <w:t>was computed using t</w:t>
      </w:r>
      <w:r w:rsidRPr="00873BFA">
        <w:rPr>
          <w:szCs w:val="24"/>
        </w:rPr>
        <w:t>he Van-</w:t>
      </w:r>
      <w:proofErr w:type="spellStart"/>
      <w:r w:rsidRPr="00873BFA">
        <w:rPr>
          <w:szCs w:val="24"/>
        </w:rPr>
        <w:t>Genuchten</w:t>
      </w:r>
      <w:proofErr w:type="spellEnd"/>
      <w:r w:rsidRPr="00873BFA">
        <w:rPr>
          <w:szCs w:val="24"/>
        </w:rPr>
        <w:t xml:space="preserve"> Zhang method</w:t>
      </w:r>
      <w:r w:rsidR="001448A4">
        <w:rPr>
          <w:szCs w:val="24"/>
        </w:rPr>
        <w:t xml:space="preserve"> </w:t>
      </w:r>
      <w:r w:rsidR="001448A4">
        <w:rPr>
          <w:szCs w:val="24"/>
        </w:rPr>
        <w:fldChar w:fldCharType="begin" w:fldLock="1"/>
      </w:r>
      <w:r w:rsidR="001448A4">
        <w:rPr>
          <w:szCs w:val="24"/>
        </w:rPr>
        <w:instrText>ADDIN CSL_CITATION {"citationItems":[{"id":"ITEM-1","itemData":{"DOI":"10.2136/sssaj1997.03615995006100040005x","abstract":"Abstract A simple two-term infiltration equation was used to determine soil sorptivity and hydraulic conductivity from cumulative infiltration data from the disk infiltrometer. Parameters of the equation were obtained by fitting the equation to cumulative infiltration data. The parameters of the first and second terms in the equation were related to soil sorptivity and hydraulic conductivity, respectively. By using the twoterm infiltration equation, sorptivity and hydraulic conductivity were estimated for various soils, radii and tensions of the disk infiltrometer, and initial infiltration conditions. Sorptivity and hydraulic conductivity values calculated using the method and simulated cumulative infiltration data resulted in excellent agreement with the theoretical results. The relative error of estimation of sorptivity and hydraulic conductivity was within 5% for most cases. The method can be used to determine the soil hydraulic properties from infiltrometer infiltration for a wide range of soils, having a retention function of the type of either van Genuchten, Russo, or Zhang and van Genuchten.","author":[{"dropping-particle":"","family":"Zhang","given":"Renduo","non-dropping-particle":"","parse-names":false,"suffix":""}],"container-title":"Soil Science Society of America Journal","id":"ITEM-1","issue":"4","issued":{"date-parts":[["1997"]]},"language":"English","page":"1024-1030","title":"Determination of soil sorptivity and hydraulic conductivity from the disk infiltrometer","type":"article-journal","volume":"61"},"uris":["http://www.mendeley.com/documents/?uuid=d91da9aa-94c3-4aa4-8b06-1b541906f0b7"]}],"mendeley":{"formattedCitation":"(Zhang, 1997)","plainTextFormattedCitation":"(Zhang, 1997)","previouslyFormattedCitation":"(Zhang, 1997)"},"properties":{"noteIndex":0},"schema":"https://github.com/citation-style-language/schema/raw/master/csl-citation.json"}</w:instrText>
      </w:r>
      <w:r w:rsidR="001448A4">
        <w:rPr>
          <w:szCs w:val="24"/>
        </w:rPr>
        <w:fldChar w:fldCharType="separate"/>
      </w:r>
      <w:r w:rsidR="001448A4" w:rsidRPr="001448A4">
        <w:rPr>
          <w:noProof/>
          <w:szCs w:val="24"/>
        </w:rPr>
        <w:t>(Zhang, 1997)</w:t>
      </w:r>
      <w:r w:rsidR="001448A4">
        <w:rPr>
          <w:szCs w:val="24"/>
        </w:rPr>
        <w:fldChar w:fldCharType="end"/>
      </w:r>
      <w:r w:rsidR="001448A4">
        <w:rPr>
          <w:szCs w:val="24"/>
        </w:rPr>
        <w:t>.</w:t>
      </w:r>
      <w:r>
        <w:rPr>
          <w:rFonts w:cs="Times New Roman"/>
          <w:szCs w:val="24"/>
        </w:rPr>
        <w:t xml:space="preserve"> </w:t>
      </w:r>
      <w:r w:rsidRPr="00EA2479">
        <w:rPr>
          <w:szCs w:val="24"/>
        </w:rPr>
        <w:t>The contribution of different pore size classes</w:t>
      </w:r>
      <w:r>
        <w:rPr>
          <w:szCs w:val="24"/>
        </w:rPr>
        <w:t xml:space="preserve"> (&lt; 0.5, 0.5-1, 1-3 and &gt; 3 mm in diameter)</w:t>
      </w:r>
      <w:r w:rsidRPr="00EA2479">
        <w:rPr>
          <w:szCs w:val="24"/>
        </w:rPr>
        <w:t xml:space="preserve"> to water flow </w:t>
      </w:r>
      <w:r>
        <w:rPr>
          <w:szCs w:val="24"/>
        </w:rPr>
        <w:t xml:space="preserve">for each set of measurements was </w:t>
      </w:r>
      <w:r w:rsidRPr="00EA2479">
        <w:rPr>
          <w:szCs w:val="24"/>
        </w:rPr>
        <w:t xml:space="preserve">calculated </w:t>
      </w:r>
      <w:r>
        <w:rPr>
          <w:szCs w:val="24"/>
        </w:rPr>
        <w:t>after</w:t>
      </w:r>
      <w:r w:rsidR="001448A4">
        <w:rPr>
          <w:szCs w:val="24"/>
        </w:rPr>
        <w:t xml:space="preserve"> </w:t>
      </w:r>
      <w:r w:rsidR="001448A4">
        <w:rPr>
          <w:noProof/>
          <w:szCs w:val="24"/>
        </w:rPr>
        <w:t>Watson and Luxmoore</w:t>
      </w:r>
      <w:r w:rsidR="001448A4">
        <w:rPr>
          <w:szCs w:val="24"/>
        </w:rPr>
        <w:t xml:space="preserve"> </w:t>
      </w:r>
      <w:r w:rsidR="001448A4">
        <w:rPr>
          <w:szCs w:val="24"/>
        </w:rPr>
        <w:fldChar w:fldCharType="begin" w:fldLock="1"/>
      </w:r>
      <w:r w:rsidR="004551B9">
        <w:rPr>
          <w:szCs w:val="24"/>
        </w:rPr>
        <w:instrText>ADDIN CSL_CITATION {"citationItems":[{"id":"ITEM-1","itemData":{"DOI":"10.2136/sssaj1986.03615995005000030007x","abstract":"Abstract The ability to obtain sufficient field hydrologic data at reasonable cost can be an important limiting factor in applying transport models. A procedure is described for using ponded-flow- and tension-infiltration measurements to calculate transport parameters in a forest watershed. Thirty infiltration measurements were taken under ponded-flow conditions and at 3, 6, and 15 cm (H2O) tension. It was assumed from capillarity theory that pores &gt;0.1-, 0.05-, and 0.02-cm diam, respectively, were excluded from the transport process during the tension infiltration measurements. Under ponded flow, 73% of the flux was conducted through macropores (i.e., pores &gt;0.1-cm diam.). An estimated 96% of the water flux was transmitted through only 0.32% of the soil volume. In general the larger the total water flux the larger the macropore contribution to total water flux. The Shapiro-Wilk normality test indicated that water flux through both matrix pore space and macropores was log-normally distributed in space.","author":[{"dropping-particle":"","family":"Watson","given":"K W","non-dropping-particle":"","parse-names":false,"suffix":""},{"dropping-particle":"","family":"Luxmoore","given":"R J","non-dropping-particle":"","parse-names":false,"suffix":""}],"container-title":"Soil Science Society of America Journal","id":"ITEM-1","issue":"3","issued":{"date-parts":[["1986"]]},"language":"English","page":"578-582","title":"Estimating macroporosity in a forest watershed by use of a tension infiltrometer1","type":"article-journal","volume":"50"},"suppress-author":1,"uris":["http://www.mendeley.com/documents/?uuid=b2776bd7-986e-4432-9d05-40a31c9a2872"]}],"mendeley":{"formattedCitation":"(1986)","plainTextFormattedCitation":"(1986)","previouslyFormattedCitation":"(1986)"},"properties":{"noteIndex":0},"schema":"https://github.com/citation-style-language/schema/raw/master/csl-citation.json"}</w:instrText>
      </w:r>
      <w:r w:rsidR="001448A4">
        <w:rPr>
          <w:szCs w:val="24"/>
        </w:rPr>
        <w:fldChar w:fldCharType="separate"/>
      </w:r>
      <w:r w:rsidR="001448A4" w:rsidRPr="001448A4">
        <w:rPr>
          <w:noProof/>
          <w:szCs w:val="24"/>
        </w:rPr>
        <w:t>(1986)</w:t>
      </w:r>
      <w:r w:rsidR="001448A4">
        <w:rPr>
          <w:szCs w:val="24"/>
        </w:rPr>
        <w:fldChar w:fldCharType="end"/>
      </w:r>
      <w:r w:rsidR="004551B9">
        <w:rPr>
          <w:szCs w:val="24"/>
        </w:rPr>
        <w:t>.</w:t>
      </w:r>
      <w:r w:rsidRPr="00114C8F">
        <w:rPr>
          <w:rFonts w:cs="Times New Roman"/>
          <w:szCs w:val="24"/>
        </w:rPr>
        <w:t xml:space="preserve"> </w:t>
      </w:r>
      <w:r>
        <w:rPr>
          <w:rFonts w:cs="Times New Roman"/>
          <w:szCs w:val="24"/>
        </w:rPr>
        <w:t xml:space="preserve">In this study the hydraulic conductivity at a tension of -0.5 cm, close to zero, was assumed to be a good approximation for saturated hydraulic conductivity </w:t>
      </w:r>
      <w:r w:rsidRPr="00C532FC">
        <w:rPr>
          <w:rFonts w:cs="Times New Roman"/>
          <w:i/>
          <w:szCs w:val="24"/>
        </w:rPr>
        <w:t>K</w:t>
      </w:r>
      <w:r w:rsidRPr="002B201E">
        <w:rPr>
          <w:rFonts w:cs="Times New Roman"/>
          <w:i/>
          <w:szCs w:val="24"/>
          <w:vertAlign w:val="subscript"/>
        </w:rPr>
        <w:t>s</w:t>
      </w:r>
      <w:r>
        <w:rPr>
          <w:rFonts w:cs="Times New Roman"/>
          <w:szCs w:val="24"/>
        </w:rPr>
        <w:t xml:space="preserve"> </w:t>
      </w:r>
      <w:r w:rsidR="004551B9">
        <w:rPr>
          <w:rFonts w:cs="Times New Roman"/>
          <w:szCs w:val="24"/>
        </w:rPr>
        <w:fldChar w:fldCharType="begin" w:fldLock="1"/>
      </w:r>
      <w:r w:rsidR="007B2547">
        <w:rPr>
          <w:rFonts w:cs="Times New Roman"/>
          <w:szCs w:val="24"/>
        </w:rPr>
        <w:instrText>ADDIN CSL_CITATION {"citationItems":[{"id":"ITEM-1","itemData":{"DOI":"https://doi.org/10.1016/B978-012064477-3/50014-X","ISBN":"978-0-12-064477-3","author":[{"dropping-particle":"","family":"Yolcubal","given":"I","non-dropping-particle":"","parse-names":false,"suffix":""},{"dropping-particle":"","family":"Brusseau","given":"M L","non-dropping-particle":"","parse-names":false,"suffix":""},{"dropping-particle":"","family":"Artiola","given":"J F","non-dropping-particle":"","parse-names":false,"suffix":""},{"dropping-particle":"","family":"Wierenga","given":"P","non-dropping-particle":"","parse-names":false,"suffix":""},{"dropping-particle":"","family":"Wilson","given":"L G","non-dropping-particle":"","parse-names":false,"suffix":""}],"container-title":"Environmental Monitoring and Characterization","editor":[{"dropping-particle":"","family":"Artiola","given":"Janick F","non-dropping-particle":"","parse-names":false,"suffix":""},{"dropping-particle":"","family":"Pepper","given":"Ian L","non-dropping-particle":"","parse-names":false,"suffix":""},{"dropping-particle":"","family":"Brusseau","given":"Mark L","non-dropping-particle":"","parse-names":false,"suffix":""}],"id":"ITEM-1","issued":{"date-parts":[["2004"]]},"page":"207-239","publisher":"Academic Press","publisher-place":"Burlington","title":"12 - ENVIRONMENTAL PHYSICAL PROPERTIES AND PROCESSES","type":"chapter"},"uris":["http://www.mendeley.com/documents/?uuid=99a4db06-d4ec-4583-a432-31f4ddf5bd26"]}],"mendeley":{"formattedCitation":"(Yolcubal et al., 2004)","plainTextFormattedCitation":"(Yolcubal et al., 2004)","previouslyFormattedCitation":"(Yolcubal et al., 2004)"},"properties":{"noteIndex":0},"schema":"https://github.com/citation-style-language/schema/raw/master/csl-citation.json"}</w:instrText>
      </w:r>
      <w:r w:rsidR="004551B9">
        <w:rPr>
          <w:rFonts w:cs="Times New Roman"/>
          <w:szCs w:val="24"/>
        </w:rPr>
        <w:fldChar w:fldCharType="separate"/>
      </w:r>
      <w:r w:rsidR="004551B9" w:rsidRPr="004551B9">
        <w:rPr>
          <w:rFonts w:cs="Times New Roman"/>
          <w:noProof/>
          <w:szCs w:val="24"/>
        </w:rPr>
        <w:t>(Yolcubal et al., 2004)</w:t>
      </w:r>
      <w:r w:rsidR="004551B9">
        <w:rPr>
          <w:rFonts w:cs="Times New Roman"/>
          <w:szCs w:val="24"/>
        </w:rPr>
        <w:fldChar w:fldCharType="end"/>
      </w:r>
      <w:r w:rsidR="004551B9">
        <w:rPr>
          <w:rFonts w:cs="Times New Roman"/>
          <w:szCs w:val="24"/>
        </w:rPr>
        <w:t>.</w:t>
      </w:r>
      <w:r>
        <w:rPr>
          <w:rFonts w:cs="Times New Roman"/>
          <w:szCs w:val="24"/>
        </w:rPr>
        <w:t xml:space="preserve"> </w:t>
      </w:r>
    </w:p>
    <w:p w14:paraId="5B67BBD3" w14:textId="77777777" w:rsidR="0038409E" w:rsidRPr="003645DB" w:rsidRDefault="0038409E" w:rsidP="001448A4">
      <w:pPr>
        <w:pStyle w:val="ListParagraph"/>
        <w:numPr>
          <w:ilvl w:val="2"/>
          <w:numId w:val="14"/>
        </w:numPr>
        <w:spacing w:before="240" w:after="240" w:line="480" w:lineRule="auto"/>
        <w:jc w:val="both"/>
        <w:outlineLvl w:val="3"/>
        <w:rPr>
          <w:rFonts w:cs="Times New Roman"/>
          <w:bCs/>
          <w:i/>
          <w:iCs/>
          <w:szCs w:val="24"/>
        </w:rPr>
      </w:pPr>
      <w:r w:rsidRPr="003645DB">
        <w:rPr>
          <w:rFonts w:cs="Times New Roman"/>
          <w:bCs/>
          <w:i/>
          <w:iCs/>
          <w:szCs w:val="24"/>
        </w:rPr>
        <w:t>Grass-clover shoot biomass</w:t>
      </w:r>
    </w:p>
    <w:p w14:paraId="359D7654" w14:textId="77777777" w:rsidR="0038409E" w:rsidRDefault="0038409E" w:rsidP="001448A4">
      <w:pPr>
        <w:spacing w:line="480" w:lineRule="auto"/>
        <w:jc w:val="both"/>
        <w:rPr>
          <w:rFonts w:cs="Times New Roman"/>
          <w:szCs w:val="24"/>
        </w:rPr>
      </w:pPr>
      <w:r>
        <w:rPr>
          <w:rFonts w:cs="Times New Roman"/>
          <w:szCs w:val="24"/>
        </w:rPr>
        <w:t>Grass-clover above ground biomass was measured halfway through the experiment (23</w:t>
      </w:r>
      <w:r w:rsidRPr="005E39D3">
        <w:rPr>
          <w:rFonts w:cs="Times New Roman"/>
          <w:szCs w:val="24"/>
          <w:vertAlign w:val="superscript"/>
        </w:rPr>
        <w:t>rd</w:t>
      </w:r>
      <w:r>
        <w:rPr>
          <w:rFonts w:cs="Times New Roman"/>
          <w:szCs w:val="24"/>
        </w:rPr>
        <w:t xml:space="preserve"> September 2017) and just before the end of the experiment (16</w:t>
      </w:r>
      <w:r w:rsidRPr="005E39D3">
        <w:rPr>
          <w:rFonts w:cs="Times New Roman"/>
          <w:szCs w:val="24"/>
          <w:vertAlign w:val="superscript"/>
        </w:rPr>
        <w:t>th</w:t>
      </w:r>
      <w:r>
        <w:rPr>
          <w:rFonts w:cs="Times New Roman"/>
          <w:szCs w:val="24"/>
        </w:rPr>
        <w:t xml:space="preserve"> April 2018). At each sampling point all plant shoots were cut </w:t>
      </w:r>
      <w:r w:rsidRPr="00326844">
        <w:rPr>
          <w:rFonts w:cs="Times New Roman"/>
          <w:szCs w:val="24"/>
        </w:rPr>
        <w:t>at the soil surface</w:t>
      </w:r>
      <w:r>
        <w:rPr>
          <w:rFonts w:cs="Times New Roman"/>
          <w:szCs w:val="24"/>
        </w:rPr>
        <w:t>. T</w:t>
      </w:r>
      <w:r w:rsidRPr="00326844">
        <w:rPr>
          <w:rFonts w:cs="Times New Roman"/>
          <w:szCs w:val="24"/>
        </w:rPr>
        <w:t xml:space="preserve">he fresh </w:t>
      </w:r>
      <w:r>
        <w:rPr>
          <w:rFonts w:cs="Times New Roman"/>
          <w:szCs w:val="24"/>
        </w:rPr>
        <w:t xml:space="preserve">shoot </w:t>
      </w:r>
      <w:r w:rsidRPr="00326844">
        <w:rPr>
          <w:rFonts w:cs="Times New Roman"/>
          <w:szCs w:val="24"/>
        </w:rPr>
        <w:t xml:space="preserve">biomass </w:t>
      </w:r>
      <w:r>
        <w:rPr>
          <w:rFonts w:cs="Times New Roman"/>
          <w:szCs w:val="24"/>
        </w:rPr>
        <w:t xml:space="preserve">was </w:t>
      </w:r>
      <w:r w:rsidRPr="00326844">
        <w:rPr>
          <w:rFonts w:cs="Times New Roman"/>
          <w:szCs w:val="24"/>
        </w:rPr>
        <w:t>weighed</w:t>
      </w:r>
      <w:r>
        <w:rPr>
          <w:rFonts w:cs="Times New Roman"/>
          <w:szCs w:val="24"/>
        </w:rPr>
        <w:t xml:space="preserve"> and </w:t>
      </w:r>
      <w:r w:rsidRPr="00326844">
        <w:rPr>
          <w:rFonts w:cs="Times New Roman"/>
          <w:szCs w:val="24"/>
        </w:rPr>
        <w:t xml:space="preserve">then oven dried at </w:t>
      </w:r>
      <w:r>
        <w:rPr>
          <w:rFonts w:cs="Times New Roman"/>
          <w:szCs w:val="24"/>
        </w:rPr>
        <w:t>70</w:t>
      </w:r>
      <w:r w:rsidRPr="00326844">
        <w:rPr>
          <w:rFonts w:cs="Times New Roman"/>
          <w:szCs w:val="24"/>
        </w:rPr>
        <w:t xml:space="preserve"> °C to constant weight.</w:t>
      </w:r>
    </w:p>
    <w:p w14:paraId="74D144D6" w14:textId="77777777" w:rsidR="0038409E" w:rsidRPr="00820C89" w:rsidRDefault="0038409E" w:rsidP="001448A4">
      <w:pPr>
        <w:pStyle w:val="Heading3"/>
        <w:numPr>
          <w:ilvl w:val="1"/>
          <w:numId w:val="14"/>
        </w:numPr>
        <w:spacing w:before="600" w:after="200" w:line="480" w:lineRule="auto"/>
        <w:ind w:left="788" w:hanging="431"/>
      </w:pPr>
      <w:r w:rsidRPr="00142858">
        <w:t>Measurements</w:t>
      </w:r>
      <w:r w:rsidRPr="00820C89">
        <w:t xml:space="preserve"> </w:t>
      </w:r>
      <w:r w:rsidRPr="00FB5493">
        <w:t>made</w:t>
      </w:r>
      <w:r>
        <w:t xml:space="preserve"> after </w:t>
      </w:r>
      <w:r w:rsidRPr="00820C89">
        <w:t>monolith removal</w:t>
      </w:r>
    </w:p>
    <w:p w14:paraId="1B4ABB28" w14:textId="77777777" w:rsidR="0038409E" w:rsidRDefault="0038409E" w:rsidP="001448A4">
      <w:pPr>
        <w:spacing w:line="480" w:lineRule="auto"/>
        <w:jc w:val="both"/>
        <w:rPr>
          <w:rFonts w:cs="Times New Roman"/>
          <w:szCs w:val="24"/>
        </w:rPr>
      </w:pPr>
      <w:r>
        <w:rPr>
          <w:rFonts w:cs="Times New Roman"/>
          <w:szCs w:val="24"/>
        </w:rPr>
        <w:t xml:space="preserve">At the end of the experiment </w:t>
      </w:r>
      <w:proofErr w:type="gramStart"/>
      <w:r>
        <w:rPr>
          <w:rFonts w:cs="Times New Roman"/>
          <w:szCs w:val="24"/>
        </w:rPr>
        <w:t>all of</w:t>
      </w:r>
      <w:proofErr w:type="gramEnd"/>
      <w:r>
        <w:rPr>
          <w:rFonts w:cs="Times New Roman"/>
          <w:szCs w:val="24"/>
        </w:rPr>
        <w:t xml:space="preserve"> the monoliths were removed and weighed. E</w:t>
      </w:r>
      <w:r w:rsidRPr="00801B0E">
        <w:rPr>
          <w:rFonts w:cs="Times New Roman"/>
          <w:szCs w:val="24"/>
        </w:rPr>
        <w:t xml:space="preserve">arthworms were </w:t>
      </w:r>
      <w:r>
        <w:rPr>
          <w:rFonts w:cs="Times New Roman"/>
          <w:szCs w:val="24"/>
        </w:rPr>
        <w:t xml:space="preserve">first extracted using </w:t>
      </w:r>
      <w:r>
        <w:rPr>
          <w:rFonts w:cs="Calibri"/>
        </w:rPr>
        <w:t xml:space="preserve">up to 3 L of </w:t>
      </w:r>
      <w:r w:rsidRPr="008B432D">
        <w:rPr>
          <w:rFonts w:cs="Calibri"/>
        </w:rPr>
        <w:t xml:space="preserve">non-toxic </w:t>
      </w:r>
      <w:r>
        <w:rPr>
          <w:rFonts w:cs="Calibri"/>
        </w:rPr>
        <w:t>a</w:t>
      </w:r>
      <w:r w:rsidRPr="00907F6B">
        <w:rPr>
          <w:rFonts w:cs="Calibri"/>
        </w:rPr>
        <w:t>llyl isothiocyanate</w:t>
      </w:r>
      <w:r>
        <w:rPr>
          <w:rFonts w:cs="Calibri"/>
        </w:rPr>
        <w:t xml:space="preserve"> </w:t>
      </w:r>
      <w:r w:rsidRPr="00166BE4">
        <w:rPr>
          <w:rFonts w:cs="Calibri"/>
        </w:rPr>
        <w:t>at 0.1</w:t>
      </w:r>
      <w:r>
        <w:rPr>
          <w:rFonts w:cs="Calibri"/>
        </w:rPr>
        <w:t xml:space="preserve"> </w:t>
      </w:r>
      <w:r w:rsidRPr="00166BE4">
        <w:rPr>
          <w:rFonts w:cs="Calibri"/>
        </w:rPr>
        <w:t xml:space="preserve">g </w:t>
      </w:r>
      <w:r>
        <w:rPr>
          <w:rFonts w:cs="Calibri"/>
        </w:rPr>
        <w:t>L</w:t>
      </w:r>
      <w:r w:rsidRPr="00166BE4">
        <w:rPr>
          <w:rFonts w:cs="Calibri"/>
          <w:vertAlign w:val="superscript"/>
        </w:rPr>
        <w:t>-1</w:t>
      </w:r>
      <w:r>
        <w:rPr>
          <w:rFonts w:cs="Calibri"/>
        </w:rPr>
        <w:t xml:space="preserve"> per monolith,</w:t>
      </w:r>
      <w:r w:rsidR="007B2547">
        <w:rPr>
          <w:rFonts w:cs="Calibri"/>
        </w:rPr>
        <w:t xml:space="preserve"> </w:t>
      </w:r>
      <w:r w:rsidR="007B2547">
        <w:rPr>
          <w:rFonts w:cs="Calibri"/>
        </w:rPr>
        <w:fldChar w:fldCharType="begin" w:fldLock="1"/>
      </w:r>
      <w:r w:rsidR="007B2547">
        <w:rPr>
          <w:rFonts w:cs="Calibri"/>
        </w:rPr>
        <w:instrText>ADDIN CSL_CITATION {"citationItems":[{"id":"ITEM-1","itemData":{"DOI":"https://doi.org/10.1016/S0929-1393(02)00106-3","ISBN":"0929-1393","author":[{"dropping-particle":"","family":"Zaborski","given":"Edmond R","non-dropping-particle":"","parse-names":false,"suffix":""}],"container-title":"Applied Soil Ecology","id":"ITEM-1","issue":"1","issued":{"date-parts":[["2003"]]},"page":"87-95","title":"Allyl isothiocyanate: an alternative chemical expellant for sampling earthworms","type":"article-journal","volume":"22"},"uris":["http://www.mendeley.com/documents/?uuid=33fbebbe-68d5-4d96-82e2-e308b1e46413"]}],"mendeley":{"formattedCitation":"(Zaborski, 2003)","plainTextFormattedCitation":"(Zaborski, 2003)","previouslyFormattedCitation":"(Zaborski, 2003)"},"properties":{"noteIndex":0},"schema":"https://github.com/citation-style-language/schema/raw/master/csl-citation.json"}</w:instrText>
      </w:r>
      <w:r w:rsidR="007B2547">
        <w:rPr>
          <w:rFonts w:cs="Calibri"/>
        </w:rPr>
        <w:fldChar w:fldCharType="separate"/>
      </w:r>
      <w:r w:rsidR="007B2547" w:rsidRPr="007B2547">
        <w:rPr>
          <w:rFonts w:cs="Calibri"/>
          <w:noProof/>
        </w:rPr>
        <w:t>(Zaborski, 2003)</w:t>
      </w:r>
      <w:r w:rsidR="007B2547">
        <w:rPr>
          <w:rFonts w:cs="Calibri"/>
        </w:rPr>
        <w:fldChar w:fldCharType="end"/>
      </w:r>
      <w:r w:rsidR="007B2547">
        <w:rPr>
          <w:rFonts w:cs="Calibri"/>
        </w:rPr>
        <w:t>.</w:t>
      </w:r>
      <w:r>
        <w:rPr>
          <w:rFonts w:cs="Calibri"/>
        </w:rPr>
        <w:t xml:space="preserve"> </w:t>
      </w:r>
      <w:r w:rsidRPr="00894C7E">
        <w:rPr>
          <w:rFonts w:cs="Calibri"/>
        </w:rPr>
        <w:t xml:space="preserve">Emerging </w:t>
      </w:r>
      <w:r>
        <w:rPr>
          <w:rFonts w:cs="Calibri"/>
        </w:rPr>
        <w:t>earthworms</w:t>
      </w:r>
      <w:r w:rsidRPr="00894C7E">
        <w:rPr>
          <w:rFonts w:cs="Calibri"/>
        </w:rPr>
        <w:t xml:space="preserve"> were collected for </w:t>
      </w:r>
      <w:r>
        <w:rPr>
          <w:rFonts w:cs="Calibri"/>
        </w:rPr>
        <w:t xml:space="preserve">approximately </w:t>
      </w:r>
      <w:r w:rsidRPr="00894C7E">
        <w:rPr>
          <w:rFonts w:cs="Calibri"/>
        </w:rPr>
        <w:t>20 min</w:t>
      </w:r>
      <w:r>
        <w:rPr>
          <w:rFonts w:cs="Calibri"/>
        </w:rPr>
        <w:t>utes after application.</w:t>
      </w:r>
      <w:r>
        <w:rPr>
          <w:rFonts w:cs="Times New Roman"/>
          <w:szCs w:val="24"/>
        </w:rPr>
        <w:t xml:space="preserve"> Soil core samples were then collected from the monoliths for the measurement of soil water release curves, soil water-holding capacity, bulk density, percentage soil mass in water-stable aggregates, organic matter content and total </w:t>
      </w:r>
      <w:r w:rsidRPr="00EB7FE8">
        <w:rPr>
          <w:rFonts w:cs="Times New Roman"/>
          <w:szCs w:val="24"/>
        </w:rPr>
        <w:t xml:space="preserve">nitrogen content. </w:t>
      </w:r>
      <w:r>
        <w:rPr>
          <w:rFonts w:cs="Times New Roman"/>
          <w:szCs w:val="24"/>
        </w:rPr>
        <w:t>These values are all reported on an oven-dried weight basis.</w:t>
      </w:r>
    </w:p>
    <w:p w14:paraId="1CFAB949" w14:textId="77777777" w:rsidR="0038409E" w:rsidRDefault="0038409E" w:rsidP="001448A4">
      <w:pPr>
        <w:spacing w:after="120" w:line="480" w:lineRule="auto"/>
        <w:jc w:val="both"/>
        <w:rPr>
          <w:rFonts w:cs="Times New Roman"/>
          <w:szCs w:val="24"/>
        </w:rPr>
      </w:pPr>
      <w:r>
        <w:rPr>
          <w:rFonts w:cs="Times New Roman"/>
          <w:szCs w:val="24"/>
        </w:rPr>
        <w:t xml:space="preserve">After the soil core samples had been removed, any remaining </w:t>
      </w:r>
      <w:r w:rsidRPr="002E1D2E">
        <w:rPr>
          <w:rFonts w:cs="Times New Roman"/>
          <w:szCs w:val="24"/>
        </w:rPr>
        <w:t xml:space="preserve">earthworms </w:t>
      </w:r>
      <w:r>
        <w:rPr>
          <w:rFonts w:cs="Times New Roman"/>
          <w:szCs w:val="24"/>
        </w:rPr>
        <w:t xml:space="preserve">in the monoliths </w:t>
      </w:r>
      <w:r w:rsidRPr="002E1D2E">
        <w:rPr>
          <w:rFonts w:cs="Times New Roman"/>
          <w:szCs w:val="24"/>
        </w:rPr>
        <w:t>were recovered by hand-sorting</w:t>
      </w:r>
      <w:r>
        <w:rPr>
          <w:rFonts w:cs="Times New Roman"/>
          <w:szCs w:val="24"/>
        </w:rPr>
        <w:t xml:space="preserve">. Stones &gt; </w:t>
      </w:r>
      <w:r w:rsidRPr="00812378">
        <w:rPr>
          <w:rFonts w:cs="Times New Roman"/>
          <w:szCs w:val="24"/>
        </w:rPr>
        <w:t>1 cm diam</w:t>
      </w:r>
      <w:r>
        <w:rPr>
          <w:rFonts w:cs="Times New Roman"/>
          <w:szCs w:val="24"/>
        </w:rPr>
        <w:t>eter</w:t>
      </w:r>
      <w:r w:rsidRPr="00812378">
        <w:rPr>
          <w:rFonts w:cs="Times New Roman"/>
          <w:szCs w:val="24"/>
        </w:rPr>
        <w:t xml:space="preserve"> </w:t>
      </w:r>
      <w:r>
        <w:rPr>
          <w:rFonts w:cs="Times New Roman"/>
          <w:szCs w:val="24"/>
        </w:rPr>
        <w:t xml:space="preserve">were removed, and subsamples of this sorted soil were collected for the wheat bioassay. In the laboratory, the recovered earthworms were rinsed </w:t>
      </w:r>
      <w:r w:rsidRPr="00801B0E">
        <w:rPr>
          <w:rFonts w:cs="Times New Roman"/>
          <w:szCs w:val="24"/>
        </w:rPr>
        <w:t xml:space="preserve">with deionized water, </w:t>
      </w:r>
      <w:r>
        <w:rPr>
          <w:rFonts w:cs="Times New Roman"/>
          <w:szCs w:val="24"/>
        </w:rPr>
        <w:t>dried</w:t>
      </w:r>
      <w:r w:rsidRPr="00801B0E">
        <w:rPr>
          <w:rFonts w:cs="Times New Roman"/>
          <w:szCs w:val="24"/>
        </w:rPr>
        <w:t xml:space="preserve"> with tissue paper</w:t>
      </w:r>
      <w:r>
        <w:rPr>
          <w:rFonts w:cs="Times New Roman"/>
          <w:szCs w:val="24"/>
        </w:rPr>
        <w:t>, identified</w:t>
      </w:r>
      <w:r w:rsidRPr="00801B0E">
        <w:rPr>
          <w:rFonts w:cs="Times New Roman"/>
          <w:szCs w:val="24"/>
        </w:rPr>
        <w:t xml:space="preserve"> </w:t>
      </w:r>
      <w:r>
        <w:rPr>
          <w:rFonts w:cs="Times New Roman"/>
          <w:szCs w:val="24"/>
        </w:rPr>
        <w:t>using the Opal identification key if clitellate (adult)</w:t>
      </w:r>
      <w:r w:rsidR="007B2547">
        <w:rPr>
          <w:rFonts w:cs="Times New Roman"/>
          <w:szCs w:val="24"/>
        </w:rPr>
        <w:t xml:space="preserve"> </w:t>
      </w:r>
      <w:r w:rsidR="007B2547">
        <w:rPr>
          <w:rFonts w:cs="Times New Roman"/>
          <w:szCs w:val="24"/>
        </w:rPr>
        <w:fldChar w:fldCharType="begin" w:fldLock="1"/>
      </w:r>
      <w:r w:rsidR="00115387">
        <w:rPr>
          <w:rFonts w:cs="Times New Roman"/>
          <w:szCs w:val="24"/>
        </w:rPr>
        <w:instrText>ADDIN CSL_CITATION {"citationItems":[{"id":"ITEM-1","itemData":{"author":[{"dropping-particle":"","family":"Jones","given":"David T","non-dropping-particle":"","parse-names":false,"suffix":""},{"dropping-particle":"","family":"Lowe","given":"Chris N","non-dropping-particle":"","parse-names":false,"suffix":""}],"id":"ITEM-1","issued":{"date-parts":[["2009"]]},"publisher":"OPAL Soil Centre, Imperial College London","publisher-place":"UK","title":"Key to common british earthworms","type":"article"},"uris":["http://www.mendeley.com/documents/?uuid=3cc21c34-b4b6-4495-88dc-a018409435c9"]}],"mendeley":{"formattedCitation":"(Jones and Lowe, 2009)","plainTextFormattedCitation":"(Jones and Lowe, 2009)","previouslyFormattedCitation":"(Jones and Lowe, 2009)"},"properties":{"noteIndex":0},"schema":"https://github.com/citation-style-language/schema/raw/master/csl-citation.json"}</w:instrText>
      </w:r>
      <w:r w:rsidR="007B2547">
        <w:rPr>
          <w:rFonts w:cs="Times New Roman"/>
          <w:szCs w:val="24"/>
        </w:rPr>
        <w:fldChar w:fldCharType="separate"/>
      </w:r>
      <w:r w:rsidR="007B2547" w:rsidRPr="007B2547">
        <w:rPr>
          <w:rFonts w:cs="Times New Roman"/>
          <w:noProof/>
          <w:szCs w:val="24"/>
        </w:rPr>
        <w:t>(Jones and Lowe, 2009)</w:t>
      </w:r>
      <w:r w:rsidR="007B2547">
        <w:rPr>
          <w:rFonts w:cs="Times New Roman"/>
          <w:szCs w:val="24"/>
        </w:rPr>
        <w:fldChar w:fldCharType="end"/>
      </w:r>
      <w:r w:rsidR="007B2547">
        <w:rPr>
          <w:rFonts w:cs="Times New Roman"/>
          <w:szCs w:val="24"/>
        </w:rPr>
        <w:t xml:space="preserve"> </w:t>
      </w:r>
      <w:r w:rsidRPr="00801B0E">
        <w:rPr>
          <w:rFonts w:cs="Times New Roman"/>
          <w:szCs w:val="24"/>
        </w:rPr>
        <w:t>and weighed</w:t>
      </w:r>
      <w:r>
        <w:rPr>
          <w:rFonts w:cs="Times New Roman"/>
          <w:szCs w:val="24"/>
        </w:rPr>
        <w:t xml:space="preserve">. Juveniles were classed as either </w:t>
      </w:r>
      <w:r>
        <w:rPr>
          <w:rFonts w:cs="Times New Roman"/>
          <w:i/>
          <w:szCs w:val="24"/>
        </w:rPr>
        <w:t xml:space="preserve">A. chlorotica </w:t>
      </w:r>
      <w:r>
        <w:rPr>
          <w:rFonts w:cs="Times New Roman"/>
          <w:szCs w:val="24"/>
        </w:rPr>
        <w:t xml:space="preserve">or </w:t>
      </w:r>
      <w:r>
        <w:rPr>
          <w:rFonts w:cs="Times New Roman"/>
          <w:i/>
          <w:szCs w:val="24"/>
        </w:rPr>
        <w:t xml:space="preserve">A. caliginosa </w:t>
      </w:r>
      <w:r>
        <w:rPr>
          <w:rFonts w:cs="Times New Roman"/>
          <w:szCs w:val="24"/>
        </w:rPr>
        <w:t>based on the Opal identification key (other than the lack of a saddle), anecic (if &gt; 1 g in mass and &gt; 2 cm in length), epigeic (if &lt; 1 g in mass and 1 – 2 cm in length) or “unknown”.</w:t>
      </w:r>
    </w:p>
    <w:p w14:paraId="59A2F17F" w14:textId="77777777" w:rsidR="0038409E" w:rsidRPr="00E93CC3" w:rsidRDefault="0038409E" w:rsidP="001448A4">
      <w:pPr>
        <w:pStyle w:val="ListParagraph"/>
        <w:numPr>
          <w:ilvl w:val="2"/>
          <w:numId w:val="14"/>
        </w:numPr>
        <w:spacing w:before="360" w:after="240" w:line="480" w:lineRule="auto"/>
        <w:jc w:val="both"/>
        <w:outlineLvl w:val="3"/>
        <w:rPr>
          <w:rFonts w:cs="Times New Roman"/>
          <w:bCs/>
          <w:i/>
          <w:iCs/>
          <w:szCs w:val="24"/>
        </w:rPr>
      </w:pPr>
      <w:r w:rsidRPr="00E93CC3">
        <w:rPr>
          <w:rFonts w:cs="Times New Roman"/>
          <w:bCs/>
          <w:i/>
          <w:iCs/>
          <w:szCs w:val="24"/>
        </w:rPr>
        <w:t>Soil water release curves and water holding capacity (WHC)</w:t>
      </w:r>
    </w:p>
    <w:p w14:paraId="5B177605" w14:textId="77777777" w:rsidR="0038409E" w:rsidRPr="00873BFA" w:rsidRDefault="0038409E" w:rsidP="001448A4">
      <w:pPr>
        <w:spacing w:line="480" w:lineRule="auto"/>
        <w:jc w:val="both"/>
        <w:rPr>
          <w:szCs w:val="24"/>
        </w:rPr>
      </w:pPr>
      <w:r>
        <w:rPr>
          <w:szCs w:val="24"/>
        </w:rPr>
        <w:t>Intact s</w:t>
      </w:r>
      <w:r w:rsidRPr="00873BFA">
        <w:rPr>
          <w:szCs w:val="24"/>
        </w:rPr>
        <w:t xml:space="preserve">oil cores </w:t>
      </w:r>
      <w:r>
        <w:rPr>
          <w:szCs w:val="24"/>
        </w:rPr>
        <w:t>8</w:t>
      </w:r>
      <w:r w:rsidRPr="00873BFA">
        <w:rPr>
          <w:szCs w:val="24"/>
        </w:rPr>
        <w:t xml:space="preserve"> cm diameter x 5 cm high were taken from the surface of the </w:t>
      </w:r>
      <w:r>
        <w:rPr>
          <w:szCs w:val="24"/>
        </w:rPr>
        <w:t xml:space="preserve">monoliths. The cores were </w:t>
      </w:r>
      <w:r w:rsidRPr="00873BFA">
        <w:rPr>
          <w:szCs w:val="24"/>
        </w:rPr>
        <w:t xml:space="preserve">analyzed </w:t>
      </w:r>
      <w:r>
        <w:rPr>
          <w:szCs w:val="24"/>
        </w:rPr>
        <w:t xml:space="preserve">for water retention at different potentials </w:t>
      </w:r>
      <w:r w:rsidRPr="00873BFA">
        <w:rPr>
          <w:szCs w:val="24"/>
        </w:rPr>
        <w:t>following the simplified evaporation method</w:t>
      </w:r>
      <w:r w:rsidR="00115387">
        <w:rPr>
          <w:szCs w:val="24"/>
        </w:rPr>
        <w:t xml:space="preserve"> </w:t>
      </w:r>
      <w:r w:rsidR="00115387">
        <w:rPr>
          <w:szCs w:val="24"/>
        </w:rPr>
        <w:fldChar w:fldCharType="begin" w:fldLock="1"/>
      </w:r>
      <w:r w:rsidR="00115387">
        <w:rPr>
          <w:szCs w:val="24"/>
        </w:rPr>
        <w:instrText>ADDIN CSL_CITATION {"citationItems":[{"id":"ITEM-1","itemData":{"DOI":"http://dx.doi.org/10.1016/j.jhydrol.2015.05.020","ISBN":"0022-1694","abstract":"The simplified evaporation method (SEM) is a technique to determine soil hydraulic properties, i.e. the water retention curve and the hydraulic conductivity curve, from evaporation experiments in the laboratory. The method relies on simplifying assumptions like spatial linearity in pressure head and water fluxes, which are violated in the evaporation process. Therefore, its validity and accuracy has been checked in the past by numerical simulation using the Richards equation and subsequent evaluation of the computer-generated data. These numerical tests were conducted using models of the soil hydraulic properties like the van Genuchten–Mualem model, which account only for water retention and conductivity in completely filled capillaries and thus give biased descriptions of the hydraulic properties at low moisture contents. We reinvestigate the accuracy of the SEM by a numerical simulation study for a broad spectrum of soils with textures ranging from clay to pure sand, using more realistic functions of the soil hydraulic properties, which account for water adsorption, flow in incompletely filled capillaries and isothermal vapor flow. Our results show that the previous numerical studies underestimated the non-linearities of suction and water content profiles which occur during bare-soil evaporation, in particular for sandy soils. Nevertheless, the SEM approximates the true hydraulic functions of most soils very well, with mean deviations below 0.1% volumetric water content and below 0.1 for log 10 of hydraulic conductivity. Larger columns or higher evaporation rates increase this error only slightly. Only for the extremes in the texture spectrum, we found bias in the estimated soil hydraulic properties. We furthermore investigate different strategies for calculating a mean suction and show that a weighted combination of the arithmetic and geometric mean leads to the best results.","author":[{"dropping-particle":"","family":"Peters","given":"Andre","non-dropping-particle":"","parse-names":false,"suffix":""},{"dropping-particle":"","family":"Iden","given":"Sascha C","non-dropping-particle":"","parse-names":false,"suffix":""},{"dropping-particle":"","family":"Durner","given":"Wolfgang","non-dropping-particle":"","parse-names":false,"suffix":""}],"container-title":"Journal of Hydrology","id":"ITEM-1","issued":{"date-parts":[["2015"]]},"page":"531-542","title":"Revisiting the simplified evaporation method: Identification of hydraulic functions considering vapor, film and corner flow","type":"article-journal","volume":"527"},"uris":["http://www.mendeley.com/documents/?uuid=a7a338a2-4e27-4941-add3-706fe09c531b"]},{"id":"ITEM-2","itemData":{"DOI":"10.1002/jpln.200900201","ISBN":"1522-2624","abstract":"Knowledge of hydraulic functions is required for various hydrological and plant-physiological studies. The evaporation method is frequently used for the simultaneous determination of hydraulic functions of unsaturated soil samples, i.e., the water-retention curve and hydraulic-conductivity function. All methodic variants of the evaporation method suffer from the limitation that the hydraulic functions can only be determined to a mean tension of ≈ 60 kPa. This is caused by the limited measurement range of the tensiometers of typically 80 kPa on the dry end. We present a new, cost- and time-saving approach which overcomes this restriction. Using the air-entry pressure of the tensiometer's porous ceramic cup as additional defined tension value allows the quantification of hydraulic functions up to close to the wilting point. The procedure is described, uncertainties are discussed, and measured as well as simulated test results are presented for soil samples of various origins, different textures (sand, loam, silt, clay, and peat) and variable dry bulk density. The experimental setup followed the system HYPROP which is a commercial device with vertically aligned tensiometers that is optimized to perform evaporation measurements. During the experiment leaked water from the tensiometer interior wets the surrounding soil of the tensiometer cup and can lead to a tension retardation as shown by simulation results. This effect is negligible when the tensiometers are embedded vertically. For coarsely textured soils and horizontal tensiometer alignment, however, the retardation must be considered for data evaluation.","author":[{"dropping-particle":"","family":"Schindler","given":"Uwe","non-dropping-particle":"","parse-names":false,"suffix":""},{"dropping-particle":"","family":"Durner","given":"Wolfgang","non-dropping-particle":"","parse-names":false,"suffix":""},{"dropping-particle":"","family":"Unold","given":"G","non-dropping-particle":"von","parse-names":false,"suffix":""},{"dropping-particle":"","family":"Mueller","given":"L","non-dropping-particle":"","parse-names":false,"suffix":""},{"dropping-particle":"","family":"Wieland","given":"R","non-dropping-particle":"","parse-names":false,"suffix":""}],"container-title":"Journal of Plant Nutrition and Soil Science","id":"ITEM-2","issue":"4","issued":{"date-parts":[["2010"]]},"page":"563-572","publisher":"WILEY-VCH Verlag","title":"The evaporation method: Extending the measurement range of soil hydraulic properties using the air-entry pressure of the ceramic cup","type":"article-journal","volume":"173"},"uris":["http://www.mendeley.com/documents/?uuid=53491ac0-7b35-4d09-a725-43f7d7cd6aca"]}],"mendeley":{"formattedCitation":"(Peters et al., 2015; Schindler et al., 2010)","plainTextFormattedCitation":"(Peters et al., 2015; Schindler et al., 2010)","previouslyFormattedCitation":"(Peters et al., 2015; Schindler et al., 2010)"},"properties":{"noteIndex":0},"schema":"https://github.com/citation-style-language/schema/raw/master/csl-citation.json"}</w:instrText>
      </w:r>
      <w:r w:rsidR="00115387">
        <w:rPr>
          <w:szCs w:val="24"/>
        </w:rPr>
        <w:fldChar w:fldCharType="separate"/>
      </w:r>
      <w:r w:rsidR="00115387" w:rsidRPr="00115387">
        <w:rPr>
          <w:noProof/>
          <w:szCs w:val="24"/>
        </w:rPr>
        <w:t>(Peters et al., 2015; Schindler et al., 2010)</w:t>
      </w:r>
      <w:r w:rsidR="00115387">
        <w:rPr>
          <w:szCs w:val="24"/>
        </w:rPr>
        <w:fldChar w:fldCharType="end"/>
      </w:r>
      <w:r w:rsidR="00115387">
        <w:rPr>
          <w:szCs w:val="24"/>
        </w:rPr>
        <w:t xml:space="preserve"> </w:t>
      </w:r>
      <w:r w:rsidRPr="00873BFA">
        <w:rPr>
          <w:szCs w:val="24"/>
        </w:rPr>
        <w:t xml:space="preserve">using a HYPROP device (UMS, </w:t>
      </w:r>
      <w:proofErr w:type="spellStart"/>
      <w:r w:rsidRPr="00873BFA">
        <w:rPr>
          <w:szCs w:val="24"/>
        </w:rPr>
        <w:t>Munchen</w:t>
      </w:r>
      <w:proofErr w:type="spellEnd"/>
      <w:r w:rsidRPr="00873BFA">
        <w:rPr>
          <w:szCs w:val="24"/>
        </w:rPr>
        <w:t>, Germany)</w:t>
      </w:r>
      <w:r>
        <w:rPr>
          <w:szCs w:val="24"/>
        </w:rPr>
        <w:t>.</w:t>
      </w:r>
      <w:r w:rsidRPr="00873BFA">
        <w:rPr>
          <w:szCs w:val="24"/>
        </w:rPr>
        <w:t xml:space="preserve"> </w:t>
      </w:r>
      <w:r>
        <w:rPr>
          <w:szCs w:val="24"/>
        </w:rPr>
        <w:t xml:space="preserve">The measured </w:t>
      </w:r>
      <w:r w:rsidRPr="008115BE">
        <w:rPr>
          <w:szCs w:val="24"/>
        </w:rPr>
        <w:t>hydraulic conductivities</w:t>
      </w:r>
      <w:r>
        <w:rPr>
          <w:szCs w:val="24"/>
        </w:rPr>
        <w:t xml:space="preserve"> using the minidisk infiltrometer and the </w:t>
      </w:r>
      <w:r w:rsidRPr="00873BFA">
        <w:rPr>
          <w:szCs w:val="24"/>
        </w:rPr>
        <w:t>HYPROP measurement campaigns were modeled using the HYPROP-FIT software</w:t>
      </w:r>
      <w:r>
        <w:rPr>
          <w:szCs w:val="24"/>
        </w:rPr>
        <w:t>.</w:t>
      </w:r>
      <w:r w:rsidRPr="00873BFA">
        <w:rPr>
          <w:szCs w:val="24"/>
        </w:rPr>
        <w:t xml:space="preserve"> </w:t>
      </w:r>
      <w:r>
        <w:rPr>
          <w:szCs w:val="24"/>
        </w:rPr>
        <w:t>T</w:t>
      </w:r>
      <w:r w:rsidRPr="00873BFA">
        <w:rPr>
          <w:szCs w:val="24"/>
        </w:rPr>
        <w:t xml:space="preserve">he hydraulic function parameters </w:t>
      </w:r>
      <w:r>
        <w:rPr>
          <w:szCs w:val="24"/>
        </w:rPr>
        <w:t>were g</w:t>
      </w:r>
      <w:r w:rsidRPr="00873BFA">
        <w:rPr>
          <w:szCs w:val="24"/>
        </w:rPr>
        <w:t>enerate</w:t>
      </w:r>
      <w:r>
        <w:rPr>
          <w:szCs w:val="24"/>
        </w:rPr>
        <w:t>d</w:t>
      </w:r>
      <w:r w:rsidRPr="00873BFA">
        <w:rPr>
          <w:szCs w:val="24"/>
        </w:rPr>
        <w:t xml:space="preserve"> using the </w:t>
      </w:r>
      <w:r>
        <w:rPr>
          <w:szCs w:val="24"/>
        </w:rPr>
        <w:t>bimodal</w:t>
      </w:r>
      <w:r w:rsidRPr="00873BFA">
        <w:rPr>
          <w:szCs w:val="24"/>
        </w:rPr>
        <w:t xml:space="preserve"> </w:t>
      </w:r>
      <w:r w:rsidR="00115387">
        <w:rPr>
          <w:noProof/>
          <w:szCs w:val="24"/>
        </w:rPr>
        <w:t>Van Genuchten</w:t>
      </w:r>
      <w:r w:rsidR="00115387">
        <w:rPr>
          <w:szCs w:val="24"/>
        </w:rPr>
        <w:t xml:space="preserve"> </w:t>
      </w:r>
      <w:r w:rsidR="00115387">
        <w:rPr>
          <w:szCs w:val="24"/>
        </w:rPr>
        <w:fldChar w:fldCharType="begin" w:fldLock="1"/>
      </w:r>
      <w:r w:rsidR="00115387">
        <w:rPr>
          <w:szCs w:val="24"/>
        </w:rPr>
        <w:instrText>ADDIN CSL_CITATION {"citationItems":[{"id":"ITEM-1","itemData":{"ISBN":"0361-5995","author":[{"dropping-particle":"","family":"Genuchten","given":"M Th","non-dropping-particle":"Van","parse-names":false,"suffix":""}],"container-title":"Soil Science Society of America Journal","id":"ITEM-1","issue":"5","issued":{"date-parts":[["1980"]]},"page":"892-898","title":"A closed-form equation for predicting the hydraulic conductivity of unsaturated soils","type":"article-journal","volume":"44"},"suppress-author":1,"uris":["http://www.mendeley.com/documents/?uuid=77a190a3-fe3a-4e64-8d5f-a6f0eba408b3"]}],"mendeley":{"formattedCitation":"(1980)","plainTextFormattedCitation":"(1980)","previouslyFormattedCitation":"(1980)"},"properties":{"noteIndex":0},"schema":"https://github.com/citation-style-language/schema/raw/master/csl-citation.json"}</w:instrText>
      </w:r>
      <w:r w:rsidR="00115387">
        <w:rPr>
          <w:szCs w:val="24"/>
        </w:rPr>
        <w:fldChar w:fldCharType="separate"/>
      </w:r>
      <w:r w:rsidR="00115387" w:rsidRPr="00115387">
        <w:rPr>
          <w:noProof/>
          <w:szCs w:val="24"/>
        </w:rPr>
        <w:t>(1980)</w:t>
      </w:r>
      <w:r w:rsidR="00115387">
        <w:rPr>
          <w:szCs w:val="24"/>
        </w:rPr>
        <w:fldChar w:fldCharType="end"/>
      </w:r>
      <w:r w:rsidR="00115387">
        <w:rPr>
          <w:szCs w:val="24"/>
        </w:rPr>
        <w:t xml:space="preserve"> </w:t>
      </w:r>
      <w:r>
        <w:rPr>
          <w:szCs w:val="24"/>
        </w:rPr>
        <w:t xml:space="preserve">model </w:t>
      </w:r>
      <w:r w:rsidR="00115387">
        <w:rPr>
          <w:szCs w:val="24"/>
        </w:rPr>
        <w:fldChar w:fldCharType="begin" w:fldLock="1"/>
      </w:r>
      <w:r w:rsidR="00D226FD">
        <w:rPr>
          <w:szCs w:val="24"/>
        </w:rPr>
        <w:instrText>ADDIN CSL_CITATION {"citationItems":[{"id":"ITEM-1","itemData":{"DOI":"doi:10.1029/93WR02676","abstract":"The hydraulic conductivity function, which is required to solve the Richards equation, is difficult to measure. Therefore prediction methods are frequently used where the shape of the conductivity function is estimated from the more easily measured water retention characteristic. Errors in conductivity estimations can arise either from an invalidity of the prediction model for a given soil, or from an incorrect description of the retention data. This second error source is particularly important for soils with heterogeneous pore systems that cannot be adequately described by the usually used retention functions. To describe the retention characteristics of such soils, a flexible θ(ψ) function was formed by superimposing unimodal retention curves of the van Genuchten (1980) type. By combining this retention model with the conductivity prediction model of Mualem (1976), conductivity estimations for soils with heterogeneous pore systems are obtained. Estimated conductivities by this model and the classical van Genuchten-Mualem method can differ by orders of magnitude. Thus reported disagreements between measured and estimated conductivities may in some cases be due to an inadequate description of the retention data rather than due to a failure of the prediction model.","author":[{"dropping-particle":"","family":"Durner","given":"Wolfgang","non-dropping-particle":"","parse-names":false,"suffix":""}],"container-title":"Water Resources Research","id":"ITEM-1","issue":"2","issued":{"date-parts":[["1994"]]},"page":"211-223","title":"Hydraulic conductivity estimation for soils with heterogeneous pore structure","type":"article-journal","volume":"30"},"uris":["http://www.mendeley.com/documents/?uuid=47b0a2d6-1490-43ab-b0e1-5b959b591ea1"]}],"mendeley":{"formattedCitation":"(Durner, 1994)","plainTextFormattedCitation":"(Durner, 1994)","previouslyFormattedCitation":"(Durner, 1994)"},"properties":{"noteIndex":0},"schema":"https://github.com/citation-style-language/schema/raw/master/csl-citation.json"}</w:instrText>
      </w:r>
      <w:r w:rsidR="00115387">
        <w:rPr>
          <w:szCs w:val="24"/>
        </w:rPr>
        <w:fldChar w:fldCharType="separate"/>
      </w:r>
      <w:r w:rsidR="00115387" w:rsidRPr="00115387">
        <w:rPr>
          <w:noProof/>
          <w:szCs w:val="24"/>
        </w:rPr>
        <w:t>(Durner, 1994)</w:t>
      </w:r>
      <w:r w:rsidR="00115387">
        <w:rPr>
          <w:szCs w:val="24"/>
        </w:rPr>
        <w:fldChar w:fldCharType="end"/>
      </w:r>
      <w:r w:rsidR="00115387">
        <w:rPr>
          <w:szCs w:val="24"/>
        </w:rPr>
        <w:t xml:space="preserve">. </w:t>
      </w:r>
      <w:r>
        <w:rPr>
          <w:szCs w:val="24"/>
        </w:rPr>
        <w:t xml:space="preserve">Soil water content at saturation, at field capacity and at wilting point, and </w:t>
      </w:r>
      <w:r w:rsidRPr="00AC2827">
        <w:rPr>
          <w:szCs w:val="24"/>
        </w:rPr>
        <w:t>plant</w:t>
      </w:r>
      <w:r>
        <w:rPr>
          <w:szCs w:val="24"/>
        </w:rPr>
        <w:t>-</w:t>
      </w:r>
      <w:r w:rsidRPr="00AC2827">
        <w:rPr>
          <w:szCs w:val="24"/>
        </w:rPr>
        <w:t>available water</w:t>
      </w:r>
      <w:r>
        <w:rPr>
          <w:szCs w:val="24"/>
        </w:rPr>
        <w:t xml:space="preserve"> were calculated from the generated curves. </w:t>
      </w:r>
    </w:p>
    <w:p w14:paraId="2E177256" w14:textId="77777777" w:rsidR="0038409E" w:rsidRDefault="0038409E" w:rsidP="001448A4">
      <w:pPr>
        <w:spacing w:line="480" w:lineRule="auto"/>
        <w:jc w:val="both"/>
        <w:rPr>
          <w:szCs w:val="24"/>
        </w:rPr>
      </w:pPr>
      <w:r>
        <w:rPr>
          <w:szCs w:val="24"/>
        </w:rPr>
        <w:t xml:space="preserve">The WHC </w:t>
      </w:r>
      <w:r w:rsidRPr="00F925DE">
        <w:rPr>
          <w:szCs w:val="24"/>
        </w:rPr>
        <w:t xml:space="preserve">was </w:t>
      </w:r>
      <w:r>
        <w:rPr>
          <w:szCs w:val="24"/>
        </w:rPr>
        <w:t>determined</w:t>
      </w:r>
      <w:r w:rsidRPr="00F925DE">
        <w:rPr>
          <w:szCs w:val="24"/>
        </w:rPr>
        <w:t xml:space="preserve"> on 0-5 cm depth x 3.5 cm diameter </w:t>
      </w:r>
      <w:r>
        <w:rPr>
          <w:szCs w:val="24"/>
        </w:rPr>
        <w:t xml:space="preserve">intact soil </w:t>
      </w:r>
      <w:r w:rsidRPr="00F925DE">
        <w:rPr>
          <w:szCs w:val="24"/>
        </w:rPr>
        <w:t xml:space="preserve">cores that were saturated in the laboratory for 48 hours. </w:t>
      </w:r>
      <w:r>
        <w:rPr>
          <w:szCs w:val="24"/>
        </w:rPr>
        <w:t xml:space="preserve">The cores were then allowed to drain freely, until water was no longer draining out, at which point the cores were weighed and oven dried </w:t>
      </w:r>
      <w:r w:rsidRPr="00873BFA">
        <w:rPr>
          <w:szCs w:val="24"/>
        </w:rPr>
        <w:t>at 105 °C</w:t>
      </w:r>
      <w:r>
        <w:rPr>
          <w:szCs w:val="24"/>
        </w:rPr>
        <w:t xml:space="preserve"> to a constant weight to establish the water content (</w:t>
      </w:r>
      <w:r w:rsidRPr="00873BFA">
        <w:rPr>
          <w:szCs w:val="24"/>
        </w:rPr>
        <w:t>ISO 11268-2:1998</w:t>
      </w:r>
      <w:r>
        <w:rPr>
          <w:szCs w:val="24"/>
        </w:rPr>
        <w:t>)</w:t>
      </w:r>
      <w:r w:rsidRPr="00F925DE">
        <w:rPr>
          <w:szCs w:val="24"/>
        </w:rPr>
        <w:t>.</w:t>
      </w:r>
    </w:p>
    <w:p w14:paraId="548A22E2" w14:textId="77777777" w:rsidR="0038409E" w:rsidRPr="00720A4A" w:rsidRDefault="0038409E" w:rsidP="001448A4">
      <w:pPr>
        <w:pStyle w:val="ListParagraph"/>
        <w:numPr>
          <w:ilvl w:val="2"/>
          <w:numId w:val="14"/>
        </w:numPr>
        <w:spacing w:before="360" w:after="240" w:line="480" w:lineRule="auto"/>
        <w:jc w:val="both"/>
        <w:outlineLvl w:val="3"/>
        <w:rPr>
          <w:rFonts w:cs="Times New Roman"/>
          <w:bCs/>
          <w:i/>
          <w:iCs/>
          <w:szCs w:val="24"/>
        </w:rPr>
      </w:pPr>
      <w:r>
        <w:rPr>
          <w:rFonts w:cs="Times New Roman"/>
          <w:bCs/>
          <w:i/>
          <w:iCs/>
          <w:szCs w:val="24"/>
        </w:rPr>
        <w:t>Bulk density</w:t>
      </w:r>
      <w:r w:rsidRPr="00720A4A">
        <w:rPr>
          <w:rFonts w:cs="Times New Roman"/>
          <w:bCs/>
          <w:i/>
          <w:iCs/>
          <w:szCs w:val="24"/>
        </w:rPr>
        <w:t xml:space="preserve"> (</w:t>
      </w:r>
      <w:r>
        <w:rPr>
          <w:rFonts w:cs="Times New Roman"/>
          <w:bCs/>
          <w:i/>
          <w:iCs/>
          <w:szCs w:val="24"/>
        </w:rPr>
        <w:t>BD</w:t>
      </w:r>
      <w:r w:rsidRPr="00720A4A">
        <w:rPr>
          <w:rFonts w:cs="Times New Roman"/>
          <w:bCs/>
          <w:i/>
          <w:iCs/>
          <w:szCs w:val="24"/>
        </w:rPr>
        <w:t>)</w:t>
      </w:r>
      <w:r w:rsidRPr="008441AD">
        <w:rPr>
          <w:rFonts w:cs="Times New Roman"/>
          <w:bCs/>
          <w:i/>
          <w:iCs/>
          <w:szCs w:val="24"/>
        </w:rPr>
        <w:t xml:space="preserve"> </w:t>
      </w:r>
      <w:r>
        <w:rPr>
          <w:rFonts w:cs="Times New Roman"/>
          <w:bCs/>
          <w:i/>
          <w:iCs/>
          <w:szCs w:val="24"/>
        </w:rPr>
        <w:t>and p</w:t>
      </w:r>
      <w:r w:rsidRPr="00720A4A">
        <w:rPr>
          <w:rFonts w:cs="Times New Roman"/>
          <w:bCs/>
          <w:i/>
          <w:iCs/>
          <w:szCs w:val="24"/>
        </w:rPr>
        <w:t>ercentage water stable aggregates (%WSA)</w:t>
      </w:r>
    </w:p>
    <w:p w14:paraId="5269298B" w14:textId="77777777" w:rsidR="0038409E" w:rsidRPr="00C02056" w:rsidRDefault="0038409E" w:rsidP="001448A4">
      <w:pPr>
        <w:spacing w:line="480" w:lineRule="auto"/>
        <w:jc w:val="both"/>
        <w:rPr>
          <w:szCs w:val="24"/>
        </w:rPr>
      </w:pPr>
      <w:r w:rsidRPr="00C02056">
        <w:rPr>
          <w:iCs/>
          <w:szCs w:val="24"/>
        </w:rPr>
        <w:t xml:space="preserve">BD was determined </w:t>
      </w:r>
      <w:r>
        <w:rPr>
          <w:iCs/>
          <w:szCs w:val="24"/>
        </w:rPr>
        <w:t>in</w:t>
      </w:r>
      <w:r w:rsidRPr="00774F5F">
        <w:rPr>
          <w:iCs/>
          <w:szCs w:val="24"/>
        </w:rPr>
        <w:t xml:space="preserve"> </w:t>
      </w:r>
      <w:r>
        <w:rPr>
          <w:iCs/>
          <w:szCs w:val="24"/>
        </w:rPr>
        <w:t xml:space="preserve">the </w:t>
      </w:r>
      <w:r w:rsidRPr="00774F5F">
        <w:rPr>
          <w:iCs/>
          <w:szCs w:val="24"/>
        </w:rPr>
        <w:t xml:space="preserve">monoliths </w:t>
      </w:r>
      <w:r>
        <w:rPr>
          <w:iCs/>
          <w:szCs w:val="24"/>
        </w:rPr>
        <w:t>at 0-5, 5-10 and 10-15 cm depth</w:t>
      </w:r>
      <w:r w:rsidRPr="00774F5F">
        <w:rPr>
          <w:iCs/>
          <w:szCs w:val="24"/>
        </w:rPr>
        <w:t xml:space="preserve"> using a bulk density corer</w:t>
      </w:r>
      <w:r>
        <w:rPr>
          <w:iCs/>
          <w:szCs w:val="24"/>
        </w:rPr>
        <w:t xml:space="preserve"> with rings of 100 cm</w:t>
      </w:r>
      <w:r w:rsidRPr="008F16B9">
        <w:rPr>
          <w:iCs/>
          <w:szCs w:val="24"/>
          <w:vertAlign w:val="superscript"/>
        </w:rPr>
        <w:t>3</w:t>
      </w:r>
      <w:r>
        <w:rPr>
          <w:iCs/>
          <w:szCs w:val="24"/>
        </w:rPr>
        <w:t xml:space="preserve"> (</w:t>
      </w:r>
      <w:proofErr w:type="spellStart"/>
      <w:r w:rsidRPr="00430018">
        <w:rPr>
          <w:iCs/>
          <w:szCs w:val="24"/>
        </w:rPr>
        <w:t>Eijkelkamp</w:t>
      </w:r>
      <w:proofErr w:type="spellEnd"/>
      <w:r>
        <w:rPr>
          <w:iCs/>
          <w:szCs w:val="24"/>
        </w:rPr>
        <w:t xml:space="preserve">, </w:t>
      </w:r>
      <w:proofErr w:type="spellStart"/>
      <w:r w:rsidRPr="00873BFA">
        <w:rPr>
          <w:szCs w:val="24"/>
        </w:rPr>
        <w:t>Agrisearch</w:t>
      </w:r>
      <w:proofErr w:type="spellEnd"/>
      <w:r w:rsidRPr="00873BFA">
        <w:rPr>
          <w:szCs w:val="24"/>
        </w:rPr>
        <w:t xml:space="preserve"> Equipment</w:t>
      </w:r>
      <w:r>
        <w:rPr>
          <w:iCs/>
          <w:szCs w:val="24"/>
        </w:rPr>
        <w:t xml:space="preserve">). </w:t>
      </w:r>
      <w:r w:rsidRPr="00C81670">
        <w:rPr>
          <w:iCs/>
          <w:szCs w:val="24"/>
        </w:rPr>
        <w:t>BD measurements were corrected for the mass and volume of stones &gt;2 mm, were averaged across the three depths for each monolith and are expressed on an oven dried weight basis</w:t>
      </w:r>
      <w:r>
        <w:rPr>
          <w:iCs/>
          <w:szCs w:val="24"/>
        </w:rPr>
        <w:t xml:space="preserve">. </w:t>
      </w:r>
    </w:p>
    <w:p w14:paraId="276B937D" w14:textId="77777777" w:rsidR="0038409E" w:rsidRPr="00D226FD" w:rsidRDefault="0038409E" w:rsidP="001448A4">
      <w:pPr>
        <w:spacing w:line="480" w:lineRule="auto"/>
        <w:jc w:val="both"/>
        <w:rPr>
          <w:szCs w:val="24"/>
          <w:lang w:val="fr-FR"/>
        </w:rPr>
      </w:pPr>
      <w:r>
        <w:rPr>
          <w:szCs w:val="24"/>
        </w:rPr>
        <w:t xml:space="preserve">Four grams of air dried soil that had been sieved through a 2 mm sieve and retained on a 1 mm sieve were placed on </w:t>
      </w:r>
      <w:r w:rsidRPr="00873BFA">
        <w:rPr>
          <w:szCs w:val="24"/>
        </w:rPr>
        <w:t>250 µm sieves</w:t>
      </w:r>
      <w:r>
        <w:rPr>
          <w:szCs w:val="24"/>
        </w:rPr>
        <w:t>,</w:t>
      </w:r>
      <w:r w:rsidRPr="00873BFA">
        <w:rPr>
          <w:szCs w:val="24"/>
        </w:rPr>
        <w:t xml:space="preserve"> </w:t>
      </w:r>
      <w:r>
        <w:rPr>
          <w:szCs w:val="24"/>
        </w:rPr>
        <w:t xml:space="preserve">pre-moistened and wet-sieved for 3 minutes in deionized water </w:t>
      </w:r>
      <w:r w:rsidRPr="00621CB9">
        <w:rPr>
          <w:szCs w:val="24"/>
        </w:rPr>
        <w:t xml:space="preserve">at a rate of 34 times per minute </w:t>
      </w:r>
      <w:r w:rsidRPr="00873BFA">
        <w:rPr>
          <w:szCs w:val="24"/>
        </w:rPr>
        <w:t>using wet sieving equipment (</w:t>
      </w:r>
      <w:proofErr w:type="spellStart"/>
      <w:r w:rsidRPr="00873BFA">
        <w:rPr>
          <w:szCs w:val="24"/>
        </w:rPr>
        <w:t>Eijkelkamp</w:t>
      </w:r>
      <w:proofErr w:type="spellEnd"/>
      <w:r w:rsidRPr="00873BFA">
        <w:rPr>
          <w:szCs w:val="24"/>
        </w:rPr>
        <w:t xml:space="preserve">, </w:t>
      </w:r>
      <w:proofErr w:type="spellStart"/>
      <w:r w:rsidRPr="00873BFA">
        <w:rPr>
          <w:szCs w:val="24"/>
        </w:rPr>
        <w:t>Agrisearch</w:t>
      </w:r>
      <w:proofErr w:type="spellEnd"/>
      <w:r w:rsidRPr="00873BFA">
        <w:rPr>
          <w:szCs w:val="24"/>
        </w:rPr>
        <w:t xml:space="preserve"> Equipment</w:t>
      </w:r>
      <w:r>
        <w:rPr>
          <w:szCs w:val="24"/>
        </w:rPr>
        <w:t xml:space="preserve">). The %WSA was determined as the weight of the stable aggregates remaining on the sieve relative to the total weight of aggregates adjusting for the mass of primary sand particles &gt; </w:t>
      </w:r>
      <w:r w:rsidRPr="00873BFA">
        <w:rPr>
          <w:szCs w:val="24"/>
        </w:rPr>
        <w:t>250 µm</w:t>
      </w:r>
      <w:r>
        <w:rPr>
          <w:szCs w:val="24"/>
        </w:rPr>
        <w:t xml:space="preserve"> present in the samples</w:t>
      </w:r>
      <w:r w:rsidR="00D226FD">
        <w:rPr>
          <w:szCs w:val="24"/>
        </w:rPr>
        <w:t xml:space="preserve"> </w:t>
      </w:r>
      <w:r w:rsidR="00D226FD">
        <w:rPr>
          <w:szCs w:val="24"/>
        </w:rPr>
        <w:fldChar w:fldCharType="begin" w:fldLock="1"/>
      </w:r>
      <w:r w:rsidR="00563F3C">
        <w:rPr>
          <w:szCs w:val="24"/>
        </w:rPr>
        <w:instrText>ADDIN CSL_CITATION {"citationItems":[{"id":"ITEM-1","itemData":{"DOI":"https://doi.org/10.1016/j.jconhyd.2008.10.008","ISBN":"0169-7722","author":[{"dropping-particle":"","family":"Kodešová","given":"Radka","non-dropping-particle":"","parse-names":false,"suffix":""},{"dropping-particle":"","family":"Vignozzi","given":"Nadia","non-dropping-particle":"","parse-names":false,"suffix":""},{"dropping-particle":"","family":"Rohošková","given":"Marcela","non-dropping-particle":"","parse-names":false,"suffix":""},{"dropping-particle":"","family":"Hájková","given":"Tereza","non-dropping-particle":"","parse-names":false,"suffix":""},{"dropping-particle":"","family":"Kočárek","given":"Martin","non-dropping-particle":"","parse-names":false,"suffix":""},{"dropping-particle":"","family":"Pagliai","given":"Marcello","non-dropping-particle":"","parse-names":false,"suffix":""},{"dropping-particle":"","family":"Kozák","given":"Josef","non-dropping-particle":"","parse-names":false,"suffix":""},{"dropping-particle":"","family":"Šimůnek","given":"Jirka","non-dropping-particle":"","parse-names":false,"suffix":""}],"container-title":"Journal of Contaminant Hydrology","id":"ITEM-1","issue":"1","issued":{"date-parts":[["2009"]]},"page":"107-125","title":"Impact of varying soil structure on transport processes in different diagnostic horizons of three soil types","type":"article-journal","volume":"104"},"uris":["http://www.mendeley.com/documents/?uuid=70d41026-8c3c-4518-a95c-997bb957c301"]},{"id":"ITEM-2","itemData":{"DOI":"10.1007/s11104-008-9753-7","ISBN":"1573-5036","abstract":"Earthworms, arbuscular mycorrhiza fungi (AMF) and roots are important components of the belowground part of terrestrial ecosystem. However, their interacting effects on soil properties and plant growth are still poorly understood. A compartmental experimental design was used in a climate chamber in order to investigate, without phosphorus (P) addition, the single and combined effects of earthworms (Allolobophora chlorotica), AMF (Glomus intraradices) and roots (Allium porrum) on soil structure, nutrient concentration and plant growth. In our experimental conditions, plant roots improved soil structure stability (at the level of macroaggregates) whereas earthworms decreased it. AMF had no effect on soil structure stability but increased P transfer from the soil to the plant and significantly increased plant biomass. Earthworms had no direct influence on P uptake or plant biomass, and the N/P ratio measured in the shoots indicated that P was limiting. Interactions between AMF and earthworms were also observed on total C and N content in the soil and on total root biomass. Their effects varied temporally and between the different soil compartments (bulk soil, rhizosphere and drilosphere). After comparison with other similar studies, we suggest that effects of earthworms and AMF on plant production may depend on the limiting factors in the soil, mainly N or P. Our experiment highlights the importance of measuring physical and chemical soil parameters when studying soil organism interactions and their influence on plant performance.","author":[{"dropping-particle":"","family":"Milleret","given":"Roxane","non-dropping-particle":"","parse-names":false,"suffix":""},{"dropping-particle":"","family":"Bayon","given":"Renée-Claire","non-dropping-particle":"Le","parse-names":false,"suffix":""},{"dropping-particle":"","family":"Gobat","given":"Jean-Michel","non-dropping-particle":"","parse-names":false,"suffix":""}],"container-title":"Plant and Soil","id":"ITEM-2","issue":"1","issued":{"date-parts":[["2009"]]},"page":"1-12","title":"Root, mycorrhiza and earthworm interactions: their effects on soil structuring processes, plant and soil nutrient concentration and plant biomass","type":"article-journal","volume":"316"},"uris":["http://www.mendeley.com/documents/?uuid=b5766852-15ae-49c4-833f-bb3ba513d08b"]}],"mendeley":{"formattedCitation":"(Kodešová et al., 2009; Milleret et al., 2009)","plainTextFormattedCitation":"(Kodešová et al., 2009; Milleret et al., 2009)","previouslyFormattedCitation":"(Kodešová et al., 2009; Milleret et al., 2009)"},"properties":{"noteIndex":0},"schema":"https://github.com/citation-style-language/schema/raw/master/csl-citation.json"}</w:instrText>
      </w:r>
      <w:r w:rsidR="00D226FD">
        <w:rPr>
          <w:szCs w:val="24"/>
        </w:rPr>
        <w:fldChar w:fldCharType="separate"/>
      </w:r>
      <w:r w:rsidR="00D226FD" w:rsidRPr="00D226FD">
        <w:rPr>
          <w:noProof/>
          <w:szCs w:val="24"/>
          <w:lang w:val="fr-FR"/>
        </w:rPr>
        <w:t>(Kodešová et al., 2009; Milleret et al., 2009)</w:t>
      </w:r>
      <w:r w:rsidR="00D226FD">
        <w:rPr>
          <w:szCs w:val="24"/>
        </w:rPr>
        <w:fldChar w:fldCharType="end"/>
      </w:r>
      <w:r w:rsidR="00D226FD">
        <w:rPr>
          <w:szCs w:val="24"/>
        </w:rPr>
        <w:t>.</w:t>
      </w:r>
    </w:p>
    <w:p w14:paraId="6505DBA7" w14:textId="77777777" w:rsidR="0038409E" w:rsidRPr="00720A4A" w:rsidRDefault="0038409E" w:rsidP="001448A4">
      <w:pPr>
        <w:pStyle w:val="ListParagraph"/>
        <w:numPr>
          <w:ilvl w:val="2"/>
          <w:numId w:val="14"/>
        </w:numPr>
        <w:spacing w:before="360" w:after="240" w:line="480" w:lineRule="auto"/>
        <w:jc w:val="both"/>
        <w:outlineLvl w:val="3"/>
        <w:rPr>
          <w:rFonts w:cs="Times New Roman"/>
          <w:bCs/>
          <w:i/>
          <w:iCs/>
          <w:szCs w:val="24"/>
        </w:rPr>
      </w:pPr>
      <w:r w:rsidRPr="00720A4A">
        <w:rPr>
          <w:rFonts w:cs="Times New Roman"/>
          <w:bCs/>
          <w:i/>
          <w:iCs/>
          <w:szCs w:val="24"/>
        </w:rPr>
        <w:t>Percentage organic matter (%OM) and total nitrogen (%N) contents</w:t>
      </w:r>
    </w:p>
    <w:p w14:paraId="2CC88D2E" w14:textId="77777777" w:rsidR="0038409E" w:rsidRDefault="0038409E" w:rsidP="001448A4">
      <w:pPr>
        <w:spacing w:line="480" w:lineRule="auto"/>
        <w:jc w:val="both"/>
        <w:rPr>
          <w:rFonts w:cs="Times New Roman"/>
          <w:szCs w:val="24"/>
        </w:rPr>
      </w:pPr>
      <w:r>
        <w:rPr>
          <w:rFonts w:cs="Times New Roman"/>
          <w:szCs w:val="24"/>
        </w:rPr>
        <w:t xml:space="preserve">Organic matter was determined </w:t>
      </w:r>
      <w:r w:rsidRPr="00873BFA">
        <w:rPr>
          <w:iCs/>
        </w:rPr>
        <w:t xml:space="preserve">by </w:t>
      </w:r>
      <w:r w:rsidRPr="00BE27BF">
        <w:rPr>
          <w:rFonts w:cs="Times New Roman"/>
          <w:szCs w:val="24"/>
        </w:rPr>
        <w:t>loss on ignition</w:t>
      </w:r>
      <w:r>
        <w:rPr>
          <w:rFonts w:cs="Times New Roman"/>
          <w:szCs w:val="24"/>
        </w:rPr>
        <w:t xml:space="preserve">; as the soil contained carbonates an ignition temperature of </w:t>
      </w:r>
      <w:r w:rsidRPr="00BE27BF">
        <w:rPr>
          <w:rFonts w:cs="Times New Roman"/>
          <w:szCs w:val="24"/>
        </w:rPr>
        <w:t xml:space="preserve">350 °C </w:t>
      </w:r>
      <w:r>
        <w:rPr>
          <w:rFonts w:cs="Times New Roman"/>
          <w:szCs w:val="24"/>
        </w:rPr>
        <w:t>was used to avoid their decomposition</w:t>
      </w:r>
      <w:r w:rsidR="00563F3C">
        <w:rPr>
          <w:rFonts w:cs="Times New Roman"/>
          <w:szCs w:val="24"/>
        </w:rPr>
        <w:t xml:space="preserve"> </w:t>
      </w:r>
      <w:r w:rsidR="00563F3C">
        <w:rPr>
          <w:rFonts w:cs="Times New Roman"/>
          <w:szCs w:val="24"/>
        </w:rPr>
        <w:fldChar w:fldCharType="begin" w:fldLock="1"/>
      </w:r>
      <w:r w:rsidR="00B9318C">
        <w:rPr>
          <w:rFonts w:cs="Times New Roman"/>
          <w:szCs w:val="24"/>
        </w:rPr>
        <w:instrText>ADDIN CSL_CITATION {"citationItems":[{"id":"ITEM-1","itemData":{"DOI":"10.1111/j.1749-7345.1994.tb00198.x","ISBN":"1749-7345","author":[{"dropping-particle":"","family":"Ayub","given":"Mohammad","non-dropping-particle":"","parse-names":false,"suffix":""},{"dropping-particle":"","family":"Boyd","given":"Claude E","non-dropping-particle":"","parse-names":false,"suffix":""}],"container-title":"Journal of the World Aquaculture Society","id":"ITEM-1","issue":"2","issued":{"date-parts":[["1994"]]},"page":"322-325","publisher":"Blackwell Publishing Ltd","title":"Comparison of different methods for measuring organic carbon concentrations in pond bottom soils","type":"article-journal","volume":"25"},"uris":["http://www.mendeley.com/documents/?uuid=7f8e20ee-738c-498a-acf7-0a265e6e156a"]},{"id":"ITEM-2","itemData":{"ISBN":"MA. 1010-PF 1.0. 9","author":[{"dropping-particle":"","family":"CEAE","given":"","non-dropping-particle":"","parse-names":false,"suffix":""}],"id":"ITEM-2","issued":{"date-parts":[["2003"]]},"publisher":"Centre d'expertise en analyse environnementale du Québec","publisher-place":"Quebec, Canada","title":"Determination de la matiere organique par incineration: Methode de perte de feu (PAF)","type":"report"},"uris":["http://www.mendeley.com/documents/?uuid=b8a2c4c9-c3ff-43d5-b87e-be7831d385d0"]}],"mendeley":{"formattedCitation":"(Ayub and Boyd, 1994; CEAE, 2003)","plainTextFormattedCitation":"(Ayub and Boyd, 1994; CEAE, 2003)","previouslyFormattedCitation":"(Ayub and Boyd, 1994; CEAE, 2003)"},"properties":{"noteIndex":0},"schema":"https://github.com/citation-style-language/schema/raw/master/csl-citation.json"}</w:instrText>
      </w:r>
      <w:r w:rsidR="00563F3C">
        <w:rPr>
          <w:rFonts w:cs="Times New Roman"/>
          <w:szCs w:val="24"/>
        </w:rPr>
        <w:fldChar w:fldCharType="separate"/>
      </w:r>
      <w:r w:rsidR="00563F3C" w:rsidRPr="00563F3C">
        <w:rPr>
          <w:rFonts w:cs="Times New Roman"/>
          <w:noProof/>
          <w:szCs w:val="24"/>
        </w:rPr>
        <w:t>(Ayub and Boyd, 1994; CEAE, 2003)</w:t>
      </w:r>
      <w:r w:rsidR="00563F3C">
        <w:rPr>
          <w:rFonts w:cs="Times New Roman"/>
          <w:szCs w:val="24"/>
        </w:rPr>
        <w:fldChar w:fldCharType="end"/>
      </w:r>
      <w:r w:rsidR="00563F3C">
        <w:rPr>
          <w:rFonts w:cs="Times New Roman"/>
          <w:szCs w:val="24"/>
        </w:rPr>
        <w:t>.</w:t>
      </w:r>
      <w:r w:rsidRPr="00BE27BF">
        <w:rPr>
          <w:rFonts w:cs="Times New Roman"/>
          <w:szCs w:val="24"/>
        </w:rPr>
        <w:t xml:space="preserve"> </w:t>
      </w:r>
      <w:r>
        <w:rPr>
          <w:rFonts w:cs="Times New Roman"/>
          <w:szCs w:val="24"/>
        </w:rPr>
        <w:t xml:space="preserve">Total </w:t>
      </w:r>
      <w:r w:rsidRPr="0044709A">
        <w:rPr>
          <w:rFonts w:cs="Times New Roman"/>
          <w:szCs w:val="24"/>
        </w:rPr>
        <w:t>N w</w:t>
      </w:r>
      <w:r>
        <w:rPr>
          <w:rFonts w:cs="Times New Roman"/>
          <w:szCs w:val="24"/>
        </w:rPr>
        <w:t>as</w:t>
      </w:r>
      <w:r w:rsidRPr="0044709A">
        <w:rPr>
          <w:rFonts w:cs="Times New Roman"/>
          <w:szCs w:val="24"/>
        </w:rPr>
        <w:t xml:space="preserve"> </w:t>
      </w:r>
      <w:r>
        <w:rPr>
          <w:rFonts w:cs="Times New Roman"/>
          <w:szCs w:val="24"/>
        </w:rPr>
        <w:t>measured</w:t>
      </w:r>
      <w:r w:rsidRPr="0044709A">
        <w:rPr>
          <w:rFonts w:cs="Times New Roman"/>
          <w:szCs w:val="24"/>
        </w:rPr>
        <w:t xml:space="preserve"> using a </w:t>
      </w:r>
      <w:proofErr w:type="spellStart"/>
      <w:r>
        <w:rPr>
          <w:rFonts w:cs="Times New Roman"/>
          <w:szCs w:val="24"/>
        </w:rPr>
        <w:t>V</w:t>
      </w:r>
      <w:r w:rsidRPr="0044709A">
        <w:rPr>
          <w:rFonts w:cs="Times New Roman"/>
          <w:szCs w:val="24"/>
        </w:rPr>
        <w:t>ario</w:t>
      </w:r>
      <w:proofErr w:type="spellEnd"/>
      <w:r w:rsidRPr="0044709A">
        <w:rPr>
          <w:rFonts w:cs="Times New Roman"/>
          <w:szCs w:val="24"/>
        </w:rPr>
        <w:t xml:space="preserve"> MACRO C</w:t>
      </w:r>
      <w:r>
        <w:rPr>
          <w:rFonts w:cs="Times New Roman"/>
          <w:szCs w:val="24"/>
        </w:rPr>
        <w:t>/</w:t>
      </w:r>
      <w:r w:rsidRPr="0044709A">
        <w:rPr>
          <w:rFonts w:cs="Times New Roman"/>
          <w:szCs w:val="24"/>
        </w:rPr>
        <w:t xml:space="preserve">N </w:t>
      </w:r>
      <w:proofErr w:type="spellStart"/>
      <w:r w:rsidRPr="0044709A">
        <w:rPr>
          <w:rFonts w:cs="Times New Roman"/>
          <w:szCs w:val="24"/>
        </w:rPr>
        <w:t>Analyser</w:t>
      </w:r>
      <w:proofErr w:type="spellEnd"/>
      <w:r w:rsidRPr="0044709A">
        <w:rPr>
          <w:rFonts w:cs="Times New Roman"/>
          <w:szCs w:val="24"/>
        </w:rPr>
        <w:t xml:space="preserve"> (</w:t>
      </w:r>
      <w:proofErr w:type="spellStart"/>
      <w:r w:rsidRPr="0044709A">
        <w:rPr>
          <w:rFonts w:cs="Times New Roman"/>
          <w:szCs w:val="24"/>
        </w:rPr>
        <w:t>Elementar</w:t>
      </w:r>
      <w:proofErr w:type="spellEnd"/>
      <w:r>
        <w:rPr>
          <w:rFonts w:cs="Times New Roman"/>
          <w:szCs w:val="24"/>
        </w:rPr>
        <w:t xml:space="preserve"> Analysis System</w:t>
      </w:r>
      <w:r w:rsidRPr="0044709A">
        <w:rPr>
          <w:rFonts w:cs="Times New Roman"/>
          <w:szCs w:val="24"/>
        </w:rPr>
        <w:t>, Germany). The soil samples were first dried</w:t>
      </w:r>
      <w:r>
        <w:rPr>
          <w:rFonts w:cs="Times New Roman"/>
          <w:szCs w:val="24"/>
        </w:rPr>
        <w:t xml:space="preserve"> at 105 ºC</w:t>
      </w:r>
      <w:r w:rsidRPr="0044709A">
        <w:rPr>
          <w:rFonts w:cs="Times New Roman"/>
          <w:szCs w:val="24"/>
        </w:rPr>
        <w:t xml:space="preserve">, sieved to &lt; 2 mm then homogenized to a fine powder with a laboratory </w:t>
      </w:r>
      <w:r>
        <w:rPr>
          <w:rFonts w:cs="Times New Roman"/>
          <w:szCs w:val="24"/>
        </w:rPr>
        <w:t>b</w:t>
      </w:r>
      <w:r w:rsidRPr="0044709A">
        <w:rPr>
          <w:rFonts w:cs="Times New Roman"/>
          <w:szCs w:val="24"/>
        </w:rPr>
        <w:t xml:space="preserve">all </w:t>
      </w:r>
      <w:r>
        <w:rPr>
          <w:rFonts w:cs="Times New Roman"/>
          <w:szCs w:val="24"/>
        </w:rPr>
        <w:t>m</w:t>
      </w:r>
      <w:r w:rsidRPr="0044709A">
        <w:rPr>
          <w:rFonts w:cs="Times New Roman"/>
          <w:szCs w:val="24"/>
        </w:rPr>
        <w:t>ill (</w:t>
      </w:r>
      <w:proofErr w:type="spellStart"/>
      <w:r w:rsidRPr="0044709A">
        <w:rPr>
          <w:rFonts w:cs="Times New Roman"/>
          <w:szCs w:val="24"/>
        </w:rPr>
        <w:t>Retsch</w:t>
      </w:r>
      <w:proofErr w:type="spellEnd"/>
      <w:r w:rsidRPr="0044709A">
        <w:rPr>
          <w:rFonts w:cs="Times New Roman"/>
          <w:szCs w:val="24"/>
        </w:rPr>
        <w:t>, Germany). The samples were then weighed into a tin-foil cups and sealed for dry combustion</w:t>
      </w:r>
      <w:r>
        <w:rPr>
          <w:rFonts w:cs="Times New Roman"/>
          <w:szCs w:val="24"/>
        </w:rPr>
        <w:t>.</w:t>
      </w:r>
    </w:p>
    <w:p w14:paraId="24DCECB0" w14:textId="77777777" w:rsidR="0038409E" w:rsidRPr="006715F9" w:rsidRDefault="0038409E" w:rsidP="001448A4">
      <w:pPr>
        <w:pStyle w:val="ListParagraph"/>
        <w:numPr>
          <w:ilvl w:val="2"/>
          <w:numId w:val="14"/>
        </w:numPr>
        <w:spacing w:before="360" w:after="240" w:line="480" w:lineRule="auto"/>
        <w:jc w:val="both"/>
        <w:outlineLvl w:val="3"/>
        <w:rPr>
          <w:rFonts w:cs="Times New Roman"/>
          <w:bCs/>
          <w:i/>
          <w:iCs/>
          <w:szCs w:val="24"/>
        </w:rPr>
      </w:pPr>
      <w:r>
        <w:rPr>
          <w:rFonts w:cs="Times New Roman"/>
          <w:bCs/>
          <w:i/>
          <w:iCs/>
          <w:szCs w:val="24"/>
        </w:rPr>
        <w:t>Wheat b</w:t>
      </w:r>
      <w:r w:rsidRPr="006715F9">
        <w:rPr>
          <w:rFonts w:cs="Times New Roman"/>
          <w:bCs/>
          <w:i/>
          <w:iCs/>
          <w:szCs w:val="24"/>
        </w:rPr>
        <w:t>ioassay experiment</w:t>
      </w:r>
    </w:p>
    <w:p w14:paraId="4A70E0A5" w14:textId="77777777" w:rsidR="0038409E" w:rsidRDefault="0038409E" w:rsidP="001448A4">
      <w:pPr>
        <w:spacing w:line="480" w:lineRule="auto"/>
        <w:jc w:val="both"/>
        <w:rPr>
          <w:szCs w:val="24"/>
        </w:rPr>
      </w:pPr>
      <w:r>
        <w:rPr>
          <w:rFonts w:cs="Times New Roman"/>
          <w:szCs w:val="24"/>
        </w:rPr>
        <w:t xml:space="preserve">Moist homogenized soil from each monolith equivalent to an oven dry mass of 200 g was added to plastic pots of approximately 7 cm diameter and 13 cm height and </w:t>
      </w:r>
      <w:r w:rsidRPr="00801B0E">
        <w:rPr>
          <w:rFonts w:cs="Times New Roman"/>
          <w:szCs w:val="24"/>
        </w:rPr>
        <w:t xml:space="preserve">stored at 15 °C </w:t>
      </w:r>
      <w:r>
        <w:rPr>
          <w:rFonts w:cs="Times New Roman"/>
          <w:szCs w:val="24"/>
        </w:rPr>
        <w:t xml:space="preserve">for four days </w:t>
      </w:r>
      <w:r w:rsidRPr="00801B0E">
        <w:rPr>
          <w:rFonts w:cs="Times New Roman"/>
          <w:szCs w:val="24"/>
        </w:rPr>
        <w:t xml:space="preserve">until </w:t>
      </w:r>
      <w:r w:rsidRPr="00873BFA">
        <w:rPr>
          <w:szCs w:val="24"/>
        </w:rPr>
        <w:t xml:space="preserve">planted with pre-germinated </w:t>
      </w:r>
      <w:r>
        <w:rPr>
          <w:szCs w:val="24"/>
        </w:rPr>
        <w:t>w</w:t>
      </w:r>
      <w:r w:rsidRPr="00873BFA">
        <w:rPr>
          <w:szCs w:val="24"/>
        </w:rPr>
        <w:t>inter wheat seedlings (</w:t>
      </w:r>
      <w:r w:rsidRPr="0015061A">
        <w:rPr>
          <w:i/>
          <w:szCs w:val="24"/>
        </w:rPr>
        <w:t xml:space="preserve">Triticum </w:t>
      </w:r>
      <w:proofErr w:type="spellStart"/>
      <w:r w:rsidRPr="0015061A">
        <w:rPr>
          <w:i/>
          <w:szCs w:val="24"/>
        </w:rPr>
        <w:t>aestivum</w:t>
      </w:r>
      <w:proofErr w:type="spellEnd"/>
      <w:r>
        <w:rPr>
          <w:szCs w:val="24"/>
        </w:rPr>
        <w:t>,</w:t>
      </w:r>
      <w:r w:rsidRPr="0015061A">
        <w:rPr>
          <w:szCs w:val="24"/>
        </w:rPr>
        <w:t xml:space="preserve"> </w:t>
      </w:r>
      <w:r w:rsidRPr="00873BFA">
        <w:rPr>
          <w:szCs w:val="24"/>
        </w:rPr>
        <w:t xml:space="preserve">Skyfall variety). Winter wheat seeds were germinated </w:t>
      </w:r>
      <w:r>
        <w:rPr>
          <w:szCs w:val="24"/>
        </w:rPr>
        <w:t>o</w:t>
      </w:r>
      <w:r w:rsidRPr="00014B27">
        <w:rPr>
          <w:szCs w:val="24"/>
        </w:rPr>
        <w:t xml:space="preserve">n moist filter </w:t>
      </w:r>
      <w:r>
        <w:rPr>
          <w:szCs w:val="24"/>
        </w:rPr>
        <w:t>paper i</w:t>
      </w:r>
      <w:r w:rsidRPr="00873BFA">
        <w:rPr>
          <w:szCs w:val="24"/>
        </w:rPr>
        <w:t>n Petri dishes kept at room temperature in natural light. Three days after germination</w:t>
      </w:r>
      <w:r>
        <w:rPr>
          <w:szCs w:val="24"/>
        </w:rPr>
        <w:t>,</w:t>
      </w:r>
      <w:r w:rsidRPr="00873BFA">
        <w:rPr>
          <w:szCs w:val="24"/>
        </w:rPr>
        <w:t xml:space="preserve"> seedlings with</w:t>
      </w:r>
      <w:r w:rsidRPr="004204D6">
        <w:t xml:space="preserve"> </w:t>
      </w:r>
      <w:r w:rsidRPr="004204D6">
        <w:rPr>
          <w:szCs w:val="24"/>
        </w:rPr>
        <w:t>approximately</w:t>
      </w:r>
      <w:r>
        <w:rPr>
          <w:szCs w:val="24"/>
        </w:rPr>
        <w:t xml:space="preserve"> </w:t>
      </w:r>
      <w:r w:rsidRPr="00873BFA">
        <w:rPr>
          <w:szCs w:val="24"/>
        </w:rPr>
        <w:t xml:space="preserve">2 cm </w:t>
      </w:r>
      <w:r>
        <w:rPr>
          <w:szCs w:val="24"/>
        </w:rPr>
        <w:t xml:space="preserve">long </w:t>
      </w:r>
      <w:r w:rsidRPr="00873BFA">
        <w:rPr>
          <w:szCs w:val="24"/>
        </w:rPr>
        <w:t xml:space="preserve">radicles were transplanted into the </w:t>
      </w:r>
      <w:r>
        <w:rPr>
          <w:szCs w:val="24"/>
        </w:rPr>
        <w:t>pots</w:t>
      </w:r>
      <w:r w:rsidRPr="00873BFA">
        <w:rPr>
          <w:szCs w:val="24"/>
        </w:rPr>
        <w:t xml:space="preserve"> and allowed to grow for five days under natural light.</w:t>
      </w:r>
      <w:r>
        <w:rPr>
          <w:szCs w:val="24"/>
        </w:rPr>
        <w:t xml:space="preserve"> The pots were then </w:t>
      </w:r>
      <w:r w:rsidRPr="00873BFA">
        <w:rPr>
          <w:szCs w:val="24"/>
        </w:rPr>
        <w:t>placed under 50 W LED lights</w:t>
      </w:r>
      <w:r w:rsidR="00B9318C">
        <w:rPr>
          <w:szCs w:val="24"/>
        </w:rPr>
        <w:t xml:space="preserve"> </w:t>
      </w:r>
      <w:r w:rsidR="00B9318C">
        <w:rPr>
          <w:szCs w:val="24"/>
        </w:rPr>
        <w:fldChar w:fldCharType="begin" w:fldLock="1"/>
      </w:r>
      <w:r w:rsidR="005633D2">
        <w:rPr>
          <w:szCs w:val="24"/>
        </w:rPr>
        <w:instrText>ADDIN CSL_CITATION {"citationItems":[{"id":"ITEM-1","itemData":{"abstract":"Light-emitting diodes (LEDs) have tremendous potential as supplemental or sole-source lighting systems for crop production both on and off earth. Their small size, durability, long operating lifetime, wavelength specificity, relatively cool emitting surfaces, and linear photon output with electrical input current make these solid-state light sources ideal for use in plant lighting designs. Because the output waveband of LEDs (single color, nonphosphor-coated) is much narrower than that of traditional sources of electric lighting used for plant growth, one challenge in designing an optimum plant lighting system is to determine wavelengths essential for specific crops. Work at NASA's Kennedy Space Center has focused on the proportion of blue light required for normal plant growth as well as the optimum wavelength of red and the red/far-red ratio. The addition of green wavelengths for improved plant growth as well as for visual monitoring of plant status has been addressed. Like with other light sources, spectral quality of LEDs can have dramatic effects on crop anatomy and morphology as well as nutrient uptake and pathogen development. Work at Purdue University has focused on geometry of light delivery to improve energy use efficiency of a crop lighting system. Additionally, foliar intumescence developing in the absence of ultraviolet light or other less understood stimuli could become a serious limitation for some crops lighted solely by narrow-band LEDs. Ways to prevent this condition are being investigated. Potential LED benefits to the controlled environment agriculture industry are numerous and more work needs to be done to position horticulture at the forefront of this promising technology.","author":[{"dropping-particle":"","family":"Massa","given":"Gioia D","non-dropping-particle":"","parse-names":false,"suffix":""},{"dropping-particle":"","family":"Kim","given":"Hyeon-Hye","non-dropping-particle":"","parse-names":false,"suffix":""},{"dropping-particle":"","family":"Wheeler","given":"Raymond M","non-dropping-particle":"","parse-names":false,"suffix":""},{"dropping-particle":"","family":"Mitchell","given":"Cary A","non-dropping-particle":"","parse-names":false,"suffix":""}],"container-title":"HortScience","id":"ITEM-1","issue":"7","issued":{"date-parts":[["2008"]]},"page":"1951-1956","title":"Plant productivity in response to LED lighting","type":"article-journal","volume":"43"},"uris":["http://www.mendeley.com/documents/?uuid=892e19a2-8eed-4594-8141-83f1ea6eb386"]},{"id":"ITEM-2","itemData":{"DOI":"10.1007/978-3-319-00295-8_42-1","ISBN":"978-3-319-00295-8","author":[{"dropping-particle":"","family":"Schroer","given":"Sibylle","non-dropping-particle":"","parse-names":false,"suffix":""},{"dropping-particle":"","family":"Hölker","given":"Franz","non-dropping-particle":"","parse-names":false,"suffix":""}],"container-title":"Handbook of Advanced Lighting Technology","editor":[{"dropping-particle":"","family":"Karlicek","given":"Robert","non-dropping-particle":"","parse-names":false,"suffix":""},{"dropping-particle":"","family":"Sun","given":"Ching-Cherng","non-dropping-particle":"","parse-names":false,"suffix":""},{"dropping-particle":"","family":"Zissis","given":"Georges","non-dropping-particle":"","parse-names":false,"suffix":""},{"dropping-particle":"","family":"Ma","given":"Ruiqing","non-dropping-particle":"","parse-names":false,"suffix":""}],"id":"ITEM-2","issued":{"date-parts":[["2016"]]},"page":"1-33","publisher":"Springer International Publishing","publisher-place":"Cham","title":"Impact of lighting on flora and fauna","type":"chapter"},"uris":["http://www.mendeley.com/documents/?uuid=386ae976-f0c2-4bc2-a5e2-d99c7b71f137"]}],"mendeley":{"formattedCitation":"(Massa et al., 2008; Schroer and Hölker, 2016)","plainTextFormattedCitation":"(Massa et al., 2008; Schroer and Hölker, 2016)","previouslyFormattedCitation":"(Massa et al., 2008; Schroer and Hölker, 2016)"},"properties":{"noteIndex":0},"schema":"https://github.com/citation-style-language/schema/raw/master/csl-citation.json"}</w:instrText>
      </w:r>
      <w:r w:rsidR="00B9318C">
        <w:rPr>
          <w:szCs w:val="24"/>
        </w:rPr>
        <w:fldChar w:fldCharType="separate"/>
      </w:r>
      <w:r w:rsidR="00B9318C" w:rsidRPr="00B9318C">
        <w:rPr>
          <w:noProof/>
          <w:szCs w:val="24"/>
        </w:rPr>
        <w:t>(Massa et al., 2008; Schroer and Hölker, 2016)</w:t>
      </w:r>
      <w:r w:rsidR="00B9318C">
        <w:rPr>
          <w:szCs w:val="24"/>
        </w:rPr>
        <w:fldChar w:fldCharType="end"/>
      </w:r>
      <w:r w:rsidR="00B9318C">
        <w:rPr>
          <w:szCs w:val="24"/>
        </w:rPr>
        <w:t xml:space="preserve"> </w:t>
      </w:r>
      <w:r>
        <w:rPr>
          <w:szCs w:val="24"/>
        </w:rPr>
        <w:t xml:space="preserve">operating on a </w:t>
      </w:r>
      <w:r w:rsidRPr="00873BFA">
        <w:rPr>
          <w:szCs w:val="24"/>
        </w:rPr>
        <w:t>1</w:t>
      </w:r>
      <w:r>
        <w:rPr>
          <w:szCs w:val="24"/>
        </w:rPr>
        <w:t>2</w:t>
      </w:r>
      <w:r w:rsidRPr="00873BFA">
        <w:rPr>
          <w:szCs w:val="24"/>
        </w:rPr>
        <w:t xml:space="preserve">-hour </w:t>
      </w:r>
      <w:bookmarkStart w:id="11" w:name="_Hlk526707548"/>
      <w:r>
        <w:rPr>
          <w:szCs w:val="24"/>
        </w:rPr>
        <w:t>photoperiod</w:t>
      </w:r>
      <w:bookmarkEnd w:id="11"/>
      <w:r w:rsidRPr="00873BFA">
        <w:rPr>
          <w:szCs w:val="24"/>
        </w:rPr>
        <w:t xml:space="preserve"> in a </w:t>
      </w:r>
      <w:r>
        <w:rPr>
          <w:szCs w:val="24"/>
        </w:rPr>
        <w:t>c</w:t>
      </w:r>
      <w:r w:rsidRPr="00873BFA">
        <w:rPr>
          <w:szCs w:val="24"/>
        </w:rPr>
        <w:t xml:space="preserve">ontrolled </w:t>
      </w:r>
      <w:r>
        <w:rPr>
          <w:szCs w:val="24"/>
        </w:rPr>
        <w:t>t</w:t>
      </w:r>
      <w:r w:rsidRPr="00873BFA">
        <w:rPr>
          <w:szCs w:val="24"/>
        </w:rPr>
        <w:t>emperature room set at 15 °C</w:t>
      </w:r>
      <w:r>
        <w:rPr>
          <w:szCs w:val="24"/>
        </w:rPr>
        <w:t xml:space="preserve">. </w:t>
      </w:r>
      <w:r w:rsidRPr="00014B27">
        <w:rPr>
          <w:szCs w:val="24"/>
        </w:rPr>
        <w:t>Photosynthetically Active Radiation (PAR) measured at the surface</w:t>
      </w:r>
      <w:r>
        <w:rPr>
          <w:szCs w:val="24"/>
        </w:rPr>
        <w:t xml:space="preserve"> of pots was up to 580 </w:t>
      </w:r>
      <w:r w:rsidRPr="00B606C9">
        <w:rPr>
          <w:szCs w:val="24"/>
        </w:rPr>
        <w:t>µ</w:t>
      </w:r>
      <w:r>
        <w:rPr>
          <w:szCs w:val="24"/>
        </w:rPr>
        <w:t>moles m</w:t>
      </w:r>
      <w:r w:rsidRPr="00B606C9">
        <w:rPr>
          <w:szCs w:val="24"/>
          <w:vertAlign w:val="superscript"/>
        </w:rPr>
        <w:t>-2</w:t>
      </w:r>
      <w:r>
        <w:rPr>
          <w:szCs w:val="24"/>
        </w:rPr>
        <w:t xml:space="preserve"> s</w:t>
      </w:r>
      <w:r w:rsidRPr="00B606C9">
        <w:rPr>
          <w:szCs w:val="24"/>
          <w:vertAlign w:val="superscript"/>
        </w:rPr>
        <w:t>-1</w:t>
      </w:r>
      <w:r>
        <w:rPr>
          <w:szCs w:val="24"/>
        </w:rPr>
        <w:t xml:space="preserve">. </w:t>
      </w:r>
      <w:r w:rsidRPr="003C4AF1">
        <w:rPr>
          <w:szCs w:val="24"/>
        </w:rPr>
        <w:t xml:space="preserve">The plants were watered three times a week with distilled water. </w:t>
      </w:r>
      <w:r>
        <w:rPr>
          <w:szCs w:val="24"/>
        </w:rPr>
        <w:t xml:space="preserve">After 6 weeks, shoots and roots were harvested with roots </w:t>
      </w:r>
      <w:r w:rsidRPr="009B003E">
        <w:rPr>
          <w:szCs w:val="24"/>
        </w:rPr>
        <w:t>washed free of soil</w:t>
      </w:r>
      <w:r>
        <w:rPr>
          <w:szCs w:val="24"/>
        </w:rPr>
        <w:t xml:space="preserve">, weighed and oven dried at 70 </w:t>
      </w:r>
      <w:r w:rsidRPr="00873BFA">
        <w:rPr>
          <w:szCs w:val="24"/>
        </w:rPr>
        <w:t>°C</w:t>
      </w:r>
      <w:r>
        <w:rPr>
          <w:szCs w:val="24"/>
        </w:rPr>
        <w:t xml:space="preserve"> to a </w:t>
      </w:r>
      <w:r w:rsidRPr="00875127">
        <w:rPr>
          <w:szCs w:val="24"/>
        </w:rPr>
        <w:t xml:space="preserve">constant </w:t>
      </w:r>
      <w:r>
        <w:rPr>
          <w:szCs w:val="24"/>
        </w:rPr>
        <w:t>weight.</w:t>
      </w:r>
    </w:p>
    <w:p w14:paraId="6767096F" w14:textId="77777777" w:rsidR="0038409E" w:rsidRDefault="0038409E" w:rsidP="001448A4">
      <w:pPr>
        <w:spacing w:line="480" w:lineRule="auto"/>
        <w:jc w:val="both"/>
        <w:rPr>
          <w:szCs w:val="24"/>
        </w:rPr>
      </w:pPr>
      <w:r>
        <w:rPr>
          <w:szCs w:val="24"/>
        </w:rPr>
        <w:br w:type="page"/>
      </w:r>
    </w:p>
    <w:p w14:paraId="76E1CBF3" w14:textId="77777777" w:rsidR="0038409E" w:rsidRPr="00186F03" w:rsidRDefault="0038409E" w:rsidP="001448A4">
      <w:pPr>
        <w:pStyle w:val="Heading3"/>
        <w:numPr>
          <w:ilvl w:val="1"/>
          <w:numId w:val="14"/>
        </w:numPr>
        <w:spacing w:before="600" w:after="200" w:line="480" w:lineRule="auto"/>
        <w:ind w:left="788" w:hanging="431"/>
      </w:pPr>
      <w:r w:rsidRPr="00186F03">
        <w:t xml:space="preserve">Statistical </w:t>
      </w:r>
      <w:r>
        <w:t>analysis</w:t>
      </w:r>
    </w:p>
    <w:p w14:paraId="4F5A274E" w14:textId="77777777" w:rsidR="0038409E" w:rsidRDefault="0038409E" w:rsidP="001448A4">
      <w:pPr>
        <w:spacing w:line="480" w:lineRule="auto"/>
        <w:jc w:val="both"/>
        <w:rPr>
          <w:rFonts w:cs="Times New Roman"/>
          <w:szCs w:val="24"/>
        </w:rPr>
      </w:pPr>
      <w:r>
        <w:rPr>
          <w:rFonts w:cs="Times New Roman"/>
          <w:szCs w:val="24"/>
        </w:rPr>
        <w:t>Data</w:t>
      </w:r>
      <w:r w:rsidRPr="00D22521">
        <w:rPr>
          <w:rFonts w:cs="Times New Roman"/>
          <w:szCs w:val="24"/>
        </w:rPr>
        <w:t xml:space="preserve"> </w:t>
      </w:r>
      <w:r>
        <w:rPr>
          <w:rFonts w:cs="Times New Roman"/>
          <w:szCs w:val="24"/>
        </w:rPr>
        <w:t xml:space="preserve">from monoliths </w:t>
      </w:r>
      <w:r w:rsidRPr="00D22521">
        <w:rPr>
          <w:rFonts w:cs="Times New Roman"/>
          <w:szCs w:val="24"/>
        </w:rPr>
        <w:t xml:space="preserve">were analyzed </w:t>
      </w:r>
      <w:r>
        <w:rPr>
          <w:rFonts w:cs="Times New Roman"/>
          <w:szCs w:val="24"/>
        </w:rPr>
        <w:t>using</w:t>
      </w:r>
      <w:r w:rsidRPr="00D22521">
        <w:rPr>
          <w:rFonts w:cs="Times New Roman"/>
          <w:szCs w:val="24"/>
        </w:rPr>
        <w:t xml:space="preserve"> </w:t>
      </w:r>
      <w:r>
        <w:rPr>
          <w:rFonts w:cs="Times New Roman"/>
          <w:szCs w:val="24"/>
        </w:rPr>
        <w:t xml:space="preserve">a </w:t>
      </w:r>
      <w:r w:rsidRPr="00D22521">
        <w:rPr>
          <w:rFonts w:cs="Times New Roman"/>
          <w:szCs w:val="24"/>
        </w:rPr>
        <w:t xml:space="preserve">general linear model </w:t>
      </w:r>
      <w:r>
        <w:rPr>
          <w:rFonts w:cs="Times New Roman"/>
          <w:szCs w:val="24"/>
        </w:rPr>
        <w:t>analysis of variance (</w:t>
      </w:r>
      <w:r w:rsidRPr="00D22521">
        <w:rPr>
          <w:rFonts w:cs="Times New Roman"/>
          <w:szCs w:val="24"/>
        </w:rPr>
        <w:t>ANOVA</w:t>
      </w:r>
      <w:r>
        <w:rPr>
          <w:rFonts w:cs="Times New Roman"/>
          <w:szCs w:val="24"/>
        </w:rPr>
        <w:t>)</w:t>
      </w:r>
      <w:r w:rsidRPr="00D22521">
        <w:rPr>
          <w:rFonts w:cs="Times New Roman"/>
          <w:szCs w:val="24"/>
        </w:rPr>
        <w:t xml:space="preserve">. </w:t>
      </w:r>
      <w:r>
        <w:rPr>
          <w:rFonts w:cs="Times New Roman"/>
          <w:szCs w:val="24"/>
        </w:rPr>
        <w:t xml:space="preserve">Three-way mixed ANOVA </w:t>
      </w:r>
      <w:r w:rsidRPr="00B83CAA">
        <w:rPr>
          <w:rFonts w:cs="Times New Roman"/>
          <w:szCs w:val="24"/>
        </w:rPr>
        <w:t xml:space="preserve">with two </w:t>
      </w:r>
      <w:r>
        <w:rPr>
          <w:rFonts w:cs="Times New Roman"/>
          <w:szCs w:val="24"/>
        </w:rPr>
        <w:t>main</w:t>
      </w:r>
      <w:r w:rsidRPr="00B83CAA">
        <w:rPr>
          <w:rFonts w:cs="Times New Roman"/>
          <w:szCs w:val="24"/>
        </w:rPr>
        <w:t xml:space="preserve"> factors </w:t>
      </w:r>
      <w:r>
        <w:rPr>
          <w:rFonts w:cs="Times New Roman"/>
          <w:szCs w:val="24"/>
        </w:rPr>
        <w:t xml:space="preserve">(treatment and field) </w:t>
      </w:r>
      <w:r w:rsidRPr="00B83CAA">
        <w:rPr>
          <w:rFonts w:cs="Times New Roman"/>
          <w:szCs w:val="24"/>
        </w:rPr>
        <w:t xml:space="preserve">and one repeated factor </w:t>
      </w:r>
      <w:r>
        <w:rPr>
          <w:rFonts w:cs="Times New Roman"/>
          <w:szCs w:val="24"/>
        </w:rPr>
        <w:t xml:space="preserve">(seasonal measurements) was used to analyze </w:t>
      </w:r>
      <w:r w:rsidRPr="000620BB">
        <w:rPr>
          <w:rFonts w:cs="Times New Roman"/>
          <w:i/>
          <w:szCs w:val="24"/>
        </w:rPr>
        <w:t>K</w:t>
      </w:r>
      <w:r>
        <w:rPr>
          <w:rFonts w:cs="Times New Roman"/>
          <w:szCs w:val="24"/>
        </w:rPr>
        <w:t xml:space="preserve"> at different tensions. Ordinary two-way ANOVA was used to analyze data of the other measured parameters at the end of the experiment with treatment and field name as factors. Ideally</w:t>
      </w:r>
      <w:r w:rsidR="00264C9E">
        <w:rPr>
          <w:rFonts w:cs="Times New Roman"/>
          <w:szCs w:val="24"/>
        </w:rPr>
        <w:t>,</w:t>
      </w:r>
      <w:r>
        <w:rPr>
          <w:rFonts w:cs="Times New Roman"/>
          <w:szCs w:val="24"/>
        </w:rPr>
        <w:t xml:space="preserve"> we would have had four unfrozen control monoliths per field. However, due to logistic limitations, we only had one unfrozen control monolith per field. Consequently, an ANOVA analysis including control treatments was performed to look at the main effects of treatments (4 control vs 12 DeF vs 12 </w:t>
      </w:r>
      <w:proofErr w:type="spellStart"/>
      <w:r>
        <w:rPr>
          <w:rFonts w:cs="Times New Roman"/>
          <w:szCs w:val="24"/>
        </w:rPr>
        <w:t>FeF+E</w:t>
      </w:r>
      <w:proofErr w:type="spellEnd"/>
      <w:r>
        <w:rPr>
          <w:rFonts w:cs="Times New Roman"/>
          <w:szCs w:val="24"/>
        </w:rPr>
        <w:t xml:space="preserve"> monoliths) and fields (7 monoliths per field) or seasons (all 28 monoliths per season) but not </w:t>
      </w:r>
      <w:r w:rsidRPr="00A2496C">
        <w:rPr>
          <w:rFonts w:cs="Times New Roman"/>
          <w:szCs w:val="24"/>
        </w:rPr>
        <w:t xml:space="preserve">at </w:t>
      </w:r>
      <w:r>
        <w:rPr>
          <w:rFonts w:cs="Times New Roman"/>
          <w:szCs w:val="24"/>
        </w:rPr>
        <w:t xml:space="preserve">their </w:t>
      </w:r>
      <w:r w:rsidRPr="00A2496C">
        <w:rPr>
          <w:rFonts w:cs="Times New Roman"/>
          <w:szCs w:val="24"/>
        </w:rPr>
        <w:t>interactions</w:t>
      </w:r>
      <w:r>
        <w:rPr>
          <w:rFonts w:cs="Times New Roman"/>
          <w:szCs w:val="24"/>
        </w:rPr>
        <w:t>,</w:t>
      </w:r>
      <w:r w:rsidRPr="00A2496C">
        <w:rPr>
          <w:rFonts w:cs="Times New Roman"/>
          <w:szCs w:val="24"/>
        </w:rPr>
        <w:t xml:space="preserve"> </w:t>
      </w:r>
      <w:r>
        <w:rPr>
          <w:rFonts w:cs="Times New Roman"/>
          <w:szCs w:val="24"/>
        </w:rPr>
        <w:t xml:space="preserve">since </w:t>
      </w:r>
      <w:r w:rsidRPr="00A2496C">
        <w:rPr>
          <w:rFonts w:cs="Times New Roman"/>
          <w:szCs w:val="24"/>
        </w:rPr>
        <w:t>th</w:t>
      </w:r>
      <w:r>
        <w:rPr>
          <w:rFonts w:cs="Times New Roman"/>
          <w:szCs w:val="24"/>
        </w:rPr>
        <w:t>e</w:t>
      </w:r>
      <w:r w:rsidRPr="00A2496C">
        <w:rPr>
          <w:rFonts w:cs="Times New Roman"/>
          <w:szCs w:val="24"/>
        </w:rPr>
        <w:t xml:space="preserve"> design is an unbalanced ANOVA</w:t>
      </w:r>
      <w:r>
        <w:rPr>
          <w:rFonts w:cs="Times New Roman"/>
          <w:szCs w:val="24"/>
        </w:rPr>
        <w:t xml:space="preserve">. The unbalanced design resulted in uneven variances for some parameters, we therefore repeated our ANOVA analysis excluding control monoliths; the statistically significant </w:t>
      </w:r>
      <w:r w:rsidRPr="008C6F38">
        <w:rPr>
          <w:rFonts w:cs="Times New Roman"/>
          <w:szCs w:val="24"/>
        </w:rPr>
        <w:t>trends were the sam</w:t>
      </w:r>
      <w:r>
        <w:rPr>
          <w:rFonts w:cs="Times New Roman"/>
          <w:szCs w:val="24"/>
        </w:rPr>
        <w:t>e. Therefore, here we report the results of the A</w:t>
      </w:r>
      <w:r w:rsidRPr="00B36F2A">
        <w:rPr>
          <w:rFonts w:cs="Times New Roman"/>
          <w:szCs w:val="24"/>
        </w:rPr>
        <w:t xml:space="preserve">NOVA analysis </w:t>
      </w:r>
      <w:r>
        <w:rPr>
          <w:rFonts w:cs="Times New Roman"/>
          <w:szCs w:val="24"/>
        </w:rPr>
        <w:t xml:space="preserve">including control treatments. However, the ANOVA analysis excluding the controls was used to investigate interactions between the main factors in the DeF+E and DeF monoliths. </w:t>
      </w:r>
    </w:p>
    <w:p w14:paraId="50A2C941" w14:textId="77777777" w:rsidR="0038409E" w:rsidRDefault="0038409E" w:rsidP="001448A4">
      <w:pPr>
        <w:spacing w:line="480" w:lineRule="auto"/>
        <w:jc w:val="both"/>
        <w:rPr>
          <w:rFonts w:cs="Times New Roman"/>
          <w:szCs w:val="24"/>
        </w:rPr>
      </w:pPr>
      <w:r w:rsidRPr="00DA737D">
        <w:rPr>
          <w:rFonts w:cs="Times New Roman"/>
          <w:szCs w:val="24"/>
        </w:rPr>
        <w:t>A</w:t>
      </w:r>
      <w:r>
        <w:rPr>
          <w:rFonts w:cs="Times New Roman"/>
          <w:szCs w:val="24"/>
        </w:rPr>
        <w:t>s part of the regular management of the fields where the monoliths were located, a</w:t>
      </w:r>
      <w:r w:rsidRPr="00DA737D">
        <w:rPr>
          <w:rFonts w:cs="Times New Roman"/>
          <w:szCs w:val="24"/>
        </w:rPr>
        <w:t xml:space="preserve"> </w:t>
      </w:r>
      <w:bookmarkStart w:id="12" w:name="_Hlk528226410"/>
      <w:r w:rsidRPr="00DA737D">
        <w:rPr>
          <w:rFonts w:cs="Times New Roman"/>
          <w:szCs w:val="24"/>
        </w:rPr>
        <w:t xml:space="preserve">selective herbicide </w:t>
      </w:r>
      <w:r>
        <w:rPr>
          <w:rFonts w:cs="Times New Roman"/>
          <w:szCs w:val="24"/>
        </w:rPr>
        <w:t>(</w:t>
      </w:r>
      <w:proofErr w:type="spellStart"/>
      <w:r w:rsidRPr="00271692">
        <w:rPr>
          <w:rFonts w:cs="Times New Roman"/>
          <w:szCs w:val="24"/>
        </w:rPr>
        <w:t>ASTROKerb</w:t>
      </w:r>
      <w:proofErr w:type="spellEnd"/>
      <w:r w:rsidRPr="00271692">
        <w:rPr>
          <w:rFonts w:cs="Times New Roman"/>
          <w:szCs w:val="24"/>
        </w:rPr>
        <w:t>®</w:t>
      </w:r>
      <w:r>
        <w:rPr>
          <w:rFonts w:cs="Times New Roman"/>
          <w:szCs w:val="24"/>
        </w:rPr>
        <w:t xml:space="preserve">, </w:t>
      </w:r>
      <w:r w:rsidRPr="00271692">
        <w:rPr>
          <w:rFonts w:cs="Times New Roman"/>
          <w:szCs w:val="24"/>
        </w:rPr>
        <w:t>MAPP 16184</w:t>
      </w:r>
      <w:r>
        <w:rPr>
          <w:rFonts w:cs="Times New Roman"/>
          <w:szCs w:val="24"/>
        </w:rPr>
        <w:t xml:space="preserve">, </w:t>
      </w:r>
      <w:r>
        <w:t xml:space="preserve">Dow AgroSciences, </w:t>
      </w:r>
      <w:r w:rsidRPr="0086524F">
        <w:t>Cambri</w:t>
      </w:r>
      <w:r>
        <w:t>dge UK)</w:t>
      </w:r>
      <w:bookmarkEnd w:id="12"/>
      <w:r>
        <w:rPr>
          <w:rFonts w:cs="Times New Roman"/>
          <w:szCs w:val="24"/>
        </w:rPr>
        <w:t xml:space="preserve"> </w:t>
      </w:r>
      <w:r w:rsidRPr="00DA737D">
        <w:rPr>
          <w:rFonts w:cs="Times New Roman"/>
          <w:szCs w:val="24"/>
        </w:rPr>
        <w:t xml:space="preserve">was applied in </w:t>
      </w:r>
      <w:r>
        <w:rPr>
          <w:rFonts w:cs="Times New Roman"/>
          <w:szCs w:val="24"/>
        </w:rPr>
        <w:t xml:space="preserve">late </w:t>
      </w:r>
      <w:r w:rsidRPr="00DA737D">
        <w:rPr>
          <w:rFonts w:cs="Times New Roman"/>
          <w:szCs w:val="24"/>
        </w:rPr>
        <w:t>November 2017. The herbicide spray drift</w:t>
      </w:r>
      <w:r>
        <w:rPr>
          <w:rFonts w:cs="Times New Roman"/>
          <w:szCs w:val="24"/>
        </w:rPr>
        <w:t>ed</w:t>
      </w:r>
      <w:r w:rsidRPr="00DA737D">
        <w:rPr>
          <w:rFonts w:cs="Times New Roman"/>
          <w:szCs w:val="24"/>
        </w:rPr>
        <w:t xml:space="preserve"> onto the </w:t>
      </w:r>
      <w:r>
        <w:rPr>
          <w:rFonts w:cs="Times New Roman"/>
          <w:szCs w:val="24"/>
        </w:rPr>
        <w:t xml:space="preserve">edges of the ley </w:t>
      </w:r>
      <w:r w:rsidRPr="00DA737D">
        <w:rPr>
          <w:rFonts w:cs="Times New Roman"/>
          <w:szCs w:val="24"/>
        </w:rPr>
        <w:t xml:space="preserve">strips </w:t>
      </w:r>
      <w:r>
        <w:rPr>
          <w:rFonts w:cs="Times New Roman"/>
          <w:szCs w:val="24"/>
        </w:rPr>
        <w:t xml:space="preserve">in </w:t>
      </w:r>
      <w:r w:rsidRPr="00DA737D">
        <w:rPr>
          <w:rFonts w:cs="Times New Roman"/>
          <w:szCs w:val="24"/>
        </w:rPr>
        <w:t>HS field</w:t>
      </w:r>
      <w:r>
        <w:rPr>
          <w:rFonts w:cs="Times New Roman"/>
          <w:szCs w:val="24"/>
        </w:rPr>
        <w:t>,</w:t>
      </w:r>
      <w:r w:rsidRPr="00DA737D">
        <w:rPr>
          <w:rFonts w:cs="Times New Roman"/>
          <w:szCs w:val="24"/>
        </w:rPr>
        <w:t xml:space="preserve"> killing the grass </w:t>
      </w:r>
      <w:r>
        <w:rPr>
          <w:rFonts w:cs="Times New Roman"/>
          <w:szCs w:val="24"/>
        </w:rPr>
        <w:t>in</w:t>
      </w:r>
      <w:r w:rsidRPr="00DA737D">
        <w:rPr>
          <w:rFonts w:cs="Times New Roman"/>
          <w:szCs w:val="24"/>
        </w:rPr>
        <w:t xml:space="preserve"> one replicate of the </w:t>
      </w:r>
      <w:r>
        <w:rPr>
          <w:rFonts w:cs="Times New Roman"/>
          <w:szCs w:val="24"/>
        </w:rPr>
        <w:t>DeF</w:t>
      </w:r>
      <w:r w:rsidRPr="00DA737D">
        <w:rPr>
          <w:rFonts w:cs="Times New Roman"/>
          <w:szCs w:val="24"/>
        </w:rPr>
        <w:t xml:space="preserve">+E </w:t>
      </w:r>
      <w:r>
        <w:rPr>
          <w:rFonts w:cs="Times New Roman"/>
          <w:szCs w:val="24"/>
        </w:rPr>
        <w:t xml:space="preserve">(Replicate 3) </w:t>
      </w:r>
      <w:r w:rsidRPr="00DA737D">
        <w:rPr>
          <w:rFonts w:cs="Times New Roman"/>
          <w:szCs w:val="24"/>
        </w:rPr>
        <w:t xml:space="preserve">and </w:t>
      </w:r>
      <w:r>
        <w:rPr>
          <w:rFonts w:cs="Times New Roman"/>
          <w:szCs w:val="24"/>
        </w:rPr>
        <w:t>DeF</w:t>
      </w:r>
      <w:r w:rsidRPr="00DA737D">
        <w:rPr>
          <w:rFonts w:cs="Times New Roman"/>
          <w:szCs w:val="24"/>
        </w:rPr>
        <w:t xml:space="preserve"> </w:t>
      </w:r>
      <w:r>
        <w:rPr>
          <w:rFonts w:cs="Times New Roman"/>
          <w:szCs w:val="24"/>
        </w:rPr>
        <w:t xml:space="preserve">(Replicate 3) treatments; this appears to have had a negative effect on the earthworm </w:t>
      </w:r>
      <w:r w:rsidRPr="00D737C8">
        <w:rPr>
          <w:rFonts w:cs="Times New Roman"/>
          <w:szCs w:val="24"/>
        </w:rPr>
        <w:t>populations (</w:t>
      </w:r>
      <w:r>
        <w:rPr>
          <w:rFonts w:cs="Times New Roman"/>
          <w:szCs w:val="24"/>
        </w:rPr>
        <w:t>s</w:t>
      </w:r>
      <w:r w:rsidRPr="00D737C8">
        <w:rPr>
          <w:rFonts w:cs="Times New Roman"/>
          <w:szCs w:val="24"/>
        </w:rPr>
        <w:t>ee</w:t>
      </w:r>
      <w:r>
        <w:rPr>
          <w:rFonts w:cs="Times New Roman"/>
          <w:szCs w:val="24"/>
        </w:rPr>
        <w:t xml:space="preserve"> </w:t>
      </w:r>
      <w:r w:rsidRPr="00EF42B9">
        <w:rPr>
          <w:rFonts w:cs="Times New Roman"/>
          <w:szCs w:val="24"/>
        </w:rPr>
        <w:t>Table S</w:t>
      </w:r>
      <w:r>
        <w:rPr>
          <w:rFonts w:cs="Times New Roman"/>
          <w:szCs w:val="24"/>
        </w:rPr>
        <w:t xml:space="preserve">5). </w:t>
      </w:r>
      <w:r w:rsidRPr="00D737C8">
        <w:rPr>
          <w:rFonts w:cs="Times New Roman"/>
          <w:szCs w:val="24"/>
        </w:rPr>
        <w:t>For</w:t>
      </w:r>
      <w:r>
        <w:rPr>
          <w:rFonts w:cs="Times New Roman"/>
          <w:szCs w:val="24"/>
        </w:rPr>
        <w:t xml:space="preserve"> this reason, t</w:t>
      </w:r>
      <w:r w:rsidRPr="00DA737D">
        <w:rPr>
          <w:rFonts w:cs="Times New Roman"/>
          <w:szCs w:val="24"/>
        </w:rPr>
        <w:t xml:space="preserve">he </w:t>
      </w:r>
      <w:r>
        <w:rPr>
          <w:rFonts w:cs="Times New Roman"/>
          <w:szCs w:val="24"/>
        </w:rPr>
        <w:t>infiltration measurements in January and April 2018, in addition to the collected data at the end of the experiment for</w:t>
      </w:r>
      <w:r w:rsidRPr="00DA737D">
        <w:rPr>
          <w:rFonts w:cs="Times New Roman"/>
          <w:szCs w:val="24"/>
        </w:rPr>
        <w:t xml:space="preserve"> the</w:t>
      </w:r>
      <w:r>
        <w:rPr>
          <w:rFonts w:cs="Times New Roman"/>
          <w:szCs w:val="24"/>
        </w:rPr>
        <w:t>se</w:t>
      </w:r>
      <w:r w:rsidRPr="00DA737D">
        <w:rPr>
          <w:rFonts w:cs="Times New Roman"/>
          <w:szCs w:val="24"/>
        </w:rPr>
        <w:t xml:space="preserve"> two monoliths</w:t>
      </w:r>
      <w:r>
        <w:rPr>
          <w:rFonts w:cs="Times New Roman"/>
          <w:szCs w:val="24"/>
        </w:rPr>
        <w:t>,</w:t>
      </w:r>
      <w:r w:rsidRPr="00DA737D">
        <w:rPr>
          <w:rFonts w:cs="Times New Roman"/>
          <w:szCs w:val="24"/>
        </w:rPr>
        <w:t xml:space="preserve"> were excluded from the statistical analysis</w:t>
      </w:r>
      <w:r>
        <w:rPr>
          <w:rFonts w:cs="Times New Roman"/>
          <w:szCs w:val="24"/>
        </w:rPr>
        <w:t xml:space="preserve">. </w:t>
      </w:r>
      <w:r w:rsidRPr="00D22521">
        <w:rPr>
          <w:rFonts w:cs="Times New Roman"/>
          <w:szCs w:val="24"/>
        </w:rPr>
        <w:t xml:space="preserve">SPSS (IBM Corp. Released 2016, version 24) </w:t>
      </w:r>
      <w:r>
        <w:rPr>
          <w:rFonts w:cs="Times New Roman"/>
          <w:szCs w:val="24"/>
        </w:rPr>
        <w:t>was</w:t>
      </w:r>
      <w:r w:rsidRPr="008B131F">
        <w:rPr>
          <w:rFonts w:cs="Times New Roman"/>
          <w:szCs w:val="24"/>
        </w:rPr>
        <w:t xml:space="preserve"> used to estimate </w:t>
      </w:r>
      <w:r>
        <w:rPr>
          <w:rFonts w:cs="Times New Roman"/>
          <w:szCs w:val="24"/>
        </w:rPr>
        <w:t xml:space="preserve">the </w:t>
      </w:r>
      <w:r w:rsidRPr="008B131F">
        <w:rPr>
          <w:rFonts w:cs="Times New Roman"/>
          <w:szCs w:val="24"/>
        </w:rPr>
        <w:t>statistical s</w:t>
      </w:r>
      <w:r>
        <w:rPr>
          <w:rFonts w:cs="Times New Roman"/>
          <w:szCs w:val="24"/>
        </w:rPr>
        <w:t>ignificance of mean differences</w:t>
      </w:r>
      <w:r w:rsidRPr="008B131F">
        <w:rPr>
          <w:rFonts w:cs="Times New Roman"/>
          <w:szCs w:val="24"/>
        </w:rPr>
        <w:t xml:space="preserve"> between treatments</w:t>
      </w:r>
      <w:r w:rsidRPr="00D22521">
        <w:rPr>
          <w:rFonts w:cs="Times New Roman"/>
          <w:szCs w:val="24"/>
        </w:rPr>
        <w:t xml:space="preserve">. </w:t>
      </w:r>
      <w:r w:rsidRPr="008479CB">
        <w:rPr>
          <w:rFonts w:cs="Times New Roman"/>
          <w:i/>
          <w:szCs w:val="24"/>
        </w:rPr>
        <w:t>P</w:t>
      </w:r>
      <w:r>
        <w:rPr>
          <w:rFonts w:cs="Times New Roman"/>
          <w:szCs w:val="24"/>
        </w:rPr>
        <w:t xml:space="preserve"> values of &lt; 0.05 were used as the threshold for significance</w:t>
      </w:r>
      <w:r w:rsidRPr="00D22521">
        <w:rPr>
          <w:rFonts w:cs="Times New Roman"/>
          <w:szCs w:val="24"/>
        </w:rPr>
        <w:t>.</w:t>
      </w:r>
      <w:r>
        <w:rPr>
          <w:rFonts w:cs="Times New Roman"/>
          <w:szCs w:val="24"/>
        </w:rPr>
        <w:t xml:space="preserve"> </w:t>
      </w:r>
    </w:p>
    <w:bookmarkEnd w:id="3"/>
    <w:p w14:paraId="100FAE5D" w14:textId="77777777" w:rsidR="0038409E" w:rsidRDefault="0038409E" w:rsidP="001448A4">
      <w:pPr>
        <w:pStyle w:val="Heading2"/>
        <w:numPr>
          <w:ilvl w:val="0"/>
          <w:numId w:val="14"/>
        </w:numPr>
        <w:spacing w:before="240" w:after="200" w:line="480" w:lineRule="auto"/>
      </w:pPr>
      <w:r>
        <w:rPr>
          <w:szCs w:val="24"/>
        </w:rPr>
        <w:br w:type="page"/>
      </w:r>
      <w:bookmarkStart w:id="13" w:name="_Hlk528179613"/>
      <w:r w:rsidRPr="00596A97">
        <w:t>Results</w:t>
      </w:r>
      <w:r w:rsidRPr="00987CC3">
        <w:t xml:space="preserve"> </w:t>
      </w:r>
    </w:p>
    <w:p w14:paraId="44A0E0E7" w14:textId="77777777" w:rsidR="0038409E" w:rsidRPr="004B6FA9" w:rsidRDefault="0038409E" w:rsidP="001448A4">
      <w:pPr>
        <w:pStyle w:val="Heading3"/>
        <w:numPr>
          <w:ilvl w:val="1"/>
          <w:numId w:val="14"/>
        </w:numPr>
        <w:spacing w:before="360" w:after="200" w:line="480" w:lineRule="auto"/>
      </w:pPr>
      <w:r>
        <w:t xml:space="preserve">Recovered earthworms </w:t>
      </w:r>
    </w:p>
    <w:p w14:paraId="6AE0E3D1" w14:textId="77777777" w:rsidR="0038409E" w:rsidRDefault="0038409E" w:rsidP="001448A4">
      <w:pPr>
        <w:spacing w:line="480" w:lineRule="auto"/>
        <w:jc w:val="both"/>
        <w:rPr>
          <w:rFonts w:cs="Times New Roman"/>
          <w:szCs w:val="24"/>
        </w:rPr>
      </w:pPr>
      <w:r>
        <w:t>Figure 2a</w:t>
      </w:r>
      <w:r>
        <w:rPr>
          <w:rFonts w:cs="Times New Roman"/>
          <w:szCs w:val="24"/>
        </w:rPr>
        <w:t xml:space="preserve"> shows the mean number of each earthworm species recovered from all the treatments and across all the fields in April 2018 and Figure 2b the mean weights of these earthworms. Detailed </w:t>
      </w:r>
      <w:r w:rsidRPr="002352C4">
        <w:rPr>
          <w:rFonts w:cs="Times New Roman"/>
          <w:szCs w:val="24"/>
        </w:rPr>
        <w:t xml:space="preserve">data </w:t>
      </w:r>
      <w:r>
        <w:rPr>
          <w:rFonts w:cs="Times New Roman"/>
          <w:szCs w:val="24"/>
        </w:rPr>
        <w:t xml:space="preserve">for each replicate mesocosm are given in </w:t>
      </w:r>
      <w:r w:rsidRPr="00EF42B9">
        <w:rPr>
          <w:rFonts w:cs="Times New Roman"/>
          <w:szCs w:val="24"/>
        </w:rPr>
        <w:t>Table S</w:t>
      </w:r>
      <w:r>
        <w:rPr>
          <w:rFonts w:cs="Times New Roman"/>
          <w:szCs w:val="24"/>
        </w:rPr>
        <w:t xml:space="preserve">5 and </w:t>
      </w:r>
      <w:r w:rsidRPr="00DC6677">
        <w:rPr>
          <w:rFonts w:cs="Times New Roman"/>
          <w:szCs w:val="24"/>
        </w:rPr>
        <w:t>Figure S</w:t>
      </w:r>
      <w:r>
        <w:rPr>
          <w:rFonts w:cs="Times New Roman"/>
          <w:szCs w:val="24"/>
        </w:rPr>
        <w:t>2.</w:t>
      </w:r>
      <w:r w:rsidRPr="002352C4">
        <w:rPr>
          <w:rFonts w:cs="Times New Roman"/>
          <w:szCs w:val="24"/>
        </w:rPr>
        <w:t xml:space="preserve"> </w:t>
      </w:r>
      <w:r w:rsidRPr="00732BDD">
        <w:rPr>
          <w:rFonts w:cs="Times New Roman"/>
          <w:szCs w:val="24"/>
        </w:rPr>
        <w:t>In the DeF+E treatment the</w:t>
      </w:r>
      <w:r>
        <w:rPr>
          <w:rFonts w:cs="Times New Roman"/>
          <w:szCs w:val="24"/>
        </w:rPr>
        <w:t xml:space="preserve"> </w:t>
      </w:r>
      <w:r w:rsidRPr="000B0093">
        <w:rPr>
          <w:rFonts w:cs="Times New Roman"/>
          <w:szCs w:val="24"/>
        </w:rPr>
        <w:t xml:space="preserve">number </w:t>
      </w:r>
      <w:r>
        <w:rPr>
          <w:rFonts w:cs="Times New Roman"/>
          <w:szCs w:val="24"/>
        </w:rPr>
        <w:t xml:space="preserve">of adults recovered at the end of the experiment (26.42 </w:t>
      </w:r>
      <w:r>
        <w:rPr>
          <w:rFonts w:cs="Times New Roman"/>
          <w:szCs w:val="24"/>
        </w:rPr>
        <w:sym w:font="Symbol" w:char="F0B1"/>
      </w:r>
      <w:r>
        <w:rPr>
          <w:rFonts w:cs="Times New Roman"/>
          <w:szCs w:val="24"/>
        </w:rPr>
        <w:t xml:space="preserve"> 1.47; </w:t>
      </w:r>
      <w:r w:rsidRPr="00D065B6">
        <w:rPr>
          <w:rFonts w:cs="Times New Roman"/>
          <w:i/>
          <w:iCs/>
          <w:szCs w:val="24"/>
        </w:rPr>
        <w:t>n</w:t>
      </w:r>
      <w:r>
        <w:rPr>
          <w:rFonts w:cs="Times New Roman"/>
          <w:szCs w:val="24"/>
        </w:rPr>
        <w:t xml:space="preserve"> = 11) was significantly greater than the numbers added either in April 2017 (23 per monolith, </w:t>
      </w:r>
      <w:r w:rsidRPr="005706DF">
        <w:rPr>
          <w:rFonts w:cs="Times New Roman"/>
          <w:i/>
          <w:iCs/>
          <w:szCs w:val="24"/>
        </w:rPr>
        <w:t>p</w:t>
      </w:r>
      <w:r>
        <w:rPr>
          <w:rFonts w:cs="Times New Roman"/>
          <w:szCs w:val="24"/>
        </w:rPr>
        <w:t xml:space="preserve"> = 0.025) or November 2017 (20 per monolith, </w:t>
      </w:r>
      <w:r w:rsidRPr="005706DF">
        <w:rPr>
          <w:rFonts w:cs="Times New Roman"/>
          <w:i/>
          <w:iCs/>
          <w:szCs w:val="24"/>
        </w:rPr>
        <w:t>p</w:t>
      </w:r>
      <w:r>
        <w:rPr>
          <w:rFonts w:cs="Times New Roman"/>
          <w:szCs w:val="24"/>
        </w:rPr>
        <w:t xml:space="preserve"> = 0.01) though the mass of adults was not significantly different. Juveniles were also present in the monoliths at the end of the experiment. Importantly, for testing our hypotheses, at the end of the experiment, the DeF+E monoliths showed significantly higher total earthworm numbers and weights than the DeF treatments (</w:t>
      </w:r>
      <w:r w:rsidRPr="00992180">
        <w:rPr>
          <w:rFonts w:cs="Times New Roman"/>
          <w:i/>
          <w:szCs w:val="24"/>
        </w:rPr>
        <w:t>p</w:t>
      </w:r>
      <w:r>
        <w:rPr>
          <w:rFonts w:cs="Times New Roman"/>
          <w:szCs w:val="24"/>
        </w:rPr>
        <w:t xml:space="preserve"> &lt; 0.001) (Figure 2a, b). Total earthworm numbers and weights of the control treatment were significantly higher (</w:t>
      </w:r>
      <w:r w:rsidRPr="00992180">
        <w:rPr>
          <w:rFonts w:cs="Times New Roman"/>
          <w:i/>
          <w:szCs w:val="24"/>
        </w:rPr>
        <w:t>p</w:t>
      </w:r>
      <w:r>
        <w:rPr>
          <w:rFonts w:cs="Times New Roman"/>
          <w:szCs w:val="24"/>
        </w:rPr>
        <w:t xml:space="preserve"> = 0.013 and </w:t>
      </w:r>
      <w:r w:rsidRPr="00992180">
        <w:rPr>
          <w:rFonts w:cs="Times New Roman"/>
          <w:i/>
          <w:szCs w:val="24"/>
        </w:rPr>
        <w:t>p</w:t>
      </w:r>
      <w:r>
        <w:rPr>
          <w:rFonts w:cs="Times New Roman"/>
          <w:szCs w:val="24"/>
        </w:rPr>
        <w:t xml:space="preserve"> = 0.001 respectively) than in the DeF treatment but not significantly different from the DeF+E treatment, </w:t>
      </w:r>
      <w:r w:rsidRPr="003206A4">
        <w:rPr>
          <w:rFonts w:cs="Times New Roman"/>
          <w:szCs w:val="24"/>
        </w:rPr>
        <w:t xml:space="preserve">although the </w:t>
      </w:r>
      <w:r>
        <w:rPr>
          <w:rFonts w:cs="Times New Roman"/>
          <w:szCs w:val="24"/>
        </w:rPr>
        <w:t>mass</w:t>
      </w:r>
      <w:r w:rsidRPr="003206A4">
        <w:rPr>
          <w:rFonts w:cs="Times New Roman"/>
          <w:szCs w:val="24"/>
        </w:rPr>
        <w:t xml:space="preserve"> of juveniles </w:t>
      </w:r>
      <w:r>
        <w:rPr>
          <w:rFonts w:cs="Times New Roman"/>
          <w:szCs w:val="24"/>
        </w:rPr>
        <w:t xml:space="preserve">in the control treatment </w:t>
      </w:r>
      <w:r w:rsidRPr="003206A4">
        <w:rPr>
          <w:rFonts w:cs="Times New Roman"/>
          <w:szCs w:val="24"/>
        </w:rPr>
        <w:t xml:space="preserve">appeared to be more than double </w:t>
      </w:r>
      <w:r>
        <w:rPr>
          <w:rFonts w:cs="Times New Roman"/>
          <w:szCs w:val="24"/>
        </w:rPr>
        <w:t xml:space="preserve">that in the other two </w:t>
      </w:r>
      <w:r w:rsidRPr="003206A4">
        <w:rPr>
          <w:rFonts w:cs="Times New Roman"/>
          <w:szCs w:val="24"/>
        </w:rPr>
        <w:t>treatment</w:t>
      </w:r>
      <w:r>
        <w:rPr>
          <w:rFonts w:cs="Times New Roman"/>
          <w:szCs w:val="24"/>
        </w:rPr>
        <w:t>s. At the end of the experiment no significant differences were observed between fields for recovered earthworm numbers, but BSE contained a lower total weight of earthworms than BSW field (</w:t>
      </w:r>
      <w:r w:rsidRPr="00A30142">
        <w:rPr>
          <w:rFonts w:cs="Times New Roman"/>
          <w:i/>
          <w:szCs w:val="24"/>
        </w:rPr>
        <w:t>p</w:t>
      </w:r>
      <w:r>
        <w:rPr>
          <w:rFonts w:cs="Times New Roman"/>
          <w:szCs w:val="24"/>
        </w:rPr>
        <w:t xml:space="preserve"> =0.049). There were no significant interactions between fields and treatments. </w:t>
      </w:r>
      <w:bookmarkStart w:id="14" w:name="_Hlk527028544"/>
      <w:r w:rsidRPr="00CB6871">
        <w:rPr>
          <w:rFonts w:cs="Times New Roman"/>
          <w:szCs w:val="24"/>
        </w:rPr>
        <w:t>The earthworm population in DeF+E treatments was dominated by endogeic individuals (</w:t>
      </w:r>
      <w:r w:rsidRPr="00CB6871">
        <w:rPr>
          <w:rFonts w:cs="Times New Roman"/>
          <w:i/>
          <w:szCs w:val="24"/>
        </w:rPr>
        <w:t>p</w:t>
      </w:r>
      <w:r w:rsidRPr="00CB6871">
        <w:rPr>
          <w:rFonts w:cs="Times New Roman"/>
          <w:szCs w:val="24"/>
        </w:rPr>
        <w:t xml:space="preserve"> &lt; 0.001 when compared to numbers of individuals of other earthworm types) while epigeics were the dominant earthworm type in the DeF treatments at the end of the experiment (</w:t>
      </w:r>
      <w:r w:rsidRPr="00CB6871">
        <w:rPr>
          <w:rFonts w:cs="Times New Roman"/>
          <w:i/>
          <w:szCs w:val="24"/>
        </w:rPr>
        <w:t xml:space="preserve">p </w:t>
      </w:r>
      <w:r w:rsidRPr="00CB6871">
        <w:rPr>
          <w:rFonts w:cs="Times New Roman"/>
          <w:szCs w:val="24"/>
        </w:rPr>
        <w:t xml:space="preserve">= 0.02, </w:t>
      </w:r>
      <w:r w:rsidRPr="00CB6871">
        <w:rPr>
          <w:rFonts w:cs="Times New Roman"/>
          <w:i/>
          <w:szCs w:val="24"/>
        </w:rPr>
        <w:t xml:space="preserve">p </w:t>
      </w:r>
      <w:r w:rsidRPr="00CB6871">
        <w:rPr>
          <w:rFonts w:cs="Times New Roman"/>
          <w:szCs w:val="24"/>
        </w:rPr>
        <w:t xml:space="preserve">= 0.003 and </w:t>
      </w:r>
      <w:r w:rsidRPr="00CB6871">
        <w:rPr>
          <w:rFonts w:cs="Times New Roman"/>
          <w:i/>
          <w:szCs w:val="24"/>
        </w:rPr>
        <w:t xml:space="preserve">p </w:t>
      </w:r>
      <w:r w:rsidRPr="00CB6871">
        <w:rPr>
          <w:rFonts w:cs="Times New Roman"/>
          <w:szCs w:val="24"/>
        </w:rPr>
        <w:t>= 0.008 when compared to numbers of anecic, endogeic and unknown individuals respectively).</w:t>
      </w:r>
      <w:bookmarkEnd w:id="14"/>
    </w:p>
    <w:p w14:paraId="5090CA54" w14:textId="77777777" w:rsidR="0038409E" w:rsidRDefault="0038409E" w:rsidP="001448A4">
      <w:pPr>
        <w:spacing w:line="480" w:lineRule="auto"/>
        <w:jc w:val="both"/>
        <w:rPr>
          <w:rFonts w:cs="Times New Roman"/>
          <w:szCs w:val="24"/>
        </w:rPr>
        <w:sectPr w:rsidR="0038409E" w:rsidSect="001448A4">
          <w:pgSz w:w="12240" w:h="15840"/>
          <w:pgMar w:top="1440" w:right="1440" w:bottom="1440" w:left="1440" w:header="720" w:footer="720" w:gutter="0"/>
          <w:lnNumType w:countBy="1" w:restart="continuous"/>
          <w:cols w:space="720"/>
          <w:docGrid w:linePitch="360"/>
        </w:sectPr>
      </w:pPr>
    </w:p>
    <w:p w14:paraId="5DAEC6AA" w14:textId="77777777" w:rsidR="0038409E" w:rsidRDefault="0038409E" w:rsidP="001448A4">
      <w:pPr>
        <w:spacing w:after="0" w:line="480" w:lineRule="auto"/>
        <w:jc w:val="center"/>
        <w:rPr>
          <w:rFonts w:cs="Times New Roman"/>
          <w:szCs w:val="24"/>
        </w:rPr>
      </w:pPr>
      <w:r>
        <w:rPr>
          <w:rFonts w:cs="Times New Roman"/>
          <w:noProof/>
          <w:szCs w:val="24"/>
          <w:lang w:val="en-GB" w:eastAsia="en-GB"/>
        </w:rPr>
        <w:drawing>
          <wp:inline distT="0" distB="0" distL="0" distR="0" wp14:anchorId="3CC62BD0" wp14:editId="198BA71A">
            <wp:extent cx="8730615" cy="31248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30615" cy="3124835"/>
                    </a:xfrm>
                    <a:prstGeom prst="rect">
                      <a:avLst/>
                    </a:prstGeom>
                    <a:noFill/>
                    <a:ln>
                      <a:noFill/>
                    </a:ln>
                  </pic:spPr>
                </pic:pic>
              </a:graphicData>
            </a:graphic>
          </wp:inline>
        </w:drawing>
      </w:r>
    </w:p>
    <w:p w14:paraId="150852E9" w14:textId="77777777" w:rsidR="0038409E" w:rsidRDefault="0038409E" w:rsidP="001448A4">
      <w:pPr>
        <w:spacing w:after="0" w:line="480" w:lineRule="auto"/>
        <w:jc w:val="center"/>
        <w:rPr>
          <w:rFonts w:cs="Times New Roman"/>
          <w:szCs w:val="24"/>
        </w:rPr>
      </w:pPr>
      <w:r>
        <w:rPr>
          <w:rFonts w:cs="Times New Roman"/>
          <w:noProof/>
          <w:szCs w:val="24"/>
          <w:lang w:val="en-GB" w:eastAsia="en-GB"/>
        </w:rPr>
        <w:drawing>
          <wp:inline distT="0" distB="0" distL="0" distR="0" wp14:anchorId="1D965070" wp14:editId="2A9890CF">
            <wp:extent cx="8857615" cy="31724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7615" cy="3172460"/>
                    </a:xfrm>
                    <a:prstGeom prst="rect">
                      <a:avLst/>
                    </a:prstGeom>
                    <a:noFill/>
                    <a:ln>
                      <a:noFill/>
                    </a:ln>
                  </pic:spPr>
                </pic:pic>
              </a:graphicData>
            </a:graphic>
          </wp:inline>
        </w:drawing>
      </w:r>
    </w:p>
    <w:p w14:paraId="7B615E60" w14:textId="4F274376" w:rsidR="0038409E" w:rsidRDefault="0038409E" w:rsidP="001448A4">
      <w:pPr>
        <w:spacing w:line="480" w:lineRule="auto"/>
        <w:jc w:val="center"/>
        <w:rPr>
          <w:sz w:val="22"/>
        </w:rPr>
      </w:pPr>
      <w:bookmarkStart w:id="15" w:name="_Ref525149271"/>
      <w:bookmarkStart w:id="16" w:name="_Hlk526758623"/>
      <w:r w:rsidRPr="00824C80">
        <w:rPr>
          <w:noProof/>
          <w:sz w:val="22"/>
        </w:rPr>
        <w:t xml:space="preserve">Figure </w:t>
      </w:r>
      <w:r w:rsidRPr="00824C80">
        <w:rPr>
          <w:noProof/>
          <w:sz w:val="22"/>
        </w:rPr>
        <w:fldChar w:fldCharType="begin"/>
      </w:r>
      <w:r w:rsidRPr="00824C80">
        <w:rPr>
          <w:noProof/>
          <w:sz w:val="22"/>
        </w:rPr>
        <w:instrText xml:space="preserve"> SEQ Figure \* ARABIC </w:instrText>
      </w:r>
      <w:r w:rsidRPr="00824C80">
        <w:rPr>
          <w:noProof/>
          <w:sz w:val="22"/>
        </w:rPr>
        <w:fldChar w:fldCharType="separate"/>
      </w:r>
      <w:r w:rsidR="00A87FE5">
        <w:rPr>
          <w:noProof/>
          <w:sz w:val="22"/>
        </w:rPr>
        <w:t>2</w:t>
      </w:r>
      <w:r w:rsidRPr="00824C80">
        <w:rPr>
          <w:noProof/>
          <w:sz w:val="22"/>
        </w:rPr>
        <w:fldChar w:fldCharType="end"/>
      </w:r>
      <w:bookmarkEnd w:id="15"/>
      <w:r>
        <w:rPr>
          <w:noProof/>
          <w:sz w:val="22"/>
        </w:rPr>
        <w:t>.</w:t>
      </w:r>
      <w:r w:rsidRPr="00824C80">
        <w:rPr>
          <w:rFonts w:cs="Times New Roman"/>
          <w:sz w:val="22"/>
        </w:rPr>
        <w:t xml:space="preserve"> </w:t>
      </w:r>
      <w:r w:rsidRPr="00824C80">
        <w:rPr>
          <w:noProof/>
          <w:sz w:val="22"/>
        </w:rPr>
        <w:t xml:space="preserve">Mean of the recovered earthworm </w:t>
      </w:r>
      <w:r>
        <w:rPr>
          <w:noProof/>
          <w:sz w:val="22"/>
        </w:rPr>
        <w:t xml:space="preserve">(a) </w:t>
      </w:r>
      <w:r w:rsidRPr="00824C80">
        <w:rPr>
          <w:noProof/>
          <w:sz w:val="22"/>
        </w:rPr>
        <w:t xml:space="preserve">numbers </w:t>
      </w:r>
      <w:r>
        <w:rPr>
          <w:noProof/>
          <w:sz w:val="22"/>
        </w:rPr>
        <w:t xml:space="preserve">per monolith </w:t>
      </w:r>
      <w:r w:rsidRPr="00824C80">
        <w:rPr>
          <w:noProof/>
          <w:sz w:val="22"/>
        </w:rPr>
        <w:t xml:space="preserve">and </w:t>
      </w:r>
      <w:r>
        <w:rPr>
          <w:noProof/>
          <w:sz w:val="22"/>
        </w:rPr>
        <w:t xml:space="preserve">(b) </w:t>
      </w:r>
      <w:r w:rsidRPr="00824C80">
        <w:rPr>
          <w:noProof/>
          <w:sz w:val="22"/>
        </w:rPr>
        <w:t xml:space="preserve">weight </w:t>
      </w:r>
      <w:r>
        <w:rPr>
          <w:noProof/>
          <w:sz w:val="22"/>
        </w:rPr>
        <w:t xml:space="preserve">(g) per monolith </w:t>
      </w:r>
      <w:r w:rsidRPr="00824C80">
        <w:rPr>
          <w:noProof/>
          <w:sz w:val="22"/>
        </w:rPr>
        <w:t xml:space="preserve">for adults and juveniles </w:t>
      </w:r>
      <w:r>
        <w:rPr>
          <w:noProof/>
          <w:sz w:val="22"/>
        </w:rPr>
        <w:t>across all fields</w:t>
      </w:r>
      <w:r w:rsidRPr="00824C80">
        <w:rPr>
          <w:noProof/>
          <w:sz w:val="22"/>
        </w:rPr>
        <w:t xml:space="preserve">. The figures represent the three treatments; </w:t>
      </w:r>
      <w:r w:rsidRPr="00531D28">
        <w:rPr>
          <w:noProof/>
          <w:sz w:val="22"/>
        </w:rPr>
        <w:t>Control = unfrozen monoliths (</w:t>
      </w:r>
      <w:r w:rsidRPr="00D065B6">
        <w:rPr>
          <w:i/>
          <w:iCs/>
          <w:noProof/>
          <w:sz w:val="22"/>
        </w:rPr>
        <w:t>n</w:t>
      </w:r>
      <w:r w:rsidRPr="00531D28">
        <w:rPr>
          <w:noProof/>
          <w:sz w:val="22"/>
        </w:rPr>
        <w:t xml:space="preserve"> = 4); DeF = frozen monoliths without earthworm addition (</w:t>
      </w:r>
      <w:r w:rsidRPr="00D065B6">
        <w:rPr>
          <w:i/>
          <w:iCs/>
          <w:noProof/>
          <w:sz w:val="22"/>
        </w:rPr>
        <w:t>n</w:t>
      </w:r>
      <w:r w:rsidRPr="00531D28">
        <w:rPr>
          <w:noProof/>
          <w:sz w:val="22"/>
        </w:rPr>
        <w:t xml:space="preserve"> = 1</w:t>
      </w:r>
      <w:r>
        <w:rPr>
          <w:noProof/>
          <w:sz w:val="22"/>
        </w:rPr>
        <w:t>1</w:t>
      </w:r>
      <w:r w:rsidRPr="00531D28">
        <w:rPr>
          <w:noProof/>
          <w:sz w:val="22"/>
        </w:rPr>
        <w:t>), DeF+E = frozen monoliths with earthworm addition (</w:t>
      </w:r>
      <w:r w:rsidRPr="00D065B6">
        <w:rPr>
          <w:i/>
          <w:iCs/>
          <w:noProof/>
          <w:sz w:val="22"/>
        </w:rPr>
        <w:t>n</w:t>
      </w:r>
      <w:r w:rsidRPr="00531D28">
        <w:rPr>
          <w:noProof/>
          <w:sz w:val="22"/>
        </w:rPr>
        <w:t xml:space="preserve"> = 1</w:t>
      </w:r>
      <w:r>
        <w:rPr>
          <w:noProof/>
          <w:sz w:val="22"/>
        </w:rPr>
        <w:t>1</w:t>
      </w:r>
      <w:r w:rsidRPr="00531D28">
        <w:rPr>
          <w:noProof/>
          <w:sz w:val="22"/>
        </w:rPr>
        <w:t>)</w:t>
      </w:r>
      <w:r>
        <w:rPr>
          <w:noProof/>
          <w:sz w:val="22"/>
        </w:rPr>
        <w:t xml:space="preserve">; </w:t>
      </w:r>
      <w:r w:rsidRPr="00581EC1">
        <w:rPr>
          <w:noProof/>
          <w:sz w:val="22"/>
        </w:rPr>
        <w:t>error bars = standard error</w:t>
      </w:r>
      <w:r w:rsidRPr="00824C80">
        <w:rPr>
          <w:noProof/>
          <w:sz w:val="22"/>
        </w:rPr>
        <w:t>. The chart stack colo</w:t>
      </w:r>
      <w:r>
        <w:rPr>
          <w:noProof/>
          <w:sz w:val="22"/>
        </w:rPr>
        <w:t>u</w:t>
      </w:r>
      <w:r w:rsidRPr="00824C80">
        <w:rPr>
          <w:noProof/>
          <w:sz w:val="22"/>
        </w:rPr>
        <w:t xml:space="preserve">r and its shades represent the ecological group of earthworm; Brown : anecic, green : endogeic and blue : </w:t>
      </w:r>
      <w:r>
        <w:rPr>
          <w:noProof/>
          <w:sz w:val="22"/>
        </w:rPr>
        <w:t>epigeic</w:t>
      </w:r>
      <w:r w:rsidRPr="00824C80">
        <w:rPr>
          <w:noProof/>
          <w:sz w:val="22"/>
        </w:rPr>
        <w:t xml:space="preserve"> species. </w:t>
      </w:r>
      <w:r w:rsidRPr="00824C80">
        <w:rPr>
          <w:i/>
          <w:noProof/>
          <w:sz w:val="22"/>
        </w:rPr>
        <w:t>L. terretris</w:t>
      </w:r>
      <w:r w:rsidRPr="00824C80">
        <w:rPr>
          <w:noProof/>
          <w:sz w:val="22"/>
        </w:rPr>
        <w:t xml:space="preserve"> and </w:t>
      </w:r>
      <w:r w:rsidRPr="00824C80">
        <w:rPr>
          <w:i/>
          <w:noProof/>
          <w:sz w:val="22"/>
        </w:rPr>
        <w:t>L. rebellus</w:t>
      </w:r>
      <w:r w:rsidRPr="00824C80">
        <w:rPr>
          <w:noProof/>
          <w:sz w:val="22"/>
        </w:rPr>
        <w:t xml:space="preserve"> species for juveniles represent anecic and ep</w:t>
      </w:r>
      <w:r>
        <w:rPr>
          <w:noProof/>
          <w:sz w:val="22"/>
        </w:rPr>
        <w:t>i</w:t>
      </w:r>
      <w:r w:rsidRPr="00824C80">
        <w:rPr>
          <w:noProof/>
          <w:sz w:val="22"/>
        </w:rPr>
        <w:t>giec ecological group</w:t>
      </w:r>
      <w:r>
        <w:rPr>
          <w:noProof/>
          <w:sz w:val="22"/>
        </w:rPr>
        <w:t xml:space="preserve"> respectively</w:t>
      </w:r>
      <w:r w:rsidRPr="00824C80">
        <w:rPr>
          <w:noProof/>
          <w:sz w:val="22"/>
        </w:rPr>
        <w:t xml:space="preserve">, and not species, for the purpose of this graph only. </w:t>
      </w:r>
      <w:r>
        <w:rPr>
          <w:noProof/>
          <w:sz w:val="22"/>
        </w:rPr>
        <w:t>R</w:t>
      </w:r>
      <w:r w:rsidRPr="00824C80">
        <w:rPr>
          <w:noProof/>
          <w:sz w:val="22"/>
        </w:rPr>
        <w:t>ecovered earthworm numbers and</w:t>
      </w:r>
      <w:r>
        <w:rPr>
          <w:noProof/>
          <w:sz w:val="22"/>
        </w:rPr>
        <w:t xml:space="preserve"> </w:t>
      </w:r>
      <w:r w:rsidRPr="00824C80">
        <w:rPr>
          <w:noProof/>
          <w:sz w:val="22"/>
        </w:rPr>
        <w:t xml:space="preserve">weight </w:t>
      </w:r>
      <w:r>
        <w:rPr>
          <w:noProof/>
          <w:sz w:val="22"/>
        </w:rPr>
        <w:t xml:space="preserve">for each treatment on a field by field basis is presented in </w:t>
      </w:r>
      <w:r w:rsidRPr="00DC6677">
        <w:rPr>
          <w:noProof/>
          <w:sz w:val="22"/>
        </w:rPr>
        <w:t>Figure S</w:t>
      </w:r>
      <w:r>
        <w:rPr>
          <w:noProof/>
          <w:sz w:val="22"/>
        </w:rPr>
        <w:t>2.</w:t>
      </w:r>
      <w:r w:rsidRPr="00531D28">
        <w:t xml:space="preserve"> </w:t>
      </w:r>
    </w:p>
    <w:p w14:paraId="616E8FBF" w14:textId="77777777" w:rsidR="0038409E" w:rsidRPr="00824C80" w:rsidRDefault="0038409E" w:rsidP="001448A4">
      <w:pPr>
        <w:spacing w:line="480" w:lineRule="auto"/>
        <w:jc w:val="center"/>
        <w:rPr>
          <w:noProof/>
          <w:sz w:val="22"/>
        </w:rPr>
        <w:sectPr w:rsidR="0038409E" w:rsidRPr="00824C80" w:rsidSect="001448A4">
          <w:headerReference w:type="default" r:id="rId11"/>
          <w:pgSz w:w="15840" w:h="12240" w:orient="landscape"/>
          <w:pgMar w:top="1440" w:right="1440" w:bottom="1440" w:left="1440" w:header="720" w:footer="720" w:gutter="0"/>
          <w:lnNumType w:countBy="1" w:restart="continuous"/>
          <w:cols w:space="720"/>
          <w:docGrid w:linePitch="360"/>
        </w:sectPr>
      </w:pPr>
      <w:r w:rsidRPr="00824C80">
        <w:rPr>
          <w:sz w:val="22"/>
        </w:rPr>
        <w:t xml:space="preserve"> </w:t>
      </w:r>
      <w:bookmarkEnd w:id="16"/>
    </w:p>
    <w:p w14:paraId="698D6A6D" w14:textId="77777777" w:rsidR="0038409E" w:rsidRDefault="0038409E" w:rsidP="001448A4">
      <w:pPr>
        <w:pStyle w:val="Heading3"/>
        <w:numPr>
          <w:ilvl w:val="1"/>
          <w:numId w:val="14"/>
        </w:numPr>
        <w:spacing w:before="360" w:after="200" w:line="480" w:lineRule="auto"/>
      </w:pPr>
      <w:r>
        <w:t>Seasonal</w:t>
      </w:r>
      <w:r w:rsidRPr="00D52FCD">
        <w:t xml:space="preserve"> </w:t>
      </w:r>
      <w:r>
        <w:t xml:space="preserve">differences in </w:t>
      </w:r>
      <w:r>
        <w:rPr>
          <w:color w:val="auto"/>
        </w:rPr>
        <w:t>hydraulic conductivity (K)</w:t>
      </w:r>
    </w:p>
    <w:p w14:paraId="7138C1D8" w14:textId="77777777" w:rsidR="0038409E" w:rsidRDefault="0038409E" w:rsidP="001448A4">
      <w:pPr>
        <w:spacing w:line="480" w:lineRule="auto"/>
        <w:jc w:val="both"/>
        <w:rPr>
          <w:rFonts w:cs="Times New Roman"/>
          <w:szCs w:val="24"/>
        </w:rPr>
      </w:pPr>
      <w:r>
        <w:t xml:space="preserve">Figure 3 </w:t>
      </w:r>
      <w:r>
        <w:rPr>
          <w:rFonts w:cs="Times New Roman"/>
          <w:szCs w:val="24"/>
        </w:rPr>
        <w:t xml:space="preserve">presents the seasonal </w:t>
      </w:r>
      <w:r>
        <w:rPr>
          <w:rFonts w:cs="Times New Roman"/>
        </w:rPr>
        <w:t xml:space="preserve">variation in </w:t>
      </w:r>
      <w:r>
        <w:rPr>
          <w:rFonts w:cs="Times New Roman"/>
          <w:i/>
        </w:rPr>
        <w:t>K</w:t>
      </w:r>
      <w:r>
        <w:rPr>
          <w:rFonts w:cs="Times New Roman"/>
        </w:rPr>
        <w:t xml:space="preserve"> </w:t>
      </w:r>
      <w:r w:rsidRPr="00EA38BF">
        <w:rPr>
          <w:rFonts w:cs="Times New Roman"/>
        </w:rPr>
        <w:t>at -0.5 cm tension</w:t>
      </w:r>
      <w:r>
        <w:rPr>
          <w:rFonts w:cs="Times New Roman"/>
        </w:rPr>
        <w:t xml:space="preserve"> (</w:t>
      </w:r>
      <w:r w:rsidRPr="000E5AA4">
        <w:rPr>
          <w:rFonts w:cs="Times New Roman"/>
          <w:i/>
          <w:szCs w:val="24"/>
        </w:rPr>
        <w:t>K</w:t>
      </w:r>
      <w:r w:rsidRPr="000E5AA4">
        <w:rPr>
          <w:rFonts w:cs="Times New Roman"/>
          <w:i/>
          <w:szCs w:val="24"/>
          <w:vertAlign w:val="subscript"/>
        </w:rPr>
        <w:t>0.</w:t>
      </w:r>
      <w:r w:rsidRPr="00633166">
        <w:rPr>
          <w:rFonts w:cs="Times New Roman"/>
          <w:szCs w:val="24"/>
          <w:vertAlign w:val="subscript"/>
        </w:rPr>
        <w:t>5</w:t>
      </w:r>
      <w:r>
        <w:rPr>
          <w:rFonts w:cs="Times New Roman"/>
          <w:szCs w:val="24"/>
        </w:rPr>
        <w:t xml:space="preserve">) </w:t>
      </w:r>
      <w:r w:rsidRPr="00633166">
        <w:rPr>
          <w:rFonts w:cs="Times New Roman"/>
          <w:szCs w:val="24"/>
        </w:rPr>
        <w:t>for</w:t>
      </w:r>
      <w:r>
        <w:rPr>
          <w:rFonts w:cs="Times New Roman"/>
          <w:szCs w:val="24"/>
        </w:rPr>
        <w:t xml:space="preserve"> all treatments and across all the fields (for </w:t>
      </w:r>
      <w:r w:rsidRPr="008328D2">
        <w:rPr>
          <w:rFonts w:cs="Times New Roman"/>
          <w:i/>
          <w:szCs w:val="24"/>
        </w:rPr>
        <w:t>K</w:t>
      </w:r>
      <w:r>
        <w:rPr>
          <w:rFonts w:cs="Times New Roman"/>
          <w:szCs w:val="24"/>
        </w:rPr>
        <w:t xml:space="preserve"> data at </w:t>
      </w:r>
      <w:r>
        <w:rPr>
          <w:rFonts w:cs="Times New Roman"/>
        </w:rPr>
        <w:t>different tensions</w:t>
      </w:r>
      <w:r>
        <w:rPr>
          <w:rFonts w:cs="Times New Roman"/>
          <w:szCs w:val="24"/>
        </w:rPr>
        <w:t xml:space="preserve"> and details of</w:t>
      </w:r>
      <w:r w:rsidRPr="002352C4">
        <w:rPr>
          <w:rFonts w:cs="Times New Roman"/>
          <w:szCs w:val="24"/>
        </w:rPr>
        <w:t xml:space="preserve"> each</w:t>
      </w:r>
      <w:r>
        <w:rPr>
          <w:rFonts w:cs="Times New Roman"/>
          <w:szCs w:val="24"/>
        </w:rPr>
        <w:t xml:space="preserve"> field see </w:t>
      </w:r>
      <w:r w:rsidRPr="00DC6677">
        <w:rPr>
          <w:rFonts w:cs="Times New Roman"/>
          <w:szCs w:val="24"/>
        </w:rPr>
        <w:t>Figure S</w:t>
      </w:r>
      <w:r>
        <w:rPr>
          <w:rFonts w:cs="Times New Roman"/>
          <w:szCs w:val="24"/>
        </w:rPr>
        <w:t xml:space="preserve">3). </w:t>
      </w:r>
      <w:bookmarkStart w:id="17" w:name="_Hlk527034129"/>
      <w:r>
        <w:rPr>
          <w:rFonts w:cs="Times New Roman"/>
          <w:szCs w:val="24"/>
        </w:rPr>
        <w:t>A t</w:t>
      </w:r>
      <w:r w:rsidRPr="009013AD">
        <w:rPr>
          <w:rFonts w:cs="Times New Roman"/>
          <w:szCs w:val="24"/>
        </w:rPr>
        <w:t>hree-way mixed ANOVA</w:t>
      </w:r>
      <w:r>
        <w:rPr>
          <w:rFonts w:cs="Times New Roman"/>
          <w:szCs w:val="24"/>
        </w:rPr>
        <w:t xml:space="preserve"> </w:t>
      </w:r>
      <w:r w:rsidRPr="0092758D">
        <w:rPr>
          <w:rFonts w:cs="Times New Roman"/>
          <w:szCs w:val="24"/>
        </w:rPr>
        <w:t>with season, treatment and fields</w:t>
      </w:r>
      <w:r w:rsidRPr="009013AD">
        <w:rPr>
          <w:rFonts w:cs="Times New Roman"/>
          <w:szCs w:val="24"/>
        </w:rPr>
        <w:t xml:space="preserve"> </w:t>
      </w:r>
      <w:r>
        <w:rPr>
          <w:rFonts w:cs="Times New Roman"/>
          <w:szCs w:val="24"/>
        </w:rPr>
        <w:t xml:space="preserve">as factors </w:t>
      </w:r>
      <w:r w:rsidRPr="009013AD">
        <w:rPr>
          <w:rFonts w:cs="Times New Roman"/>
          <w:szCs w:val="24"/>
        </w:rPr>
        <w:t xml:space="preserve">indicated that </w:t>
      </w:r>
      <w:r w:rsidRPr="000E5AA4">
        <w:rPr>
          <w:rFonts w:cs="Times New Roman"/>
          <w:i/>
          <w:szCs w:val="24"/>
        </w:rPr>
        <w:t>K</w:t>
      </w:r>
      <w:r w:rsidRPr="000E5AA4">
        <w:rPr>
          <w:rFonts w:cs="Times New Roman"/>
          <w:i/>
          <w:szCs w:val="24"/>
          <w:vertAlign w:val="subscript"/>
        </w:rPr>
        <w:t>0.5</w:t>
      </w:r>
      <w:r>
        <w:rPr>
          <w:rFonts w:cs="Times New Roman"/>
          <w:szCs w:val="24"/>
        </w:rPr>
        <w:t xml:space="preserve"> increased from spring to summer 2017 (</w:t>
      </w:r>
      <w:r w:rsidRPr="003672A6">
        <w:rPr>
          <w:rFonts w:cs="Times New Roman"/>
          <w:i/>
          <w:szCs w:val="24"/>
        </w:rPr>
        <w:t>p</w:t>
      </w:r>
      <w:r>
        <w:rPr>
          <w:rFonts w:cs="Times New Roman"/>
          <w:szCs w:val="24"/>
        </w:rPr>
        <w:t xml:space="preserve"> &lt; 0.001), that there were no significant differences between summer and autumn 2017, that there was a significant decrease from autumn 2017 to </w:t>
      </w:r>
      <w:r w:rsidRPr="00A6371C">
        <w:rPr>
          <w:rFonts w:cs="Times New Roman"/>
          <w:szCs w:val="24"/>
        </w:rPr>
        <w:t xml:space="preserve">winter </w:t>
      </w:r>
      <w:r>
        <w:rPr>
          <w:rFonts w:cs="Times New Roman"/>
          <w:szCs w:val="24"/>
        </w:rPr>
        <w:t>2017-</w:t>
      </w:r>
      <w:r w:rsidRPr="00A6371C">
        <w:rPr>
          <w:rFonts w:cs="Times New Roman"/>
          <w:szCs w:val="24"/>
        </w:rPr>
        <w:t>18</w:t>
      </w:r>
      <w:r>
        <w:rPr>
          <w:rFonts w:cs="Times New Roman"/>
          <w:szCs w:val="24"/>
        </w:rPr>
        <w:t xml:space="preserve"> (</w:t>
      </w:r>
      <w:r w:rsidRPr="003672A6">
        <w:rPr>
          <w:rFonts w:cs="Times New Roman"/>
          <w:i/>
          <w:szCs w:val="24"/>
        </w:rPr>
        <w:t>p</w:t>
      </w:r>
      <w:r>
        <w:rPr>
          <w:rFonts w:cs="Times New Roman"/>
          <w:szCs w:val="24"/>
        </w:rPr>
        <w:t xml:space="preserve"> = 0.003), </w:t>
      </w:r>
      <w:r w:rsidRPr="00F274EF">
        <w:rPr>
          <w:rFonts w:cs="Times New Roman"/>
          <w:szCs w:val="24"/>
        </w:rPr>
        <w:t xml:space="preserve">when the values were similar to those in </w:t>
      </w:r>
      <w:r>
        <w:rPr>
          <w:rFonts w:cs="Times New Roman"/>
          <w:szCs w:val="24"/>
        </w:rPr>
        <w:t>s</w:t>
      </w:r>
      <w:r w:rsidRPr="00F274EF">
        <w:rPr>
          <w:rFonts w:cs="Times New Roman"/>
          <w:szCs w:val="24"/>
        </w:rPr>
        <w:t>pring 2017,</w:t>
      </w:r>
      <w:r>
        <w:rPr>
          <w:rFonts w:cs="Times New Roman"/>
          <w:szCs w:val="24"/>
        </w:rPr>
        <w:t xml:space="preserve"> and </w:t>
      </w:r>
      <w:r w:rsidRPr="00F274EF">
        <w:rPr>
          <w:rFonts w:cs="Times New Roman"/>
          <w:szCs w:val="24"/>
        </w:rPr>
        <w:t>th</w:t>
      </w:r>
      <w:r>
        <w:rPr>
          <w:rFonts w:cs="Times New Roman"/>
          <w:szCs w:val="24"/>
        </w:rPr>
        <w:t xml:space="preserve">at </w:t>
      </w:r>
      <w:r w:rsidRPr="00F274EF">
        <w:rPr>
          <w:rFonts w:cs="Times New Roman"/>
          <w:szCs w:val="24"/>
        </w:rPr>
        <w:t xml:space="preserve">subsequently </w:t>
      </w:r>
      <w:r>
        <w:rPr>
          <w:rFonts w:cs="Times New Roman"/>
          <w:szCs w:val="24"/>
        </w:rPr>
        <w:t xml:space="preserve">values </w:t>
      </w:r>
      <w:r w:rsidRPr="00F274EF">
        <w:rPr>
          <w:rFonts w:cs="Times New Roman"/>
          <w:szCs w:val="24"/>
        </w:rPr>
        <w:t>increased significantly</w:t>
      </w:r>
      <w:r>
        <w:rPr>
          <w:rFonts w:cs="Times New Roman"/>
          <w:szCs w:val="24"/>
        </w:rPr>
        <w:t xml:space="preserve"> in spring 2018 (</w:t>
      </w:r>
      <w:r w:rsidRPr="003672A6">
        <w:rPr>
          <w:rFonts w:cs="Times New Roman"/>
          <w:i/>
          <w:szCs w:val="24"/>
        </w:rPr>
        <w:t>p</w:t>
      </w:r>
      <w:r>
        <w:rPr>
          <w:rFonts w:cs="Times New Roman"/>
          <w:szCs w:val="24"/>
        </w:rPr>
        <w:t xml:space="preserve"> &lt; 0.001) to</w:t>
      </w:r>
      <w:r w:rsidRPr="00F274EF">
        <w:rPr>
          <w:rFonts w:cs="Times New Roman"/>
          <w:szCs w:val="24"/>
        </w:rPr>
        <w:t xml:space="preserve"> attain values similar to those in </w:t>
      </w:r>
      <w:r>
        <w:rPr>
          <w:rFonts w:cs="Times New Roman"/>
          <w:szCs w:val="24"/>
        </w:rPr>
        <w:t>s</w:t>
      </w:r>
      <w:r w:rsidRPr="00F274EF">
        <w:rPr>
          <w:rFonts w:cs="Times New Roman"/>
          <w:szCs w:val="24"/>
        </w:rPr>
        <w:t xml:space="preserve">ummer and </w:t>
      </w:r>
      <w:r>
        <w:rPr>
          <w:rFonts w:cs="Times New Roman"/>
          <w:szCs w:val="24"/>
        </w:rPr>
        <w:t>a</w:t>
      </w:r>
      <w:r w:rsidRPr="00F274EF">
        <w:rPr>
          <w:rFonts w:cs="Times New Roman"/>
          <w:szCs w:val="24"/>
        </w:rPr>
        <w:t>utumn 2017</w:t>
      </w:r>
      <w:r>
        <w:rPr>
          <w:rFonts w:cs="Times New Roman"/>
          <w:szCs w:val="24"/>
        </w:rPr>
        <w:t xml:space="preserve">. Across treatments </w:t>
      </w:r>
      <w:r w:rsidRPr="000E5AA4">
        <w:rPr>
          <w:rFonts w:cs="Times New Roman"/>
          <w:i/>
          <w:szCs w:val="24"/>
        </w:rPr>
        <w:t>K</w:t>
      </w:r>
      <w:r w:rsidRPr="000E5AA4">
        <w:rPr>
          <w:rFonts w:cs="Times New Roman"/>
          <w:i/>
          <w:szCs w:val="24"/>
          <w:vertAlign w:val="subscript"/>
        </w:rPr>
        <w:t>0.5</w:t>
      </w:r>
      <w:r>
        <w:rPr>
          <w:rFonts w:cs="Times New Roman"/>
          <w:szCs w:val="24"/>
        </w:rPr>
        <w:t xml:space="preserve"> was significantly greater in DeF+E relative to DeF (47%) and control (64%) treatments (</w:t>
      </w:r>
      <w:r w:rsidRPr="003672A6">
        <w:rPr>
          <w:rFonts w:cs="Times New Roman"/>
          <w:i/>
          <w:szCs w:val="24"/>
        </w:rPr>
        <w:t>p</w:t>
      </w:r>
      <w:r>
        <w:rPr>
          <w:rFonts w:cs="Times New Roman"/>
          <w:szCs w:val="24"/>
        </w:rPr>
        <w:t xml:space="preserve"> &lt; 0.001). There was no significant difference between DeF and control treatments. Only seasons and treatments showed a significant interaction </w:t>
      </w:r>
      <w:r w:rsidRPr="009E3100">
        <w:rPr>
          <w:rFonts w:cs="Times New Roman"/>
          <w:szCs w:val="24"/>
        </w:rPr>
        <w:t>(</w:t>
      </w:r>
      <w:r w:rsidRPr="00DC582A">
        <w:rPr>
          <w:rFonts w:cs="Times New Roman"/>
          <w:i/>
          <w:szCs w:val="24"/>
        </w:rPr>
        <w:t>p</w:t>
      </w:r>
      <w:r w:rsidRPr="009E3100">
        <w:rPr>
          <w:rFonts w:cs="Times New Roman"/>
          <w:szCs w:val="24"/>
        </w:rPr>
        <w:t xml:space="preserve"> </w:t>
      </w:r>
      <w:r>
        <w:rPr>
          <w:rFonts w:cs="Times New Roman"/>
          <w:szCs w:val="24"/>
        </w:rPr>
        <w:t>=</w:t>
      </w:r>
      <w:r w:rsidRPr="009E3100">
        <w:rPr>
          <w:rFonts w:cs="Times New Roman"/>
          <w:szCs w:val="24"/>
        </w:rPr>
        <w:t xml:space="preserve"> 0.0</w:t>
      </w:r>
      <w:r>
        <w:rPr>
          <w:rFonts w:cs="Times New Roman"/>
          <w:szCs w:val="24"/>
        </w:rPr>
        <w:t xml:space="preserve">23), with </w:t>
      </w:r>
      <w:r w:rsidRPr="000E5AA4">
        <w:rPr>
          <w:rFonts w:cs="Times New Roman"/>
          <w:i/>
          <w:szCs w:val="24"/>
        </w:rPr>
        <w:t>K</w:t>
      </w:r>
      <w:r w:rsidRPr="000E5AA4">
        <w:rPr>
          <w:rFonts w:cs="Times New Roman"/>
          <w:i/>
          <w:szCs w:val="24"/>
          <w:vertAlign w:val="subscript"/>
        </w:rPr>
        <w:t>0.5</w:t>
      </w:r>
      <w:r>
        <w:rPr>
          <w:rFonts w:cs="Times New Roman"/>
          <w:szCs w:val="24"/>
        </w:rPr>
        <w:t xml:space="preserve"> significantly greater in DeF+E compared to DeF treatments only in winter 2017-18 and spring 2018 (</w:t>
      </w:r>
      <w:r w:rsidRPr="003672A6">
        <w:rPr>
          <w:rFonts w:cs="Times New Roman"/>
          <w:i/>
          <w:szCs w:val="24"/>
        </w:rPr>
        <w:t>p</w:t>
      </w:r>
      <w:r>
        <w:rPr>
          <w:rFonts w:cs="Times New Roman"/>
          <w:szCs w:val="24"/>
        </w:rPr>
        <w:t xml:space="preserve"> &lt; 0.001). Across fields </w:t>
      </w:r>
      <w:r w:rsidRPr="000E5AA4">
        <w:rPr>
          <w:rFonts w:cs="Times New Roman"/>
          <w:i/>
          <w:szCs w:val="24"/>
        </w:rPr>
        <w:t>K</w:t>
      </w:r>
      <w:r w:rsidRPr="000E5AA4">
        <w:rPr>
          <w:rFonts w:cs="Times New Roman"/>
          <w:i/>
          <w:szCs w:val="24"/>
          <w:vertAlign w:val="subscript"/>
        </w:rPr>
        <w:t>0.5</w:t>
      </w:r>
      <w:r>
        <w:rPr>
          <w:rFonts w:cs="Times New Roman"/>
          <w:szCs w:val="24"/>
        </w:rPr>
        <w:t xml:space="preserve"> was higher in HS field compared to BSE </w:t>
      </w:r>
      <w:r w:rsidRPr="00BD7C4A">
        <w:rPr>
          <w:rFonts w:cs="Times New Roman"/>
          <w:szCs w:val="24"/>
        </w:rPr>
        <w:t>(</w:t>
      </w:r>
      <w:r w:rsidRPr="00BD7C4A">
        <w:rPr>
          <w:rFonts w:cs="Times New Roman"/>
          <w:i/>
          <w:szCs w:val="24"/>
        </w:rPr>
        <w:t>p</w:t>
      </w:r>
      <w:r w:rsidRPr="00BD7C4A">
        <w:rPr>
          <w:rFonts w:cs="Times New Roman"/>
          <w:szCs w:val="24"/>
        </w:rPr>
        <w:t xml:space="preserve"> </w:t>
      </w:r>
      <w:r>
        <w:rPr>
          <w:rFonts w:cs="Times New Roman"/>
          <w:szCs w:val="24"/>
        </w:rPr>
        <w:t>=</w:t>
      </w:r>
      <w:r w:rsidRPr="00BD7C4A">
        <w:rPr>
          <w:rFonts w:cs="Times New Roman"/>
          <w:szCs w:val="24"/>
        </w:rPr>
        <w:t xml:space="preserve"> 0.0</w:t>
      </w:r>
      <w:r>
        <w:rPr>
          <w:rFonts w:cs="Times New Roman"/>
          <w:szCs w:val="24"/>
        </w:rPr>
        <w:t>06</w:t>
      </w:r>
      <w:r w:rsidRPr="00BD7C4A">
        <w:rPr>
          <w:rFonts w:cs="Times New Roman"/>
          <w:szCs w:val="24"/>
        </w:rPr>
        <w:t xml:space="preserve">) </w:t>
      </w:r>
      <w:r>
        <w:rPr>
          <w:rFonts w:cs="Times New Roman"/>
          <w:szCs w:val="24"/>
        </w:rPr>
        <w:t xml:space="preserve">and </w:t>
      </w:r>
      <w:r w:rsidRPr="00A6371C">
        <w:rPr>
          <w:rFonts w:cs="Times New Roman"/>
          <w:szCs w:val="24"/>
        </w:rPr>
        <w:t>BSW (</w:t>
      </w:r>
      <w:r w:rsidRPr="00A6371C">
        <w:rPr>
          <w:rFonts w:cs="Times New Roman"/>
          <w:i/>
          <w:szCs w:val="24"/>
        </w:rPr>
        <w:t>p</w:t>
      </w:r>
      <w:r w:rsidRPr="00A6371C">
        <w:rPr>
          <w:rFonts w:cs="Times New Roman"/>
          <w:szCs w:val="24"/>
        </w:rPr>
        <w:t xml:space="preserve"> &lt; 0.001)</w:t>
      </w:r>
      <w:r>
        <w:rPr>
          <w:rFonts w:cs="Times New Roman"/>
          <w:szCs w:val="24"/>
        </w:rPr>
        <w:t xml:space="preserve"> fields</w:t>
      </w:r>
      <w:bookmarkStart w:id="18" w:name="_Hlk5785994"/>
      <w:r>
        <w:rPr>
          <w:rFonts w:cs="Times New Roman"/>
          <w:szCs w:val="24"/>
        </w:rPr>
        <w:t xml:space="preserve"> </w:t>
      </w:r>
      <w:bookmarkEnd w:id="18"/>
      <w:proofErr w:type="gramStart"/>
      <w:r>
        <w:rPr>
          <w:rFonts w:cs="Times New Roman"/>
          <w:szCs w:val="24"/>
        </w:rPr>
        <w:t>and also</w:t>
      </w:r>
      <w:proofErr w:type="gramEnd"/>
      <w:r>
        <w:rPr>
          <w:rFonts w:cs="Times New Roman"/>
          <w:szCs w:val="24"/>
        </w:rPr>
        <w:t xml:space="preserve"> higher in Copse compared to BSW </w:t>
      </w:r>
      <w:r w:rsidRPr="00BD7C4A">
        <w:rPr>
          <w:rFonts w:cs="Times New Roman"/>
          <w:szCs w:val="24"/>
        </w:rPr>
        <w:t>(</w:t>
      </w:r>
      <w:r w:rsidRPr="00BD7C4A">
        <w:rPr>
          <w:rFonts w:cs="Times New Roman"/>
          <w:i/>
          <w:szCs w:val="24"/>
        </w:rPr>
        <w:t>p</w:t>
      </w:r>
      <w:r w:rsidRPr="00BD7C4A">
        <w:rPr>
          <w:rFonts w:cs="Times New Roman"/>
          <w:szCs w:val="24"/>
        </w:rPr>
        <w:t xml:space="preserve"> </w:t>
      </w:r>
      <w:r>
        <w:rPr>
          <w:rFonts w:cs="Times New Roman"/>
          <w:szCs w:val="24"/>
        </w:rPr>
        <w:t>=</w:t>
      </w:r>
      <w:r w:rsidRPr="00BD7C4A">
        <w:rPr>
          <w:rFonts w:cs="Times New Roman"/>
          <w:szCs w:val="24"/>
        </w:rPr>
        <w:t xml:space="preserve"> 0.0</w:t>
      </w:r>
      <w:r>
        <w:rPr>
          <w:rFonts w:cs="Times New Roman"/>
          <w:szCs w:val="24"/>
        </w:rPr>
        <w:t>06</w:t>
      </w:r>
      <w:r w:rsidRPr="00BD7C4A">
        <w:rPr>
          <w:rFonts w:cs="Times New Roman"/>
          <w:szCs w:val="24"/>
        </w:rPr>
        <w:t>)</w:t>
      </w:r>
      <w:r>
        <w:rPr>
          <w:rFonts w:cs="Times New Roman"/>
          <w:szCs w:val="24"/>
        </w:rPr>
        <w:t>.</w:t>
      </w:r>
    </w:p>
    <w:p w14:paraId="29716B0A" w14:textId="77777777" w:rsidR="0038409E" w:rsidRDefault="0038409E" w:rsidP="001448A4">
      <w:pPr>
        <w:spacing w:line="480" w:lineRule="auto"/>
        <w:jc w:val="both"/>
        <w:rPr>
          <w:rFonts w:cs="Times New Roman"/>
          <w:szCs w:val="24"/>
        </w:rPr>
      </w:pPr>
      <w:r>
        <w:rPr>
          <w:szCs w:val="24"/>
        </w:rPr>
        <w:t xml:space="preserve">Apart from a significantly lower </w:t>
      </w:r>
      <w:r w:rsidRPr="000E5AA4">
        <w:rPr>
          <w:rFonts w:cs="Times New Roman"/>
          <w:i/>
          <w:szCs w:val="24"/>
        </w:rPr>
        <w:t>K</w:t>
      </w:r>
      <w:r>
        <w:rPr>
          <w:rFonts w:cs="Times New Roman"/>
          <w:i/>
          <w:szCs w:val="24"/>
        </w:rPr>
        <w:t xml:space="preserve"> </w:t>
      </w:r>
      <w:r w:rsidRPr="005F41A4">
        <w:rPr>
          <w:rFonts w:cs="Times New Roman"/>
          <w:szCs w:val="24"/>
        </w:rPr>
        <w:t>at -1 cm tension</w:t>
      </w:r>
      <w:r>
        <w:rPr>
          <w:szCs w:val="24"/>
        </w:rPr>
        <w:t xml:space="preserve"> (</w:t>
      </w:r>
      <w:r w:rsidRPr="000E5AA4">
        <w:rPr>
          <w:rFonts w:cs="Times New Roman"/>
          <w:i/>
          <w:szCs w:val="24"/>
        </w:rPr>
        <w:t>K</w:t>
      </w:r>
      <w:r>
        <w:rPr>
          <w:rFonts w:cs="Times New Roman"/>
          <w:i/>
          <w:szCs w:val="24"/>
          <w:vertAlign w:val="subscript"/>
        </w:rPr>
        <w:t>1</w:t>
      </w:r>
      <w:r>
        <w:rPr>
          <w:szCs w:val="24"/>
        </w:rPr>
        <w:t>) in winter 2017-18 compared to summer 2017 (</w:t>
      </w:r>
      <w:r w:rsidRPr="00322F29">
        <w:rPr>
          <w:i/>
          <w:szCs w:val="24"/>
        </w:rPr>
        <w:t>p</w:t>
      </w:r>
      <w:r>
        <w:rPr>
          <w:szCs w:val="24"/>
        </w:rPr>
        <w:t xml:space="preserve"> = 0.05), autumn 2017 (</w:t>
      </w:r>
      <w:r w:rsidRPr="00322F29">
        <w:rPr>
          <w:i/>
          <w:szCs w:val="24"/>
        </w:rPr>
        <w:t>p</w:t>
      </w:r>
      <w:r>
        <w:rPr>
          <w:szCs w:val="24"/>
        </w:rPr>
        <w:t xml:space="preserve"> = 0.022) and spring 2018 (</w:t>
      </w:r>
      <w:r w:rsidRPr="00322F29">
        <w:rPr>
          <w:i/>
          <w:szCs w:val="24"/>
        </w:rPr>
        <w:t>p</w:t>
      </w:r>
      <w:r>
        <w:rPr>
          <w:szCs w:val="24"/>
        </w:rPr>
        <w:t xml:space="preserve"> = 0.019), no significant differences were observed in </w:t>
      </w:r>
      <w:r w:rsidRPr="000E5AA4">
        <w:rPr>
          <w:rFonts w:cs="Times New Roman"/>
          <w:i/>
          <w:szCs w:val="24"/>
        </w:rPr>
        <w:t>K</w:t>
      </w:r>
      <w:r>
        <w:rPr>
          <w:rFonts w:cs="Times New Roman"/>
          <w:i/>
          <w:szCs w:val="24"/>
          <w:vertAlign w:val="subscript"/>
        </w:rPr>
        <w:t>1</w:t>
      </w:r>
      <w:r>
        <w:rPr>
          <w:rFonts w:cs="Times New Roman"/>
          <w:szCs w:val="24"/>
        </w:rPr>
        <w:t xml:space="preserve"> </w:t>
      </w:r>
      <w:r>
        <w:rPr>
          <w:szCs w:val="24"/>
        </w:rPr>
        <w:t xml:space="preserve">between seasons. Across all seasons </w:t>
      </w:r>
      <w:r w:rsidRPr="000E5AA4">
        <w:rPr>
          <w:rFonts w:cs="Times New Roman"/>
          <w:i/>
          <w:szCs w:val="24"/>
        </w:rPr>
        <w:t>K</w:t>
      </w:r>
      <w:r>
        <w:rPr>
          <w:rFonts w:cs="Times New Roman"/>
          <w:i/>
          <w:szCs w:val="24"/>
          <w:vertAlign w:val="subscript"/>
        </w:rPr>
        <w:t>1</w:t>
      </w:r>
      <w:r>
        <w:rPr>
          <w:rFonts w:cs="Times New Roman"/>
          <w:szCs w:val="24"/>
        </w:rPr>
        <w:t xml:space="preserve"> was not significantly different between fields (</w:t>
      </w:r>
      <w:r w:rsidRPr="003672A6">
        <w:rPr>
          <w:rFonts w:cs="Times New Roman"/>
          <w:i/>
          <w:szCs w:val="24"/>
        </w:rPr>
        <w:t>p</w:t>
      </w:r>
      <w:r>
        <w:rPr>
          <w:rFonts w:cs="Times New Roman"/>
          <w:szCs w:val="24"/>
        </w:rPr>
        <w:t xml:space="preserve"> = 0.06) and </w:t>
      </w:r>
      <w:r>
        <w:rPr>
          <w:szCs w:val="24"/>
        </w:rPr>
        <w:t>was greater in DeF+E compared to DeF and control treatments (</w:t>
      </w:r>
      <w:r w:rsidRPr="003672A6">
        <w:rPr>
          <w:rFonts w:cs="Times New Roman"/>
          <w:i/>
          <w:szCs w:val="24"/>
        </w:rPr>
        <w:t>p</w:t>
      </w:r>
      <w:r>
        <w:rPr>
          <w:rFonts w:cs="Times New Roman"/>
          <w:szCs w:val="24"/>
        </w:rPr>
        <w:t xml:space="preserve"> = 0.05). There was no significant difference between DeF and control treatments and no significant interaction effect between main factors.</w:t>
      </w:r>
    </w:p>
    <w:bookmarkEnd w:id="17"/>
    <w:p w14:paraId="7F2423F0" w14:textId="77777777" w:rsidR="0038409E" w:rsidRPr="00783E45" w:rsidRDefault="0038409E" w:rsidP="001448A4">
      <w:pPr>
        <w:spacing w:line="480" w:lineRule="auto"/>
        <w:jc w:val="both"/>
        <w:rPr>
          <w:rFonts w:cs="Times New Roman"/>
          <w:szCs w:val="24"/>
        </w:rPr>
      </w:pPr>
      <w:r>
        <w:rPr>
          <w:rFonts w:cs="Times New Roman"/>
          <w:szCs w:val="24"/>
        </w:rPr>
        <w:t xml:space="preserve">At a tension of – 3 cm, </w:t>
      </w:r>
      <w:r w:rsidRPr="000E5AA4">
        <w:rPr>
          <w:rFonts w:cs="Times New Roman"/>
          <w:i/>
          <w:szCs w:val="24"/>
        </w:rPr>
        <w:t>K</w:t>
      </w:r>
      <w:r>
        <w:rPr>
          <w:rFonts w:cs="Times New Roman"/>
          <w:i/>
          <w:szCs w:val="24"/>
          <w:vertAlign w:val="subscript"/>
        </w:rPr>
        <w:t xml:space="preserve">3 </w:t>
      </w:r>
      <w:r>
        <w:rPr>
          <w:rFonts w:cs="Times New Roman"/>
          <w:szCs w:val="24"/>
        </w:rPr>
        <w:t xml:space="preserve">was significantly different between seasons and fields </w:t>
      </w:r>
      <w:r>
        <w:rPr>
          <w:szCs w:val="24"/>
        </w:rPr>
        <w:t>(</w:t>
      </w:r>
      <w:r w:rsidRPr="00322F29">
        <w:rPr>
          <w:i/>
          <w:szCs w:val="24"/>
        </w:rPr>
        <w:t>p</w:t>
      </w:r>
      <w:r>
        <w:rPr>
          <w:szCs w:val="24"/>
        </w:rPr>
        <w:t xml:space="preserve"> &lt; 0.001)</w:t>
      </w:r>
      <w:r>
        <w:rPr>
          <w:rFonts w:cs="Times New Roman"/>
          <w:szCs w:val="24"/>
        </w:rPr>
        <w:t xml:space="preserve"> but not significantly different between treatments. </w:t>
      </w:r>
      <w:r w:rsidRPr="000E5AA4">
        <w:rPr>
          <w:rFonts w:cs="Times New Roman"/>
          <w:i/>
          <w:szCs w:val="24"/>
        </w:rPr>
        <w:t>K</w:t>
      </w:r>
      <w:r>
        <w:rPr>
          <w:rFonts w:cs="Times New Roman"/>
          <w:i/>
          <w:szCs w:val="24"/>
          <w:vertAlign w:val="subscript"/>
        </w:rPr>
        <w:t xml:space="preserve">3 </w:t>
      </w:r>
      <w:r>
        <w:rPr>
          <w:rFonts w:cs="Times New Roman"/>
          <w:szCs w:val="24"/>
        </w:rPr>
        <w:t>increased from spring to summer 2017 (</w:t>
      </w:r>
      <w:r>
        <w:rPr>
          <w:rFonts w:cs="Times New Roman"/>
          <w:i/>
          <w:szCs w:val="24"/>
        </w:rPr>
        <w:t xml:space="preserve">p </w:t>
      </w:r>
      <w:r>
        <w:rPr>
          <w:szCs w:val="24"/>
        </w:rPr>
        <w:t>=</w:t>
      </w:r>
      <w:r>
        <w:rPr>
          <w:rFonts w:cs="Times New Roman"/>
          <w:szCs w:val="24"/>
        </w:rPr>
        <w:t xml:space="preserve"> 0.001) and from winter to spring 2018 (</w:t>
      </w:r>
      <w:r>
        <w:rPr>
          <w:rFonts w:cs="Times New Roman"/>
          <w:i/>
          <w:szCs w:val="24"/>
        </w:rPr>
        <w:t xml:space="preserve">p </w:t>
      </w:r>
      <w:r>
        <w:rPr>
          <w:szCs w:val="24"/>
        </w:rPr>
        <w:t>=</w:t>
      </w:r>
      <w:r>
        <w:rPr>
          <w:rFonts w:cs="Times New Roman"/>
          <w:szCs w:val="24"/>
        </w:rPr>
        <w:t xml:space="preserve"> 0.05) but decreased from summer to autumn 2017 (</w:t>
      </w:r>
      <w:r>
        <w:rPr>
          <w:rFonts w:cs="Times New Roman"/>
          <w:i/>
          <w:szCs w:val="24"/>
        </w:rPr>
        <w:t xml:space="preserve">p </w:t>
      </w:r>
      <w:r>
        <w:rPr>
          <w:szCs w:val="24"/>
        </w:rPr>
        <w:t>&lt;</w:t>
      </w:r>
      <w:r>
        <w:rPr>
          <w:rFonts w:cs="Times New Roman"/>
          <w:szCs w:val="24"/>
        </w:rPr>
        <w:t xml:space="preserve"> 0.001) and from autumn 2017 to winter 2017-18 (</w:t>
      </w:r>
      <w:r>
        <w:rPr>
          <w:rFonts w:cs="Times New Roman"/>
          <w:i/>
          <w:szCs w:val="24"/>
        </w:rPr>
        <w:t xml:space="preserve">p </w:t>
      </w:r>
      <w:r>
        <w:rPr>
          <w:szCs w:val="24"/>
        </w:rPr>
        <w:t>=</w:t>
      </w:r>
      <w:r>
        <w:rPr>
          <w:rFonts w:cs="Times New Roman"/>
          <w:szCs w:val="24"/>
        </w:rPr>
        <w:t xml:space="preserve"> 0.01). </w:t>
      </w:r>
      <w:r w:rsidRPr="000E5AA4">
        <w:rPr>
          <w:rFonts w:cs="Times New Roman"/>
          <w:i/>
          <w:szCs w:val="24"/>
        </w:rPr>
        <w:t>K</w:t>
      </w:r>
      <w:r>
        <w:rPr>
          <w:rFonts w:cs="Times New Roman"/>
          <w:i/>
          <w:szCs w:val="24"/>
          <w:vertAlign w:val="subscript"/>
        </w:rPr>
        <w:t xml:space="preserve">3 </w:t>
      </w:r>
      <w:r>
        <w:rPr>
          <w:rFonts w:cs="Times New Roman"/>
          <w:szCs w:val="24"/>
        </w:rPr>
        <w:t>was significantly lower in BSE compared to the other fields and higher in HS compared to Copse (</w:t>
      </w:r>
      <w:r>
        <w:rPr>
          <w:rFonts w:cs="Times New Roman"/>
          <w:i/>
          <w:szCs w:val="24"/>
        </w:rPr>
        <w:t xml:space="preserve">p </w:t>
      </w:r>
      <w:r>
        <w:rPr>
          <w:szCs w:val="24"/>
        </w:rPr>
        <w:t>=</w:t>
      </w:r>
      <w:r>
        <w:rPr>
          <w:rFonts w:cs="Times New Roman"/>
          <w:szCs w:val="24"/>
        </w:rPr>
        <w:t xml:space="preserve"> 0.002) and BSE fields (</w:t>
      </w:r>
      <w:r>
        <w:rPr>
          <w:rFonts w:cs="Times New Roman"/>
          <w:i/>
          <w:szCs w:val="24"/>
        </w:rPr>
        <w:t xml:space="preserve">p </w:t>
      </w:r>
      <w:r>
        <w:rPr>
          <w:szCs w:val="24"/>
        </w:rPr>
        <w:t>&lt;</w:t>
      </w:r>
      <w:r>
        <w:rPr>
          <w:rFonts w:cs="Times New Roman"/>
          <w:szCs w:val="24"/>
        </w:rPr>
        <w:t xml:space="preserve"> 0.001). There was no significant interaction between fields and treatments. Interactions between seasons and treatments or fields are reported in the </w:t>
      </w:r>
      <w:r w:rsidRPr="005A1BCC">
        <w:rPr>
          <w:rFonts w:cs="Times New Roman"/>
          <w:szCs w:val="24"/>
        </w:rPr>
        <w:t>Supporting information</w:t>
      </w:r>
      <w:r>
        <w:rPr>
          <w:rFonts w:cs="Times New Roman"/>
          <w:szCs w:val="24"/>
        </w:rPr>
        <w:t xml:space="preserve"> section. </w:t>
      </w:r>
    </w:p>
    <w:p w14:paraId="2883AF11" w14:textId="77777777" w:rsidR="0038409E" w:rsidRDefault="0038409E" w:rsidP="001448A4">
      <w:pPr>
        <w:spacing w:line="480" w:lineRule="auto"/>
        <w:jc w:val="both"/>
        <w:rPr>
          <w:rFonts w:cs="Times New Roman"/>
          <w:szCs w:val="24"/>
        </w:rPr>
      </w:pPr>
      <w:r w:rsidRPr="000E5AA4">
        <w:rPr>
          <w:rFonts w:cs="Times New Roman"/>
          <w:i/>
          <w:szCs w:val="24"/>
        </w:rPr>
        <w:t>K</w:t>
      </w:r>
      <w:r>
        <w:rPr>
          <w:rFonts w:cs="Times New Roman"/>
          <w:i/>
          <w:szCs w:val="24"/>
          <w:vertAlign w:val="subscript"/>
        </w:rPr>
        <w:t>6</w:t>
      </w:r>
      <w:r>
        <w:rPr>
          <w:rFonts w:cs="Times New Roman"/>
          <w:szCs w:val="24"/>
        </w:rPr>
        <w:t xml:space="preserve"> was not significantly different between treatments. No differences in </w:t>
      </w:r>
      <w:r w:rsidRPr="000E5AA4">
        <w:rPr>
          <w:rFonts w:cs="Times New Roman"/>
          <w:i/>
          <w:szCs w:val="24"/>
        </w:rPr>
        <w:t>K</w:t>
      </w:r>
      <w:r>
        <w:rPr>
          <w:rFonts w:cs="Times New Roman"/>
          <w:i/>
          <w:szCs w:val="24"/>
          <w:vertAlign w:val="subscript"/>
        </w:rPr>
        <w:t>6</w:t>
      </w:r>
      <w:r w:rsidRPr="00EB0A6C">
        <w:rPr>
          <w:rFonts w:cs="Times New Roman"/>
          <w:szCs w:val="24"/>
        </w:rPr>
        <w:t xml:space="preserve"> </w:t>
      </w:r>
      <w:r>
        <w:rPr>
          <w:rFonts w:cs="Times New Roman"/>
          <w:szCs w:val="24"/>
        </w:rPr>
        <w:t>were observed between BSE and Copse or between BSW and HS fields through all the seasons. The highest values were reported for BSW and HS fields compared to BSE and Copse fields (</w:t>
      </w:r>
      <w:r w:rsidRPr="003672A6">
        <w:rPr>
          <w:rFonts w:cs="Times New Roman"/>
          <w:i/>
          <w:szCs w:val="24"/>
        </w:rPr>
        <w:t>p</w:t>
      </w:r>
      <w:r>
        <w:rPr>
          <w:rFonts w:cs="Times New Roman"/>
          <w:szCs w:val="24"/>
        </w:rPr>
        <w:t xml:space="preserve"> &lt; 0.001). All the fields showed a significant decrease in </w:t>
      </w:r>
      <w:r w:rsidRPr="000E5AA4">
        <w:rPr>
          <w:rFonts w:cs="Times New Roman"/>
          <w:i/>
          <w:szCs w:val="24"/>
        </w:rPr>
        <w:t>K</w:t>
      </w:r>
      <w:r>
        <w:rPr>
          <w:rFonts w:cs="Times New Roman"/>
          <w:i/>
          <w:szCs w:val="24"/>
          <w:vertAlign w:val="subscript"/>
        </w:rPr>
        <w:t>6</w:t>
      </w:r>
      <w:r>
        <w:rPr>
          <w:rFonts w:cs="Times New Roman"/>
          <w:szCs w:val="24"/>
        </w:rPr>
        <w:t xml:space="preserve"> from summer to autumn 2017 (</w:t>
      </w:r>
      <w:r w:rsidRPr="007C5D46">
        <w:rPr>
          <w:rFonts w:cs="Times New Roman"/>
          <w:i/>
          <w:szCs w:val="24"/>
        </w:rPr>
        <w:t>p</w:t>
      </w:r>
      <w:r>
        <w:rPr>
          <w:rFonts w:cs="Times New Roman"/>
          <w:szCs w:val="24"/>
        </w:rPr>
        <w:t xml:space="preserve"> = 0.037, </w:t>
      </w:r>
      <w:r w:rsidRPr="007C5D46">
        <w:rPr>
          <w:rFonts w:cs="Times New Roman"/>
          <w:i/>
          <w:szCs w:val="24"/>
        </w:rPr>
        <w:t>p</w:t>
      </w:r>
      <w:r>
        <w:rPr>
          <w:rFonts w:cs="Times New Roman"/>
          <w:szCs w:val="24"/>
        </w:rPr>
        <w:t xml:space="preserve"> &lt; 0.001, </w:t>
      </w:r>
      <w:r w:rsidRPr="007C5D46">
        <w:rPr>
          <w:rFonts w:cs="Times New Roman"/>
          <w:i/>
          <w:szCs w:val="24"/>
        </w:rPr>
        <w:t>p</w:t>
      </w:r>
      <w:r>
        <w:rPr>
          <w:rFonts w:cs="Times New Roman"/>
          <w:szCs w:val="24"/>
        </w:rPr>
        <w:t xml:space="preserve"> = 0.002, </w:t>
      </w:r>
      <w:r w:rsidRPr="007C5D46">
        <w:rPr>
          <w:rFonts w:cs="Times New Roman"/>
          <w:i/>
          <w:szCs w:val="24"/>
        </w:rPr>
        <w:t>p</w:t>
      </w:r>
      <w:r>
        <w:rPr>
          <w:rFonts w:cs="Times New Roman"/>
          <w:szCs w:val="24"/>
        </w:rPr>
        <w:t xml:space="preserve"> &lt; 0.001 for BSE, BSW, Copse and HS fields respectively) with no significant differences between the other seasons.</w:t>
      </w:r>
    </w:p>
    <w:p w14:paraId="5EDFE2D6" w14:textId="77777777" w:rsidR="0038409E" w:rsidRDefault="0038409E" w:rsidP="001448A4">
      <w:pPr>
        <w:spacing w:after="480" w:line="480" w:lineRule="auto"/>
        <w:jc w:val="both"/>
        <w:rPr>
          <w:rFonts w:cs="Times New Roman"/>
          <w:szCs w:val="24"/>
        </w:rPr>
      </w:pPr>
      <w:r>
        <w:rPr>
          <w:szCs w:val="24"/>
        </w:rPr>
        <w:t xml:space="preserve">The relative flow of water through different pore sizes </w:t>
      </w:r>
      <w:r w:rsidRPr="003A72C1">
        <w:rPr>
          <w:szCs w:val="24"/>
        </w:rPr>
        <w:t xml:space="preserve">varied </w:t>
      </w:r>
      <w:r>
        <w:rPr>
          <w:szCs w:val="24"/>
        </w:rPr>
        <w:t xml:space="preserve">between treatments </w:t>
      </w:r>
      <w:r w:rsidRPr="003A72C1">
        <w:rPr>
          <w:szCs w:val="24"/>
        </w:rPr>
        <w:t>through the experiment period</w:t>
      </w:r>
      <w:r>
        <w:rPr>
          <w:szCs w:val="24"/>
        </w:rPr>
        <w:t>,</w:t>
      </w:r>
      <w:r w:rsidRPr="003A72C1">
        <w:rPr>
          <w:szCs w:val="24"/>
        </w:rPr>
        <w:t xml:space="preserve"> but </w:t>
      </w:r>
      <w:r>
        <w:rPr>
          <w:szCs w:val="24"/>
        </w:rPr>
        <w:t>there were no</w:t>
      </w:r>
      <w:r w:rsidRPr="003A72C1">
        <w:rPr>
          <w:szCs w:val="24"/>
        </w:rPr>
        <w:t xml:space="preserve"> significant differences,</w:t>
      </w:r>
      <w:r>
        <w:rPr>
          <w:szCs w:val="24"/>
        </w:rPr>
        <w:t xml:space="preserve"> so the</w:t>
      </w:r>
      <w:r w:rsidRPr="003A72C1">
        <w:rPr>
          <w:szCs w:val="24"/>
        </w:rPr>
        <w:t xml:space="preserve"> data are not reported in the main text of this </w:t>
      </w:r>
      <w:r>
        <w:rPr>
          <w:szCs w:val="24"/>
        </w:rPr>
        <w:t>paper</w:t>
      </w:r>
      <w:r w:rsidRPr="003A72C1">
        <w:rPr>
          <w:szCs w:val="24"/>
        </w:rPr>
        <w:t xml:space="preserve"> (</w:t>
      </w:r>
      <w:r>
        <w:rPr>
          <w:szCs w:val="24"/>
        </w:rPr>
        <w:t xml:space="preserve">see </w:t>
      </w:r>
      <w:r w:rsidRPr="00DC6677">
        <w:rPr>
          <w:szCs w:val="24"/>
        </w:rPr>
        <w:t>Figure S</w:t>
      </w:r>
      <w:r>
        <w:rPr>
          <w:szCs w:val="24"/>
        </w:rPr>
        <w:t>4).</w:t>
      </w:r>
      <w:r w:rsidRPr="003A72C1">
        <w:rPr>
          <w:szCs w:val="24"/>
        </w:rPr>
        <w:t xml:space="preserve"> However, at the end of the experiment </w:t>
      </w:r>
      <w:r>
        <w:rPr>
          <w:szCs w:val="24"/>
        </w:rPr>
        <w:t>(Figure 4) t</w:t>
      </w:r>
      <w:r w:rsidRPr="003A72C1">
        <w:rPr>
          <w:szCs w:val="24"/>
        </w:rPr>
        <w:t xml:space="preserve">he proportion of water flow through pores wider than 1 mm </w:t>
      </w:r>
      <w:r>
        <w:rPr>
          <w:szCs w:val="24"/>
        </w:rPr>
        <w:t xml:space="preserve">was </w:t>
      </w:r>
      <w:r w:rsidRPr="003A72C1">
        <w:rPr>
          <w:szCs w:val="24"/>
        </w:rPr>
        <w:t>significant</w:t>
      </w:r>
      <w:r>
        <w:rPr>
          <w:szCs w:val="24"/>
        </w:rPr>
        <w:t>ly greater</w:t>
      </w:r>
      <w:r w:rsidRPr="003A72C1">
        <w:rPr>
          <w:szCs w:val="24"/>
        </w:rPr>
        <w:t xml:space="preserve"> in </w:t>
      </w:r>
      <w:r>
        <w:rPr>
          <w:szCs w:val="24"/>
        </w:rPr>
        <w:t>the DeF</w:t>
      </w:r>
      <w:r w:rsidRPr="003A72C1">
        <w:rPr>
          <w:szCs w:val="24"/>
        </w:rPr>
        <w:t xml:space="preserve">+E treatments </w:t>
      </w:r>
      <w:r>
        <w:rPr>
          <w:szCs w:val="24"/>
        </w:rPr>
        <w:t xml:space="preserve">(98%) </w:t>
      </w:r>
      <w:r w:rsidRPr="003A72C1">
        <w:rPr>
          <w:szCs w:val="24"/>
        </w:rPr>
        <w:t xml:space="preserve">compared to </w:t>
      </w:r>
      <w:r>
        <w:rPr>
          <w:szCs w:val="24"/>
        </w:rPr>
        <w:t>the DeF</w:t>
      </w:r>
      <w:r w:rsidRPr="003A72C1">
        <w:rPr>
          <w:szCs w:val="24"/>
        </w:rPr>
        <w:t xml:space="preserve"> treatments</w:t>
      </w:r>
      <w:r>
        <w:rPr>
          <w:szCs w:val="24"/>
        </w:rPr>
        <w:t xml:space="preserve"> (95%)</w:t>
      </w:r>
      <w:r w:rsidRPr="003A72C1">
        <w:rPr>
          <w:szCs w:val="24"/>
        </w:rPr>
        <w:t xml:space="preserve"> (</w:t>
      </w:r>
      <w:r w:rsidRPr="00E04E26">
        <w:rPr>
          <w:i/>
          <w:szCs w:val="24"/>
        </w:rPr>
        <w:t>p</w:t>
      </w:r>
      <w:r w:rsidRPr="003A72C1">
        <w:rPr>
          <w:szCs w:val="24"/>
        </w:rPr>
        <w:t xml:space="preserve"> = 0.0</w:t>
      </w:r>
      <w:r>
        <w:rPr>
          <w:szCs w:val="24"/>
        </w:rPr>
        <w:t>4</w:t>
      </w:r>
      <w:r w:rsidRPr="003A72C1">
        <w:rPr>
          <w:szCs w:val="24"/>
        </w:rPr>
        <w:t>5).</w:t>
      </w:r>
      <w:r w:rsidRPr="00825ED4">
        <w:rPr>
          <w:rFonts w:cs="Times New Roman"/>
          <w:szCs w:val="24"/>
        </w:rPr>
        <w:t xml:space="preserve"> </w:t>
      </w:r>
      <w:r>
        <w:rPr>
          <w:rFonts w:cs="Times New Roman"/>
          <w:szCs w:val="24"/>
        </w:rPr>
        <w:t xml:space="preserve">Flow through pores wider than 1 mm in the control treatment was not significantly different from the other two treatments and had a value that lay between them (97%). </w:t>
      </w:r>
      <w:r w:rsidRPr="00216264">
        <w:rPr>
          <w:rFonts w:cs="Times New Roman"/>
          <w:szCs w:val="24"/>
        </w:rPr>
        <w:t>However, flow through pores 1 – 3 mm was significantly greater in the DeF+E and DeF treatments and through pores &gt; 3mm was significant</w:t>
      </w:r>
      <w:r>
        <w:rPr>
          <w:rFonts w:cs="Times New Roman"/>
          <w:szCs w:val="24"/>
        </w:rPr>
        <w:t>ly</w:t>
      </w:r>
      <w:r w:rsidRPr="00216264">
        <w:rPr>
          <w:rFonts w:cs="Times New Roman"/>
          <w:szCs w:val="24"/>
        </w:rPr>
        <w:t xml:space="preserve"> greater in the controls</w:t>
      </w:r>
      <w:r>
        <w:rPr>
          <w:rFonts w:cs="Times New Roman"/>
          <w:szCs w:val="24"/>
        </w:rPr>
        <w:t>. No significant differences were observed between fields at the end of the experiment</w:t>
      </w:r>
      <w:r w:rsidRPr="00C657E9">
        <w:t xml:space="preserve"> </w:t>
      </w:r>
      <w:r>
        <w:rPr>
          <w:rFonts w:cs="Times New Roman"/>
          <w:szCs w:val="24"/>
        </w:rPr>
        <w:t>for</w:t>
      </w:r>
      <w:r w:rsidRPr="00C657E9">
        <w:rPr>
          <w:rFonts w:cs="Times New Roman"/>
          <w:szCs w:val="24"/>
        </w:rPr>
        <w:t xml:space="preserve"> these hydrological properties</w:t>
      </w:r>
      <w:r>
        <w:rPr>
          <w:rFonts w:cs="Times New Roman"/>
          <w:szCs w:val="24"/>
        </w:rPr>
        <w:t>.</w:t>
      </w:r>
    </w:p>
    <w:p w14:paraId="4E0E0668" w14:textId="77777777" w:rsidR="0038409E" w:rsidRDefault="0038409E" w:rsidP="001448A4">
      <w:pPr>
        <w:spacing w:after="120" w:line="480" w:lineRule="auto"/>
        <w:jc w:val="both"/>
      </w:pPr>
      <w:r>
        <w:rPr>
          <w:rFonts w:cs="Times New Roman"/>
          <w:szCs w:val="24"/>
        </w:rPr>
        <w:br w:type="page"/>
      </w:r>
      <w:r>
        <w:rPr>
          <w:rFonts w:cs="Times New Roman"/>
          <w:noProof/>
          <w:szCs w:val="24"/>
          <w:lang w:val="en-GB" w:eastAsia="en-GB"/>
        </w:rPr>
        <w:drawing>
          <wp:inline distT="0" distB="0" distL="0" distR="0" wp14:anchorId="39F830EA" wp14:editId="01794113">
            <wp:extent cx="6409055" cy="30454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09055" cy="3045460"/>
                    </a:xfrm>
                    <a:prstGeom prst="rect">
                      <a:avLst/>
                    </a:prstGeom>
                    <a:noFill/>
                    <a:ln>
                      <a:noFill/>
                    </a:ln>
                  </pic:spPr>
                </pic:pic>
              </a:graphicData>
            </a:graphic>
          </wp:inline>
        </w:drawing>
      </w:r>
    </w:p>
    <w:p w14:paraId="0B189562" w14:textId="4546DC09" w:rsidR="0038409E" w:rsidRDefault="0038409E" w:rsidP="001448A4">
      <w:pPr>
        <w:spacing w:line="480" w:lineRule="auto"/>
        <w:jc w:val="center"/>
        <w:rPr>
          <w:sz w:val="22"/>
        </w:rPr>
      </w:pPr>
      <w:bookmarkStart w:id="19" w:name="_Ref525152468"/>
      <w:r w:rsidRPr="00965FA9">
        <w:rPr>
          <w:sz w:val="22"/>
        </w:rPr>
        <w:t xml:space="preserve">Figure </w:t>
      </w:r>
      <w:r w:rsidRPr="00965FA9">
        <w:rPr>
          <w:noProof/>
          <w:sz w:val="22"/>
        </w:rPr>
        <w:fldChar w:fldCharType="begin"/>
      </w:r>
      <w:r w:rsidRPr="00965FA9">
        <w:rPr>
          <w:noProof/>
          <w:sz w:val="22"/>
        </w:rPr>
        <w:instrText xml:space="preserve"> SEQ Figure \* ARABIC </w:instrText>
      </w:r>
      <w:r w:rsidRPr="00965FA9">
        <w:rPr>
          <w:noProof/>
          <w:sz w:val="22"/>
        </w:rPr>
        <w:fldChar w:fldCharType="separate"/>
      </w:r>
      <w:r w:rsidR="00A87FE5">
        <w:rPr>
          <w:noProof/>
          <w:sz w:val="22"/>
        </w:rPr>
        <w:t>3</w:t>
      </w:r>
      <w:r w:rsidRPr="00965FA9">
        <w:rPr>
          <w:noProof/>
          <w:sz w:val="22"/>
        </w:rPr>
        <w:fldChar w:fldCharType="end"/>
      </w:r>
      <w:bookmarkEnd w:id="19"/>
      <w:r w:rsidRPr="00965FA9">
        <w:rPr>
          <w:sz w:val="22"/>
        </w:rPr>
        <w:t>.</w:t>
      </w:r>
      <w:r w:rsidRPr="00965FA9">
        <w:rPr>
          <w:rFonts w:cs="Times New Roman"/>
          <w:sz w:val="22"/>
        </w:rPr>
        <w:t xml:space="preserve"> Mean hydraulic conductivity </w:t>
      </w:r>
      <w:bookmarkStart w:id="20" w:name="_Hlk494636072"/>
      <w:r w:rsidRPr="00965FA9">
        <w:rPr>
          <w:rFonts w:cs="Times New Roman"/>
          <w:sz w:val="22"/>
        </w:rPr>
        <w:t>at -0.5 cm tension across seasons and all the fields</w:t>
      </w:r>
      <w:r>
        <w:rPr>
          <w:rFonts w:cs="Times New Roman"/>
          <w:sz w:val="22"/>
        </w:rPr>
        <w:t xml:space="preserve"> (</w:t>
      </w:r>
      <w:r w:rsidRPr="00570EF4">
        <w:rPr>
          <w:rFonts w:cs="Times New Roman"/>
          <w:i/>
          <w:sz w:val="22"/>
        </w:rPr>
        <w:t>n</w:t>
      </w:r>
      <w:r>
        <w:rPr>
          <w:rFonts w:cs="Times New Roman"/>
          <w:sz w:val="22"/>
        </w:rPr>
        <w:t xml:space="preserve"> = 4) at field temperature</w:t>
      </w:r>
      <w:r w:rsidRPr="00965FA9">
        <w:rPr>
          <w:noProof/>
          <w:sz w:val="22"/>
        </w:rPr>
        <w:t>.</w:t>
      </w:r>
      <w:r w:rsidRPr="00965FA9">
        <w:rPr>
          <w:sz w:val="22"/>
        </w:rPr>
        <w:t xml:space="preserve"> </w:t>
      </w:r>
      <w:bookmarkStart w:id="21" w:name="_Hlk524807852"/>
      <w:r>
        <w:rPr>
          <w:noProof/>
          <w:sz w:val="22"/>
        </w:rPr>
        <w:t>C</w:t>
      </w:r>
      <w:r w:rsidRPr="00BA05DB">
        <w:rPr>
          <w:noProof/>
          <w:sz w:val="22"/>
        </w:rPr>
        <w:t>ontrol</w:t>
      </w:r>
      <w:r>
        <w:rPr>
          <w:noProof/>
          <w:sz w:val="22"/>
        </w:rPr>
        <w:t xml:space="preserve"> = unfrozen monoliths (n = 4); DeF </w:t>
      </w:r>
      <w:r w:rsidRPr="00965FA9">
        <w:rPr>
          <w:noProof/>
          <w:sz w:val="22"/>
        </w:rPr>
        <w:t xml:space="preserve">= frozen monoliths without earthworm addition </w:t>
      </w:r>
      <w:r>
        <w:rPr>
          <w:noProof/>
          <w:sz w:val="22"/>
        </w:rPr>
        <w:t>(</w:t>
      </w:r>
      <w:r w:rsidRPr="00E52DF3">
        <w:rPr>
          <w:i/>
          <w:noProof/>
          <w:sz w:val="22"/>
        </w:rPr>
        <w:t>n</w:t>
      </w:r>
      <w:r>
        <w:rPr>
          <w:noProof/>
          <w:sz w:val="22"/>
        </w:rPr>
        <w:t xml:space="preserve"> = 11)</w:t>
      </w:r>
      <w:r w:rsidRPr="00BA05DB">
        <w:rPr>
          <w:noProof/>
          <w:sz w:val="22"/>
        </w:rPr>
        <w:t>,</w:t>
      </w:r>
      <w:r>
        <w:rPr>
          <w:sz w:val="22"/>
        </w:rPr>
        <w:t xml:space="preserve"> </w:t>
      </w:r>
      <w:r>
        <w:rPr>
          <w:noProof/>
          <w:sz w:val="22"/>
        </w:rPr>
        <w:t>DeF+E</w:t>
      </w:r>
      <w:r w:rsidRPr="00965FA9">
        <w:rPr>
          <w:noProof/>
          <w:sz w:val="22"/>
        </w:rPr>
        <w:t xml:space="preserve"> = frozen monoliths with earthworm addition</w:t>
      </w:r>
      <w:r>
        <w:rPr>
          <w:noProof/>
          <w:sz w:val="22"/>
        </w:rPr>
        <w:t xml:space="preserve"> (</w:t>
      </w:r>
      <w:r w:rsidRPr="00E52DF3">
        <w:rPr>
          <w:i/>
          <w:noProof/>
          <w:sz w:val="22"/>
        </w:rPr>
        <w:t>n</w:t>
      </w:r>
      <w:r>
        <w:rPr>
          <w:noProof/>
          <w:sz w:val="22"/>
        </w:rPr>
        <w:t xml:space="preserve"> = 11);</w:t>
      </w:r>
      <w:r w:rsidRPr="00BA05DB">
        <w:rPr>
          <w:noProof/>
          <w:sz w:val="22"/>
        </w:rPr>
        <w:t xml:space="preserve"> error bars = </w:t>
      </w:r>
      <w:r>
        <w:rPr>
          <w:iCs/>
          <w:noProof/>
          <w:sz w:val="22"/>
        </w:rPr>
        <w:t>standard error</w:t>
      </w:r>
      <w:r>
        <w:rPr>
          <w:noProof/>
          <w:sz w:val="22"/>
        </w:rPr>
        <w:t xml:space="preserve">. </w:t>
      </w:r>
      <w:r w:rsidRPr="00482C19">
        <w:rPr>
          <w:noProof/>
          <w:sz w:val="22"/>
        </w:rPr>
        <w:t xml:space="preserve">Columns with the same letter over them are not significantly different (p &gt; 0.05, </w:t>
      </w:r>
      <w:r>
        <w:rPr>
          <w:noProof/>
          <w:sz w:val="22"/>
        </w:rPr>
        <w:t>B</w:t>
      </w:r>
      <w:r w:rsidRPr="00232855">
        <w:rPr>
          <w:noProof/>
          <w:sz w:val="22"/>
        </w:rPr>
        <w:t xml:space="preserve">onferroni </w:t>
      </w:r>
      <w:r w:rsidRPr="00482C19">
        <w:rPr>
          <w:noProof/>
          <w:sz w:val="22"/>
        </w:rPr>
        <w:t>test)</w:t>
      </w:r>
      <w:r>
        <w:rPr>
          <w:noProof/>
          <w:sz w:val="22"/>
        </w:rPr>
        <w:t xml:space="preserve">; </w:t>
      </w:r>
      <w:r w:rsidRPr="00482C19">
        <w:rPr>
          <w:noProof/>
          <w:sz w:val="22"/>
        </w:rPr>
        <w:t>lower</w:t>
      </w:r>
      <w:r>
        <w:rPr>
          <w:noProof/>
          <w:sz w:val="22"/>
        </w:rPr>
        <w:t>-</w:t>
      </w:r>
      <w:r w:rsidRPr="00482C19">
        <w:rPr>
          <w:noProof/>
          <w:sz w:val="22"/>
        </w:rPr>
        <w:t>case</w:t>
      </w:r>
      <w:r>
        <w:rPr>
          <w:noProof/>
          <w:sz w:val="22"/>
        </w:rPr>
        <w:t xml:space="preserve"> show differences between seasons within each treatment and upper-case show differences between treatments. </w:t>
      </w:r>
      <w:r>
        <w:rPr>
          <w:rFonts w:cs="Times New Roman"/>
          <w:sz w:val="22"/>
        </w:rPr>
        <w:t>H</w:t>
      </w:r>
      <w:r w:rsidRPr="00965FA9">
        <w:rPr>
          <w:rFonts w:cs="Times New Roman"/>
          <w:sz w:val="22"/>
        </w:rPr>
        <w:t xml:space="preserve">ydraulic conductivity </w:t>
      </w:r>
      <w:r>
        <w:rPr>
          <w:rFonts w:cs="Times New Roman"/>
          <w:sz w:val="22"/>
        </w:rPr>
        <w:t xml:space="preserve">data </w:t>
      </w:r>
      <w:r w:rsidRPr="00965FA9">
        <w:rPr>
          <w:rFonts w:cs="Times New Roman"/>
          <w:sz w:val="22"/>
        </w:rPr>
        <w:t>at</w:t>
      </w:r>
      <w:r>
        <w:rPr>
          <w:rFonts w:cs="Times New Roman"/>
          <w:sz w:val="22"/>
        </w:rPr>
        <w:t xml:space="preserve"> different tensions </w:t>
      </w:r>
      <w:r w:rsidRPr="00965FA9">
        <w:rPr>
          <w:rFonts w:cs="Times New Roman"/>
          <w:sz w:val="22"/>
        </w:rPr>
        <w:t xml:space="preserve">across seasons </w:t>
      </w:r>
      <w:r>
        <w:rPr>
          <w:noProof/>
          <w:sz w:val="22"/>
        </w:rPr>
        <w:t xml:space="preserve">for each treatment and on a field by field basis are presented in </w:t>
      </w:r>
      <w:r w:rsidRPr="00DC6677">
        <w:rPr>
          <w:noProof/>
          <w:sz w:val="22"/>
        </w:rPr>
        <w:t>Figure S</w:t>
      </w:r>
      <w:r>
        <w:rPr>
          <w:noProof/>
          <w:sz w:val="22"/>
        </w:rPr>
        <w:t>3.</w:t>
      </w:r>
    </w:p>
    <w:p w14:paraId="49277CA9" w14:textId="77777777" w:rsidR="0038409E" w:rsidRDefault="0038409E" w:rsidP="001448A4">
      <w:pPr>
        <w:spacing w:before="480" w:after="0" w:line="480" w:lineRule="auto"/>
        <w:jc w:val="center"/>
        <w:rPr>
          <w:rFonts w:cs="Times New Roman"/>
          <w:iCs/>
        </w:rPr>
      </w:pPr>
      <w:bookmarkStart w:id="22" w:name="_Ref495055795"/>
      <w:bookmarkEnd w:id="21"/>
    </w:p>
    <w:p w14:paraId="0AE631BF" w14:textId="77777777" w:rsidR="0038409E" w:rsidRDefault="0038409E" w:rsidP="001448A4">
      <w:pPr>
        <w:spacing w:before="480" w:after="0" w:line="480" w:lineRule="auto"/>
        <w:jc w:val="center"/>
        <w:rPr>
          <w:rFonts w:cs="Times New Roman"/>
          <w:iCs/>
        </w:rPr>
      </w:pPr>
      <w:r>
        <w:rPr>
          <w:rFonts w:cs="Times New Roman"/>
          <w:noProof/>
          <w:lang w:val="en-GB" w:eastAsia="en-GB"/>
        </w:rPr>
        <w:drawing>
          <wp:inline distT="0" distB="0" distL="0" distR="0" wp14:anchorId="23C234FE" wp14:editId="6C77CBDD">
            <wp:extent cx="6209665" cy="3569970"/>
            <wp:effectExtent l="19050" t="19050" r="635"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9665" cy="3569970"/>
                    </a:xfrm>
                    <a:prstGeom prst="rect">
                      <a:avLst/>
                    </a:prstGeom>
                    <a:noFill/>
                    <a:ln w="9525" cmpd="sng">
                      <a:solidFill>
                        <a:srgbClr val="000000"/>
                      </a:solidFill>
                      <a:miter lim="800000"/>
                      <a:headEnd/>
                      <a:tailEnd/>
                    </a:ln>
                    <a:effectLst/>
                  </pic:spPr>
                </pic:pic>
              </a:graphicData>
            </a:graphic>
          </wp:inline>
        </w:drawing>
      </w:r>
    </w:p>
    <w:p w14:paraId="3C0F1167" w14:textId="14ADC1A3" w:rsidR="0038409E" w:rsidRPr="00000357" w:rsidRDefault="0038409E" w:rsidP="001448A4">
      <w:pPr>
        <w:pStyle w:val="Caption"/>
        <w:spacing w:before="120" w:after="480" w:line="480" w:lineRule="auto"/>
        <w:jc w:val="center"/>
      </w:pPr>
      <w:bookmarkStart w:id="23" w:name="_Ref525153507"/>
      <w:r>
        <w:t xml:space="preserve">Figure </w:t>
      </w:r>
      <w:r>
        <w:rPr>
          <w:noProof/>
        </w:rPr>
        <w:fldChar w:fldCharType="begin"/>
      </w:r>
      <w:r>
        <w:rPr>
          <w:noProof/>
        </w:rPr>
        <w:instrText xml:space="preserve"> SEQ Figure \* ARABIC </w:instrText>
      </w:r>
      <w:r>
        <w:rPr>
          <w:noProof/>
        </w:rPr>
        <w:fldChar w:fldCharType="separate"/>
      </w:r>
      <w:r w:rsidR="00A87FE5">
        <w:rPr>
          <w:noProof/>
        </w:rPr>
        <w:t>4</w:t>
      </w:r>
      <w:r>
        <w:rPr>
          <w:noProof/>
        </w:rPr>
        <w:fldChar w:fldCharType="end"/>
      </w:r>
      <w:bookmarkEnd w:id="23"/>
      <w:r w:rsidRPr="00436066">
        <w:rPr>
          <w:noProof/>
        </w:rPr>
        <w:t xml:space="preserve">. </w:t>
      </w:r>
      <w:r>
        <w:rPr>
          <w:noProof/>
        </w:rPr>
        <w:t>Mean p</w:t>
      </w:r>
      <w:r w:rsidRPr="00436066">
        <w:rPr>
          <w:noProof/>
        </w:rPr>
        <w:t xml:space="preserve">ore size class contribution to water flow </w:t>
      </w:r>
      <w:r>
        <w:rPr>
          <w:noProof/>
        </w:rPr>
        <w:t>at the end of the experiment</w:t>
      </w:r>
      <w:r w:rsidRPr="002B3580">
        <w:rPr>
          <w:noProof/>
        </w:rPr>
        <w:t xml:space="preserve"> </w:t>
      </w:r>
      <w:r>
        <w:rPr>
          <w:noProof/>
        </w:rPr>
        <w:t>across all the fields.</w:t>
      </w:r>
      <w:r w:rsidRPr="00436066">
        <w:rPr>
          <w:noProof/>
        </w:rPr>
        <w:t xml:space="preserve"> </w:t>
      </w:r>
      <w:r>
        <w:rPr>
          <w:noProof/>
        </w:rPr>
        <w:t>C</w:t>
      </w:r>
      <w:r w:rsidRPr="00BA05DB">
        <w:rPr>
          <w:noProof/>
        </w:rPr>
        <w:t>ontrol</w:t>
      </w:r>
      <w:r>
        <w:rPr>
          <w:noProof/>
        </w:rPr>
        <w:t xml:space="preserve"> unfrozen monoliths (</w:t>
      </w:r>
      <w:r w:rsidRPr="008B34DC">
        <w:rPr>
          <w:i/>
          <w:noProof/>
        </w:rPr>
        <w:t>n</w:t>
      </w:r>
      <w:r>
        <w:rPr>
          <w:noProof/>
        </w:rPr>
        <w:t xml:space="preserve"> = 4); DeF =</w:t>
      </w:r>
      <w:r w:rsidRPr="00AC58B6">
        <w:rPr>
          <w:noProof/>
        </w:rPr>
        <w:t xml:space="preserve"> frozen monoliths without earthworm addition</w:t>
      </w:r>
      <w:r>
        <w:rPr>
          <w:noProof/>
        </w:rPr>
        <w:t xml:space="preserve"> (</w:t>
      </w:r>
      <w:r w:rsidRPr="00E52DF3">
        <w:rPr>
          <w:i/>
          <w:noProof/>
        </w:rPr>
        <w:t>n</w:t>
      </w:r>
      <w:r>
        <w:rPr>
          <w:noProof/>
        </w:rPr>
        <w:t xml:space="preserve"> = 11)</w:t>
      </w:r>
      <w:r w:rsidRPr="00BA05DB">
        <w:rPr>
          <w:noProof/>
        </w:rPr>
        <w:t xml:space="preserve">, </w:t>
      </w:r>
      <w:r>
        <w:rPr>
          <w:noProof/>
        </w:rPr>
        <w:t>DeF+E</w:t>
      </w:r>
      <w:r w:rsidRPr="00AC58B6">
        <w:rPr>
          <w:noProof/>
        </w:rPr>
        <w:t xml:space="preserve"> </w:t>
      </w:r>
      <w:r>
        <w:rPr>
          <w:noProof/>
        </w:rPr>
        <w:t>=</w:t>
      </w:r>
      <w:r w:rsidRPr="00AC58B6">
        <w:rPr>
          <w:noProof/>
        </w:rPr>
        <w:t xml:space="preserve"> frozen monoliths with earthworm addition</w:t>
      </w:r>
      <w:r>
        <w:rPr>
          <w:noProof/>
        </w:rPr>
        <w:t xml:space="preserve"> (</w:t>
      </w:r>
      <w:r w:rsidRPr="00E52DF3">
        <w:rPr>
          <w:i/>
          <w:noProof/>
        </w:rPr>
        <w:t>n</w:t>
      </w:r>
      <w:r>
        <w:rPr>
          <w:noProof/>
        </w:rPr>
        <w:t xml:space="preserve"> = 11)</w:t>
      </w:r>
      <w:r w:rsidRPr="00AC58B6">
        <w:rPr>
          <w:noProof/>
        </w:rPr>
        <w:t xml:space="preserve">, </w:t>
      </w:r>
      <w:r w:rsidRPr="00BF4741">
        <w:rPr>
          <w:noProof/>
        </w:rPr>
        <w:t>error bars = standard error</w:t>
      </w:r>
      <w:r w:rsidRPr="00436066">
        <w:rPr>
          <w:noProof/>
        </w:rPr>
        <w:t>.</w:t>
      </w:r>
      <w:r>
        <w:rPr>
          <w:noProof/>
        </w:rPr>
        <w:t xml:space="preserve"> P</w:t>
      </w:r>
      <w:r w:rsidRPr="00436066">
        <w:rPr>
          <w:noProof/>
        </w:rPr>
        <w:t xml:space="preserve">ore size class contribution to water flow </w:t>
      </w:r>
      <w:r>
        <w:rPr>
          <w:noProof/>
        </w:rPr>
        <w:t xml:space="preserve">across seasons for each treatment on a field by field basis is presented in </w:t>
      </w:r>
      <w:r w:rsidRPr="00DC6677">
        <w:rPr>
          <w:noProof/>
        </w:rPr>
        <w:t>Figure S</w:t>
      </w:r>
      <w:r>
        <w:rPr>
          <w:noProof/>
        </w:rPr>
        <w:t>4.</w:t>
      </w:r>
    </w:p>
    <w:p w14:paraId="291B6BEB" w14:textId="77777777" w:rsidR="0038409E" w:rsidRDefault="0038409E" w:rsidP="001448A4">
      <w:pPr>
        <w:pStyle w:val="Heading3"/>
        <w:numPr>
          <w:ilvl w:val="1"/>
          <w:numId w:val="14"/>
        </w:numPr>
        <w:spacing w:before="360" w:after="200" w:line="480" w:lineRule="auto"/>
      </w:pPr>
      <w:r>
        <w:t>Soil w</w:t>
      </w:r>
      <w:r w:rsidRPr="00496081">
        <w:t xml:space="preserve">ater release curves </w:t>
      </w:r>
      <w:r>
        <w:t>(SWRC) and water-holding capacity (WHC)</w:t>
      </w:r>
    </w:p>
    <w:p w14:paraId="1C07E57F" w14:textId="77777777" w:rsidR="0038409E" w:rsidRDefault="0038409E" w:rsidP="001448A4">
      <w:pPr>
        <w:spacing w:before="120" w:after="240" w:line="480" w:lineRule="auto"/>
        <w:jc w:val="both"/>
        <w:rPr>
          <w:rFonts w:cs="Times New Roman"/>
          <w:szCs w:val="24"/>
        </w:rPr>
      </w:pPr>
      <w:r>
        <w:t>The SWRC data from the individual cores from each monolith</w:t>
      </w:r>
      <w:r w:rsidRPr="008D0F15">
        <w:rPr>
          <w:szCs w:val="24"/>
        </w:rPr>
        <w:t xml:space="preserve"> were combined </w:t>
      </w:r>
      <w:r>
        <w:rPr>
          <w:szCs w:val="24"/>
        </w:rPr>
        <w:t>to produce a single SWRC</w:t>
      </w:r>
      <w:r w:rsidRPr="008D0F15">
        <w:rPr>
          <w:szCs w:val="24"/>
        </w:rPr>
        <w:t xml:space="preserve"> for the </w:t>
      </w:r>
      <w:r>
        <w:rPr>
          <w:szCs w:val="24"/>
        </w:rPr>
        <w:t>DeF</w:t>
      </w:r>
      <w:r w:rsidRPr="008D0F15">
        <w:rPr>
          <w:szCs w:val="24"/>
        </w:rPr>
        <w:t xml:space="preserve"> </w:t>
      </w:r>
      <w:r>
        <w:rPr>
          <w:szCs w:val="24"/>
        </w:rPr>
        <w:t>and DeF</w:t>
      </w:r>
      <w:r w:rsidRPr="008D0F15">
        <w:rPr>
          <w:szCs w:val="24"/>
        </w:rPr>
        <w:t xml:space="preserve">+E treatments </w:t>
      </w:r>
      <w:r>
        <w:rPr>
          <w:szCs w:val="24"/>
        </w:rPr>
        <w:t xml:space="preserve">from each field </w:t>
      </w:r>
      <w:r w:rsidRPr="008D0F15">
        <w:rPr>
          <w:szCs w:val="24"/>
        </w:rPr>
        <w:t xml:space="preserve">and fitted using Hyprop-Fit models. </w:t>
      </w:r>
      <w:r>
        <w:rPr>
          <w:szCs w:val="24"/>
        </w:rPr>
        <w:t xml:space="preserve">SWRC </w:t>
      </w:r>
      <w:r w:rsidRPr="008D0F15">
        <w:rPr>
          <w:szCs w:val="24"/>
        </w:rPr>
        <w:t xml:space="preserve">for the </w:t>
      </w:r>
      <w:r>
        <w:rPr>
          <w:szCs w:val="24"/>
        </w:rPr>
        <w:t>c</w:t>
      </w:r>
      <w:r w:rsidRPr="008D0F15">
        <w:rPr>
          <w:szCs w:val="24"/>
        </w:rPr>
        <w:t>ontrol</w:t>
      </w:r>
      <w:r>
        <w:rPr>
          <w:szCs w:val="24"/>
        </w:rPr>
        <w:t>s were from single cores (</w:t>
      </w:r>
      <w:bookmarkStart w:id="24" w:name="_Hlk9329170"/>
      <w:r>
        <w:rPr>
          <w:szCs w:val="24"/>
        </w:rPr>
        <w:t xml:space="preserve">Figure 5, </w:t>
      </w:r>
      <w:bookmarkEnd w:id="24"/>
      <w:r w:rsidRPr="00DC6677">
        <w:rPr>
          <w:szCs w:val="24"/>
        </w:rPr>
        <w:t>Figure S</w:t>
      </w:r>
      <w:r>
        <w:rPr>
          <w:szCs w:val="24"/>
        </w:rPr>
        <w:t>5). The generated SWRC were used to derive the s</w:t>
      </w:r>
      <w:r w:rsidRPr="00AC2827">
        <w:rPr>
          <w:szCs w:val="24"/>
        </w:rPr>
        <w:t>oil water content at saturation</w:t>
      </w:r>
      <w:r>
        <w:rPr>
          <w:szCs w:val="24"/>
        </w:rPr>
        <w:t xml:space="preserve"> (WCS) and</w:t>
      </w:r>
      <w:r w:rsidRPr="00AC2827">
        <w:rPr>
          <w:szCs w:val="24"/>
        </w:rPr>
        <w:t xml:space="preserve"> at field capacity </w:t>
      </w:r>
      <w:r>
        <w:rPr>
          <w:szCs w:val="24"/>
        </w:rPr>
        <w:t xml:space="preserve">(FC) </w:t>
      </w:r>
      <w:r w:rsidRPr="00AC2827">
        <w:rPr>
          <w:szCs w:val="24"/>
        </w:rPr>
        <w:t>(at 33KPa</w:t>
      </w:r>
      <w:r>
        <w:rPr>
          <w:szCs w:val="24"/>
        </w:rPr>
        <w:t xml:space="preserve">; </w:t>
      </w:r>
      <w:r w:rsidR="005633D2">
        <w:rPr>
          <w:noProof/>
          <w:szCs w:val="24"/>
        </w:rPr>
        <w:t>Kirkham</w:t>
      </w:r>
      <w:r w:rsidR="005633D2">
        <w:rPr>
          <w:szCs w:val="24"/>
        </w:rPr>
        <w:t xml:space="preserve"> </w:t>
      </w:r>
      <w:r w:rsidR="005633D2">
        <w:rPr>
          <w:szCs w:val="24"/>
        </w:rPr>
        <w:fldChar w:fldCharType="begin" w:fldLock="1"/>
      </w:r>
      <w:r w:rsidR="00503F4F">
        <w:rPr>
          <w:szCs w:val="24"/>
        </w:rPr>
        <w:instrText>ADDIN CSL_CITATION {"citationItems":[{"id":"ITEM-1","itemData":{"DOI":"https://doi.org/10.1016/B978-012409751-3/50008-6","ISBN":"978-0-12-409751-3","author":[{"dropping-particle":"","family":"Kirkham","given":"M B","non-dropping-particle":"","parse-names":false,"suffix":""}],"container-title":"Principles of Soil and Plant Water Relations","editor":[{"dropping-particle":"","family":"Kirkham","given":"M B","non-dropping-particle":"","parse-names":false,"suffix":""}],"id":"ITEM-1","issued":{"date-parts":[["2005"]]},"page":"101-115","publisher":"Academic Press","publisher-place":"Burlington","title":"8 - Field capacity, wilting point, available water, and the non-limiting water range","type":"chapter"},"suppress-author":1,"uris":["http://www.mendeley.com/documents/?uuid=58f3a899-1204-4778-963c-23f3cf982c1b"]}],"mendeley":{"formattedCitation":"(2005)","plainTextFormattedCitation":"(2005)","previouslyFormattedCitation":"(2005)"},"properties":{"noteIndex":0},"schema":"https://github.com/citation-style-language/schema/raw/master/csl-citation.json"}</w:instrText>
      </w:r>
      <w:r w:rsidR="005633D2">
        <w:rPr>
          <w:szCs w:val="24"/>
        </w:rPr>
        <w:fldChar w:fldCharType="separate"/>
      </w:r>
      <w:r w:rsidR="005633D2" w:rsidRPr="005633D2">
        <w:rPr>
          <w:noProof/>
          <w:szCs w:val="24"/>
        </w:rPr>
        <w:t>(2005)</w:t>
      </w:r>
      <w:r w:rsidR="005633D2">
        <w:rPr>
          <w:szCs w:val="24"/>
        </w:rPr>
        <w:fldChar w:fldCharType="end"/>
      </w:r>
      <w:r w:rsidR="005633D2">
        <w:rPr>
          <w:szCs w:val="24"/>
        </w:rPr>
        <w:t>)</w:t>
      </w:r>
      <w:r>
        <w:rPr>
          <w:szCs w:val="24"/>
        </w:rPr>
        <w:t xml:space="preserve">, </w:t>
      </w:r>
      <w:r w:rsidRPr="00AC2827">
        <w:rPr>
          <w:szCs w:val="24"/>
        </w:rPr>
        <w:t xml:space="preserve">and </w:t>
      </w:r>
      <w:r>
        <w:rPr>
          <w:szCs w:val="24"/>
        </w:rPr>
        <w:t xml:space="preserve">also the </w:t>
      </w:r>
      <w:r w:rsidRPr="00AC2827">
        <w:rPr>
          <w:szCs w:val="24"/>
        </w:rPr>
        <w:t xml:space="preserve">plant available water </w:t>
      </w:r>
      <w:r>
        <w:rPr>
          <w:szCs w:val="24"/>
        </w:rPr>
        <w:t>(PAW) (Table 3).</w:t>
      </w:r>
      <w:r>
        <w:t xml:space="preserve"> All these values </w:t>
      </w:r>
      <w:r w:rsidRPr="00AC2827">
        <w:rPr>
          <w:szCs w:val="24"/>
        </w:rPr>
        <w:t xml:space="preserve">were significantly </w:t>
      </w:r>
      <w:r>
        <w:rPr>
          <w:szCs w:val="24"/>
        </w:rPr>
        <w:t>greater</w:t>
      </w:r>
      <w:r w:rsidRPr="00AC2827">
        <w:rPr>
          <w:szCs w:val="24"/>
        </w:rPr>
        <w:t xml:space="preserve"> in the </w:t>
      </w:r>
      <w:r>
        <w:rPr>
          <w:szCs w:val="24"/>
        </w:rPr>
        <w:t>DeF</w:t>
      </w:r>
      <w:r w:rsidRPr="00AC2827">
        <w:rPr>
          <w:szCs w:val="24"/>
        </w:rPr>
        <w:t xml:space="preserve">+E </w:t>
      </w:r>
      <w:r>
        <w:rPr>
          <w:szCs w:val="24"/>
        </w:rPr>
        <w:t>treatments relative</w:t>
      </w:r>
      <w:r w:rsidRPr="00AC2827">
        <w:rPr>
          <w:szCs w:val="24"/>
        </w:rPr>
        <w:t xml:space="preserve"> to </w:t>
      </w:r>
      <w:r>
        <w:rPr>
          <w:szCs w:val="24"/>
        </w:rPr>
        <w:t>DeF</w:t>
      </w:r>
      <w:r w:rsidRPr="00AC2827">
        <w:rPr>
          <w:szCs w:val="24"/>
        </w:rPr>
        <w:t xml:space="preserve"> </w:t>
      </w:r>
      <w:r>
        <w:rPr>
          <w:szCs w:val="24"/>
        </w:rPr>
        <w:t>(by 11%, 24% and 21% for WCS (</w:t>
      </w:r>
      <w:r w:rsidRPr="003D5462">
        <w:rPr>
          <w:i/>
          <w:szCs w:val="24"/>
        </w:rPr>
        <w:t>p</w:t>
      </w:r>
      <w:r w:rsidRPr="003D5462">
        <w:rPr>
          <w:szCs w:val="24"/>
        </w:rPr>
        <w:t xml:space="preserve"> </w:t>
      </w:r>
      <w:r>
        <w:rPr>
          <w:szCs w:val="24"/>
        </w:rPr>
        <w:t>=</w:t>
      </w:r>
      <w:r w:rsidRPr="003D5462">
        <w:rPr>
          <w:szCs w:val="24"/>
        </w:rPr>
        <w:t xml:space="preserve"> 0.0</w:t>
      </w:r>
      <w:r>
        <w:rPr>
          <w:szCs w:val="24"/>
        </w:rPr>
        <w:t>01),</w:t>
      </w:r>
      <w:r w:rsidRPr="00AC2827">
        <w:rPr>
          <w:szCs w:val="24"/>
        </w:rPr>
        <w:t xml:space="preserve"> </w:t>
      </w:r>
      <w:r>
        <w:rPr>
          <w:szCs w:val="24"/>
        </w:rPr>
        <w:t>FC</w:t>
      </w:r>
      <w:r w:rsidRPr="00AC2827">
        <w:rPr>
          <w:szCs w:val="24"/>
        </w:rPr>
        <w:t xml:space="preserve"> </w:t>
      </w:r>
      <w:r>
        <w:rPr>
          <w:szCs w:val="24"/>
        </w:rPr>
        <w:t>(</w:t>
      </w:r>
      <w:r w:rsidRPr="003D5462">
        <w:rPr>
          <w:i/>
          <w:szCs w:val="24"/>
        </w:rPr>
        <w:t>p</w:t>
      </w:r>
      <w:r w:rsidRPr="003D5462">
        <w:rPr>
          <w:szCs w:val="24"/>
        </w:rPr>
        <w:t xml:space="preserve"> </w:t>
      </w:r>
      <w:r>
        <w:rPr>
          <w:szCs w:val="24"/>
        </w:rPr>
        <w:t>&lt;</w:t>
      </w:r>
      <w:r w:rsidRPr="003D5462">
        <w:rPr>
          <w:szCs w:val="24"/>
        </w:rPr>
        <w:t xml:space="preserve"> 0.0</w:t>
      </w:r>
      <w:r>
        <w:rPr>
          <w:szCs w:val="24"/>
        </w:rPr>
        <w:t>01) and PAW (</w:t>
      </w:r>
      <w:r w:rsidRPr="003D5462">
        <w:rPr>
          <w:i/>
          <w:szCs w:val="24"/>
        </w:rPr>
        <w:t>p</w:t>
      </w:r>
      <w:r w:rsidRPr="003D5462">
        <w:rPr>
          <w:szCs w:val="24"/>
        </w:rPr>
        <w:t xml:space="preserve"> </w:t>
      </w:r>
      <w:r>
        <w:rPr>
          <w:szCs w:val="24"/>
        </w:rPr>
        <w:t>&lt;</w:t>
      </w:r>
      <w:r w:rsidRPr="003D5462">
        <w:rPr>
          <w:szCs w:val="24"/>
        </w:rPr>
        <w:t xml:space="preserve"> 0.0</w:t>
      </w:r>
      <w:r>
        <w:rPr>
          <w:szCs w:val="24"/>
        </w:rPr>
        <w:t>01) respectively) and relative to the unfrozen controls (by 9%, 16% and 19% for WCS (</w:t>
      </w:r>
      <w:r w:rsidRPr="003D5462">
        <w:rPr>
          <w:i/>
          <w:szCs w:val="24"/>
        </w:rPr>
        <w:t>p</w:t>
      </w:r>
      <w:r w:rsidRPr="003D5462">
        <w:rPr>
          <w:szCs w:val="24"/>
        </w:rPr>
        <w:t xml:space="preserve"> </w:t>
      </w:r>
      <w:r>
        <w:rPr>
          <w:szCs w:val="24"/>
        </w:rPr>
        <w:t>=</w:t>
      </w:r>
      <w:r w:rsidRPr="003D5462">
        <w:rPr>
          <w:szCs w:val="24"/>
        </w:rPr>
        <w:t xml:space="preserve"> 0.0</w:t>
      </w:r>
      <w:r>
        <w:rPr>
          <w:szCs w:val="24"/>
        </w:rPr>
        <w:t>27),</w:t>
      </w:r>
      <w:r w:rsidRPr="00AC2827">
        <w:rPr>
          <w:szCs w:val="24"/>
        </w:rPr>
        <w:t xml:space="preserve"> </w:t>
      </w:r>
      <w:r>
        <w:rPr>
          <w:szCs w:val="24"/>
        </w:rPr>
        <w:t>FC</w:t>
      </w:r>
      <w:r w:rsidRPr="00AC2827">
        <w:rPr>
          <w:szCs w:val="24"/>
        </w:rPr>
        <w:t xml:space="preserve"> </w:t>
      </w:r>
      <w:r>
        <w:rPr>
          <w:szCs w:val="24"/>
        </w:rPr>
        <w:t>(</w:t>
      </w:r>
      <w:r w:rsidRPr="003D5462">
        <w:rPr>
          <w:i/>
          <w:szCs w:val="24"/>
        </w:rPr>
        <w:t>p</w:t>
      </w:r>
      <w:r w:rsidRPr="003D5462">
        <w:rPr>
          <w:szCs w:val="24"/>
        </w:rPr>
        <w:t xml:space="preserve"> </w:t>
      </w:r>
      <w:r>
        <w:rPr>
          <w:szCs w:val="24"/>
        </w:rPr>
        <w:t>=</w:t>
      </w:r>
      <w:r w:rsidRPr="003D5462">
        <w:rPr>
          <w:szCs w:val="24"/>
        </w:rPr>
        <w:t xml:space="preserve"> 0.0</w:t>
      </w:r>
      <w:r>
        <w:rPr>
          <w:szCs w:val="24"/>
        </w:rPr>
        <w:t>06) and PAW (</w:t>
      </w:r>
      <w:r w:rsidRPr="003D5462">
        <w:rPr>
          <w:i/>
          <w:szCs w:val="24"/>
        </w:rPr>
        <w:t>p</w:t>
      </w:r>
      <w:r w:rsidRPr="003D5462">
        <w:rPr>
          <w:szCs w:val="24"/>
        </w:rPr>
        <w:t xml:space="preserve"> </w:t>
      </w:r>
      <w:r>
        <w:rPr>
          <w:szCs w:val="24"/>
        </w:rPr>
        <w:t>=</w:t>
      </w:r>
      <w:r w:rsidRPr="003D5462">
        <w:rPr>
          <w:szCs w:val="24"/>
        </w:rPr>
        <w:t xml:space="preserve"> 0.0</w:t>
      </w:r>
      <w:r>
        <w:rPr>
          <w:szCs w:val="24"/>
        </w:rPr>
        <w:t>11) respectively)</w:t>
      </w:r>
      <w:r w:rsidRPr="00AC2827">
        <w:rPr>
          <w:szCs w:val="24"/>
        </w:rPr>
        <w:t>.</w:t>
      </w:r>
      <w:r>
        <w:rPr>
          <w:szCs w:val="24"/>
        </w:rPr>
        <w:t xml:space="preserve"> No significant differences were observed between DeF and control treatments. The three parameters showed significant differences between fields (</w:t>
      </w:r>
      <w:r w:rsidRPr="00CC6BB6">
        <w:rPr>
          <w:i/>
          <w:szCs w:val="24"/>
        </w:rPr>
        <w:t>p</w:t>
      </w:r>
      <w:r>
        <w:rPr>
          <w:szCs w:val="24"/>
        </w:rPr>
        <w:t xml:space="preserve"> = 0.021, </w:t>
      </w:r>
      <w:r w:rsidRPr="00CC6BB6">
        <w:rPr>
          <w:i/>
          <w:szCs w:val="24"/>
        </w:rPr>
        <w:t>p</w:t>
      </w:r>
      <w:r>
        <w:rPr>
          <w:szCs w:val="24"/>
        </w:rPr>
        <w:t xml:space="preserve"> = 0.001, </w:t>
      </w:r>
      <w:r w:rsidRPr="00CC6BB6">
        <w:rPr>
          <w:i/>
          <w:szCs w:val="24"/>
        </w:rPr>
        <w:t>p</w:t>
      </w:r>
      <w:r>
        <w:rPr>
          <w:szCs w:val="24"/>
        </w:rPr>
        <w:t xml:space="preserve"> = 0.05 for WCS, FC and PAW respectively). HS field had the highest values</w:t>
      </w:r>
      <w:r w:rsidR="005633D2">
        <w:rPr>
          <w:szCs w:val="24"/>
        </w:rPr>
        <w:t>,</w:t>
      </w:r>
      <w:r>
        <w:rPr>
          <w:szCs w:val="24"/>
        </w:rPr>
        <w:t xml:space="preserve"> but these were only significantly greater than those for Copse field. There was n</w:t>
      </w:r>
      <w:r>
        <w:rPr>
          <w:rFonts w:cs="Times New Roman"/>
          <w:szCs w:val="24"/>
        </w:rPr>
        <w:t xml:space="preserve">o significant interaction between treatments and fields. </w:t>
      </w:r>
    </w:p>
    <w:p w14:paraId="75FC0BC8" w14:textId="77777777" w:rsidR="0038409E" w:rsidRDefault="0038409E" w:rsidP="001448A4">
      <w:pPr>
        <w:spacing w:after="0" w:line="480" w:lineRule="auto"/>
        <w:jc w:val="center"/>
        <w:rPr>
          <w:rFonts w:cs="Times New Roman"/>
          <w:szCs w:val="24"/>
        </w:rPr>
      </w:pPr>
      <w:bookmarkStart w:id="25" w:name="_Hlk527553581"/>
      <w:r>
        <w:rPr>
          <w:rFonts w:cs="Times New Roman"/>
          <w:noProof/>
          <w:szCs w:val="24"/>
          <w:lang w:val="en-GB" w:eastAsia="en-GB"/>
        </w:rPr>
        <w:drawing>
          <wp:inline distT="0" distB="0" distL="0" distR="0" wp14:anchorId="4AD4CF97" wp14:editId="612C9E1C">
            <wp:extent cx="5348687" cy="3591309"/>
            <wp:effectExtent l="19050" t="19050" r="23495" b="2857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62942" cy="3600880"/>
                    </a:xfrm>
                    <a:prstGeom prst="rect">
                      <a:avLst/>
                    </a:prstGeom>
                    <a:noFill/>
                    <a:ln w="9525" cmpd="sng">
                      <a:solidFill>
                        <a:srgbClr val="000000"/>
                      </a:solidFill>
                      <a:miter lim="800000"/>
                      <a:headEnd/>
                      <a:tailEnd/>
                    </a:ln>
                    <a:effectLst/>
                  </pic:spPr>
                </pic:pic>
              </a:graphicData>
            </a:graphic>
          </wp:inline>
        </w:drawing>
      </w:r>
    </w:p>
    <w:p w14:paraId="615CDEE8" w14:textId="16BC67EF" w:rsidR="0038409E" w:rsidRPr="003F7078" w:rsidRDefault="0038409E" w:rsidP="001448A4">
      <w:pPr>
        <w:spacing w:after="120" w:line="480" w:lineRule="auto"/>
        <w:jc w:val="center"/>
        <w:rPr>
          <w:rFonts w:cs="Times New Roman"/>
          <w:sz w:val="22"/>
        </w:rPr>
      </w:pPr>
      <w:bookmarkStart w:id="26" w:name="_Ref531438041"/>
      <w:r w:rsidRPr="00B47063">
        <w:rPr>
          <w:rFonts w:cs="Times New Roman"/>
          <w:sz w:val="22"/>
        </w:rPr>
        <w:t xml:space="preserve">Figure </w:t>
      </w:r>
      <w:r w:rsidRPr="00B47063">
        <w:rPr>
          <w:rFonts w:cs="Times New Roman"/>
          <w:sz w:val="22"/>
        </w:rPr>
        <w:fldChar w:fldCharType="begin"/>
      </w:r>
      <w:r w:rsidRPr="00B47063">
        <w:rPr>
          <w:rFonts w:cs="Times New Roman"/>
          <w:sz w:val="22"/>
        </w:rPr>
        <w:instrText xml:space="preserve"> SEQ Figure \* ARABIC </w:instrText>
      </w:r>
      <w:r w:rsidRPr="00B47063">
        <w:rPr>
          <w:rFonts w:cs="Times New Roman"/>
          <w:sz w:val="22"/>
        </w:rPr>
        <w:fldChar w:fldCharType="separate"/>
      </w:r>
      <w:r w:rsidR="00A87FE5">
        <w:rPr>
          <w:rFonts w:cs="Times New Roman"/>
          <w:noProof/>
          <w:sz w:val="22"/>
        </w:rPr>
        <w:t>5</w:t>
      </w:r>
      <w:r w:rsidRPr="00B47063">
        <w:rPr>
          <w:rFonts w:cs="Times New Roman"/>
          <w:sz w:val="22"/>
        </w:rPr>
        <w:fldChar w:fldCharType="end"/>
      </w:r>
      <w:bookmarkEnd w:id="26"/>
      <w:r>
        <w:rPr>
          <w:rFonts w:cs="Times New Roman"/>
          <w:sz w:val="22"/>
        </w:rPr>
        <w:t xml:space="preserve">. Soil water </w:t>
      </w:r>
      <w:r w:rsidRPr="003F7078">
        <w:rPr>
          <w:rFonts w:cs="Times New Roman"/>
          <w:sz w:val="22"/>
        </w:rPr>
        <w:t>release curves</w:t>
      </w:r>
      <w:r>
        <w:rPr>
          <w:rFonts w:cs="Times New Roman"/>
          <w:sz w:val="22"/>
        </w:rPr>
        <w:t xml:space="preserve"> (SWRC)</w:t>
      </w:r>
      <w:r w:rsidRPr="003F7078">
        <w:rPr>
          <w:rFonts w:cs="Times New Roman"/>
          <w:sz w:val="22"/>
        </w:rPr>
        <w:t xml:space="preserve"> </w:t>
      </w:r>
      <w:r>
        <w:rPr>
          <w:rFonts w:cs="Times New Roman"/>
          <w:sz w:val="22"/>
        </w:rPr>
        <w:t xml:space="preserve">of </w:t>
      </w:r>
      <w:bookmarkStart w:id="27" w:name="_Hlk25531251"/>
      <w:r>
        <w:rPr>
          <w:rFonts w:cs="Times New Roman"/>
          <w:sz w:val="22"/>
        </w:rPr>
        <w:t xml:space="preserve">Copse field </w:t>
      </w:r>
      <w:bookmarkEnd w:id="27"/>
      <w:r w:rsidRPr="003F7078">
        <w:rPr>
          <w:rFonts w:cs="Times New Roman"/>
          <w:sz w:val="22"/>
        </w:rPr>
        <w:t xml:space="preserve">fitted to the measured data using </w:t>
      </w:r>
      <w:r>
        <w:rPr>
          <w:rFonts w:cs="Times New Roman"/>
          <w:sz w:val="22"/>
        </w:rPr>
        <w:t xml:space="preserve">the </w:t>
      </w:r>
      <w:r w:rsidRPr="003F7078">
        <w:rPr>
          <w:rFonts w:cs="Times New Roman"/>
          <w:sz w:val="22"/>
        </w:rPr>
        <w:t>bimodal constrained</w:t>
      </w:r>
      <w:r w:rsidR="00503F4F">
        <w:rPr>
          <w:rFonts w:cs="Times New Roman"/>
          <w:sz w:val="22"/>
        </w:rPr>
        <w:t xml:space="preserve"> </w:t>
      </w:r>
      <w:r w:rsidR="00503F4F">
        <w:rPr>
          <w:rFonts w:cs="Times New Roman"/>
          <w:noProof/>
          <w:sz w:val="22"/>
        </w:rPr>
        <w:t xml:space="preserve">Van Genuchten </w:t>
      </w:r>
      <w:r w:rsidR="00503F4F">
        <w:rPr>
          <w:rFonts w:cs="Times New Roman"/>
          <w:sz w:val="22"/>
        </w:rPr>
        <w:fldChar w:fldCharType="begin" w:fldLock="1"/>
      </w:r>
      <w:r w:rsidR="00503F4F">
        <w:rPr>
          <w:rFonts w:cs="Times New Roman"/>
          <w:sz w:val="22"/>
        </w:rPr>
        <w:instrText>ADDIN CSL_CITATION {"citationItems":[{"id":"ITEM-1","itemData":{"ISBN":"0361-5995","author":[{"dropping-particle":"","family":"Genuchten","given":"M Th","non-dropping-particle":"Van","parse-names":false,"suffix":""}],"container-title":"Soil Science Society of America Journal","id":"ITEM-1","issue":"5","issued":{"date-parts":[["1980"]]},"page":"892-898","title":"A closed-form equation for predicting the hydraulic conductivity of unsaturated soils","type":"article-journal","volume":"44"},"suppress-author":1,"uris":["http://www.mendeley.com/documents/?uuid=77a190a3-fe3a-4e64-8d5f-a6f0eba408b3"]}],"mendeley":{"formattedCitation":"(1980)","plainTextFormattedCitation":"(1980)","previouslyFormattedCitation":"(1980)"},"properties":{"noteIndex":0},"schema":"https://github.com/citation-style-language/schema/raw/master/csl-citation.json"}</w:instrText>
      </w:r>
      <w:r w:rsidR="00503F4F">
        <w:rPr>
          <w:rFonts w:cs="Times New Roman"/>
          <w:sz w:val="22"/>
        </w:rPr>
        <w:fldChar w:fldCharType="separate"/>
      </w:r>
      <w:r w:rsidR="00503F4F" w:rsidRPr="00503F4F">
        <w:rPr>
          <w:rFonts w:cs="Times New Roman"/>
          <w:noProof/>
          <w:sz w:val="22"/>
        </w:rPr>
        <w:t>(1980)</w:t>
      </w:r>
      <w:r w:rsidR="00503F4F">
        <w:rPr>
          <w:rFonts w:cs="Times New Roman"/>
          <w:sz w:val="22"/>
        </w:rPr>
        <w:fldChar w:fldCharType="end"/>
      </w:r>
      <w:r w:rsidRPr="003F7078">
        <w:rPr>
          <w:rFonts w:cs="Times New Roman"/>
          <w:sz w:val="22"/>
        </w:rPr>
        <w:t xml:space="preserve"> model</w:t>
      </w:r>
      <w:r w:rsidR="00503F4F">
        <w:rPr>
          <w:rFonts w:cs="Times New Roman"/>
          <w:sz w:val="22"/>
        </w:rPr>
        <w:t xml:space="preserve"> </w:t>
      </w:r>
      <w:r w:rsidR="00503F4F">
        <w:rPr>
          <w:rFonts w:cs="Times New Roman"/>
          <w:sz w:val="22"/>
        </w:rPr>
        <w:fldChar w:fldCharType="begin" w:fldLock="1"/>
      </w:r>
      <w:r w:rsidR="005F110D">
        <w:rPr>
          <w:rFonts w:cs="Times New Roman"/>
          <w:sz w:val="22"/>
        </w:rPr>
        <w:instrText>ADDIN CSL_CITATION {"citationItems":[{"id":"ITEM-1","itemData":{"DOI":"doi:10.1029/93WR02676","abstract":"The hydraulic conductivity function, which is required to solve the Richards equation, is difficult to measure. Therefore prediction methods are frequently used where the shape of the conductivity function is estimated from the more easily measured water retention characteristic. Errors in conductivity estimations can arise either from an invalidity of the prediction model for a given soil, or from an incorrect description of the retention data. This second error source is particularly important for soils with heterogeneous pore systems that cannot be adequately described by the usually used retention functions. To describe the retention characteristics of such soils, a flexible θ(ψ) function was formed by superimposing unimodal retention curves of the van Genuchten (1980) type. By combining this retention model with the conductivity prediction model of Mualem (1976), conductivity estimations for soils with heterogeneous pore systems are obtained. Estimated conductivities by this model and the classical van Genuchten-Mualem method can differ by orders of magnitude. Thus reported disagreements between measured and estimated conductivities may in some cases be due to an inadequate description of the retention data rather than due to a failure of the prediction model.","author":[{"dropping-particle":"","family":"Durner","given":"Wolfgang","non-dropping-particle":"","parse-names":false,"suffix":""}],"container-title":"Water Resources Research","id":"ITEM-1","issue":"2","issued":{"date-parts":[["1994"]]},"page":"211-223","title":"Hydraulic conductivity estimation for soils with heterogeneous pore structure","type":"article-journal","volume":"30"},"uris":["http://www.mendeley.com/documents/?uuid=47b0a2d6-1490-43ab-b0e1-5b959b591ea1"]}],"mendeley":{"formattedCitation":"(Durner, 1994)","plainTextFormattedCitation":"(Durner, 1994)","previouslyFormattedCitation":"(Durner, 1994)"},"properties":{"noteIndex":0},"schema":"https://github.com/citation-style-language/schema/raw/master/csl-citation.json"}</w:instrText>
      </w:r>
      <w:r w:rsidR="00503F4F">
        <w:rPr>
          <w:rFonts w:cs="Times New Roman"/>
          <w:sz w:val="22"/>
        </w:rPr>
        <w:fldChar w:fldCharType="separate"/>
      </w:r>
      <w:r w:rsidR="00503F4F" w:rsidRPr="00503F4F">
        <w:rPr>
          <w:rFonts w:cs="Times New Roman"/>
          <w:noProof/>
          <w:sz w:val="22"/>
        </w:rPr>
        <w:t>(Durner, 1994)</w:t>
      </w:r>
      <w:r w:rsidR="00503F4F">
        <w:rPr>
          <w:rFonts w:cs="Times New Roman"/>
          <w:sz w:val="22"/>
        </w:rPr>
        <w:fldChar w:fldCharType="end"/>
      </w:r>
      <w:r w:rsidR="00503F4F">
        <w:rPr>
          <w:rFonts w:cs="Times New Roman"/>
          <w:sz w:val="22"/>
        </w:rPr>
        <w:t>.</w:t>
      </w:r>
      <w:r w:rsidRPr="003F7078">
        <w:rPr>
          <w:rFonts w:cs="Times New Roman"/>
          <w:sz w:val="22"/>
        </w:rPr>
        <w:t xml:space="preserve"> The curves represent the </w:t>
      </w:r>
      <w:r>
        <w:rPr>
          <w:rFonts w:cs="Times New Roman"/>
          <w:sz w:val="22"/>
        </w:rPr>
        <w:t xml:space="preserve">control, </w:t>
      </w:r>
      <w:r>
        <w:rPr>
          <w:noProof/>
          <w:sz w:val="22"/>
        </w:rPr>
        <w:t>De</w:t>
      </w:r>
      <w:r w:rsidRPr="003F7078">
        <w:rPr>
          <w:noProof/>
          <w:sz w:val="22"/>
        </w:rPr>
        <w:t>F</w:t>
      </w:r>
      <w:r>
        <w:rPr>
          <w:noProof/>
          <w:sz w:val="22"/>
        </w:rPr>
        <w:t xml:space="preserve"> =</w:t>
      </w:r>
      <w:r w:rsidRPr="003F7078">
        <w:rPr>
          <w:noProof/>
          <w:sz w:val="22"/>
        </w:rPr>
        <w:t xml:space="preserve"> frozen monoliths without earthworm addition and </w:t>
      </w:r>
      <w:r>
        <w:rPr>
          <w:rFonts w:cs="Times New Roman"/>
          <w:sz w:val="22"/>
        </w:rPr>
        <w:t>DeF+E</w:t>
      </w:r>
      <w:r w:rsidRPr="003F7078">
        <w:rPr>
          <w:noProof/>
          <w:sz w:val="22"/>
        </w:rPr>
        <w:t xml:space="preserve"> </w:t>
      </w:r>
      <w:r>
        <w:rPr>
          <w:noProof/>
          <w:sz w:val="22"/>
        </w:rPr>
        <w:t>=</w:t>
      </w:r>
      <w:r w:rsidRPr="003F7078">
        <w:rPr>
          <w:noProof/>
          <w:sz w:val="22"/>
        </w:rPr>
        <w:t xml:space="preserve"> frozen monoliths with earthworm addition</w:t>
      </w:r>
      <w:r>
        <w:rPr>
          <w:noProof/>
          <w:sz w:val="22"/>
        </w:rPr>
        <w:t>;</w:t>
      </w:r>
      <w:r w:rsidRPr="003F7078">
        <w:rPr>
          <w:noProof/>
          <w:sz w:val="22"/>
        </w:rPr>
        <w:t xml:space="preserve"> </w:t>
      </w:r>
      <w:r w:rsidRPr="003F7078">
        <w:rPr>
          <w:rFonts w:cs="Times New Roman"/>
          <w:sz w:val="22"/>
        </w:rPr>
        <w:t xml:space="preserve">Three replicates were combined each for the </w:t>
      </w:r>
      <w:r>
        <w:rPr>
          <w:rFonts w:cs="Times New Roman"/>
          <w:sz w:val="22"/>
        </w:rPr>
        <w:t>De</w:t>
      </w:r>
      <w:r w:rsidRPr="003F7078">
        <w:rPr>
          <w:rFonts w:cs="Times New Roman"/>
          <w:sz w:val="22"/>
        </w:rPr>
        <w:t xml:space="preserve">F </w:t>
      </w:r>
      <w:r>
        <w:rPr>
          <w:rFonts w:cs="Times New Roman"/>
          <w:sz w:val="22"/>
        </w:rPr>
        <w:t>and DeF+E</w:t>
      </w:r>
      <w:r w:rsidRPr="003F7078">
        <w:rPr>
          <w:rFonts w:cs="Times New Roman"/>
          <w:sz w:val="22"/>
        </w:rPr>
        <w:t xml:space="preserve"> treatments and fitted using Hyprop-Fit models</w:t>
      </w:r>
      <w:r>
        <w:rPr>
          <w:rFonts w:cs="Times New Roman"/>
          <w:sz w:val="22"/>
        </w:rPr>
        <w:t xml:space="preserve"> </w:t>
      </w:r>
      <w:r w:rsidRPr="003F7078">
        <w:rPr>
          <w:noProof/>
          <w:sz w:val="22"/>
        </w:rPr>
        <w:t xml:space="preserve">(error bars = </w:t>
      </w:r>
      <w:r w:rsidRPr="003F7078">
        <w:rPr>
          <w:rFonts w:cs="Times New Roman"/>
          <w:sz w:val="22"/>
        </w:rPr>
        <w:t>Standard deviation</w:t>
      </w:r>
      <w:r w:rsidRPr="003F7078">
        <w:rPr>
          <w:noProof/>
          <w:sz w:val="22"/>
        </w:rPr>
        <w:t>)</w:t>
      </w:r>
      <w:r w:rsidRPr="003F7078">
        <w:rPr>
          <w:rFonts w:cs="Times New Roman"/>
          <w:sz w:val="22"/>
        </w:rPr>
        <w:t>.</w:t>
      </w:r>
      <w:r w:rsidRPr="003F7078">
        <w:rPr>
          <w:noProof/>
          <w:sz w:val="22"/>
        </w:rPr>
        <w:t xml:space="preserve"> Only one </w:t>
      </w:r>
      <w:r>
        <w:rPr>
          <w:noProof/>
          <w:sz w:val="22"/>
        </w:rPr>
        <w:t>replicate</w:t>
      </w:r>
      <w:r w:rsidRPr="003F7078">
        <w:rPr>
          <w:noProof/>
          <w:sz w:val="22"/>
        </w:rPr>
        <w:t xml:space="preserve"> was fitted for the </w:t>
      </w:r>
      <w:r>
        <w:rPr>
          <w:noProof/>
          <w:sz w:val="22"/>
        </w:rPr>
        <w:t>C</w:t>
      </w:r>
      <w:r w:rsidRPr="003F7078">
        <w:rPr>
          <w:noProof/>
          <w:sz w:val="22"/>
        </w:rPr>
        <w:t>ontrol.</w:t>
      </w:r>
      <w:r>
        <w:rPr>
          <w:noProof/>
          <w:sz w:val="22"/>
        </w:rPr>
        <w:t xml:space="preserve"> SWRC for BSE, BSW and HS fields are presented in </w:t>
      </w:r>
      <w:r w:rsidRPr="00DC6677">
        <w:rPr>
          <w:noProof/>
          <w:sz w:val="22"/>
        </w:rPr>
        <w:t>Figure S</w:t>
      </w:r>
      <w:r>
        <w:rPr>
          <w:noProof/>
          <w:sz w:val="22"/>
        </w:rPr>
        <w:t>5.</w:t>
      </w:r>
    </w:p>
    <w:p w14:paraId="42E04FCF" w14:textId="77777777" w:rsidR="0038409E" w:rsidRDefault="0038409E" w:rsidP="001448A4">
      <w:pPr>
        <w:spacing w:after="120" w:line="480" w:lineRule="auto"/>
        <w:jc w:val="both"/>
        <w:rPr>
          <w:rFonts w:cs="Times New Roman"/>
          <w:szCs w:val="24"/>
        </w:rPr>
      </w:pPr>
      <w:r>
        <w:rPr>
          <w:rFonts w:cs="Times New Roman"/>
          <w:szCs w:val="24"/>
        </w:rPr>
        <w:t xml:space="preserve">WHC varied significantly between treatments </w:t>
      </w:r>
      <w:r w:rsidRPr="001F6FB3">
        <w:rPr>
          <w:rFonts w:cs="Times New Roman"/>
          <w:szCs w:val="24"/>
        </w:rPr>
        <w:t>(</w:t>
      </w:r>
      <w:r w:rsidRPr="001F6FB3">
        <w:rPr>
          <w:rFonts w:cs="Times New Roman"/>
          <w:i/>
          <w:szCs w:val="24"/>
        </w:rPr>
        <w:t>p</w:t>
      </w:r>
      <w:r w:rsidRPr="001F6FB3">
        <w:rPr>
          <w:rFonts w:cs="Times New Roman"/>
          <w:szCs w:val="24"/>
        </w:rPr>
        <w:t xml:space="preserve"> = 0.0</w:t>
      </w:r>
      <w:r>
        <w:rPr>
          <w:rFonts w:cs="Times New Roman"/>
          <w:szCs w:val="24"/>
        </w:rPr>
        <w:t xml:space="preserve">11; Table 4). The WHC of the DeF+E monoliths was </w:t>
      </w:r>
      <w:r w:rsidRPr="00C1769C">
        <w:rPr>
          <w:rFonts w:cs="Times New Roman"/>
          <w:szCs w:val="24"/>
        </w:rPr>
        <w:t xml:space="preserve">nearly </w:t>
      </w:r>
      <w:r>
        <w:rPr>
          <w:rFonts w:cs="Times New Roman"/>
          <w:szCs w:val="24"/>
        </w:rPr>
        <w:t>9</w:t>
      </w:r>
      <w:r w:rsidRPr="00C1769C">
        <w:rPr>
          <w:rFonts w:cs="Times New Roman"/>
          <w:szCs w:val="24"/>
        </w:rPr>
        <w:t xml:space="preserve">% </w:t>
      </w:r>
      <w:r>
        <w:rPr>
          <w:rFonts w:cs="Times New Roman"/>
          <w:szCs w:val="24"/>
        </w:rPr>
        <w:t>greater than the DeF monoliths (</w:t>
      </w:r>
      <w:r w:rsidRPr="001F6FB3">
        <w:rPr>
          <w:rFonts w:cs="Times New Roman"/>
          <w:i/>
          <w:szCs w:val="24"/>
        </w:rPr>
        <w:t>p</w:t>
      </w:r>
      <w:r w:rsidRPr="001F6FB3">
        <w:rPr>
          <w:rFonts w:cs="Times New Roman"/>
          <w:szCs w:val="24"/>
        </w:rPr>
        <w:t xml:space="preserve"> </w:t>
      </w:r>
      <w:r>
        <w:rPr>
          <w:rFonts w:cs="Times New Roman"/>
          <w:szCs w:val="24"/>
        </w:rPr>
        <w:t>=</w:t>
      </w:r>
      <w:r w:rsidRPr="001F6FB3">
        <w:rPr>
          <w:rFonts w:cs="Times New Roman"/>
          <w:szCs w:val="24"/>
        </w:rPr>
        <w:t xml:space="preserve"> 0.0</w:t>
      </w:r>
      <w:r>
        <w:rPr>
          <w:rFonts w:cs="Times New Roman"/>
          <w:szCs w:val="24"/>
        </w:rPr>
        <w:t>5). There was no significant difference between controls and the other treatments. WHC was significantly higher in HS compared to BSE (</w:t>
      </w:r>
      <w:r w:rsidRPr="001F6FB3">
        <w:rPr>
          <w:rFonts w:cs="Times New Roman"/>
          <w:i/>
          <w:szCs w:val="24"/>
        </w:rPr>
        <w:t>p</w:t>
      </w:r>
      <w:r w:rsidRPr="001F6FB3">
        <w:rPr>
          <w:rFonts w:cs="Times New Roman"/>
          <w:szCs w:val="24"/>
        </w:rPr>
        <w:t xml:space="preserve"> </w:t>
      </w:r>
      <w:r>
        <w:rPr>
          <w:rFonts w:cs="Times New Roman"/>
          <w:szCs w:val="24"/>
        </w:rPr>
        <w:t>&lt;</w:t>
      </w:r>
      <w:r w:rsidRPr="001F6FB3">
        <w:rPr>
          <w:rFonts w:cs="Times New Roman"/>
          <w:szCs w:val="24"/>
        </w:rPr>
        <w:t xml:space="preserve"> 0.0</w:t>
      </w:r>
      <w:r>
        <w:rPr>
          <w:rFonts w:cs="Times New Roman"/>
          <w:szCs w:val="24"/>
        </w:rPr>
        <w:t>01) and BSW (</w:t>
      </w:r>
      <w:r w:rsidRPr="001F6FB3">
        <w:rPr>
          <w:rFonts w:cs="Times New Roman"/>
          <w:i/>
          <w:szCs w:val="24"/>
        </w:rPr>
        <w:t>p</w:t>
      </w:r>
      <w:r w:rsidRPr="001F6FB3">
        <w:rPr>
          <w:rFonts w:cs="Times New Roman"/>
          <w:szCs w:val="24"/>
        </w:rPr>
        <w:t xml:space="preserve"> </w:t>
      </w:r>
      <w:r>
        <w:rPr>
          <w:rFonts w:cs="Times New Roman"/>
          <w:szCs w:val="24"/>
        </w:rPr>
        <w:t>=</w:t>
      </w:r>
      <w:r w:rsidRPr="001F6FB3">
        <w:rPr>
          <w:rFonts w:cs="Times New Roman"/>
          <w:szCs w:val="24"/>
        </w:rPr>
        <w:t xml:space="preserve"> 0.0</w:t>
      </w:r>
      <w:r>
        <w:rPr>
          <w:rFonts w:cs="Times New Roman"/>
          <w:szCs w:val="24"/>
        </w:rPr>
        <w:t>07) fields and significantly lower in BSE compared to Copse (</w:t>
      </w:r>
      <w:r w:rsidRPr="001F6FB3">
        <w:rPr>
          <w:rFonts w:cs="Times New Roman"/>
          <w:i/>
          <w:szCs w:val="24"/>
        </w:rPr>
        <w:t>p</w:t>
      </w:r>
      <w:r w:rsidRPr="001F6FB3">
        <w:rPr>
          <w:rFonts w:cs="Times New Roman"/>
          <w:szCs w:val="24"/>
        </w:rPr>
        <w:t xml:space="preserve"> </w:t>
      </w:r>
      <w:r>
        <w:rPr>
          <w:rFonts w:cs="Times New Roman"/>
          <w:szCs w:val="24"/>
        </w:rPr>
        <w:t>=</w:t>
      </w:r>
      <w:r w:rsidRPr="001F6FB3">
        <w:rPr>
          <w:rFonts w:cs="Times New Roman"/>
          <w:szCs w:val="24"/>
        </w:rPr>
        <w:t xml:space="preserve"> 0.0</w:t>
      </w:r>
      <w:r>
        <w:rPr>
          <w:rFonts w:cs="Times New Roman"/>
          <w:szCs w:val="24"/>
        </w:rPr>
        <w:t>02) and HS fields (</w:t>
      </w:r>
      <w:r w:rsidRPr="001F6FB3">
        <w:rPr>
          <w:rFonts w:cs="Times New Roman"/>
          <w:i/>
          <w:szCs w:val="24"/>
        </w:rPr>
        <w:t>p</w:t>
      </w:r>
      <w:r w:rsidRPr="001F6FB3">
        <w:rPr>
          <w:rFonts w:cs="Times New Roman"/>
          <w:szCs w:val="24"/>
        </w:rPr>
        <w:t xml:space="preserve"> </w:t>
      </w:r>
      <w:r>
        <w:rPr>
          <w:rFonts w:cs="Times New Roman"/>
          <w:szCs w:val="24"/>
        </w:rPr>
        <w:t>&lt;</w:t>
      </w:r>
      <w:r w:rsidRPr="001F6FB3">
        <w:rPr>
          <w:rFonts w:cs="Times New Roman"/>
          <w:szCs w:val="24"/>
        </w:rPr>
        <w:t xml:space="preserve"> 0.</w:t>
      </w:r>
      <w:r>
        <w:rPr>
          <w:rFonts w:cs="Times New Roman"/>
          <w:szCs w:val="24"/>
        </w:rPr>
        <w:t>0</w:t>
      </w:r>
      <w:r w:rsidRPr="001F6FB3">
        <w:rPr>
          <w:rFonts w:cs="Times New Roman"/>
          <w:szCs w:val="24"/>
        </w:rPr>
        <w:t>0</w:t>
      </w:r>
      <w:r>
        <w:rPr>
          <w:rFonts w:cs="Times New Roman"/>
          <w:szCs w:val="24"/>
        </w:rPr>
        <w:t>1). There was no significant interaction between treatments and fields.</w:t>
      </w:r>
    </w:p>
    <w:bookmarkEnd w:id="25"/>
    <w:p w14:paraId="326296C3" w14:textId="77777777" w:rsidR="0038409E" w:rsidRDefault="0038409E" w:rsidP="001448A4">
      <w:pPr>
        <w:pStyle w:val="Heading3"/>
        <w:numPr>
          <w:ilvl w:val="1"/>
          <w:numId w:val="14"/>
        </w:numPr>
        <w:spacing w:before="360" w:after="200" w:line="480" w:lineRule="auto"/>
      </w:pPr>
      <w:r>
        <w:t>Soil bulk density (BD)</w:t>
      </w:r>
    </w:p>
    <w:p w14:paraId="0B3E7329" w14:textId="77777777" w:rsidR="0038409E" w:rsidRDefault="0038409E" w:rsidP="001448A4">
      <w:pPr>
        <w:spacing w:line="480" w:lineRule="auto"/>
        <w:jc w:val="both"/>
        <w:rPr>
          <w:rFonts w:cs="Times New Roman"/>
          <w:szCs w:val="24"/>
        </w:rPr>
      </w:pPr>
      <w:r>
        <w:rPr>
          <w:rFonts w:cs="Times New Roman"/>
          <w:szCs w:val="24"/>
        </w:rPr>
        <w:t xml:space="preserve">BD </w:t>
      </w:r>
      <w:r w:rsidRPr="00C608B9">
        <w:rPr>
          <w:rFonts w:cs="Times New Roman"/>
          <w:szCs w:val="24"/>
        </w:rPr>
        <w:t xml:space="preserve">significantly decreased by </w:t>
      </w:r>
      <w:r>
        <w:rPr>
          <w:rFonts w:cs="Times New Roman"/>
          <w:szCs w:val="24"/>
        </w:rPr>
        <w:t>6% in the DeF and DeF+E treatments at the end of the experiment compared to the initial soil conditions (</w:t>
      </w:r>
      <w:r w:rsidRPr="009A5DBF">
        <w:rPr>
          <w:rFonts w:cs="Times New Roman"/>
          <w:i/>
          <w:szCs w:val="24"/>
        </w:rPr>
        <w:t>p</w:t>
      </w:r>
      <w:r w:rsidRPr="001F6FB3">
        <w:rPr>
          <w:rFonts w:cs="Times New Roman"/>
          <w:szCs w:val="24"/>
        </w:rPr>
        <w:t xml:space="preserve"> </w:t>
      </w:r>
      <w:r>
        <w:rPr>
          <w:rFonts w:cs="Times New Roman"/>
          <w:szCs w:val="24"/>
        </w:rPr>
        <w:t>=</w:t>
      </w:r>
      <w:r w:rsidRPr="001F6FB3">
        <w:rPr>
          <w:rFonts w:cs="Times New Roman"/>
          <w:szCs w:val="24"/>
        </w:rPr>
        <w:t xml:space="preserve"> 0.0</w:t>
      </w:r>
      <w:r>
        <w:rPr>
          <w:rFonts w:cs="Times New Roman"/>
          <w:szCs w:val="24"/>
        </w:rPr>
        <w:t xml:space="preserve">1), </w:t>
      </w:r>
      <w:r w:rsidRPr="00C608B9">
        <w:rPr>
          <w:rFonts w:cs="Times New Roman"/>
          <w:szCs w:val="24"/>
        </w:rPr>
        <w:t>suggesting that the growth of the ley for one year increased soil pore space</w:t>
      </w:r>
      <w:r>
        <w:rPr>
          <w:rFonts w:cs="Times New Roman"/>
          <w:szCs w:val="24"/>
        </w:rPr>
        <w:t xml:space="preserve">, but there was no effect of adding earthworms. There was no significant difference in BD between the DeF+E and DeF treatments and </w:t>
      </w:r>
      <w:r w:rsidRPr="00C608B9">
        <w:rPr>
          <w:rFonts w:cs="Times New Roman"/>
          <w:szCs w:val="24"/>
        </w:rPr>
        <w:t>the control monoliths at the end of the experiment (</w:t>
      </w:r>
      <w:r w:rsidRPr="00154312">
        <w:rPr>
          <w:rFonts w:cs="Times New Roman"/>
          <w:i/>
          <w:iCs/>
          <w:szCs w:val="24"/>
        </w:rPr>
        <w:t>p</w:t>
      </w:r>
      <w:r>
        <w:rPr>
          <w:rFonts w:cs="Times New Roman"/>
          <w:i/>
          <w:iCs/>
          <w:szCs w:val="24"/>
        </w:rPr>
        <w:t xml:space="preserve"> </w:t>
      </w:r>
      <w:r w:rsidRPr="00C608B9">
        <w:rPr>
          <w:rFonts w:cs="Times New Roman"/>
          <w:szCs w:val="24"/>
        </w:rPr>
        <w:t>&gt;</w:t>
      </w:r>
      <w:r>
        <w:rPr>
          <w:rFonts w:cs="Times New Roman"/>
          <w:szCs w:val="24"/>
        </w:rPr>
        <w:t xml:space="preserve"> </w:t>
      </w:r>
      <w:r w:rsidRPr="00C608B9">
        <w:rPr>
          <w:rFonts w:cs="Times New Roman"/>
          <w:szCs w:val="24"/>
        </w:rPr>
        <w:t>0.05)</w:t>
      </w:r>
      <w:r>
        <w:rPr>
          <w:rFonts w:cs="Times New Roman"/>
          <w:szCs w:val="24"/>
        </w:rPr>
        <w:t xml:space="preserve"> (Table 4).</w:t>
      </w:r>
      <w:r w:rsidRPr="009860E8">
        <w:rPr>
          <w:rFonts w:cs="Times New Roman"/>
          <w:szCs w:val="24"/>
        </w:rPr>
        <w:t xml:space="preserve"> </w:t>
      </w:r>
      <w:r>
        <w:rPr>
          <w:rFonts w:cs="Times New Roman"/>
          <w:szCs w:val="24"/>
        </w:rPr>
        <w:t>BD</w:t>
      </w:r>
      <w:r w:rsidRPr="009860E8">
        <w:rPr>
          <w:rFonts w:cs="Times New Roman"/>
          <w:szCs w:val="24"/>
        </w:rPr>
        <w:t xml:space="preserve"> was </w:t>
      </w:r>
      <w:r>
        <w:rPr>
          <w:rFonts w:cs="Times New Roman"/>
          <w:szCs w:val="24"/>
        </w:rPr>
        <w:t xml:space="preserve">significantly </w:t>
      </w:r>
      <w:r w:rsidRPr="00C608B9">
        <w:rPr>
          <w:rFonts w:cs="Times New Roman"/>
          <w:szCs w:val="24"/>
        </w:rPr>
        <w:t>higher</w:t>
      </w:r>
      <w:r w:rsidRPr="009860E8">
        <w:rPr>
          <w:rFonts w:cs="Times New Roman"/>
          <w:szCs w:val="24"/>
        </w:rPr>
        <w:t xml:space="preserve"> in BSE field compared to </w:t>
      </w:r>
      <w:r>
        <w:rPr>
          <w:rFonts w:cs="Times New Roman"/>
          <w:szCs w:val="24"/>
        </w:rPr>
        <w:t xml:space="preserve">the </w:t>
      </w:r>
      <w:r w:rsidRPr="009860E8">
        <w:rPr>
          <w:rFonts w:cs="Times New Roman"/>
          <w:szCs w:val="24"/>
        </w:rPr>
        <w:t>other fields</w:t>
      </w:r>
      <w:r>
        <w:rPr>
          <w:rFonts w:cs="Times New Roman"/>
          <w:szCs w:val="24"/>
        </w:rPr>
        <w:t xml:space="preserve"> (</w:t>
      </w:r>
      <w:r w:rsidRPr="00C86244">
        <w:rPr>
          <w:rFonts w:cs="Times New Roman"/>
          <w:i/>
          <w:szCs w:val="24"/>
        </w:rPr>
        <w:t xml:space="preserve">p </w:t>
      </w:r>
      <w:r>
        <w:rPr>
          <w:rFonts w:cs="Times New Roman"/>
          <w:szCs w:val="24"/>
        </w:rPr>
        <w:t>=</w:t>
      </w:r>
      <w:r w:rsidRPr="00C71569">
        <w:rPr>
          <w:rFonts w:cs="Times New Roman"/>
          <w:szCs w:val="24"/>
        </w:rPr>
        <w:t xml:space="preserve"> 0.0</w:t>
      </w:r>
      <w:r>
        <w:rPr>
          <w:rFonts w:cs="Times New Roman"/>
          <w:szCs w:val="24"/>
        </w:rPr>
        <w:t xml:space="preserve">05, </w:t>
      </w:r>
      <w:r w:rsidRPr="00C86244">
        <w:rPr>
          <w:rFonts w:cs="Times New Roman"/>
          <w:i/>
          <w:szCs w:val="24"/>
        </w:rPr>
        <w:t xml:space="preserve">p </w:t>
      </w:r>
      <w:r>
        <w:rPr>
          <w:rFonts w:cs="Times New Roman"/>
          <w:szCs w:val="24"/>
        </w:rPr>
        <w:t>=</w:t>
      </w:r>
      <w:r w:rsidRPr="00C71569">
        <w:rPr>
          <w:rFonts w:cs="Times New Roman"/>
          <w:szCs w:val="24"/>
        </w:rPr>
        <w:t xml:space="preserve"> 0.0</w:t>
      </w:r>
      <w:r>
        <w:rPr>
          <w:rFonts w:cs="Times New Roman"/>
          <w:szCs w:val="24"/>
        </w:rPr>
        <w:t xml:space="preserve">11, </w:t>
      </w:r>
      <w:r w:rsidRPr="00C86244">
        <w:rPr>
          <w:rFonts w:cs="Times New Roman"/>
          <w:i/>
          <w:szCs w:val="24"/>
        </w:rPr>
        <w:t xml:space="preserve">p </w:t>
      </w:r>
      <w:r>
        <w:rPr>
          <w:rFonts w:cs="Times New Roman"/>
          <w:szCs w:val="24"/>
        </w:rPr>
        <w:t>=</w:t>
      </w:r>
      <w:r w:rsidRPr="00C71569">
        <w:rPr>
          <w:rFonts w:cs="Times New Roman"/>
          <w:szCs w:val="24"/>
        </w:rPr>
        <w:t xml:space="preserve"> 0.0</w:t>
      </w:r>
      <w:r>
        <w:rPr>
          <w:rFonts w:cs="Times New Roman"/>
          <w:szCs w:val="24"/>
        </w:rPr>
        <w:t>5 for BSW, Copse and HS fields respectively)</w:t>
      </w:r>
      <w:r w:rsidRPr="009860E8">
        <w:rPr>
          <w:rFonts w:cs="Times New Roman"/>
          <w:szCs w:val="24"/>
        </w:rPr>
        <w:t>. There was no significant interaction between treatments and fields</w:t>
      </w:r>
      <w:r>
        <w:rPr>
          <w:rFonts w:cs="Times New Roman"/>
          <w:szCs w:val="24"/>
        </w:rPr>
        <w:t xml:space="preserve"> on BD</w:t>
      </w:r>
      <w:r w:rsidRPr="009860E8">
        <w:rPr>
          <w:rFonts w:cs="Times New Roman"/>
          <w:szCs w:val="24"/>
        </w:rPr>
        <w:t>.</w:t>
      </w:r>
    </w:p>
    <w:p w14:paraId="75D4A7D6" w14:textId="77777777" w:rsidR="0038409E" w:rsidRDefault="0038409E" w:rsidP="001448A4">
      <w:pPr>
        <w:pStyle w:val="Heading3"/>
        <w:numPr>
          <w:ilvl w:val="1"/>
          <w:numId w:val="14"/>
        </w:numPr>
        <w:spacing w:before="360" w:after="200" w:line="480" w:lineRule="auto"/>
      </w:pPr>
      <w:r>
        <w:t>Percentage water stable aggregates (%WSA)</w:t>
      </w:r>
    </w:p>
    <w:p w14:paraId="7A37A291" w14:textId="77777777" w:rsidR="0038409E" w:rsidRDefault="0038409E" w:rsidP="001448A4">
      <w:pPr>
        <w:spacing w:line="480" w:lineRule="auto"/>
        <w:jc w:val="both"/>
        <w:rPr>
          <w:rFonts w:cs="Times New Roman"/>
          <w:szCs w:val="24"/>
        </w:rPr>
      </w:pPr>
      <w:r w:rsidRPr="00154312">
        <w:rPr>
          <w:rFonts w:cs="Times New Roman"/>
          <w:szCs w:val="24"/>
        </w:rPr>
        <w:t xml:space="preserve">%WSA </w:t>
      </w:r>
      <w:r>
        <w:rPr>
          <w:rFonts w:cs="Times New Roman"/>
          <w:szCs w:val="24"/>
        </w:rPr>
        <w:t xml:space="preserve">(&gt; 250 </w:t>
      </w:r>
      <w:proofErr w:type="spellStart"/>
      <w:r>
        <w:rPr>
          <w:rFonts w:cs="Times New Roman"/>
          <w:szCs w:val="24"/>
        </w:rPr>
        <w:t>μm</w:t>
      </w:r>
      <w:proofErr w:type="spellEnd"/>
      <w:r>
        <w:rPr>
          <w:rFonts w:cs="Times New Roman"/>
          <w:szCs w:val="24"/>
        </w:rPr>
        <w:t xml:space="preserve">) </w:t>
      </w:r>
      <w:r w:rsidRPr="00154312">
        <w:rPr>
          <w:rFonts w:cs="Times New Roman"/>
          <w:szCs w:val="24"/>
        </w:rPr>
        <w:t xml:space="preserve">in </w:t>
      </w:r>
      <w:r>
        <w:rPr>
          <w:rFonts w:cs="Times New Roman"/>
          <w:szCs w:val="24"/>
        </w:rPr>
        <w:t xml:space="preserve">the </w:t>
      </w:r>
      <w:r w:rsidRPr="00154312">
        <w:rPr>
          <w:rFonts w:cs="Times New Roman"/>
          <w:szCs w:val="24"/>
        </w:rPr>
        <w:t xml:space="preserve">DeF+E </w:t>
      </w:r>
      <w:r>
        <w:rPr>
          <w:rFonts w:cs="Times New Roman"/>
          <w:szCs w:val="24"/>
        </w:rPr>
        <w:t xml:space="preserve">monoliths </w:t>
      </w:r>
      <w:r w:rsidRPr="00154312">
        <w:rPr>
          <w:rFonts w:cs="Times New Roman"/>
          <w:szCs w:val="24"/>
        </w:rPr>
        <w:t xml:space="preserve">was significantly greater than that in the DeF monoliths </w:t>
      </w:r>
      <w:bookmarkStart w:id="28" w:name="_Hlk5793965"/>
      <w:r w:rsidRPr="00154312">
        <w:rPr>
          <w:rFonts w:cs="Times New Roman"/>
          <w:szCs w:val="24"/>
        </w:rPr>
        <w:t>(</w:t>
      </w:r>
      <w:r>
        <w:rPr>
          <w:rFonts w:cs="Times New Roman"/>
          <w:szCs w:val="24"/>
        </w:rPr>
        <w:t>70 ± 3</w:t>
      </w:r>
      <w:r w:rsidRPr="00154312">
        <w:rPr>
          <w:rFonts w:cs="Times New Roman"/>
          <w:szCs w:val="24"/>
        </w:rPr>
        <w:t xml:space="preserve">% vs </w:t>
      </w:r>
      <w:r>
        <w:rPr>
          <w:rFonts w:cs="Times New Roman"/>
          <w:szCs w:val="24"/>
        </w:rPr>
        <w:t>60 ± 3</w:t>
      </w:r>
      <w:r w:rsidRPr="00154312">
        <w:rPr>
          <w:rFonts w:cs="Times New Roman"/>
          <w:szCs w:val="24"/>
        </w:rPr>
        <w:t>%</w:t>
      </w:r>
      <w:bookmarkEnd w:id="28"/>
      <w:r w:rsidRPr="00154312">
        <w:rPr>
          <w:rFonts w:cs="Times New Roman"/>
          <w:szCs w:val="24"/>
        </w:rPr>
        <w:t xml:space="preserve">, </w:t>
      </w:r>
      <w:r w:rsidRPr="00FD4B64">
        <w:rPr>
          <w:rFonts w:cs="Times New Roman"/>
          <w:i/>
          <w:iCs/>
          <w:szCs w:val="24"/>
        </w:rPr>
        <w:t>p</w:t>
      </w:r>
      <w:r w:rsidRPr="00154312">
        <w:rPr>
          <w:rFonts w:cs="Times New Roman"/>
          <w:szCs w:val="24"/>
        </w:rPr>
        <w:t xml:space="preserve"> = 0.014)</w:t>
      </w:r>
      <w:r>
        <w:rPr>
          <w:rFonts w:cs="Times New Roman"/>
          <w:szCs w:val="24"/>
        </w:rPr>
        <w:t>. %WSA</w:t>
      </w:r>
      <w:r w:rsidRPr="00084479">
        <w:rPr>
          <w:rFonts w:cs="Times New Roman"/>
          <w:szCs w:val="24"/>
        </w:rPr>
        <w:t xml:space="preserve"> </w:t>
      </w:r>
      <w:r>
        <w:rPr>
          <w:rFonts w:cs="Times New Roman"/>
          <w:szCs w:val="24"/>
        </w:rPr>
        <w:t>of the control treatments was between the DeF+E and the DeF treatments with no significant differences (Table 4). %WSA also varied significantly with field (</w:t>
      </w:r>
      <w:r w:rsidRPr="00C86244">
        <w:rPr>
          <w:rFonts w:cs="Times New Roman"/>
          <w:i/>
          <w:szCs w:val="24"/>
        </w:rPr>
        <w:t xml:space="preserve">p </w:t>
      </w:r>
      <w:r>
        <w:rPr>
          <w:rFonts w:cs="Times New Roman"/>
          <w:szCs w:val="24"/>
        </w:rPr>
        <w:t>=</w:t>
      </w:r>
      <w:r w:rsidRPr="00C71569">
        <w:rPr>
          <w:rFonts w:cs="Times New Roman"/>
          <w:szCs w:val="24"/>
        </w:rPr>
        <w:t xml:space="preserve"> 0.00</w:t>
      </w:r>
      <w:r>
        <w:rPr>
          <w:rFonts w:cs="Times New Roman"/>
          <w:szCs w:val="24"/>
        </w:rPr>
        <w:t xml:space="preserve">3); %WSA was highest in the HS field. </w:t>
      </w:r>
      <w:r w:rsidRPr="00F713A3">
        <w:rPr>
          <w:rFonts w:cs="Times New Roman"/>
          <w:szCs w:val="24"/>
        </w:rPr>
        <w:t xml:space="preserve">There was </w:t>
      </w:r>
      <w:r>
        <w:rPr>
          <w:rFonts w:cs="Times New Roman"/>
          <w:szCs w:val="24"/>
        </w:rPr>
        <w:t>no</w:t>
      </w:r>
      <w:r w:rsidRPr="00F713A3">
        <w:rPr>
          <w:rFonts w:cs="Times New Roman"/>
          <w:szCs w:val="24"/>
        </w:rPr>
        <w:t xml:space="preserve"> significant interaction between treatments and </w:t>
      </w:r>
      <w:r>
        <w:rPr>
          <w:rFonts w:cs="Times New Roman"/>
          <w:szCs w:val="24"/>
        </w:rPr>
        <w:t>fields.</w:t>
      </w:r>
    </w:p>
    <w:bookmarkEnd w:id="20"/>
    <w:bookmarkEnd w:id="22"/>
    <w:p w14:paraId="43648F2F" w14:textId="77777777" w:rsidR="0038409E" w:rsidRPr="00B970C5" w:rsidRDefault="0038409E" w:rsidP="001448A4">
      <w:pPr>
        <w:pStyle w:val="Heading3"/>
        <w:numPr>
          <w:ilvl w:val="1"/>
          <w:numId w:val="14"/>
        </w:numPr>
        <w:spacing w:before="360" w:after="200" w:line="480" w:lineRule="auto"/>
      </w:pPr>
      <w:r>
        <w:t>Percentage organic matter (</w:t>
      </w:r>
      <w:r w:rsidRPr="007527BA">
        <w:t>%OM</w:t>
      </w:r>
      <w:r>
        <w:t>)</w:t>
      </w:r>
      <w:bookmarkStart w:id="29" w:name="_Hlk527116977"/>
    </w:p>
    <w:bookmarkEnd w:id="29"/>
    <w:p w14:paraId="03D5D751" w14:textId="77777777" w:rsidR="0038409E" w:rsidRDefault="0038409E" w:rsidP="001448A4">
      <w:pPr>
        <w:spacing w:line="480" w:lineRule="auto"/>
        <w:jc w:val="both"/>
        <w:rPr>
          <w:rFonts w:cs="Times New Roman"/>
          <w:szCs w:val="24"/>
        </w:rPr>
      </w:pPr>
      <w:r>
        <w:rPr>
          <w:rFonts w:cs="Times New Roman"/>
          <w:szCs w:val="24"/>
        </w:rPr>
        <w:t>Comparison of the DeF treatments at the end of the experiment (Table 4) with the initial soil conditions (Table 1) indicate that t</w:t>
      </w:r>
      <w:r w:rsidRPr="00CE4948">
        <w:rPr>
          <w:rFonts w:cs="Times New Roman"/>
          <w:szCs w:val="24"/>
        </w:rPr>
        <w:t xml:space="preserve">he conversion of arable </w:t>
      </w:r>
      <w:r>
        <w:rPr>
          <w:rFonts w:cs="Times New Roman"/>
          <w:szCs w:val="24"/>
        </w:rPr>
        <w:t xml:space="preserve">soil </w:t>
      </w:r>
      <w:r w:rsidRPr="00CE4948">
        <w:rPr>
          <w:rFonts w:cs="Times New Roman"/>
          <w:szCs w:val="24"/>
        </w:rPr>
        <w:t xml:space="preserve">to ley </w:t>
      </w:r>
      <w:r>
        <w:rPr>
          <w:rFonts w:cs="Times New Roman"/>
          <w:szCs w:val="24"/>
        </w:rPr>
        <w:t>led to a significantly greater %</w:t>
      </w:r>
      <w:r w:rsidRPr="00CE4948">
        <w:rPr>
          <w:rFonts w:cs="Times New Roman"/>
          <w:szCs w:val="24"/>
        </w:rPr>
        <w:t xml:space="preserve">OM </w:t>
      </w:r>
      <w:r>
        <w:rPr>
          <w:rFonts w:cs="Times New Roman"/>
          <w:szCs w:val="24"/>
        </w:rPr>
        <w:t xml:space="preserve">in </w:t>
      </w:r>
      <w:r w:rsidRPr="00CE4948">
        <w:rPr>
          <w:rFonts w:cs="Times New Roman"/>
          <w:szCs w:val="24"/>
        </w:rPr>
        <w:t xml:space="preserve">the </w:t>
      </w:r>
      <w:r>
        <w:rPr>
          <w:rFonts w:cs="Times New Roman"/>
          <w:szCs w:val="24"/>
        </w:rPr>
        <w:t xml:space="preserve">DeF </w:t>
      </w:r>
      <w:r w:rsidRPr="00CE4948">
        <w:rPr>
          <w:rFonts w:cs="Times New Roman"/>
          <w:szCs w:val="24"/>
        </w:rPr>
        <w:t xml:space="preserve">monoliths </w:t>
      </w:r>
      <w:r>
        <w:rPr>
          <w:rFonts w:cs="Times New Roman"/>
          <w:szCs w:val="24"/>
        </w:rPr>
        <w:t xml:space="preserve">in just one year </w:t>
      </w:r>
      <w:bookmarkStart w:id="30" w:name="_Hlk5793804"/>
      <w:r w:rsidRPr="001F6FB3">
        <w:rPr>
          <w:rFonts w:cs="Times New Roman"/>
          <w:szCs w:val="24"/>
        </w:rPr>
        <w:t>(</w:t>
      </w:r>
      <w:r>
        <w:rPr>
          <w:rFonts w:cs="Times New Roman"/>
          <w:szCs w:val="24"/>
        </w:rPr>
        <w:t xml:space="preserve">3.66 </w:t>
      </w:r>
      <w:bookmarkStart w:id="31" w:name="_Hlk5709341"/>
      <w:r>
        <w:rPr>
          <w:rFonts w:cs="Times New Roman"/>
          <w:szCs w:val="24"/>
        </w:rPr>
        <w:t>± 0.23</w:t>
      </w:r>
      <w:r w:rsidRPr="00154312">
        <w:rPr>
          <w:rFonts w:cs="Times New Roman"/>
          <w:szCs w:val="24"/>
        </w:rPr>
        <w:t xml:space="preserve">% </w:t>
      </w:r>
      <w:bookmarkEnd w:id="31"/>
      <w:r>
        <w:rPr>
          <w:rFonts w:cs="Times New Roman"/>
          <w:szCs w:val="24"/>
        </w:rPr>
        <w:t>vs 4.72 ± 0.15</w:t>
      </w:r>
      <w:r w:rsidRPr="00154312">
        <w:rPr>
          <w:rFonts w:cs="Times New Roman"/>
          <w:szCs w:val="24"/>
        </w:rPr>
        <w:t>%</w:t>
      </w:r>
      <w:bookmarkEnd w:id="30"/>
      <w:r>
        <w:rPr>
          <w:rFonts w:cs="Times New Roman"/>
          <w:szCs w:val="24"/>
        </w:rPr>
        <w:t xml:space="preserve">, </w:t>
      </w:r>
      <w:r w:rsidRPr="009A5DBF">
        <w:rPr>
          <w:rFonts w:cs="Times New Roman"/>
          <w:i/>
          <w:szCs w:val="24"/>
        </w:rPr>
        <w:t>p</w:t>
      </w:r>
      <w:r w:rsidRPr="001F6FB3">
        <w:rPr>
          <w:rFonts w:cs="Times New Roman"/>
          <w:szCs w:val="24"/>
        </w:rPr>
        <w:t xml:space="preserve"> </w:t>
      </w:r>
      <w:r>
        <w:rPr>
          <w:rFonts w:cs="Times New Roman"/>
          <w:szCs w:val="24"/>
        </w:rPr>
        <w:t>&lt;</w:t>
      </w:r>
      <w:r w:rsidRPr="001F6FB3">
        <w:rPr>
          <w:rFonts w:cs="Times New Roman"/>
          <w:szCs w:val="24"/>
        </w:rPr>
        <w:t xml:space="preserve"> 0.0</w:t>
      </w:r>
      <w:r>
        <w:rPr>
          <w:rFonts w:cs="Times New Roman"/>
          <w:szCs w:val="24"/>
        </w:rPr>
        <w:t>01)</w:t>
      </w:r>
      <w:r w:rsidRPr="00CE4948">
        <w:rPr>
          <w:rFonts w:cs="Times New Roman"/>
          <w:szCs w:val="24"/>
        </w:rPr>
        <w:t>.</w:t>
      </w:r>
      <w:r>
        <w:rPr>
          <w:rFonts w:cs="Times New Roman"/>
          <w:szCs w:val="24"/>
        </w:rPr>
        <w:t xml:space="preserve"> In addition, %OM</w:t>
      </w:r>
      <w:r w:rsidRPr="00FA6D37">
        <w:rPr>
          <w:rFonts w:cs="Times New Roman"/>
          <w:szCs w:val="24"/>
        </w:rPr>
        <w:t xml:space="preserve"> in DeF+E was significantly greater than that in the DeF monoliths </w:t>
      </w:r>
      <w:r w:rsidRPr="009A5DBF">
        <w:rPr>
          <w:rFonts w:cs="Times New Roman"/>
          <w:szCs w:val="24"/>
        </w:rPr>
        <w:t>(</w:t>
      </w:r>
      <w:r>
        <w:rPr>
          <w:rFonts w:cs="Times New Roman"/>
          <w:szCs w:val="24"/>
        </w:rPr>
        <w:t>5.12 ± 0.19</w:t>
      </w:r>
      <w:r w:rsidRPr="00154312">
        <w:rPr>
          <w:rFonts w:cs="Times New Roman"/>
          <w:szCs w:val="24"/>
        </w:rPr>
        <w:t xml:space="preserve">% </w:t>
      </w:r>
      <w:r>
        <w:rPr>
          <w:rFonts w:cs="Times New Roman"/>
          <w:szCs w:val="24"/>
        </w:rPr>
        <w:t>vs 4.72 ± 015</w:t>
      </w:r>
      <w:r w:rsidRPr="00154312">
        <w:rPr>
          <w:rFonts w:cs="Times New Roman"/>
          <w:szCs w:val="24"/>
        </w:rPr>
        <w:t>%</w:t>
      </w:r>
      <w:r>
        <w:rPr>
          <w:rFonts w:cs="Times New Roman"/>
          <w:szCs w:val="24"/>
        </w:rPr>
        <w:t xml:space="preserve">, </w:t>
      </w:r>
      <w:r w:rsidRPr="009A5DBF">
        <w:rPr>
          <w:rFonts w:cs="Times New Roman"/>
          <w:i/>
          <w:szCs w:val="24"/>
        </w:rPr>
        <w:t>p</w:t>
      </w:r>
      <w:r w:rsidRPr="001F6FB3">
        <w:rPr>
          <w:rFonts w:cs="Times New Roman"/>
          <w:szCs w:val="24"/>
        </w:rPr>
        <w:t xml:space="preserve"> </w:t>
      </w:r>
      <w:r>
        <w:rPr>
          <w:rFonts w:cs="Times New Roman"/>
          <w:szCs w:val="24"/>
        </w:rPr>
        <w:t>&lt;</w:t>
      </w:r>
      <w:r w:rsidRPr="001F6FB3">
        <w:rPr>
          <w:rFonts w:cs="Times New Roman"/>
          <w:szCs w:val="24"/>
        </w:rPr>
        <w:t xml:space="preserve"> 0.</w:t>
      </w:r>
      <w:r>
        <w:rPr>
          <w:rFonts w:cs="Times New Roman"/>
          <w:szCs w:val="24"/>
        </w:rPr>
        <w:t>0</w:t>
      </w:r>
      <w:r w:rsidRPr="001F6FB3">
        <w:rPr>
          <w:rFonts w:cs="Times New Roman"/>
          <w:szCs w:val="24"/>
        </w:rPr>
        <w:t>0</w:t>
      </w:r>
      <w:r>
        <w:rPr>
          <w:rFonts w:cs="Times New Roman"/>
          <w:szCs w:val="24"/>
        </w:rPr>
        <w:t xml:space="preserve">1). </w:t>
      </w:r>
      <w:bookmarkStart w:id="32" w:name="_Hlk527543166"/>
      <w:r>
        <w:rPr>
          <w:rFonts w:cs="Times New Roman"/>
          <w:szCs w:val="24"/>
        </w:rPr>
        <w:t>The %OM of the control treatments was between the DeF+E and the DeF treatments with no significant differences</w:t>
      </w:r>
      <w:bookmarkEnd w:id="32"/>
      <w:r>
        <w:rPr>
          <w:rFonts w:cs="Times New Roman"/>
          <w:szCs w:val="24"/>
        </w:rPr>
        <w:t xml:space="preserve">. The %OM was highest in HS field and lowest in BSW field </w:t>
      </w:r>
      <w:r w:rsidRPr="009A5DBF">
        <w:rPr>
          <w:rFonts w:cs="Times New Roman"/>
          <w:szCs w:val="24"/>
        </w:rPr>
        <w:t>(</w:t>
      </w:r>
      <w:r w:rsidRPr="009A5DBF">
        <w:rPr>
          <w:rFonts w:cs="Times New Roman"/>
          <w:i/>
          <w:szCs w:val="24"/>
        </w:rPr>
        <w:t>p</w:t>
      </w:r>
      <w:r w:rsidRPr="001F6FB3">
        <w:rPr>
          <w:rFonts w:cs="Times New Roman"/>
          <w:szCs w:val="24"/>
        </w:rPr>
        <w:t xml:space="preserve"> </w:t>
      </w:r>
      <w:r>
        <w:rPr>
          <w:rFonts w:cs="Times New Roman"/>
          <w:szCs w:val="24"/>
        </w:rPr>
        <w:t>&lt;</w:t>
      </w:r>
      <w:r w:rsidRPr="001F6FB3">
        <w:rPr>
          <w:rFonts w:cs="Times New Roman"/>
          <w:szCs w:val="24"/>
        </w:rPr>
        <w:t xml:space="preserve"> 0.0</w:t>
      </w:r>
      <w:r>
        <w:rPr>
          <w:rFonts w:cs="Times New Roman"/>
          <w:szCs w:val="24"/>
        </w:rPr>
        <w:t xml:space="preserve">001). For %OM there was no significant interaction </w:t>
      </w:r>
      <w:r w:rsidRPr="00F713A3">
        <w:rPr>
          <w:rFonts w:cs="Times New Roman"/>
          <w:szCs w:val="24"/>
        </w:rPr>
        <w:t xml:space="preserve">between treatments and </w:t>
      </w:r>
      <w:r>
        <w:rPr>
          <w:rFonts w:cs="Times New Roman"/>
          <w:szCs w:val="24"/>
        </w:rPr>
        <w:t>fields</w:t>
      </w:r>
      <w:r w:rsidRPr="001320E1">
        <w:rPr>
          <w:rFonts w:cs="Times New Roman"/>
          <w:szCs w:val="24"/>
        </w:rPr>
        <w:t>.</w:t>
      </w:r>
    </w:p>
    <w:p w14:paraId="3DB1FEB7" w14:textId="77777777" w:rsidR="0038409E" w:rsidRDefault="0038409E" w:rsidP="001448A4">
      <w:pPr>
        <w:pStyle w:val="Heading3"/>
        <w:numPr>
          <w:ilvl w:val="1"/>
          <w:numId w:val="14"/>
        </w:numPr>
        <w:spacing w:before="360" w:after="200" w:line="480" w:lineRule="auto"/>
      </w:pPr>
      <w:bookmarkStart w:id="33" w:name="_Hlk527118973"/>
      <w:r>
        <w:t>Total nitrogen content (%N)</w:t>
      </w:r>
    </w:p>
    <w:p w14:paraId="70858679" w14:textId="77777777" w:rsidR="0038409E" w:rsidRDefault="0038409E" w:rsidP="001448A4">
      <w:pPr>
        <w:spacing w:line="480" w:lineRule="auto"/>
        <w:jc w:val="both"/>
        <w:rPr>
          <w:rFonts w:cs="Times New Roman"/>
          <w:szCs w:val="24"/>
        </w:rPr>
      </w:pPr>
      <w:r>
        <w:rPr>
          <w:rFonts w:cs="Times New Roman"/>
          <w:szCs w:val="24"/>
        </w:rPr>
        <w:t xml:space="preserve">The addition of the earthworms to the defaunated monoliths resulted in a significant greater %N compared to the DeF treatment </w:t>
      </w:r>
      <w:bookmarkStart w:id="34" w:name="_Hlk5807067"/>
      <w:r>
        <w:rPr>
          <w:rFonts w:cs="Times New Roman"/>
          <w:szCs w:val="24"/>
        </w:rPr>
        <w:t xml:space="preserve">(0.31 </w:t>
      </w:r>
      <w:r w:rsidRPr="0071262D">
        <w:rPr>
          <w:rFonts w:cs="Times New Roman"/>
          <w:szCs w:val="24"/>
        </w:rPr>
        <w:t>± 0.</w:t>
      </w:r>
      <w:r>
        <w:rPr>
          <w:rFonts w:cs="Times New Roman"/>
          <w:szCs w:val="24"/>
        </w:rPr>
        <w:t>01</w:t>
      </w:r>
      <w:r w:rsidRPr="0071262D">
        <w:rPr>
          <w:rFonts w:cs="Times New Roman"/>
          <w:szCs w:val="24"/>
        </w:rPr>
        <w:t xml:space="preserve">% </w:t>
      </w:r>
      <w:r>
        <w:rPr>
          <w:rFonts w:cs="Times New Roman"/>
          <w:szCs w:val="24"/>
        </w:rPr>
        <w:t xml:space="preserve">vs 0.30 </w:t>
      </w:r>
      <w:r w:rsidRPr="0071262D">
        <w:rPr>
          <w:rFonts w:cs="Times New Roman"/>
          <w:szCs w:val="24"/>
        </w:rPr>
        <w:t>± 0.</w:t>
      </w:r>
      <w:r>
        <w:rPr>
          <w:rFonts w:cs="Times New Roman"/>
          <w:szCs w:val="24"/>
        </w:rPr>
        <w:t>01</w:t>
      </w:r>
      <w:r w:rsidRPr="0071262D">
        <w:rPr>
          <w:rFonts w:cs="Times New Roman"/>
          <w:szCs w:val="24"/>
        </w:rPr>
        <w:t>%</w:t>
      </w:r>
      <w:bookmarkEnd w:id="34"/>
      <w:r>
        <w:rPr>
          <w:rFonts w:cs="Times New Roman"/>
          <w:szCs w:val="24"/>
        </w:rPr>
        <w:t xml:space="preserve">, </w:t>
      </w:r>
      <w:r w:rsidRPr="000E3FEE">
        <w:rPr>
          <w:rFonts w:cs="Times New Roman"/>
          <w:i/>
          <w:szCs w:val="24"/>
        </w:rPr>
        <w:t>p</w:t>
      </w:r>
      <w:r w:rsidRPr="000E3FEE">
        <w:rPr>
          <w:rFonts w:cs="Times New Roman"/>
          <w:szCs w:val="24"/>
        </w:rPr>
        <w:t xml:space="preserve"> </w:t>
      </w:r>
      <w:r>
        <w:rPr>
          <w:rFonts w:cs="Times New Roman"/>
          <w:szCs w:val="24"/>
        </w:rPr>
        <w:t>&lt;</w:t>
      </w:r>
      <w:r w:rsidRPr="000E3FEE">
        <w:rPr>
          <w:rFonts w:cs="Times New Roman"/>
          <w:szCs w:val="24"/>
        </w:rPr>
        <w:t xml:space="preserve"> 0.0</w:t>
      </w:r>
      <w:r>
        <w:rPr>
          <w:rFonts w:cs="Times New Roman"/>
          <w:szCs w:val="24"/>
        </w:rPr>
        <w:t>27). %N in the control treatments was between the DeF+E and the DeF treatments with no significant differences (Table 4). %N</w:t>
      </w:r>
      <w:r w:rsidRPr="00B970C5">
        <w:rPr>
          <w:rFonts w:cs="Times New Roman"/>
          <w:szCs w:val="24"/>
        </w:rPr>
        <w:t xml:space="preserve"> </w:t>
      </w:r>
      <w:r>
        <w:rPr>
          <w:rFonts w:cs="Times New Roman"/>
          <w:szCs w:val="24"/>
        </w:rPr>
        <w:t xml:space="preserve">was significantly </w:t>
      </w:r>
      <w:r w:rsidRPr="000E3FEE">
        <w:rPr>
          <w:rFonts w:cs="Times New Roman"/>
          <w:szCs w:val="24"/>
        </w:rPr>
        <w:t>lowe</w:t>
      </w:r>
      <w:r>
        <w:rPr>
          <w:rFonts w:cs="Times New Roman"/>
          <w:szCs w:val="24"/>
        </w:rPr>
        <w:t>r</w:t>
      </w:r>
      <w:r w:rsidRPr="000E3FEE">
        <w:rPr>
          <w:rFonts w:cs="Times New Roman"/>
          <w:szCs w:val="24"/>
        </w:rPr>
        <w:t xml:space="preserve"> in the </w:t>
      </w:r>
      <w:r>
        <w:rPr>
          <w:rFonts w:cs="Times New Roman"/>
          <w:szCs w:val="24"/>
        </w:rPr>
        <w:t>HS</w:t>
      </w:r>
      <w:r w:rsidRPr="000E3FEE">
        <w:rPr>
          <w:rFonts w:cs="Times New Roman"/>
          <w:szCs w:val="24"/>
        </w:rPr>
        <w:t xml:space="preserve"> </w:t>
      </w:r>
      <w:r>
        <w:rPr>
          <w:rFonts w:cs="Times New Roman"/>
          <w:szCs w:val="24"/>
        </w:rPr>
        <w:t>field compared to the other fields (</w:t>
      </w:r>
      <w:r w:rsidRPr="000E3FEE">
        <w:rPr>
          <w:rFonts w:cs="Times New Roman"/>
          <w:i/>
          <w:szCs w:val="24"/>
        </w:rPr>
        <w:t>p</w:t>
      </w:r>
      <w:r w:rsidRPr="000E3FEE">
        <w:rPr>
          <w:rFonts w:cs="Times New Roman"/>
          <w:szCs w:val="24"/>
        </w:rPr>
        <w:t xml:space="preserve"> </w:t>
      </w:r>
      <w:r>
        <w:rPr>
          <w:rFonts w:cs="Times New Roman"/>
          <w:szCs w:val="24"/>
        </w:rPr>
        <w:t>&lt;</w:t>
      </w:r>
      <w:r w:rsidRPr="000E3FEE">
        <w:rPr>
          <w:rFonts w:cs="Times New Roman"/>
          <w:szCs w:val="24"/>
        </w:rPr>
        <w:t xml:space="preserve"> 0.00</w:t>
      </w:r>
      <w:r>
        <w:rPr>
          <w:rFonts w:cs="Times New Roman"/>
          <w:szCs w:val="24"/>
        </w:rPr>
        <w:t>1</w:t>
      </w:r>
      <w:r w:rsidRPr="00B970C5">
        <w:rPr>
          <w:rFonts w:cs="Times New Roman"/>
          <w:szCs w:val="24"/>
        </w:rPr>
        <w:t>)</w:t>
      </w:r>
      <w:r>
        <w:rPr>
          <w:rFonts w:cs="Times New Roman"/>
          <w:szCs w:val="24"/>
        </w:rPr>
        <w:t xml:space="preserve">. </w:t>
      </w:r>
    </w:p>
    <w:bookmarkEnd w:id="33"/>
    <w:p w14:paraId="4D84C18C" w14:textId="77777777" w:rsidR="0038409E" w:rsidRDefault="0038409E" w:rsidP="001448A4">
      <w:pPr>
        <w:pStyle w:val="Heading3"/>
        <w:numPr>
          <w:ilvl w:val="1"/>
          <w:numId w:val="14"/>
        </w:numPr>
        <w:spacing w:before="360" w:after="200" w:line="480" w:lineRule="auto"/>
      </w:pPr>
      <w:r>
        <w:t>Plant dry biomass</w:t>
      </w:r>
    </w:p>
    <w:p w14:paraId="7901FFC8" w14:textId="77777777" w:rsidR="0038409E" w:rsidRPr="008A4F2E" w:rsidRDefault="0038409E" w:rsidP="001448A4">
      <w:pPr>
        <w:pStyle w:val="ListParagraph"/>
        <w:numPr>
          <w:ilvl w:val="2"/>
          <w:numId w:val="14"/>
        </w:numPr>
        <w:spacing w:before="360" w:after="240" w:line="480" w:lineRule="auto"/>
        <w:jc w:val="both"/>
        <w:outlineLvl w:val="3"/>
        <w:rPr>
          <w:rFonts w:cs="Times New Roman"/>
          <w:bCs/>
          <w:i/>
          <w:iCs/>
          <w:szCs w:val="24"/>
        </w:rPr>
      </w:pPr>
      <w:r w:rsidRPr="008A4F2E">
        <w:rPr>
          <w:rFonts w:cs="Times New Roman"/>
          <w:bCs/>
          <w:i/>
          <w:iCs/>
          <w:szCs w:val="24"/>
        </w:rPr>
        <w:t xml:space="preserve">Grass and clover shoot dry biomass of the monoliths </w:t>
      </w:r>
    </w:p>
    <w:p w14:paraId="5CBE9962" w14:textId="77777777" w:rsidR="0038409E" w:rsidRDefault="0038409E" w:rsidP="001448A4">
      <w:pPr>
        <w:spacing w:line="480" w:lineRule="auto"/>
        <w:jc w:val="both"/>
        <w:rPr>
          <w:rFonts w:cs="Times New Roman"/>
          <w:szCs w:val="24"/>
        </w:rPr>
      </w:pPr>
      <w:r>
        <w:rPr>
          <w:rFonts w:cs="Times New Roman"/>
          <w:szCs w:val="24"/>
        </w:rPr>
        <w:t xml:space="preserve">No significant differences between treatments were observed at the midpoint of the experiment, </w:t>
      </w:r>
      <w:r w:rsidRPr="00245661">
        <w:rPr>
          <w:rFonts w:cs="Times New Roman"/>
          <w:szCs w:val="24"/>
        </w:rPr>
        <w:t xml:space="preserve">due to relatively high variance between treatments, but the </w:t>
      </w:r>
      <w:r>
        <w:rPr>
          <w:rFonts w:cs="Times New Roman"/>
          <w:szCs w:val="24"/>
        </w:rPr>
        <w:t>De</w:t>
      </w:r>
      <w:r w:rsidRPr="00245661">
        <w:rPr>
          <w:rFonts w:cs="Times New Roman"/>
          <w:szCs w:val="24"/>
        </w:rPr>
        <w:t xml:space="preserve">F+E monoliths </w:t>
      </w:r>
      <w:r>
        <w:rPr>
          <w:rFonts w:cs="Times New Roman"/>
          <w:szCs w:val="24"/>
        </w:rPr>
        <w:t>did produce 34</w:t>
      </w:r>
      <w:r w:rsidRPr="00245661">
        <w:rPr>
          <w:rFonts w:cs="Times New Roman"/>
          <w:szCs w:val="24"/>
        </w:rPr>
        <w:t xml:space="preserve">% more shoot biomass than the </w:t>
      </w:r>
      <w:r>
        <w:rPr>
          <w:rFonts w:cs="Times New Roman"/>
          <w:szCs w:val="24"/>
        </w:rPr>
        <w:t>De</w:t>
      </w:r>
      <w:r w:rsidRPr="00245661">
        <w:rPr>
          <w:rFonts w:cs="Times New Roman"/>
          <w:szCs w:val="24"/>
        </w:rPr>
        <w:t>F monoliths</w:t>
      </w:r>
      <w:r>
        <w:rPr>
          <w:rFonts w:cs="Times New Roman"/>
          <w:szCs w:val="24"/>
        </w:rPr>
        <w:t xml:space="preserve">. At the end of the experiment, </w:t>
      </w:r>
      <w:r w:rsidRPr="00245661">
        <w:rPr>
          <w:rFonts w:cs="Times New Roman"/>
          <w:szCs w:val="24"/>
        </w:rPr>
        <w:t xml:space="preserve">this trend was much stronger with </w:t>
      </w:r>
      <w:r>
        <w:rPr>
          <w:rFonts w:cs="Times New Roman"/>
          <w:szCs w:val="24"/>
        </w:rPr>
        <w:t>58</w:t>
      </w:r>
      <w:r w:rsidRPr="00245661">
        <w:rPr>
          <w:rFonts w:cs="Times New Roman"/>
          <w:szCs w:val="24"/>
        </w:rPr>
        <w:t>%</w:t>
      </w:r>
      <w:r>
        <w:rPr>
          <w:rFonts w:cs="Times New Roman"/>
          <w:szCs w:val="24"/>
        </w:rPr>
        <w:t xml:space="preserve"> more biomass produced </w:t>
      </w:r>
      <w:r w:rsidRPr="001F6FB3">
        <w:rPr>
          <w:rFonts w:cs="Times New Roman"/>
          <w:szCs w:val="24"/>
        </w:rPr>
        <w:t xml:space="preserve">in the </w:t>
      </w:r>
      <w:r>
        <w:rPr>
          <w:rFonts w:cs="Times New Roman"/>
          <w:szCs w:val="24"/>
        </w:rPr>
        <w:t>DeF</w:t>
      </w:r>
      <w:r w:rsidRPr="001F6FB3">
        <w:rPr>
          <w:rFonts w:cs="Times New Roman"/>
          <w:szCs w:val="24"/>
        </w:rPr>
        <w:t xml:space="preserve">+E monoliths compared to </w:t>
      </w:r>
      <w:r>
        <w:rPr>
          <w:rFonts w:cs="Times New Roman"/>
          <w:szCs w:val="24"/>
        </w:rPr>
        <w:t xml:space="preserve">the DeF </w:t>
      </w:r>
      <w:r w:rsidRPr="001F6FB3">
        <w:rPr>
          <w:rFonts w:cs="Times New Roman"/>
          <w:szCs w:val="24"/>
        </w:rPr>
        <w:t xml:space="preserve">monoliths </w:t>
      </w:r>
      <w:r w:rsidRPr="00245661">
        <w:rPr>
          <w:rFonts w:cs="Times New Roman"/>
          <w:szCs w:val="24"/>
        </w:rPr>
        <w:t xml:space="preserve">and </w:t>
      </w:r>
      <w:r>
        <w:rPr>
          <w:rFonts w:cs="Times New Roman"/>
          <w:szCs w:val="24"/>
        </w:rPr>
        <w:t xml:space="preserve">had become </w:t>
      </w:r>
      <w:r w:rsidRPr="00245661">
        <w:rPr>
          <w:rFonts w:cs="Times New Roman"/>
          <w:szCs w:val="24"/>
        </w:rPr>
        <w:t xml:space="preserve">significant </w:t>
      </w:r>
      <w:r>
        <w:rPr>
          <w:rFonts w:cs="Times New Roman"/>
          <w:szCs w:val="24"/>
        </w:rPr>
        <w:t>(</w:t>
      </w:r>
      <w:r w:rsidRPr="001F6FB3">
        <w:rPr>
          <w:rFonts w:cs="Times New Roman"/>
          <w:i/>
          <w:szCs w:val="24"/>
        </w:rPr>
        <w:t>p</w:t>
      </w:r>
      <w:r w:rsidRPr="001F6FB3">
        <w:rPr>
          <w:rFonts w:cs="Times New Roman"/>
          <w:szCs w:val="24"/>
        </w:rPr>
        <w:t xml:space="preserve"> = 0.00</w:t>
      </w:r>
      <w:r>
        <w:rPr>
          <w:rFonts w:cs="Times New Roman"/>
          <w:szCs w:val="24"/>
        </w:rPr>
        <w:t xml:space="preserve">4). Plant shoot biomass in the control treatment had an intermediate value and was not significantly different from the DeF+E and DeF treatments. More biomass was collected in September 2017 than in April 2018 (Table 4). Over both </w:t>
      </w:r>
      <w:r w:rsidRPr="001F6FB3">
        <w:rPr>
          <w:rFonts w:cs="Times New Roman"/>
          <w:szCs w:val="24"/>
        </w:rPr>
        <w:t>period</w:t>
      </w:r>
      <w:r>
        <w:rPr>
          <w:rFonts w:cs="Times New Roman"/>
          <w:szCs w:val="24"/>
        </w:rPr>
        <w:t>s,</w:t>
      </w:r>
      <w:r w:rsidRPr="001F6FB3">
        <w:rPr>
          <w:rFonts w:cs="Times New Roman"/>
          <w:szCs w:val="24"/>
        </w:rPr>
        <w:t xml:space="preserve"> the BSE </w:t>
      </w:r>
      <w:r>
        <w:rPr>
          <w:rFonts w:cs="Times New Roman"/>
          <w:szCs w:val="24"/>
        </w:rPr>
        <w:t xml:space="preserve">and HS </w:t>
      </w:r>
      <w:r w:rsidRPr="001F6FB3">
        <w:rPr>
          <w:rFonts w:cs="Times New Roman"/>
          <w:szCs w:val="24"/>
        </w:rPr>
        <w:t xml:space="preserve">field </w:t>
      </w:r>
      <w:r>
        <w:rPr>
          <w:rFonts w:cs="Times New Roman"/>
          <w:szCs w:val="24"/>
        </w:rPr>
        <w:t xml:space="preserve">produced </w:t>
      </w:r>
      <w:r w:rsidRPr="001F6FB3">
        <w:rPr>
          <w:rFonts w:cs="Times New Roman"/>
          <w:szCs w:val="24"/>
        </w:rPr>
        <w:t xml:space="preserve">the </w:t>
      </w:r>
      <w:r>
        <w:rPr>
          <w:rFonts w:cs="Times New Roman"/>
          <w:szCs w:val="24"/>
        </w:rPr>
        <w:t xml:space="preserve">least </w:t>
      </w:r>
      <w:r w:rsidRPr="001F6FB3">
        <w:rPr>
          <w:rFonts w:cs="Times New Roman"/>
          <w:szCs w:val="24"/>
        </w:rPr>
        <w:t xml:space="preserve">dry shoot biomass </w:t>
      </w:r>
      <w:r>
        <w:rPr>
          <w:rFonts w:cs="Times New Roman"/>
          <w:szCs w:val="24"/>
        </w:rPr>
        <w:t>(</w:t>
      </w:r>
      <w:r w:rsidRPr="001F6FB3">
        <w:rPr>
          <w:rFonts w:cs="Times New Roman"/>
          <w:i/>
          <w:szCs w:val="24"/>
        </w:rPr>
        <w:t>p</w:t>
      </w:r>
      <w:r w:rsidRPr="001F6FB3">
        <w:rPr>
          <w:rFonts w:cs="Times New Roman"/>
          <w:szCs w:val="24"/>
        </w:rPr>
        <w:t xml:space="preserve"> = 0.00</w:t>
      </w:r>
      <w:r>
        <w:rPr>
          <w:rFonts w:cs="Times New Roman"/>
          <w:szCs w:val="24"/>
        </w:rPr>
        <w:t>1</w:t>
      </w:r>
      <w:r w:rsidRPr="001F6FB3">
        <w:rPr>
          <w:rFonts w:cs="Times New Roman"/>
          <w:szCs w:val="24"/>
        </w:rPr>
        <w:t xml:space="preserve"> and </w:t>
      </w:r>
      <w:r w:rsidRPr="001F6FB3">
        <w:rPr>
          <w:rFonts w:cs="Times New Roman"/>
          <w:i/>
          <w:szCs w:val="24"/>
        </w:rPr>
        <w:t>p</w:t>
      </w:r>
      <w:r w:rsidRPr="001F6FB3">
        <w:rPr>
          <w:rFonts w:cs="Times New Roman"/>
          <w:szCs w:val="24"/>
        </w:rPr>
        <w:t xml:space="preserve"> = 0.0</w:t>
      </w:r>
      <w:r>
        <w:rPr>
          <w:rFonts w:cs="Times New Roman"/>
          <w:szCs w:val="24"/>
        </w:rPr>
        <w:t>05</w:t>
      </w:r>
      <w:r w:rsidRPr="001F6FB3">
        <w:rPr>
          <w:rFonts w:cs="Times New Roman"/>
          <w:szCs w:val="24"/>
        </w:rPr>
        <w:t xml:space="preserve"> </w:t>
      </w:r>
      <w:r>
        <w:rPr>
          <w:rFonts w:cs="Times New Roman"/>
          <w:szCs w:val="24"/>
        </w:rPr>
        <w:t xml:space="preserve">in September 2017 and April 2018 </w:t>
      </w:r>
      <w:r w:rsidRPr="001F6FB3">
        <w:rPr>
          <w:rFonts w:cs="Times New Roman"/>
          <w:szCs w:val="24"/>
        </w:rPr>
        <w:t>respectively).</w:t>
      </w:r>
      <w:r>
        <w:rPr>
          <w:rFonts w:cs="Times New Roman"/>
          <w:szCs w:val="24"/>
        </w:rPr>
        <w:t xml:space="preserve"> At the end of the experiment only grass was present in HS field monoliths. The low shoot dry biomass in the BSE field and HS field in September 2017 (Table 4) was likely due to voles grazing</w:t>
      </w:r>
      <w:r w:rsidRPr="00245661">
        <w:t xml:space="preserve"> </w:t>
      </w:r>
      <w:r w:rsidRPr="00245661">
        <w:rPr>
          <w:rFonts w:cs="Times New Roman"/>
          <w:szCs w:val="24"/>
        </w:rPr>
        <w:t>the grass-clover</w:t>
      </w:r>
      <w:r>
        <w:rPr>
          <w:rFonts w:cs="Times New Roman"/>
          <w:szCs w:val="24"/>
        </w:rPr>
        <w:t xml:space="preserve">; plant stems at the soil surface of the monoliths showed evidence of grazing, vole galleries were present around the monoliths and the mesh fences had been </w:t>
      </w:r>
      <w:r w:rsidRPr="008E53B1">
        <w:rPr>
          <w:rFonts w:cs="Times New Roman"/>
          <w:szCs w:val="24"/>
        </w:rPr>
        <w:t xml:space="preserve">pierced </w:t>
      </w:r>
      <w:r>
        <w:rPr>
          <w:rFonts w:cs="Times New Roman"/>
          <w:szCs w:val="24"/>
        </w:rPr>
        <w:t>at surface level. This impacted the weight of the collected plant material in those fields in spring 2018. Voles have a preference for clover over grass</w:t>
      </w:r>
      <w:r w:rsidR="005F110D">
        <w:rPr>
          <w:rFonts w:cs="Times New Roman"/>
          <w:szCs w:val="24"/>
        </w:rPr>
        <w:t xml:space="preserve"> (</w:t>
      </w:r>
      <w:proofErr w:type="spellStart"/>
      <w:r w:rsidR="005F110D">
        <w:rPr>
          <w:rFonts w:cs="Times New Roman"/>
          <w:noProof/>
          <w:szCs w:val="24"/>
        </w:rPr>
        <w:t>DeJaco</w:t>
      </w:r>
      <w:proofErr w:type="spellEnd"/>
      <w:r w:rsidR="005F110D">
        <w:rPr>
          <w:rFonts w:cs="Times New Roman"/>
          <w:noProof/>
          <w:szCs w:val="24"/>
        </w:rPr>
        <w:t xml:space="preserve"> and Batzli </w:t>
      </w:r>
      <w:r w:rsidR="005F110D">
        <w:rPr>
          <w:rFonts w:cs="Times New Roman"/>
          <w:szCs w:val="24"/>
        </w:rPr>
        <w:fldChar w:fldCharType="begin" w:fldLock="1"/>
      </w:r>
      <w:r w:rsidR="00172EDC">
        <w:rPr>
          <w:rFonts w:cs="Times New Roman"/>
          <w:szCs w:val="24"/>
        </w:rPr>
        <w:instrText>ADDIN CSL_CITATION {"citationItems":[{"id":"ITEM-1","itemData":{"DOI":"10.1644/12-MAMM-A-157.1","ISBN":"0022-2372","abstract":"Understanding the impact of small mammals on the development of grasslands requires information on their food preferences. We conducted feeding trials with 4 species of common small mammals, prairie voles (Microtus ochrogaster), meadow voles (M. pennsylvanicus), white-footed mice (Peromyscus leucopus), and eastern cottontails (Sylvilagus floridanus), to determine the relative palatability of plant shoots and seeds in introduced grasslands of east-central Illinois. Because we needed to conduct many feeding trials we developed a rapid method for comparison of palatability of plants to multiple species of small mammals in the field. We evaluated the method by comparison with previous data on food preference and palatability for voles at nearby study sites. Shoots of herbaceous legumes (Medicago sativa and Trifolium pratense) and dandelions (Taraxacum officianale) were among the most palatable foods for voles, and bluegrass (Poa pratensis) was among the least palatable. Meadow voles found palatable more species of graminoids than did prairie voles, and meadow voles, but not prairie voles, found palatable a greater percentage of graminoids than of forbs. A greater percentage of introduced plants than of native plants were palatable to prairie voles, but this likely reflected a high proportion of introduced graminoids among tested plants. White-footed mice found palatable a few forbs and a greater percentage of annual plants compared with perennial plants, whereas cottontails found palatable many forbs and woody plants and a greater percentage of perennial plants. White-footed mice tended to eat larger amounts and more kinds of seeds than voles, and only white-footed mice tended to eat more of large-seeded species. Plant type did not appear to significantly affect palatability of seeds for any mammal. We used these results to predict the likely impact of small mammals on the development of nonnative grasslands.","author":[{"dropping-particle":"","family":"DeJaco","given":"Carrie E","non-dropping-particle":"","parse-names":false,"suffix":""},{"dropping-particle":"","family":"Batzli","given":"George O","non-dropping-particle":"","parse-names":false,"suffix":""}],"container-title":"Journal of Mammalogy","id":"ITEM-1","issue":"2","issued":{"date-parts":[["2013"]]},"note":"10.1644/12-MAMM-A-157.1","page":"427-435","title":"Palatability of plants to small mammals in nonnative grasslands of east-central Illinois","type":"article-journal","volume":"94"},"suppress-author":1,"uris":["http://www.mendeley.com/documents/?uuid=9c311665-a443-4c9d-9171-291f25cd891a"]}],"mendeley":{"formattedCitation":"(2013)","plainTextFormattedCitation":"(2013)","previouslyFormattedCitation":"(2013)"},"properties":{"noteIndex":0},"schema":"https://github.com/citation-style-language/schema/raw/master/csl-citation.json"}</w:instrText>
      </w:r>
      <w:r w:rsidR="005F110D">
        <w:rPr>
          <w:rFonts w:cs="Times New Roman"/>
          <w:szCs w:val="24"/>
        </w:rPr>
        <w:fldChar w:fldCharType="separate"/>
      </w:r>
      <w:r w:rsidR="005F110D" w:rsidRPr="005F110D">
        <w:rPr>
          <w:rFonts w:cs="Times New Roman"/>
          <w:noProof/>
          <w:szCs w:val="24"/>
        </w:rPr>
        <w:t>(2013)</w:t>
      </w:r>
      <w:r w:rsidR="005F110D">
        <w:rPr>
          <w:rFonts w:cs="Times New Roman"/>
          <w:szCs w:val="24"/>
        </w:rPr>
        <w:fldChar w:fldCharType="end"/>
      </w:r>
      <w:r w:rsidR="005F110D">
        <w:rPr>
          <w:rFonts w:cs="Times New Roman"/>
          <w:szCs w:val="24"/>
        </w:rPr>
        <w:t>,</w:t>
      </w:r>
      <w:r>
        <w:rPr>
          <w:rFonts w:cs="Times New Roman"/>
          <w:szCs w:val="24"/>
        </w:rPr>
        <w:t xml:space="preserve"> perhaps explaining why only grass was collected in the HS soil at the end of the experiment (see </w:t>
      </w:r>
      <w:r w:rsidRPr="00DC6677">
        <w:rPr>
          <w:rFonts w:cs="Times New Roman"/>
          <w:szCs w:val="24"/>
        </w:rPr>
        <w:t>Figure S</w:t>
      </w:r>
      <w:r>
        <w:rPr>
          <w:rFonts w:cs="Times New Roman"/>
          <w:szCs w:val="24"/>
        </w:rPr>
        <w:t xml:space="preserve">6 and </w:t>
      </w:r>
      <w:r w:rsidRPr="00DC6677">
        <w:rPr>
          <w:rFonts w:cs="Times New Roman"/>
          <w:szCs w:val="24"/>
        </w:rPr>
        <w:t>Figure S</w:t>
      </w:r>
      <w:r>
        <w:rPr>
          <w:rFonts w:cs="Times New Roman"/>
          <w:szCs w:val="24"/>
        </w:rPr>
        <w:t xml:space="preserve">7 for details). </w:t>
      </w:r>
    </w:p>
    <w:p w14:paraId="170F3D04" w14:textId="77777777" w:rsidR="0038409E" w:rsidRPr="008A4F2E" w:rsidRDefault="0038409E" w:rsidP="001448A4">
      <w:pPr>
        <w:pStyle w:val="ListParagraph"/>
        <w:numPr>
          <w:ilvl w:val="2"/>
          <w:numId w:val="14"/>
        </w:numPr>
        <w:spacing w:before="360" w:after="240" w:line="480" w:lineRule="auto"/>
        <w:jc w:val="both"/>
        <w:outlineLvl w:val="3"/>
        <w:rPr>
          <w:rFonts w:cs="Times New Roman"/>
          <w:bCs/>
          <w:i/>
          <w:iCs/>
          <w:szCs w:val="24"/>
        </w:rPr>
      </w:pPr>
      <w:r w:rsidRPr="008A4F2E">
        <w:rPr>
          <w:rFonts w:cs="Times New Roman"/>
          <w:bCs/>
          <w:i/>
          <w:iCs/>
          <w:szCs w:val="24"/>
        </w:rPr>
        <w:t>Wheat bioassay experiment</w:t>
      </w:r>
    </w:p>
    <w:p w14:paraId="3EA471F5" w14:textId="77777777" w:rsidR="0038409E" w:rsidRDefault="0038409E" w:rsidP="001448A4">
      <w:pPr>
        <w:spacing w:line="480" w:lineRule="auto"/>
        <w:jc w:val="both"/>
        <w:rPr>
          <w:rFonts w:cs="Times New Roman"/>
          <w:szCs w:val="24"/>
        </w:rPr>
      </w:pPr>
      <w:r>
        <w:rPr>
          <w:rFonts w:cs="Times New Roman"/>
          <w:szCs w:val="24"/>
        </w:rPr>
        <w:t xml:space="preserve">Wheat grown in </w:t>
      </w:r>
      <w:r w:rsidRPr="00CC7262">
        <w:rPr>
          <w:rFonts w:cs="Times New Roman"/>
          <w:szCs w:val="24"/>
        </w:rPr>
        <w:t xml:space="preserve">the </w:t>
      </w:r>
      <w:r>
        <w:rPr>
          <w:rFonts w:cs="Times New Roman"/>
          <w:szCs w:val="24"/>
        </w:rPr>
        <w:t xml:space="preserve">soil from the DeF+E treatments </w:t>
      </w:r>
      <w:r w:rsidRPr="00803BD6">
        <w:rPr>
          <w:rFonts w:cs="Times New Roman"/>
          <w:szCs w:val="24"/>
        </w:rPr>
        <w:t xml:space="preserve">achieved significantly greater biomass </w:t>
      </w:r>
      <w:r>
        <w:rPr>
          <w:rFonts w:cs="Times New Roman"/>
          <w:szCs w:val="24"/>
        </w:rPr>
        <w:t xml:space="preserve">compared to the DeF </w:t>
      </w:r>
      <w:r w:rsidRPr="00803BD6">
        <w:rPr>
          <w:rFonts w:cs="Times New Roman"/>
          <w:szCs w:val="24"/>
        </w:rPr>
        <w:t>(20% increase)</w:t>
      </w:r>
      <w:r>
        <w:rPr>
          <w:rFonts w:cs="Times New Roman"/>
          <w:szCs w:val="24"/>
        </w:rPr>
        <w:t xml:space="preserve"> and control treatments </w:t>
      </w:r>
      <w:r w:rsidRPr="00803BD6">
        <w:rPr>
          <w:rFonts w:cs="Times New Roman"/>
          <w:szCs w:val="24"/>
        </w:rPr>
        <w:t>(30% increase)</w:t>
      </w:r>
      <w:r>
        <w:rPr>
          <w:rFonts w:cs="Times New Roman"/>
          <w:szCs w:val="24"/>
        </w:rPr>
        <w:t xml:space="preserve"> (Table 4, </w:t>
      </w:r>
      <w:r w:rsidRPr="001F6FB3">
        <w:rPr>
          <w:rFonts w:cs="Times New Roman"/>
          <w:i/>
          <w:szCs w:val="24"/>
        </w:rPr>
        <w:t>p</w:t>
      </w:r>
      <w:r w:rsidRPr="001F6FB3">
        <w:rPr>
          <w:rFonts w:cs="Times New Roman"/>
          <w:szCs w:val="24"/>
        </w:rPr>
        <w:t xml:space="preserve"> </w:t>
      </w:r>
      <w:r>
        <w:rPr>
          <w:rFonts w:cs="Times New Roman"/>
          <w:szCs w:val="24"/>
        </w:rPr>
        <w:t>=</w:t>
      </w:r>
      <w:r w:rsidRPr="001F6FB3">
        <w:rPr>
          <w:rFonts w:cs="Times New Roman"/>
          <w:szCs w:val="24"/>
        </w:rPr>
        <w:t xml:space="preserve"> 0.0</w:t>
      </w:r>
      <w:r>
        <w:rPr>
          <w:rFonts w:cs="Times New Roman"/>
          <w:szCs w:val="24"/>
        </w:rPr>
        <w:t>06 for both DeF and control). This was due to an increase in root biomass in DeF+E compared to DeF and control treatments (</w:t>
      </w:r>
      <w:r w:rsidRPr="003436CD">
        <w:rPr>
          <w:rFonts w:cs="Times New Roman"/>
          <w:i/>
          <w:szCs w:val="24"/>
        </w:rPr>
        <w:t>p</w:t>
      </w:r>
      <w:r>
        <w:rPr>
          <w:rFonts w:cs="Times New Roman"/>
          <w:szCs w:val="24"/>
        </w:rPr>
        <w:t xml:space="preserve"> &lt; 0.001); shoot biomasses were not different </w:t>
      </w:r>
      <w:r w:rsidRPr="001F6FB3">
        <w:rPr>
          <w:rFonts w:cs="Times New Roman"/>
          <w:szCs w:val="24"/>
        </w:rPr>
        <w:t>(</w:t>
      </w:r>
      <w:r w:rsidRPr="001F6FB3">
        <w:rPr>
          <w:rFonts w:cs="Times New Roman"/>
          <w:i/>
          <w:szCs w:val="24"/>
        </w:rPr>
        <w:t>p</w:t>
      </w:r>
      <w:r w:rsidRPr="001F6FB3">
        <w:rPr>
          <w:rFonts w:cs="Times New Roman"/>
          <w:szCs w:val="24"/>
        </w:rPr>
        <w:t xml:space="preserve"> </w:t>
      </w:r>
      <w:r>
        <w:rPr>
          <w:rFonts w:cs="Times New Roman"/>
          <w:szCs w:val="24"/>
        </w:rPr>
        <w:t>&gt; 0.05). Root and total dry biomass varied significantly between fields (</w:t>
      </w:r>
      <w:r w:rsidRPr="00C62524">
        <w:rPr>
          <w:rFonts w:cs="Times New Roman"/>
          <w:i/>
          <w:szCs w:val="24"/>
        </w:rPr>
        <w:t>p</w:t>
      </w:r>
      <w:r>
        <w:rPr>
          <w:rFonts w:cs="Times New Roman"/>
          <w:szCs w:val="24"/>
        </w:rPr>
        <w:t xml:space="preserve"> &lt; 0.001) with the highest values recorded for Copse field and the lowest for BSE field. Shoot biomass was not significantly different between fields. There was no significant interaction between treatments and fields.</w:t>
      </w:r>
    </w:p>
    <w:bookmarkEnd w:id="13"/>
    <w:p w14:paraId="45B4A3FD" w14:textId="77777777" w:rsidR="0038409E" w:rsidRDefault="0038409E">
      <w:pPr>
        <w:pStyle w:val="Heading2"/>
        <w:numPr>
          <w:ilvl w:val="0"/>
          <w:numId w:val="14"/>
        </w:numPr>
        <w:spacing w:before="240" w:after="200" w:line="480" w:lineRule="auto"/>
      </w:pPr>
      <w:r>
        <w:rPr>
          <w:noProof/>
        </w:rPr>
        <w:br w:type="page"/>
      </w:r>
      <w:r>
        <w:t>Discussion</w:t>
      </w:r>
    </w:p>
    <w:p w14:paraId="3E03EE89" w14:textId="77777777" w:rsidR="0038409E" w:rsidRDefault="0038409E" w:rsidP="00546952">
      <w:pPr>
        <w:spacing w:line="480" w:lineRule="auto"/>
        <w:jc w:val="both"/>
      </w:pPr>
      <w:r>
        <w:t xml:space="preserve">This study examined the effects of earthworm communities on soil physico-hydraulic </w:t>
      </w:r>
      <w:r w:rsidR="00546952" w:rsidRPr="00546952">
        <w:t xml:space="preserve">and chemical </w:t>
      </w:r>
      <w:r>
        <w:t>properties and plant growth in arable soil on conversion to grass-clover leys under realistic conditions. Here we focus on differences between treatments. Where relevant, differences between fields are discussed in the Supplementary Information where field specific data are presented.</w:t>
      </w:r>
    </w:p>
    <w:p w14:paraId="37E2DE81" w14:textId="77777777" w:rsidR="0038409E" w:rsidRPr="00524F1E" w:rsidRDefault="0038409E" w:rsidP="001448A4">
      <w:pPr>
        <w:pStyle w:val="Heading3"/>
        <w:numPr>
          <w:ilvl w:val="1"/>
          <w:numId w:val="14"/>
        </w:numPr>
        <w:spacing w:before="360" w:after="200" w:line="480" w:lineRule="auto"/>
      </w:pPr>
      <w:r>
        <w:t>E</w:t>
      </w:r>
      <w:r w:rsidRPr="00524F1E">
        <w:t>arthworm</w:t>
      </w:r>
      <w:r>
        <w:t xml:space="preserve"> population</w:t>
      </w:r>
      <w:r w:rsidRPr="00524F1E">
        <w:t xml:space="preserve">s </w:t>
      </w:r>
    </w:p>
    <w:p w14:paraId="157EC173" w14:textId="77777777" w:rsidR="0038409E" w:rsidRDefault="0038409E" w:rsidP="001448A4">
      <w:pPr>
        <w:spacing w:line="480" w:lineRule="auto"/>
        <w:jc w:val="both"/>
        <w:rPr>
          <w:rFonts w:cs="Times New Roman"/>
          <w:szCs w:val="24"/>
        </w:rPr>
      </w:pPr>
      <w:r>
        <w:rPr>
          <w:rFonts w:cs="Times New Roman"/>
          <w:szCs w:val="24"/>
        </w:rPr>
        <w:t xml:space="preserve">The </w:t>
      </w:r>
      <w:r w:rsidRPr="00821627">
        <w:rPr>
          <w:rFonts w:cs="Times New Roman"/>
          <w:szCs w:val="24"/>
        </w:rPr>
        <w:t xml:space="preserve">earthworm </w:t>
      </w:r>
      <w:r>
        <w:rPr>
          <w:rFonts w:cs="Times New Roman"/>
          <w:szCs w:val="24"/>
        </w:rPr>
        <w:t xml:space="preserve">diversity that we introduced into </w:t>
      </w:r>
      <w:r w:rsidRPr="00821627">
        <w:rPr>
          <w:rFonts w:cs="Times New Roman"/>
          <w:szCs w:val="24"/>
        </w:rPr>
        <w:t xml:space="preserve">the </w:t>
      </w:r>
      <w:r>
        <w:rPr>
          <w:rFonts w:cs="Times New Roman"/>
          <w:szCs w:val="24"/>
        </w:rPr>
        <w:t>DeF</w:t>
      </w:r>
      <w:r w:rsidRPr="00821627">
        <w:rPr>
          <w:rFonts w:cs="Times New Roman"/>
          <w:szCs w:val="24"/>
        </w:rPr>
        <w:t>+E treatment</w:t>
      </w:r>
      <w:r>
        <w:rPr>
          <w:rFonts w:cs="Times New Roman"/>
          <w:szCs w:val="24"/>
        </w:rPr>
        <w:t xml:space="preserve">s was maintained for </w:t>
      </w:r>
      <w:r w:rsidRPr="00821627">
        <w:rPr>
          <w:rFonts w:cs="Times New Roman"/>
          <w:szCs w:val="24"/>
        </w:rPr>
        <w:t xml:space="preserve">the duration of the experiment. </w:t>
      </w:r>
      <w:r>
        <w:rPr>
          <w:rFonts w:cs="Times New Roman"/>
          <w:szCs w:val="24"/>
        </w:rPr>
        <w:t>E</w:t>
      </w:r>
      <w:r w:rsidRPr="00821627">
        <w:rPr>
          <w:rFonts w:cs="Times New Roman"/>
          <w:szCs w:val="24"/>
        </w:rPr>
        <w:t>ndogeics dominate</w:t>
      </w:r>
      <w:r>
        <w:rPr>
          <w:rFonts w:cs="Times New Roman"/>
          <w:szCs w:val="24"/>
        </w:rPr>
        <w:t>d</w:t>
      </w:r>
      <w:r w:rsidRPr="00821627">
        <w:rPr>
          <w:rFonts w:cs="Times New Roman"/>
          <w:szCs w:val="24"/>
        </w:rPr>
        <w:t xml:space="preserve"> </w:t>
      </w:r>
      <w:r>
        <w:rPr>
          <w:rFonts w:cs="Times New Roman"/>
          <w:szCs w:val="24"/>
        </w:rPr>
        <w:t xml:space="preserve">the </w:t>
      </w:r>
      <w:r w:rsidRPr="00821627">
        <w:rPr>
          <w:rFonts w:cs="Times New Roman"/>
          <w:szCs w:val="24"/>
        </w:rPr>
        <w:t>earthworm population</w:t>
      </w:r>
      <w:r>
        <w:rPr>
          <w:rFonts w:cs="Times New Roman"/>
          <w:szCs w:val="24"/>
        </w:rPr>
        <w:t>s</w:t>
      </w:r>
      <w:r w:rsidRPr="00821627">
        <w:rPr>
          <w:rFonts w:cs="Times New Roman"/>
          <w:szCs w:val="24"/>
        </w:rPr>
        <w:t xml:space="preserve"> in the </w:t>
      </w:r>
      <w:r>
        <w:rPr>
          <w:rFonts w:cs="Times New Roman"/>
          <w:szCs w:val="24"/>
        </w:rPr>
        <w:t>DeF</w:t>
      </w:r>
      <w:r w:rsidRPr="00821627">
        <w:rPr>
          <w:rFonts w:cs="Times New Roman"/>
          <w:szCs w:val="24"/>
        </w:rPr>
        <w:t>+E treatment</w:t>
      </w:r>
      <w:r>
        <w:rPr>
          <w:rFonts w:cs="Times New Roman"/>
          <w:szCs w:val="24"/>
        </w:rPr>
        <w:t>s</w:t>
      </w:r>
      <w:r w:rsidRPr="00821627">
        <w:rPr>
          <w:rFonts w:cs="Times New Roman"/>
          <w:szCs w:val="24"/>
        </w:rPr>
        <w:t xml:space="preserve"> </w:t>
      </w:r>
      <w:r>
        <w:rPr>
          <w:rFonts w:cs="Times New Roman"/>
          <w:szCs w:val="24"/>
        </w:rPr>
        <w:t>at the end of the experiment as</w:t>
      </w:r>
      <w:r w:rsidRPr="00821627">
        <w:rPr>
          <w:rFonts w:cs="Times New Roman"/>
          <w:szCs w:val="24"/>
        </w:rPr>
        <w:t xml:space="preserve"> typically found in </w:t>
      </w:r>
      <w:r>
        <w:rPr>
          <w:rFonts w:cs="Times New Roman"/>
          <w:szCs w:val="24"/>
        </w:rPr>
        <w:t xml:space="preserve">pasture </w:t>
      </w:r>
      <w:r w:rsidRPr="00821627">
        <w:rPr>
          <w:rFonts w:cs="Times New Roman"/>
          <w:szCs w:val="24"/>
        </w:rPr>
        <w:t>field</w:t>
      </w:r>
      <w:r>
        <w:rPr>
          <w:rFonts w:cs="Times New Roman"/>
          <w:szCs w:val="24"/>
        </w:rPr>
        <w:t>s of the farm (Figure 2;</w:t>
      </w:r>
      <w:r w:rsidR="00172EDC">
        <w:rPr>
          <w:rFonts w:cs="Times New Roman"/>
          <w:szCs w:val="24"/>
        </w:rPr>
        <w:t xml:space="preserve"> </w:t>
      </w:r>
      <w:r w:rsidR="00172EDC">
        <w:rPr>
          <w:rFonts w:cs="Times New Roman"/>
          <w:noProof/>
          <w:szCs w:val="24"/>
        </w:rPr>
        <w:t>Holden et al.</w:t>
      </w:r>
      <w:r w:rsidR="00172EDC">
        <w:rPr>
          <w:rFonts w:cs="Times New Roman"/>
          <w:szCs w:val="24"/>
        </w:rPr>
        <w:fldChar w:fldCharType="begin" w:fldLock="1"/>
      </w:r>
      <w:r w:rsidR="00172EDC">
        <w:rPr>
          <w:rFonts w:cs="Times New Roman"/>
          <w:szCs w:val="24"/>
        </w:rPr>
        <w:instrText>ADDIN CSL_CITATION {"citationItems":[{"id":"ITEM-1","itemData":{"DOI":"https://doi.org/10.1016/j.agee.2018.11.027","ISBN":"0167-8809","abstract":"Intensification of agriculture has led to major losses of hedgerows and field margins worldwide. Soil sample extraction, in situ time series of soil moisture, temperature and soil water quality analyses, annual earthworm sampling and arbuscular mycorrhizal (AM) fungi sampling enabled comparison of soil functions between typical hedgerows, grass field margins, pasture and arable (mainly winter wheat) fields in a temperate, lowland setting. Mean bulk density (upper 50 cm), surface compaction and soil moisture content were significantly lower while organic matter content and porewater dissolved organic carbon concentrations were significantly greater in hedgerow soils, than margins or fields. Mean nitrate and phosphate concentrations were three and ten times larger, respectively, in soil solutions under hedgerows than arable fields while ammonium concentrations were least in arable fields. Saturated hydraulic conductivity was significantly greater under hedgerows (median = 102 mm hr−1) where it took an average of one hour longer for soils to reach maximum moisture content following rainfall, than adjacent arable (median = 3 mm hr−1) or pasture fields and margins (median = 27 mm hr−1). Hedgerow soils had a greater proportion of flow through micropores and less macropore flow than other soils. The pasture and margin soils had the largest proportion of macropore flow (&gt;85%) and more (and larger) anecic earthworm species, such as Lumbricus terrestris which produce vertical burrows. Earthworm density, biomass and diversity were greater in pasture and margin soils, followed by hedgerow soils, and tended to be lowest in arable soils. For both total and AM fungi, hedgerow soils hosted a distinct and heterogeneous soil community, margin and pasture communities were diverse but clustered together, and arable communities formed a distinct cluster, with low inter-sample variation and significantly lowest AM fungal richness. The findings demonstrate that soils under hedgerows, which should be conserved, can provide important functions on farmland including storing organic carbon, promoting infiltration and storing runoff, increasing earthworm diversity and hosting distinct AM communities.","author":[{"dropping-particle":"","family":"Holden","given":"J","non-dropping-particle":"","parse-names":false,"suffix":""},{"dropping-particle":"","family":"Grayson","given":"R P","non-dropping-particle":"","parse-names":false,"suffix":""},{"dropping-particle":"","family":"Berdeni","given":"D","non-dropping-particle":"","parse-names":false,"suffix":""},{"dropping-particle":"","family":"Bird","given":"S","non-dropping-particle":"","parse-names":false,"suffix":""},{"dropping-particle":"","family":"Chapman","given":"P J","non-dropping-particle":"","parse-names":false,"suffix":""},{"dropping-particle":"","family":"Edmondson","given":"J L","non-dropping-particle":"","parse-names":false,"suffix":""},{"dropping-particle":"","family":"Firbank","given":"L G","non-dropping-particle":"","parse-names":false,"suffix":""},{"dropping-particle":"","family":"Helgason","given":"T","non-dropping-particle":"","parse-names":false,"suffix":""},{"dropping-particle":"","family":"Hodson","given":"M E","non-dropping-particle":"","parse-names":false,"suffix":""},{"dropping-particle":"","family":"Hunt","given":"S F P","non-dropping-particle":"","parse-names":false,"suffix":""},{"dropping-particle":"","family":"Jones","given":"D T","non-dropping-particle":"","parse-names":false,"suffix":""},{"dropping-particle":"","family":"Lappage","given":"M G","non-dropping-particle":"","parse-names":false,"suffix":""},{"dropping-particle":"","family":"Marshall-Harries","given":"E","non-dropping-particle":"","parse-names":false,"suffix":""},{"dropping-particle":"","family":"Nelson","given":"M","non-dropping-particle":"","parse-names":false,"suffix":""},{"dropping-particle":"","family":"Prendergast-Miller","given":"M","non-dropping-particle":"","parse-names":false,"suffix":""},{"dropping-particle":"","family":"Shaw","given":"H","non-dropping-particle":"","parse-names":false,"suffix":""},{"dropping-particle":"","family":"Wade","given":"R N","non-dropping-particle":"","parse-names":false,"suffix":""},{"dropping-particle":"","family":"Leake","given":"J R","non-dropping-particle":"","parse-names":false,"suffix":""}],"container-title":"Agriculture, Ecosystems &amp; Environment","id":"ITEM-1","issued":{"date-parts":[["2019"]]},"page":"1-12","title":"The role of hedgerows in soil functioning within agricultural landscapes","type":"article-journal","volume":"273"},"suppress-author":1,"uris":["http://www.mendeley.com/documents/?uuid=92ff262d-ac33-48e3-a0fb-48d66e4f9bff"]}],"mendeley":{"formattedCitation":"(2019)","plainTextFormattedCitation":"(2019)","previouslyFormattedCitation":"(2019)"},"properties":{"noteIndex":0},"schema":"https://github.com/citation-style-language/schema/raw/master/csl-citation.json"}</w:instrText>
      </w:r>
      <w:r w:rsidR="00172EDC">
        <w:rPr>
          <w:rFonts w:cs="Times New Roman"/>
          <w:szCs w:val="24"/>
        </w:rPr>
        <w:fldChar w:fldCharType="separate"/>
      </w:r>
      <w:r w:rsidR="00172EDC" w:rsidRPr="00172EDC">
        <w:rPr>
          <w:rFonts w:cs="Times New Roman"/>
          <w:noProof/>
          <w:szCs w:val="24"/>
        </w:rPr>
        <w:t>(2019)</w:t>
      </w:r>
      <w:r w:rsidR="00172EDC">
        <w:rPr>
          <w:rFonts w:cs="Times New Roman"/>
          <w:szCs w:val="24"/>
        </w:rPr>
        <w:fldChar w:fldCharType="end"/>
      </w:r>
      <w:r w:rsidR="00172EDC">
        <w:rPr>
          <w:rFonts w:cs="Times New Roman"/>
          <w:szCs w:val="24"/>
        </w:rPr>
        <w:t>).</w:t>
      </w:r>
      <w:r>
        <w:rPr>
          <w:rFonts w:cs="Times New Roman"/>
          <w:szCs w:val="24"/>
        </w:rPr>
        <w:t xml:space="preserve"> Although a greater number of adult earthworm numbers were recovered at the end of the experiment (26.42 per </w:t>
      </w:r>
      <w:proofErr w:type="spellStart"/>
      <w:r>
        <w:rPr>
          <w:rFonts w:cs="Times New Roman"/>
          <w:szCs w:val="24"/>
        </w:rPr>
        <w:t>Def+E</w:t>
      </w:r>
      <w:proofErr w:type="spellEnd"/>
      <w:r>
        <w:rPr>
          <w:rFonts w:cs="Times New Roman"/>
          <w:szCs w:val="24"/>
        </w:rPr>
        <w:t xml:space="preserve"> monolith) than were added to the monoliths in April (23 per monolith) or November (20 per monolith) the numbers were similar, indicating that the second set of additions was necessary. The greater number of adult earthworms can be attributed either to survival of some of the original additions or entry of earthworms into the monoliths over the course of the experiment. The juveniles recovered from the DeF+E treatments represent either entrant earthworms, the hatching of cocoons that survived the defaunation (for example the cocoons of the epigeic </w:t>
      </w:r>
      <w:r w:rsidRPr="009875B1">
        <w:rPr>
          <w:rFonts w:cs="Times New Roman"/>
          <w:i/>
          <w:szCs w:val="24"/>
        </w:rPr>
        <w:t>L. rubellus</w:t>
      </w:r>
      <w:r>
        <w:rPr>
          <w:rFonts w:cs="Times New Roman"/>
          <w:szCs w:val="24"/>
        </w:rPr>
        <w:t xml:space="preserve"> and </w:t>
      </w:r>
      <w:r w:rsidRPr="009875B1">
        <w:rPr>
          <w:rFonts w:cs="Times New Roman"/>
          <w:i/>
          <w:szCs w:val="24"/>
        </w:rPr>
        <w:t>L. castaneus</w:t>
      </w:r>
      <w:r>
        <w:rPr>
          <w:rFonts w:cs="Times New Roman"/>
          <w:szCs w:val="24"/>
        </w:rPr>
        <w:t xml:space="preserve">, two dominant epigeic species found in the monoliths, have been </w:t>
      </w:r>
      <w:r w:rsidRPr="000F0431">
        <w:rPr>
          <w:rFonts w:cs="Times New Roman"/>
          <w:szCs w:val="24"/>
        </w:rPr>
        <w:t>reported</w:t>
      </w:r>
      <w:r>
        <w:rPr>
          <w:rFonts w:cs="Times New Roman"/>
          <w:szCs w:val="24"/>
        </w:rPr>
        <w:t xml:space="preserve"> to tolerate temperatures as low as -35 </w:t>
      </w:r>
      <w:r w:rsidRPr="00FA4BD9">
        <w:rPr>
          <w:rFonts w:cs="Times New Roman"/>
          <w:szCs w:val="24"/>
        </w:rPr>
        <w:t>°C</w:t>
      </w:r>
      <w:r>
        <w:rPr>
          <w:rFonts w:cs="Times New Roman"/>
          <w:szCs w:val="24"/>
        </w:rPr>
        <w:t xml:space="preserve"> and -50 </w:t>
      </w:r>
      <w:r w:rsidRPr="00FA4BD9">
        <w:rPr>
          <w:rFonts w:cs="Times New Roman"/>
          <w:szCs w:val="24"/>
        </w:rPr>
        <w:t>°C</w:t>
      </w:r>
      <w:r>
        <w:rPr>
          <w:rFonts w:cs="Times New Roman"/>
          <w:szCs w:val="24"/>
        </w:rPr>
        <w:t xml:space="preserve"> respectively; </w:t>
      </w:r>
      <w:r w:rsidR="00172EDC">
        <w:rPr>
          <w:rFonts w:cs="Times New Roman"/>
          <w:szCs w:val="24"/>
        </w:rPr>
        <w:fldChar w:fldCharType="begin" w:fldLock="1"/>
      </w:r>
      <w:r w:rsidR="00AA55FA">
        <w:rPr>
          <w:rFonts w:cs="Times New Roman"/>
          <w:szCs w:val="24"/>
        </w:rPr>
        <w:instrText>ADDIN CSL_CITATION {"citationItems":[{"id":"ITEM-1","itemData":{"DOI":"10.1134/s0013873814040046","ISBN":"1555-6689","abstract":"Cold hardiness of 12 species and 2 subspecies of earthworms from Northern Eurasia was studied. Supercooling temperatures, the water content and the thresholds of tolerated temperatures of worms and their cocoons were determined. The threshold values varied within −1…−35°C for worms and within −1…−196°C for cocoons. Earthworms of 4 species and 2 subspecies survived freezing. Cocoons of all species except Eisenia fetida possessed a protective dehydration mechanism which prevented their freezing. During wintering at subzero temperatures, earthworms lost up to 20% of water, cocoons up to 37%. Species of the same life form can overwinter at different phases and have different cold hardiness values. On the whole, epigeic and epi-endogeic species (except for Eisenia fetida) were more resistant to cold than endogeic ones. The following preliminary classification of earthworms according to their tolerance to negative temperatures is proposed: (1) both onthogenetic phases are tolerant; (2) only cocoons are tolerant; (3) both onthogenetic phases are intolerant. The geographic distribution of all the studied species (except for Eisenia nordenskioldi nordenskioldi) is partially or completely limited by insufficient resistance of the worms to negative temperatures. A significant cold hardiness of cocoons of most species is nonadaptive, since the worms hatched from the eggs in spring die without having enough time to reach maturity and to lay cocoons before the onset of subzero temperatures. Only 3 species (Eisenia nordenskioldi nordenskioldi, Eisenia atlavinyteae, and Dendrobaena octaedra) can live in permafrost regions; this is the main reason for a drastically reduced diversity of earthworm assemblages in eastern Siberia except for its southern, mountain parts. In general, the reasons for the impoverishment lie in the modern climatic conditions correlated with the ecophysiological capacities of earthworms.","author":[{"dropping-particle":"","family":"Meshcheryakova","given":"E N","non-dropping-particle":"","parse-names":false,"suffix":""},{"dropping-particle":"","family":"Berman","given":"D I","non-dropping-particle":"","parse-names":false,"suffix":""}],"container-title":"Entomological Review","id":"ITEM-1","issue":"4","issued":{"date-parts":[["2014"]]},"page":"486-497","title":"Cold hardiness and geographic distribution of earthworms (Oligochaeta, Lumbricidae, Moniligastridae)","type":"article-journal","volume":"94"},"uris":["http://www.mendeley.com/documents/?uuid=344c32d6-579b-45a5-9398-b9d4d5ae8250"]}],"mendeley":{"formattedCitation":"(Meshcheryakova and Berman, 2014)","plainTextFormattedCitation":"(Meshcheryakova and Berman, 2014)","previouslyFormattedCitation":"(Meshcheryakova and Berman, 2014)"},"properties":{"noteIndex":0},"schema":"https://github.com/citation-style-language/schema/raw/master/csl-citation.json"}</w:instrText>
      </w:r>
      <w:r w:rsidR="00172EDC">
        <w:rPr>
          <w:rFonts w:cs="Times New Roman"/>
          <w:szCs w:val="24"/>
        </w:rPr>
        <w:fldChar w:fldCharType="separate"/>
      </w:r>
      <w:r w:rsidR="00172EDC" w:rsidRPr="00172EDC">
        <w:rPr>
          <w:rFonts w:cs="Times New Roman"/>
          <w:noProof/>
          <w:szCs w:val="24"/>
        </w:rPr>
        <w:t>(Meshcheryakova and Berman, 2014)</w:t>
      </w:r>
      <w:r w:rsidR="00172EDC">
        <w:rPr>
          <w:rFonts w:cs="Times New Roman"/>
          <w:szCs w:val="24"/>
        </w:rPr>
        <w:fldChar w:fldCharType="end"/>
      </w:r>
      <w:r w:rsidR="00172EDC">
        <w:rPr>
          <w:rFonts w:cs="Times New Roman"/>
          <w:szCs w:val="24"/>
        </w:rPr>
        <w:t>,</w:t>
      </w:r>
      <w:r>
        <w:rPr>
          <w:rFonts w:cs="Times New Roman"/>
          <w:szCs w:val="24"/>
        </w:rPr>
        <w:t xml:space="preserve"> or the offspring of some of the added earthworms. </w:t>
      </w:r>
    </w:p>
    <w:p w14:paraId="3AD0104D" w14:textId="77777777" w:rsidR="0038409E" w:rsidRPr="00AA55FA" w:rsidRDefault="0038409E" w:rsidP="001448A4">
      <w:pPr>
        <w:spacing w:line="480" w:lineRule="auto"/>
        <w:jc w:val="both"/>
        <w:rPr>
          <w:rFonts w:cs="Times New Roman"/>
          <w:szCs w:val="24"/>
          <w:lang w:val="fr-FR"/>
        </w:rPr>
      </w:pPr>
      <w:r>
        <w:rPr>
          <w:rFonts w:cs="Times New Roman"/>
          <w:szCs w:val="24"/>
        </w:rPr>
        <w:t xml:space="preserve">Small numbers of earthworms were recovered from the DeF treatments despite the use of mesh on the outside and inside of the plastic containers that contained the monoliths and the use of mesh fences around the monoliths and must represent either hatched cocoons (see above) or entrant earthworms. </w:t>
      </w:r>
      <w:r w:rsidRPr="000449AB">
        <w:rPr>
          <w:rFonts w:cs="Times New Roman"/>
          <w:szCs w:val="24"/>
        </w:rPr>
        <w:t xml:space="preserve">The earthworms </w:t>
      </w:r>
      <w:r>
        <w:rPr>
          <w:rFonts w:cs="Times New Roman"/>
          <w:szCs w:val="24"/>
        </w:rPr>
        <w:t>were dominated by epigeics but with some anecic juveniles also present (</w:t>
      </w:r>
      <w:r w:rsidRPr="00EF42B9">
        <w:rPr>
          <w:rFonts w:cs="Times New Roman"/>
          <w:szCs w:val="24"/>
        </w:rPr>
        <w:t>Table</w:t>
      </w:r>
      <w:r>
        <w:rPr>
          <w:rFonts w:cs="Times New Roman"/>
          <w:szCs w:val="24"/>
        </w:rPr>
        <w:t>s</w:t>
      </w:r>
      <w:r w:rsidRPr="00EF42B9">
        <w:rPr>
          <w:rFonts w:cs="Times New Roman"/>
          <w:szCs w:val="24"/>
        </w:rPr>
        <w:t xml:space="preserve"> S</w:t>
      </w:r>
      <w:r>
        <w:rPr>
          <w:rFonts w:cs="Times New Roman"/>
          <w:szCs w:val="24"/>
        </w:rPr>
        <w:t>4 S5). Epigeics are reported as having high dispersion rates relative to anecic and endogeic earthworms which results in more rapid colonization of new habitats</w:t>
      </w:r>
      <w:r w:rsidR="00AA55FA">
        <w:rPr>
          <w:rFonts w:cs="Times New Roman"/>
          <w:szCs w:val="24"/>
        </w:rPr>
        <w:t xml:space="preserve"> </w:t>
      </w:r>
      <w:r w:rsidR="00AA55FA">
        <w:rPr>
          <w:rFonts w:cs="Times New Roman"/>
          <w:szCs w:val="24"/>
        </w:rPr>
        <w:fldChar w:fldCharType="begin" w:fldLock="1"/>
      </w:r>
      <w:r w:rsidR="00AF664A">
        <w:rPr>
          <w:rFonts w:cs="Times New Roman"/>
          <w:szCs w:val="24"/>
        </w:rPr>
        <w:instrText>ADDIN CSL_CITATION {"citationItems":[{"id":"ITEM-1","itemData":{"author":[{"dropping-particle":"","family":"Bouché","given":"M B","non-dropping-particle":"","parse-names":false,"suffix":""}],"container-title":" Soil Organisms as Components of Ecosystems","editor":[{"dropping-particle":"","family":"Lohm","given":"U","non-dropping-particle":"","parse-names":false,"suffix":""},{"dropping-particle":"","family":"Persson","given":"T","non-dropping-particle":"","parse-names":false,"suffix":""}],"id":"ITEM-1","issued":{"date-parts":[["1977"]]},"page":"122–133","publisher":"Ecol. Bul","publisher-place":"Stockholm, Sweden","title":"Strategies lombriciennes","type":"chapter","volume":"25"},"uris":["http://www.mendeley.com/documents/?uuid=fe783db4-71de-4523-baa5-3a01b4612ced"]},{"id":"ITEM-2","itemData":{"DOI":"https://doi.org/10.1016/j.soilbio.2017.04.004","ISBN":"0038-0717","author":[{"dropping-particle":"","family":"Chatelain","given":"M","non-dropping-particle":"","parse-names":false,"suffix":""},{"dropping-particle":"","family":"Mathieu","given":"J","non-dropping-particle":"","parse-names":false,"suffix":""}],"container-title":"Soil Biology and Biochemistry","id":"ITEM-2","issued":{"date-parts":[["2017"]]},"page":"115-123","title":"How good are epigeic earthworms at dispersing? An investigation to compare epigeic to endogeic and anecic groups","type":"article-journal","volume":"111"},"uris":["http://www.mendeley.com/documents/?uuid=7b181651-9524-42ce-a395-47d7a6e54788"]},{"id":"ITEM-3","itemData":{"DOI":"10.1016/S1164-5563(01)01100-1","author":[{"dropping-particle":"","family":"Margerie","given":"P","non-dropping-particle":"","parse-names":false,"suffix":""},{"dropping-particle":"","family":"Decaëns","given":"T","non-dropping-particle":"","parse-names":false,"suffix":""},{"dropping-particle":"","family":"Bureau","given":"F","non-dropping-particle":"","parse-names":false,"suffix":""},{"dropping-particle":"","family":"Alard","given":"D","non-dropping-particle":"","parse-names":false,"suffix":""}],"container-title":"European Journal of Soil Biology","id":"ITEM-3","issue":"4","issued":{"date-parts":[["2001"]]},"note":"Cited By :30\nExport Date: 13 September 2018","page":"291-296","title":"Spatial distribution of earthworm species assemblages in a chalky slope of the Seine Valley (Normandy, France)","type":"article-journal","volume":"37"},"uris":["http://www.mendeley.com/documents/?uuid=4ba7eef3-9116-4fb6-8112-91bdefd2b270"]},{"id":"ITEM-4","itemData":{"DOI":"10.1007/s10530-006-9021-9","ISBN":"1573-1464","abstract":"Recent studies on earthworm invasion of North American soils report dramatic changes in soil structure, nutrient dynamics and plant communities in ecosystems historically free of earthworms. However, the direct and indirect impacts of earthworm invasions on animals have been largely ignored. T</w:instrText>
      </w:r>
      <w:r w:rsidR="00AF664A" w:rsidRPr="008D68D6">
        <w:rPr>
          <w:rFonts w:cs="Times New Roman"/>
          <w:szCs w:val="24"/>
          <w:lang w:val="fr-FR"/>
        </w:rPr>
        <w:instrText>his paper summarizes the current knowledge on the impact of earthworm invasion on other soil fauna, vertebrates as well as invertebrates.","author":[{"dropping-particle":"","family":"Migge-Kleian","given":"Sonja","non-dropping-particle":"","parse-names":false,"suffix":""},{"dropping-particle":"","family":"McLean","given":"Mary Ann","non-dropping-particle":"","parse-names":false,"suffix":""},{"dropping-particle":"","family":"Maerz","given":"John C","non-dropping-particle":"","parse-names":false,"suffix":""},{"dropping-particle":"","family":"Heneghan","given":"Liam","non-dropping-particle":"","parse-names":false,"suffix":""}],"container-title":"Biological Invasions","id":"ITEM-4","issue":"6","issued":{"date-parts":[["2006"]]},"page":"1275-1285","title":"The influence of invasive earthworms on indigenous fauna in ecosystems previously uninhabited by earthworms","type":"article-journal","volume":"8"},"uris":["http://www.mendeley.com/documents/?uuid=e31bc494-ae05-4288-a8c2-f21752f866d4"]}],"mendeley":{"formattedCitation":"(Bouché, 1977; Chatelain and Mathieu, 2017; Margerie et al., 2001; Migge-Kleian et al., 2006)","plainTextFormattedCitation":"(Bouché, 1977; Chatelain and Mathieu, 2017; Margerie et al., 2001; Migge-Kleian et al., 2006)","previouslyFormattedCitation":"(Bouché, 1977; Chatelain and Mathieu, 2017; Margerie et al., 2001; Migge-Kleian et al., 2006)"},"properties":{"noteIndex":0},"schema":"https://github.com/citation-style-language/schema/raw/master/csl-citation.json"}</w:instrText>
      </w:r>
      <w:r w:rsidR="00AA55FA">
        <w:rPr>
          <w:rFonts w:cs="Times New Roman"/>
          <w:szCs w:val="24"/>
        </w:rPr>
        <w:fldChar w:fldCharType="separate"/>
      </w:r>
      <w:r w:rsidR="00AA55FA" w:rsidRPr="00AA55FA">
        <w:rPr>
          <w:rFonts w:cs="Times New Roman"/>
          <w:noProof/>
          <w:szCs w:val="24"/>
          <w:lang w:val="fr-FR"/>
        </w:rPr>
        <w:t>(Bouché, 1977; Chatelain and Mathieu, 2017; Margerie et al., 2001; Migge-Kleian et al., 2006)</w:t>
      </w:r>
      <w:r w:rsidR="00AA55FA">
        <w:rPr>
          <w:rFonts w:cs="Times New Roman"/>
          <w:szCs w:val="24"/>
        </w:rPr>
        <w:fldChar w:fldCharType="end"/>
      </w:r>
      <w:r w:rsidR="00AA55FA" w:rsidRPr="00AA55FA">
        <w:rPr>
          <w:rFonts w:cs="Times New Roman"/>
          <w:szCs w:val="24"/>
          <w:lang w:val="fr-FR"/>
        </w:rPr>
        <w:t>.</w:t>
      </w:r>
      <w:r w:rsidRPr="00AA55FA">
        <w:rPr>
          <w:rFonts w:cs="Times New Roman"/>
          <w:szCs w:val="24"/>
          <w:lang w:val="fr-FR"/>
        </w:rPr>
        <w:t xml:space="preserve"> </w:t>
      </w:r>
    </w:p>
    <w:p w14:paraId="5B0E244D" w14:textId="77777777" w:rsidR="0038409E" w:rsidRDefault="0038409E" w:rsidP="001448A4">
      <w:pPr>
        <w:pStyle w:val="Heading3"/>
        <w:numPr>
          <w:ilvl w:val="1"/>
          <w:numId w:val="14"/>
        </w:numPr>
        <w:spacing w:before="360" w:after="200" w:line="480" w:lineRule="auto"/>
      </w:pPr>
      <w:r>
        <w:t>Soil water flow</w:t>
      </w:r>
    </w:p>
    <w:p w14:paraId="48937F01" w14:textId="77777777" w:rsidR="0038409E" w:rsidRPr="00ED2026" w:rsidRDefault="0038409E" w:rsidP="001448A4">
      <w:pPr>
        <w:pStyle w:val="ListParagraph"/>
        <w:numPr>
          <w:ilvl w:val="2"/>
          <w:numId w:val="14"/>
        </w:numPr>
        <w:spacing w:before="360" w:after="240" w:line="480" w:lineRule="auto"/>
        <w:jc w:val="both"/>
        <w:outlineLvl w:val="3"/>
        <w:rPr>
          <w:rFonts w:cs="Times New Roman"/>
          <w:bCs/>
          <w:i/>
          <w:iCs/>
          <w:szCs w:val="24"/>
        </w:rPr>
      </w:pPr>
      <w:r>
        <w:rPr>
          <w:rFonts w:cs="Times New Roman"/>
          <w:bCs/>
          <w:i/>
          <w:iCs/>
          <w:szCs w:val="24"/>
        </w:rPr>
        <w:t>E</w:t>
      </w:r>
      <w:r w:rsidRPr="00ED2026">
        <w:rPr>
          <w:rFonts w:cs="Times New Roman"/>
          <w:bCs/>
          <w:i/>
          <w:iCs/>
          <w:szCs w:val="24"/>
        </w:rPr>
        <w:t>arthworm effects on water flow</w:t>
      </w:r>
    </w:p>
    <w:p w14:paraId="5D7C2BD1" w14:textId="77777777" w:rsidR="0038409E" w:rsidRPr="006A7529" w:rsidRDefault="0038409E" w:rsidP="001448A4">
      <w:pPr>
        <w:spacing w:line="480" w:lineRule="auto"/>
        <w:jc w:val="both"/>
        <w:rPr>
          <w:rFonts w:cs="Times New Roman"/>
          <w:szCs w:val="24"/>
        </w:rPr>
      </w:pPr>
      <w:r>
        <w:rPr>
          <w:rFonts w:cs="Times New Roman"/>
          <w:szCs w:val="24"/>
        </w:rPr>
        <w:t xml:space="preserve">The significant increase in </w:t>
      </w:r>
      <w:r w:rsidRPr="00CA5CD5">
        <w:rPr>
          <w:rFonts w:cs="Times New Roman"/>
          <w:i/>
          <w:szCs w:val="24"/>
        </w:rPr>
        <w:t>K</w:t>
      </w:r>
      <w:r w:rsidRPr="00F717D0">
        <w:rPr>
          <w:rFonts w:cs="Times New Roman"/>
          <w:i/>
          <w:szCs w:val="24"/>
          <w:vertAlign w:val="subscript"/>
        </w:rPr>
        <w:t>0.5</w:t>
      </w:r>
      <w:r>
        <w:rPr>
          <w:rFonts w:cs="Times New Roman"/>
          <w:szCs w:val="24"/>
        </w:rPr>
        <w:t xml:space="preserve"> in the DeF+E compared to the DeF and control treatments (Figure 3) is consistent with previous studies reporting a positive effect of earthworms on water flow </w:t>
      </w:r>
      <w:r w:rsidR="00AF664A">
        <w:rPr>
          <w:rFonts w:cs="Times New Roman"/>
          <w:szCs w:val="24"/>
        </w:rPr>
        <w:fldChar w:fldCharType="begin" w:fldLock="1"/>
      </w:r>
      <w:r w:rsidR="00AF664A">
        <w:rPr>
          <w:rFonts w:cs="Times New Roman"/>
          <w:szCs w:val="24"/>
        </w:rPr>
        <w:instrText>ADDIN CSL_CITATION {"citationItems":[{"id":"ITEM-1","itemData":{"DOI":"10.1111/ejss.12025","ISBN":"1351-0754","abstract":"Biodiversity is responsible for the provision of many ecosystem services; human well-being is based on these services, and consequently on biodiversity. In soil, earthworms represent the largest component of the animal biomass and are commonly termed ecosystem engineers'. This review considers the contribution of earthworms to ecosystem services through pedogenesis, development of soil structure, water regulation, nutrient cycling, primary production, climate regulation, pollution remediation and cultural services. Although there has been much research into the role of earthworms in soil ecology, this review demonstrates substantial gaps in our knowledge related in particular to difficulties in identifying the effects of species, land use and climate. The review aims to assist people involved in all aspects of land management, including conservation, agriculture, mining or other industries, to obtain a broad knowledge of earthworms and ecosystem services.","author":[{"dropping-particle":"","family":"Blouin","given":"M","non-dropping-particle":"","parse-names":false,"suffix":""},{"dropping-particle":"","family":"Hodson","given":"M E","non-dropping-particle":"","parse-names":false,"suffix":""},{"dropping-particle":"","family":"Delgado","given":"E A","non-dropping-particle":"","parse-names":false,"suffix":""},{"dropping-particle":"","family":"Baker","given":"G","non-dropping-particle":"","parse-names":false,"suffix":""},{"dropping-particle":"","family":"Brussaard","given":"L","non-dropping-particle":"","parse-names":false,"suffix":""},{"dropping-particle":"","family":"Butt","given":"K R","non-dropping-particle":"","parse-names":false,"suffix":""},{"dropping-particle":"","family":"Dai","given":"J","non-dropping-particle":"","parse-names":false,"suffix":""},{"dropping-particle":"","family":"Dendooven","given":"L","non-dropping-particle":"","parse-names":false,"suffix":""},{"dropping-particle":"","family":"Peres","given":"G","non-dropping-particle":"","parse-names":false,"suffix":""},{"dropping-particle":"","family":"Tondoh","given":"J E","non-dropping-particle":"","parse-names":false,"suffix":""},{"dropping-particle":"","family":"Cluzeau","given":"D","non-dropping-particle":"","parse-names":false,"suffix":""},{"dropping-particle":"","family":"Brun","given":"J J","non-dropping-particle":"","parse-names":false,"suffix":""}],"container-title":"European Journal of Soil Science","id":"ITEM-1","issue":"2","issued":{"date-parts":[["2013"]]},"language":"English","note":"112AU\nTimes Cited:70\nCited References Count:255","page":"161-182","title":"A review of earthworm impact on soil function and ecosystem services","type":"article-journal","volume":"64"},"uris":["http://www.mendeley.com/documents/?uuid=9335d71b-bdaf-47e9-bace-a01d2d8806ca"]},{"id":"ITEM-2","itemData":{"DOI":"Doi 10.1016/S0038-0717(96)00272-6","ISBN":"0038-0717","abstract":"Water infiltration (by limiting surface water run-off) and stable crumb formation (by increasing top infiltration and decreasing slaking) are two key soil factors greatly affected by earthworms. Because of the great number of environmental variables controlling (1) earthworm populations; (2) their physical role behaviour; (3) their feeding behaviour inducing faeces composition; and (4) the microbial activity stabilizing faeces to crumbs, we chose to make most measurements directly in situ in various soils. The amount of infiltrated water was measured in various soils (n = 17) and gave a mean rate of 150 mm h(-1) per 100 g m(-2) of earthworms (P &lt; 0.05) and more closely (n = 11) or 282 mm h(-1) per 100 g m(-2) of anecic species (P &lt; 0.01). A precise study was made in nine sites analyzing hydraulic (= active) burrows and their structural properties. Infiltration rate was correlated to earthworm biomass (r = 0.975), burrow length, surface and volume (r = 0.99), but not with burrow diameter, tortuosity or with earthworm number and soil profile depth. Faecal production was also estimated in two fractions: the above-ground casts and the in soil cast fractions. The above-ground production is influenced by seasonal factors (moisture, temperature, photoperiod) and by controlled food types added on soil (natural herbs, wheat straw, lucerne and evergreen oak leaves). The total earthworm faeces produced in the natural food treatment was 293.6 kg year(-1) +/- 10%, per 100 g m(-2) of earthworms. The amount varied with the food type added to soil. The above-ground fraction is rather small (8% of the total). The stabilization of faeces in crumbs was studied during 536 days by incubation in situ (top soil to a 15 cm depth) and in laboratory microcosms, versus the various food types. The crumb stability increased three-to four-fold during a year. The stability in the field depended mainly on the organic food and less on the soil level. The mean turn over rate in the field of earthworm crumbs was 2.3 year. The significance of microcosm studies is discussed and depends on the homeostasy and adaptive behaviour of earthworms (heterochresty). Microcosm results were validated for metabolism and unvalidated for soil bioturbation. (C) 1997 Elsevier Science Ltd.","author":[{"dropping-particle":"","family":"Bouché","given":"M B","non-dropping-particle":"","parse-names":false,"suffix":""},{"dropping-particle":"","family":"AlAddan","given":"F","non-dropping-particle":"","parse-names":false,"suffix":""}],"container-title":"Soil Biology &amp; Biochemistry","id":"ITEM-2","issue":"3-4","issued":{"date-parts":[["1997"]]},"language":"English","note":"Xe842\nTimes Cited:40\nCited References Count:38","page":"441-452","title":"Earthworms, water infiltration and soil stability: Some new assessments","type":"article-journal","volume":"29"},"uris":["http://www.mendeley.com/documents/?uuid=4b677607-ec4e-4cd1-a090-7c36467228ea"]},{"id":"ITEM-3","itemData":{"ISBN":"9780412561603","author":[{"dropping-particle":"","family":"Edwards","given":"C A","non-dropping-particle":"","parse-names":false,"suffix":""},{"dropping-particle":"","family":"Bohlen","given":"P J","non-dropping-particle":"","parse-names":false,"suffix":""}],"id":"ITEM-3","issue":"v. 3","issued":{"date-parts":[["1996"]]},"publisher":"Springer","title":"Biology and Ecology of Earthworms","type":"book"},"uris":["http://www.mendeley.com/documents/?uuid=1e54aecd-a648-493a-b700-e272e6ccfb85"]},{"id":"ITEM-4","itemData":{"DOI":"Doi 10.1016/S0929-1393(98)00045-6","ISBN":"0929-1393","abstract":"The burrowing characteristics of three common introduced European lumbricid earthworm species were studied in New Zealand agricultural soils. Large (30 cm internal diameterx50 cm high) cylinders were filled with topsoil (0-25 cm) and subsoil (25-50 cm), sieved to remove earthworms and other soil macrofauna. Cylinders were inoculated with either mature Aporrectodea caliginosa, Octolasion cyaneum (both endogeic species) or Lumbricus rubellus (an epigeic species) at the rates of 300 and 600 m(-2). Additional control (nil earthworms) and mixed species treatments were also included in the experiment. Cylinders were buried in the field for six months before sampling. After six months, most of the introduced O. Cyaneum and L. rubellus earthworms had died, but significant populations of A. caliginosa were present in all treatments. However, it appears that the different species of inoculated earthworms had created contrasting burrowing patterns. L. rubellus was most active in the top 10 cm of the topsoil, although it did create burrows to at least 21 cm depth. L. rubellus did not create any burrows in the subsoil. Both A. caliginosa and O. cyaneum burrowed relatively evenly throughout the topsoil. Both species also created burrows at all depths sampled in the subsoil. Under saturated conditions, most water how occurred through earthworm burrows. In the topsoil, burrows of A. caliginosa were more continuous and better connected to the soil surface than burrows of O. cyaneum. In contrast, O. cyaneum created the most continuous burrows through the subsoil.","author":[{"dropping-particle":"","family":"Francis","given":"G S","non-dropping-particle":"","parse-names":false,"suffix":""},{"dropping-particle":"","family":"Fraser","given":"P M","non-dropping-particle":"","parse-names":false,"suffix":""}],"container-title":"Applied Soil Ecology","id":"ITEM-4","issue":"1-2","issued":{"date-parts":[["1998"]]},"language":"English","note":"137TM\nTimes Cited:49\nCited References Count:24","page":"11-19","title":"The effects of three earthworm species on soil macroporosity and hydraulic conductivity","type":"article-journal","volume":"10"},"uris":["http://www.mendeley.com/documents/?uuid=ffbf2e21-0cfe-4792-a73f-3bb849e9abc4"]},{"id":"ITEM-5","itemData":{"DOI":"https://doi.org/10.1016/S0341-8162(03)00114-0","ISBN":"0341-8162","author":[{"dropping-particle":"","family":"Lamandé","given":"Mathieu","non-dropping-particle":"","parse-names":false,"suffix":""},{"dropping-particle":"","family":"Hallaire","given":"Vincent","non-dropping-particle":"","parse-names":false,"suffix":""},{"dropping-particle":"","family":"Curmi","given":"Pierre","non-dropping-particle":"","parse-names":false,"suffix":""},{"dropping-particle":"","family":"Pérès","given":"Guénola","non-dropping-particle":"","parse-names":false,"suffix":""},{"dropping-particle":"","family":"Cluzeau","given":"Daniel","non-dropping-particle":"","parse-names":false,"suffix":""}],"container-title":"Catena","id":"ITEM-5","issue":"3","issued":{"date-parts":[["2003"]]},"page":"637-649","title":"Changes of pore morphology, infiltration and earthworm community in a loamy soil under different agricultural managements","type":"article-journal","volume":"54"},"uris":["http://www.mendeley.com/documents/?uuid=e867beb7-03a4-4179-8335-1ca0b40baf56"]}],"mendeley":{"formattedCitation":"(Blouin et al., 2013; Bouché and AlAddan, 1997; Edwards and Bohlen, 1996; Francis and Fraser, 1998; Lamandé et al., 2003)","plainTextFormattedCitation":"(Blouin et al., 2013; Bouché and AlAddan, 1997; Edwards and Bohlen, 1996; Francis and Fraser, 1998; Lamandé et al., 2003)","previouslyFormattedCitation":"(Blouin et al., 2013; Bouché and AlAddan, 1997; Edwards and Bohlen, 1996; Francis and Fraser, 1998; Lamandé et al., 2003)"},"properties":{"noteIndex":0},"schema":"https://github.com/citation-style-language/schema/raw/master/csl-citation.json"}</w:instrText>
      </w:r>
      <w:r w:rsidR="00AF664A">
        <w:rPr>
          <w:rFonts w:cs="Times New Roman"/>
          <w:szCs w:val="24"/>
        </w:rPr>
        <w:fldChar w:fldCharType="separate"/>
      </w:r>
      <w:r w:rsidR="00AF664A" w:rsidRPr="00AF664A">
        <w:rPr>
          <w:rFonts w:cs="Times New Roman"/>
          <w:noProof/>
          <w:szCs w:val="24"/>
        </w:rPr>
        <w:t>(Blouin et al., 2013; Bouché and AlAddan, 1997; Edwards and Bohlen, 1996; Francis and Fraser, 1998; Lamandé et al., 2003)</w:t>
      </w:r>
      <w:r w:rsidR="00AF664A">
        <w:rPr>
          <w:rFonts w:cs="Times New Roman"/>
          <w:szCs w:val="24"/>
        </w:rPr>
        <w:fldChar w:fldCharType="end"/>
      </w:r>
      <w:r w:rsidR="00AF664A">
        <w:rPr>
          <w:rFonts w:cs="Times New Roman"/>
          <w:szCs w:val="24"/>
        </w:rPr>
        <w:t>.</w:t>
      </w:r>
      <w:r>
        <w:rPr>
          <w:rFonts w:cs="Times New Roman"/>
          <w:szCs w:val="24"/>
        </w:rPr>
        <w:t xml:space="preserve"> The impact of earthworms was significant in winter 2017-18 and spring 2018 after the second addition of earthworms to the </w:t>
      </w:r>
      <w:r w:rsidRPr="006B4993">
        <w:rPr>
          <w:rFonts w:cs="Times New Roman"/>
          <w:szCs w:val="24"/>
        </w:rPr>
        <w:t xml:space="preserve">DeF+E </w:t>
      </w:r>
      <w:r>
        <w:rPr>
          <w:rFonts w:cs="Times New Roman"/>
          <w:szCs w:val="24"/>
        </w:rPr>
        <w:t xml:space="preserve">monoliths in mid-November 2017. The lack of significant differences between treatments in spring 2017, less than 2 months after the first addition of earthworms, is probably due to earthworms having had insufficient time to work the soil. Qualitative observations made whilst measuring </w:t>
      </w:r>
      <w:r>
        <w:rPr>
          <w:rFonts w:cs="Times New Roman"/>
          <w:i/>
          <w:szCs w:val="24"/>
        </w:rPr>
        <w:t xml:space="preserve">K </w:t>
      </w:r>
      <w:r>
        <w:rPr>
          <w:rFonts w:cs="Times New Roman"/>
          <w:szCs w:val="24"/>
        </w:rPr>
        <w:t>indicate that although earthworm casts were found on the surface of the DeF+E monoliths in summer and autumn 2017 these were at a relatively low density compared to spring 2018. Earthworm activity typically reduces in the summer months</w:t>
      </w:r>
      <w:r w:rsidR="00AF664A">
        <w:rPr>
          <w:rFonts w:cs="Times New Roman"/>
          <w:szCs w:val="24"/>
        </w:rPr>
        <w:t xml:space="preserve"> </w:t>
      </w:r>
      <w:r w:rsidR="00AF664A">
        <w:rPr>
          <w:rFonts w:cs="Times New Roman"/>
          <w:szCs w:val="24"/>
        </w:rPr>
        <w:fldChar w:fldCharType="begin" w:fldLock="1"/>
      </w:r>
      <w:r w:rsidR="00AF664A">
        <w:rPr>
          <w:rFonts w:cs="Times New Roman"/>
          <w:szCs w:val="24"/>
        </w:rPr>
        <w:instrText>ADDIN CSL_CITATION {"citationItems":[{"id":"ITEM-1","itemData":{"DOI":"10.1155/2010/830853","author":[{"dropping-particle":"","family":"Birkas","given":"Marta","non-dropping-particle":"","parse-names":false,"suffix":""},{"dropping-particle":"","family":"Bottlik","given":"Laszlo","non-dropping-particle":"","parse-names":false,"suffix":""},{"dropping-particle":"","family":"Stingli","given":"Attila","non-dropping-particle":"","parse-names":false,"suffix":""},{"dropping-particle":"","family":"Gyuricza","given":"Csaba","non-dropping-particle":"","parse-names":false,"suffix":""},{"dropping-particle":"","family":"Jol","given":"","non-dropping-particle":"","parse-names":false,"suffix":""},{"dropping-particle":"","family":"#225","given":"","non-dropping-particle":"","parse-names":false,"suffix":""},{"dropping-particle":"","family":"nkai","given":"M","non-dropping-particle":"","parse-names":false,"suffix":""},{"dropping-particle":"","family":"#225","given":"","non-dropping-particle":"","parse-names":false,"suffix":""},{"dropping-particle":"","family":"rton","given":"","non-dropping-particle":"","parse-names":false,"suffix":""}],"container-title":"Applied and Environmental Soil Science","id":"ITEM-1","issued":{"date-parts":[["2010"]]},"title":"Effect of Soil Physical State on the Earthworms in Hungary","type":"article-journal","volume":"2010"},"uris":["http://www.mendeley.com/documents/?uuid=7dd25649-c6a2-4af6-b42f-6a80b63546e7"]}],"mendeley":{"formattedCitation":"(Birkas et al., 2010)","plainTextFormattedCitation":"(Birkas et al., 2010)","previouslyFormattedCitation":"(Birkas et al., 2010)"},"properties":{"noteIndex":0},"schema":"https://github.com/citation-style-language/schema/raw/master/csl-citation.json"}</w:instrText>
      </w:r>
      <w:r w:rsidR="00AF664A">
        <w:rPr>
          <w:rFonts w:cs="Times New Roman"/>
          <w:szCs w:val="24"/>
        </w:rPr>
        <w:fldChar w:fldCharType="separate"/>
      </w:r>
      <w:r w:rsidR="00AF664A" w:rsidRPr="00AF664A">
        <w:rPr>
          <w:rFonts w:cs="Times New Roman"/>
          <w:noProof/>
          <w:szCs w:val="24"/>
        </w:rPr>
        <w:t>(Birkas et al., 2010)</w:t>
      </w:r>
      <w:r w:rsidR="00AF664A">
        <w:rPr>
          <w:rFonts w:cs="Times New Roman"/>
          <w:szCs w:val="24"/>
        </w:rPr>
        <w:fldChar w:fldCharType="end"/>
      </w:r>
      <w:r w:rsidR="00AF664A">
        <w:rPr>
          <w:rFonts w:cs="Times New Roman"/>
          <w:szCs w:val="24"/>
        </w:rPr>
        <w:t xml:space="preserve"> </w:t>
      </w:r>
      <w:r>
        <w:rPr>
          <w:rFonts w:cs="Times New Roman"/>
          <w:szCs w:val="24"/>
        </w:rPr>
        <w:t xml:space="preserve">and the higher than average temperatures during the summer of 2017 may have reduced earthworm populations in the DeF+E monoliths further, which may explain the non-significant differences between the DeF+E and DeF treatments. </w:t>
      </w:r>
    </w:p>
    <w:p w14:paraId="7FA9E4B0" w14:textId="77777777" w:rsidR="0038409E" w:rsidRDefault="0038409E" w:rsidP="001448A4">
      <w:pPr>
        <w:spacing w:line="480" w:lineRule="auto"/>
        <w:jc w:val="both"/>
        <w:rPr>
          <w:rFonts w:cs="Times New Roman"/>
          <w:szCs w:val="24"/>
        </w:rPr>
      </w:pPr>
      <w:r>
        <w:rPr>
          <w:rFonts w:cs="Times New Roman"/>
          <w:szCs w:val="24"/>
        </w:rPr>
        <w:t xml:space="preserve">In spring 2018, DeF+E treatments showed significantly higher </w:t>
      </w:r>
      <w:r w:rsidRPr="00CA5CD5">
        <w:rPr>
          <w:rFonts w:cs="Times New Roman"/>
          <w:i/>
          <w:szCs w:val="24"/>
        </w:rPr>
        <w:t>K</w:t>
      </w:r>
      <w:r w:rsidRPr="00F717D0">
        <w:rPr>
          <w:rFonts w:cs="Times New Roman"/>
          <w:i/>
          <w:szCs w:val="24"/>
          <w:vertAlign w:val="subscript"/>
        </w:rPr>
        <w:t>0.5</w:t>
      </w:r>
      <w:r>
        <w:rPr>
          <w:rFonts w:cs="Times New Roman"/>
          <w:szCs w:val="24"/>
        </w:rPr>
        <w:t xml:space="preserve"> compared to the other seasons. In this period, pores &gt; 1 mm contributed more significantly to water flow in the DeF+E than the DeF treatments (Figure 4). These pores will have been created by earthworms or produced as a result of improved soil structure through aggregation (Table 4). Earthworms facilitate soil aggregation and the incorporation of organic matter within the soil aggregates, which may explain the high %OM content in the DeF+E treatments at the end of the experiment</w:t>
      </w:r>
      <w:r w:rsidR="00AF664A">
        <w:rPr>
          <w:rFonts w:cs="Times New Roman"/>
          <w:szCs w:val="24"/>
        </w:rPr>
        <w:t xml:space="preserve"> </w:t>
      </w:r>
      <w:r w:rsidR="00AF664A">
        <w:rPr>
          <w:rFonts w:cs="Times New Roman"/>
          <w:szCs w:val="24"/>
        </w:rPr>
        <w:fldChar w:fldCharType="begin" w:fldLock="1"/>
      </w:r>
      <w:r w:rsidR="00FE4F9F">
        <w:rPr>
          <w:rFonts w:cs="Times New Roman"/>
          <w:szCs w:val="24"/>
        </w:rPr>
        <w:instrText>ADDIN CSL_CITATION {"citationItems":[{"id":"ITEM-1","itemData":{"DOI":"10.1016/j.soilbio.2006.11.011","author":[{"dropping-particle":"","family":"Fonte","given":"S J","non-dropping-particle":"","parse-names":false,"suffix":""},{"dropping-particle":"","family":"Kong","given":"A Y Y","non-dropping-particle":"","parse-names":false,"suffix":""},{"dropping-particle":"","family":"Kessel","given":"C","non-dropping-particle":"van","parse-names":false,"suffix":""},{"dropping-particle":"","family":"Hendrix","given":"P F","non-dropping-particle":"","parse-names":false,"suffix":""},{"dropping-particle":"","family":"Six","given":"J","non-dropping-particle":"","parse-names":false,"suffix":""}],"container-title":"Soil Biology and Biochemistry","id":"ITEM-1","issue":"5","issued":{"date-parts":[["2007"]]},"note":"Cited By :56\nExport Date: 12 September 2018","page":"1014-1022","title":"Influence of earthworm activity on aggregate-associated carbon and nitrogen dynamics differs with agroecosystem management","type":"article-journal","volume":"39"},"uris":["http://www.mendeley.com/documents/?uuid=67fd2015-f091-4dd2-9cbb-2990f63a9947"]}],"mendeley":{"formattedCitation":"(Fonte et al., 2007)","plainTextFormattedCitation":"(Fonte et al., 2007)","previouslyFormattedCitation":"(Fonte et al., 2007)"},"properties":{"noteIndex":0},"schema":"https://github.com/citation-style-language/schema/raw/master/csl-citation.json"}</w:instrText>
      </w:r>
      <w:r w:rsidR="00AF664A">
        <w:rPr>
          <w:rFonts w:cs="Times New Roman"/>
          <w:szCs w:val="24"/>
        </w:rPr>
        <w:fldChar w:fldCharType="separate"/>
      </w:r>
      <w:r w:rsidR="00AF664A" w:rsidRPr="00AF664A">
        <w:rPr>
          <w:rFonts w:cs="Times New Roman"/>
          <w:noProof/>
          <w:szCs w:val="24"/>
        </w:rPr>
        <w:t>(Fonte et al., 2007)</w:t>
      </w:r>
      <w:r w:rsidR="00AF664A">
        <w:rPr>
          <w:rFonts w:cs="Times New Roman"/>
          <w:szCs w:val="24"/>
        </w:rPr>
        <w:fldChar w:fldCharType="end"/>
      </w:r>
      <w:r w:rsidR="00AF664A">
        <w:rPr>
          <w:rFonts w:cs="Times New Roman"/>
          <w:szCs w:val="24"/>
        </w:rPr>
        <w:t xml:space="preserve">. </w:t>
      </w:r>
      <w:r>
        <w:rPr>
          <w:rFonts w:cs="Times New Roman"/>
          <w:szCs w:val="24"/>
        </w:rPr>
        <w:t xml:space="preserve"> </w:t>
      </w:r>
    </w:p>
    <w:p w14:paraId="33B72621" w14:textId="77777777" w:rsidR="0038409E" w:rsidRDefault="0038409E" w:rsidP="001448A4">
      <w:pPr>
        <w:spacing w:line="480" w:lineRule="auto"/>
        <w:jc w:val="both"/>
        <w:rPr>
          <w:rFonts w:cs="Times New Roman"/>
          <w:szCs w:val="24"/>
        </w:rPr>
      </w:pPr>
      <w:r>
        <w:rPr>
          <w:rFonts w:cs="Times New Roman"/>
          <w:szCs w:val="24"/>
        </w:rPr>
        <w:t xml:space="preserve">The mean values of </w:t>
      </w:r>
      <w:r w:rsidRPr="00CA5CD5">
        <w:rPr>
          <w:rFonts w:cs="Times New Roman"/>
          <w:i/>
          <w:szCs w:val="24"/>
        </w:rPr>
        <w:t>K</w:t>
      </w:r>
      <w:r w:rsidRPr="00F717D0">
        <w:rPr>
          <w:rFonts w:cs="Times New Roman"/>
          <w:i/>
          <w:szCs w:val="24"/>
          <w:vertAlign w:val="subscript"/>
        </w:rPr>
        <w:t>0.5</w:t>
      </w:r>
      <w:r>
        <w:rPr>
          <w:rFonts w:cs="Times New Roman"/>
          <w:szCs w:val="24"/>
        </w:rPr>
        <w:t xml:space="preserve"> across all seasons were 39 </w:t>
      </w:r>
      <w:r w:rsidRPr="00FE7DE4">
        <w:rPr>
          <w:rFonts w:cs="Times New Roman"/>
          <w:szCs w:val="24"/>
        </w:rPr>
        <w:t>±</w:t>
      </w:r>
      <w:r>
        <w:rPr>
          <w:rFonts w:cs="Times New Roman"/>
          <w:szCs w:val="24"/>
        </w:rPr>
        <w:t xml:space="preserve"> 28, 44 </w:t>
      </w:r>
      <w:r w:rsidRPr="00FE7DE4">
        <w:rPr>
          <w:rFonts w:cs="Times New Roman"/>
          <w:szCs w:val="24"/>
        </w:rPr>
        <w:t>±</w:t>
      </w:r>
      <w:r>
        <w:rPr>
          <w:rFonts w:cs="Times New Roman"/>
          <w:szCs w:val="24"/>
        </w:rPr>
        <w:t xml:space="preserve"> 22 and 66 </w:t>
      </w:r>
      <w:r w:rsidRPr="00FE7DE4">
        <w:rPr>
          <w:rFonts w:cs="Times New Roman"/>
          <w:szCs w:val="24"/>
        </w:rPr>
        <w:t>±</w:t>
      </w:r>
      <w:r>
        <w:rPr>
          <w:rFonts w:cs="Times New Roman"/>
          <w:szCs w:val="24"/>
        </w:rPr>
        <w:t xml:space="preserve"> 32 mm h</w:t>
      </w:r>
      <w:r w:rsidRPr="00FE7DE4">
        <w:rPr>
          <w:rFonts w:cs="Times New Roman"/>
          <w:szCs w:val="24"/>
          <w:vertAlign w:val="superscript"/>
        </w:rPr>
        <w:t>-1</w:t>
      </w:r>
      <w:r>
        <w:rPr>
          <w:rFonts w:cs="Times New Roman"/>
          <w:szCs w:val="24"/>
        </w:rPr>
        <w:t xml:space="preserve"> for the Control, DeF and DeF+E, treatments respectively. H</w:t>
      </w:r>
      <w:r w:rsidRPr="0005548E">
        <w:rPr>
          <w:rFonts w:cs="Times New Roman"/>
          <w:szCs w:val="24"/>
        </w:rPr>
        <w:t xml:space="preserve">eavy rainstorms </w:t>
      </w:r>
      <w:r>
        <w:rPr>
          <w:rFonts w:cs="Times New Roman"/>
          <w:szCs w:val="24"/>
        </w:rPr>
        <w:t>in the UK rarely exceed 200 mm day</w:t>
      </w:r>
      <w:r w:rsidRPr="0005548E">
        <w:rPr>
          <w:rFonts w:cs="Times New Roman"/>
          <w:szCs w:val="24"/>
          <w:vertAlign w:val="superscript"/>
        </w:rPr>
        <w:t>-1</w:t>
      </w:r>
      <w:r>
        <w:rPr>
          <w:rFonts w:cs="Times New Roman"/>
          <w:szCs w:val="24"/>
        </w:rPr>
        <w:t xml:space="preserve">, with </w:t>
      </w:r>
      <w:r w:rsidRPr="0005548E">
        <w:rPr>
          <w:rFonts w:cs="Times New Roman"/>
          <w:szCs w:val="24"/>
        </w:rPr>
        <w:t xml:space="preserve">the greatest rainfall </w:t>
      </w:r>
      <w:r>
        <w:rPr>
          <w:rFonts w:cs="Times New Roman"/>
          <w:szCs w:val="24"/>
        </w:rPr>
        <w:t xml:space="preserve">in 2015 being recorded as </w:t>
      </w:r>
      <w:r w:rsidRPr="0005548E">
        <w:rPr>
          <w:rFonts w:cs="Times New Roman"/>
          <w:szCs w:val="24"/>
        </w:rPr>
        <w:t>341.1 mm</w:t>
      </w:r>
      <w:r>
        <w:rPr>
          <w:rFonts w:cs="Times New Roman"/>
          <w:szCs w:val="24"/>
        </w:rPr>
        <w:t xml:space="preserve"> day</w:t>
      </w:r>
      <w:r w:rsidRPr="0005548E">
        <w:rPr>
          <w:rFonts w:cs="Times New Roman"/>
          <w:szCs w:val="24"/>
          <w:vertAlign w:val="superscript"/>
        </w:rPr>
        <w:t>-1</w:t>
      </w:r>
      <w:r>
        <w:rPr>
          <w:rFonts w:cs="Times New Roman"/>
          <w:szCs w:val="24"/>
          <w:vertAlign w:val="superscript"/>
        </w:rPr>
        <w:t xml:space="preserve"> </w:t>
      </w:r>
      <w:r w:rsidR="00FE4F9F">
        <w:rPr>
          <w:rFonts w:cs="Times New Roman"/>
          <w:noProof/>
          <w:szCs w:val="24"/>
        </w:rPr>
        <w:fldChar w:fldCharType="begin" w:fldLock="1"/>
      </w:r>
      <w:r w:rsidR="00DE23A9">
        <w:rPr>
          <w:rFonts w:cs="Times New Roman"/>
          <w:noProof/>
          <w:szCs w:val="24"/>
        </w:rPr>
        <w:instrText>ADDIN CSL_CITATION {"citationItems":[{"id":"ITEM-1","itemData":{"ISBN":"1748-9326","abstract":"On 4–6 December 2015, storm Desmond caused very heavy rainfall in Northern England and Southern Scotland which led to widespread flooding. A week after the event we provided an initial assessment of the influence of anthropogenic climate change on the likelihood of one-day precipitation events averaged over an area encompassing Northern England and Southern Scotland using data and methods available immediately after the event occurred. The analysis was based on three independent methods of extreme event attribution: historical observed trends, coupled climate model simulations and a large ensemble of regional model simulations. All three methods agreed that the effect of climate change was positive, making precipitation events like this about 40% more likely, with a provisional 2.5%–97.5% confidence interval of 5%–80%. Here we revisit the assessment using more station data, an additional monthly event definition, a second global climate model and regional model simulations of winter 2015/16. The overall result of the analysis is similar to the real-time analysis with a best estimate of a 59% increase in event frequency, but a larger confidence interval that does include no change. It is important to highlight that the observational data in the additional monthly analysis does not only represent the rainfall associated with storm Desmond but also that of storms Eve and Frank occurring towards the end of the month.","author":[{"dropping-particle":"","family":"Friederike","given":"E L Otto","non-dropping-particle":"","parse-names":false,"suffix":""},{"dropping-particle":"","family":"Karin van der","given":"Wiel","non-dropping-particle":"","parse-names":false,"suffix":""},{"dropping-particle":"","family":"Geert Jan van","given":"Oldenborgh","non-dropping-particle":"","parse-names":false,"suffix":""},{"dropping-particle":"","family":"Sjoukje","given":"Philip","non-dropping-particle":"","parse-names":false,"suffix":""},{"dropping-particle":"","family":"Sarah","given":"F Kew","non-dropping-particle":"","parse-names":false,"suffix":""},{"dropping-particle":"","family":"Peter","given":"Uhe","non-dropping-particle":"","parse-names":false,"suffix":""},{"dropping-particle":"","family":"Heidi","given":"Cullen","non-dropping-particle":"","parse-names":false,"suffix":""}],"container-title":"Environmental Research Letters","id":"ITEM-1","issue":"2","issued":{"date-parts":[["2018"]]},"page":"24006","title":"Climate change increases the probability of heavy rains in Northern England/Southern Scotland like those of storm Desmond—a real-time event attribution revisited","type":"article-journal","volume":"13"},"uris":["http://www.mendeley.com/documents/?uuid=4ef3d002-b0e0-45be-8a02-dc940f674507"]}],"mendeley":{"formattedCitation":"(Friederike et al., 2018)","plainTextFormattedCitation":"(Friederike et al., 2018)","previouslyFormattedCitation":"(Friederike et al., 2018)"},"properties":{"noteIndex":0},"schema":"https://github.com/citation-style-language/schema/raw/master/csl-citation.json"}</w:instrText>
      </w:r>
      <w:r w:rsidR="00FE4F9F">
        <w:rPr>
          <w:rFonts w:cs="Times New Roman"/>
          <w:noProof/>
          <w:szCs w:val="24"/>
        </w:rPr>
        <w:fldChar w:fldCharType="separate"/>
      </w:r>
      <w:r w:rsidR="00FE4F9F" w:rsidRPr="00FE4F9F">
        <w:rPr>
          <w:rFonts w:cs="Times New Roman"/>
          <w:noProof/>
          <w:szCs w:val="24"/>
        </w:rPr>
        <w:t>(Friederike et al., 2018)</w:t>
      </w:r>
      <w:r w:rsidR="00FE4F9F">
        <w:rPr>
          <w:rFonts w:cs="Times New Roman"/>
          <w:noProof/>
          <w:szCs w:val="24"/>
        </w:rPr>
        <w:fldChar w:fldCharType="end"/>
      </w:r>
      <w:r w:rsidR="00FE4F9F">
        <w:rPr>
          <w:rFonts w:cs="Times New Roman"/>
          <w:noProof/>
          <w:szCs w:val="24"/>
        </w:rPr>
        <w:t>,</w:t>
      </w:r>
      <w:r>
        <w:rPr>
          <w:rFonts w:cs="Times New Roman"/>
          <w:szCs w:val="24"/>
        </w:rPr>
        <w:t xml:space="preserve"> though with the rainfall being concentrated in a shorter time period than 24 hours. The experimental results suggest that the presence of earthworms in the soil will</w:t>
      </w:r>
      <w:r w:rsidRPr="00301869">
        <w:rPr>
          <w:rFonts w:cs="Times New Roman"/>
          <w:szCs w:val="24"/>
        </w:rPr>
        <w:t xml:space="preserve"> </w:t>
      </w:r>
      <w:r>
        <w:rPr>
          <w:rFonts w:cs="Times New Roman"/>
          <w:szCs w:val="24"/>
        </w:rPr>
        <w:t xml:space="preserve">largely reduce </w:t>
      </w:r>
      <w:r w:rsidRPr="006D6C54">
        <w:rPr>
          <w:rFonts w:cs="Times New Roman"/>
          <w:szCs w:val="24"/>
        </w:rPr>
        <w:t xml:space="preserve">infiltration-excess overland flow </w:t>
      </w:r>
      <w:r>
        <w:rPr>
          <w:rFonts w:cs="Times New Roman"/>
          <w:szCs w:val="24"/>
        </w:rPr>
        <w:t xml:space="preserve">and flooding which would help </w:t>
      </w:r>
      <w:r w:rsidRPr="00301869">
        <w:rPr>
          <w:rFonts w:cs="Times New Roman"/>
          <w:szCs w:val="24"/>
        </w:rPr>
        <w:t>to alleviate negative effects of such events</w:t>
      </w:r>
      <w:r>
        <w:rPr>
          <w:rFonts w:cs="Times New Roman"/>
          <w:szCs w:val="24"/>
        </w:rPr>
        <w:t>.</w:t>
      </w:r>
      <w:r w:rsidRPr="00301869">
        <w:rPr>
          <w:rFonts w:cs="Times New Roman"/>
          <w:szCs w:val="24"/>
        </w:rPr>
        <w:t xml:space="preserve"> </w:t>
      </w:r>
      <w:r>
        <w:rPr>
          <w:rFonts w:cs="Times New Roman"/>
          <w:szCs w:val="24"/>
        </w:rPr>
        <w:t>Differences between fields as opposed to treatments are discussed in the text accompanying Figure S3.</w:t>
      </w:r>
    </w:p>
    <w:p w14:paraId="143E92F0" w14:textId="77777777" w:rsidR="0038409E" w:rsidRPr="00ED2026" w:rsidRDefault="0038409E" w:rsidP="001448A4">
      <w:pPr>
        <w:pStyle w:val="ListParagraph"/>
        <w:numPr>
          <w:ilvl w:val="2"/>
          <w:numId w:val="14"/>
        </w:numPr>
        <w:spacing w:before="360" w:after="240" w:line="480" w:lineRule="auto"/>
        <w:jc w:val="both"/>
        <w:outlineLvl w:val="3"/>
        <w:rPr>
          <w:rFonts w:cs="Times New Roman"/>
          <w:bCs/>
          <w:i/>
          <w:iCs/>
          <w:szCs w:val="24"/>
        </w:rPr>
      </w:pPr>
      <w:r w:rsidRPr="00ED2026">
        <w:rPr>
          <w:rFonts w:cs="Times New Roman"/>
          <w:bCs/>
          <w:i/>
          <w:iCs/>
          <w:szCs w:val="24"/>
        </w:rPr>
        <w:t xml:space="preserve">Water flow changes </w:t>
      </w:r>
      <w:r>
        <w:rPr>
          <w:rFonts w:cs="Times New Roman"/>
          <w:bCs/>
          <w:i/>
          <w:iCs/>
          <w:szCs w:val="24"/>
        </w:rPr>
        <w:t>between</w:t>
      </w:r>
      <w:r w:rsidRPr="00ED2026">
        <w:rPr>
          <w:rFonts w:cs="Times New Roman"/>
          <w:bCs/>
          <w:i/>
          <w:iCs/>
          <w:szCs w:val="24"/>
        </w:rPr>
        <w:t xml:space="preserve"> </w:t>
      </w:r>
      <w:r>
        <w:rPr>
          <w:rFonts w:cs="Times New Roman"/>
          <w:bCs/>
          <w:i/>
          <w:iCs/>
          <w:szCs w:val="24"/>
        </w:rPr>
        <w:t xml:space="preserve">the </w:t>
      </w:r>
      <w:r w:rsidRPr="00ED2026">
        <w:rPr>
          <w:rFonts w:cs="Times New Roman"/>
          <w:bCs/>
          <w:i/>
          <w:iCs/>
          <w:szCs w:val="24"/>
        </w:rPr>
        <w:t xml:space="preserve">seasons </w:t>
      </w:r>
    </w:p>
    <w:p w14:paraId="3F97B796" w14:textId="77777777" w:rsidR="0038409E" w:rsidRDefault="0038409E" w:rsidP="001448A4">
      <w:pPr>
        <w:spacing w:line="480" w:lineRule="auto"/>
        <w:jc w:val="both"/>
        <w:rPr>
          <w:rFonts w:cs="Times New Roman"/>
          <w:szCs w:val="24"/>
        </w:rPr>
      </w:pPr>
      <w:r w:rsidRPr="006B6F83">
        <w:rPr>
          <w:rFonts w:cs="Times New Roman"/>
          <w:i/>
          <w:szCs w:val="24"/>
        </w:rPr>
        <w:t>K</w:t>
      </w:r>
      <w:r>
        <w:rPr>
          <w:rFonts w:cs="Times New Roman"/>
          <w:szCs w:val="24"/>
        </w:rPr>
        <w:t xml:space="preserve"> is a dynamic property influenced by, amongst other things, climate, management practices and biological activity</w:t>
      </w:r>
      <w:r w:rsidR="00DE23A9">
        <w:rPr>
          <w:rFonts w:cs="Times New Roman"/>
          <w:szCs w:val="24"/>
        </w:rPr>
        <w:t xml:space="preserve"> </w:t>
      </w:r>
      <w:r w:rsidR="00DE23A9">
        <w:rPr>
          <w:rFonts w:cs="Times New Roman"/>
          <w:szCs w:val="24"/>
        </w:rPr>
        <w:fldChar w:fldCharType="begin" w:fldLock="1"/>
      </w:r>
      <w:r w:rsidR="00DE23A9">
        <w:rPr>
          <w:rFonts w:cs="Times New Roman"/>
          <w:szCs w:val="24"/>
        </w:rPr>
        <w:instrText>ADDIN CSL_CITATION {"citationItems":[{"id":"ITEM-1","itemData":{"DOI":"10.4236/jwarp.2014.617143","author":[{"dropping-particle":"","family":"Amer","given":"Abdelmonem Mohamed","non-dropping-particle":"","parse-names":false,"suffix":""},{"dropping-particle":"","family":"Suarez","given":"Carmen","non-dropping-particle":"","parse-names":false,"suffix":""},{"dropping-particle":"","family":"Valverde","given":"Felix","non-dropping-particle":"","parse-names":false,"suffix":""},{"dropping-particle":"","family":"Carranza","given":"Roberto","non-dropping-particle":"","parse-names":false,"suffix":""},{"dropping-particle":"","family":"Matute","given":"Leonardo","non-dropping-particle":"","parse-names":false,"suffix":""},{"dropping-particle":"","family":"Delfini","given":"Gabriel","non-dropping-particle":"","parse-names":false,"suffix":""}],"container-title":"Journal of Water Resource and Protection","id":"ITEM-1","issued":{"date-parts":[["2014"]]},"page":"13","title":"Saturated Hydraulic Conductivity Changes with Time and Its Prediction at SAR and Salinity in Quevedo Region Soils","type":"article-journal","volume":"Vol.06No.1"},"uris":["http://www.mendeley.com/documents/?uuid=72435836-77da-452c-9c71-9264339a4318"]},{"id":"ITEM-2","itemData":{"DOI":"https://doi.org/10.1016/j.geoderma.2017.11.011","ISBN":"0016-7061","author":[{"dropping-particle":"","family":"Elhakeem","given":"Mohamed","non-dropping-particle":"","parse-names":false,"suffix":""},{"dropping-particle":"","family":"Papanicolaou","given":"A N Thanos","non-dropping-particle":"","parse-names":false,"suffix":""},{"dropping-particle":"","family":"Wilson","given":"Christopher G","non-dropping-particle":"","parse-names":false,"suffix":""},{"dropping-particle":"","family":"Chang","given":"Yi-Jia","non-dropping-particle":"","parse-names":false,"suffix":""},{"dropping-particle":"","family":"Burras","given":"Lee","non-dropping-particle":"","parse-names":false,"suffix":""},{"dropping-particle":"","family":"Abban","given":"Benjamin","non-dropping-particle":"","parse-names":false,"suffix":""},{"dropping-particle":"","family":"Wysocki","given":"Douglas A","non-dropping-particle":"","parse-names":false,"suffix":""},{"dropping-particle":"","family":"Wills","given":"Skye","non-dropping-particle":"","parse-names":false,"suffix":""}],"container-title":"Geoderma","id":"ITEM-2","issued":{"date-parts":[["2018"]]},"page":"75-87","title":"Understanding saturated hydraulic conductivity under seasonal changes in climate and land use","type":"article-journal","volume":"315"},"uris":["http://www.mendeley.com/documents/?uuid=18e23acb-36ff-497d-ac76-969469c77255"]}],"mendeley":{"formattedCitation":"(Amer et al., 2014; Elhakeem et al., 2018)","plainTextFormattedCitation":"(Amer et al., 2014; Elhakeem et al., 2018)","previouslyFormattedCitation":"(Amer et al., 2014; Elhakeem et al., 2018)"},"properties":{"noteIndex":0},"schema":"https://github.com/citation-style-language/schema/raw/master/csl-citation.json"}</w:instrText>
      </w:r>
      <w:r w:rsidR="00DE23A9">
        <w:rPr>
          <w:rFonts w:cs="Times New Roman"/>
          <w:szCs w:val="24"/>
        </w:rPr>
        <w:fldChar w:fldCharType="separate"/>
      </w:r>
      <w:r w:rsidR="00DE23A9" w:rsidRPr="00DE23A9">
        <w:rPr>
          <w:rFonts w:cs="Times New Roman"/>
          <w:noProof/>
          <w:szCs w:val="24"/>
          <w:lang w:val="en-GB"/>
        </w:rPr>
        <w:t>(Amer et al., 2014; Elhakeem et al., 2018)</w:t>
      </w:r>
      <w:r w:rsidR="00DE23A9">
        <w:rPr>
          <w:rFonts w:cs="Times New Roman"/>
          <w:szCs w:val="24"/>
        </w:rPr>
        <w:fldChar w:fldCharType="end"/>
      </w:r>
      <w:r w:rsidR="00DE23A9">
        <w:rPr>
          <w:rFonts w:cs="Times New Roman"/>
          <w:szCs w:val="24"/>
        </w:rPr>
        <w:t>.</w:t>
      </w:r>
      <w:r w:rsidRPr="00DE23A9">
        <w:rPr>
          <w:rFonts w:cs="Times New Roman"/>
          <w:szCs w:val="24"/>
          <w:lang w:val="en-GB"/>
        </w:rPr>
        <w:t xml:space="preserve"> </w:t>
      </w:r>
      <w:r>
        <w:rPr>
          <w:rFonts w:cs="Times New Roman"/>
          <w:szCs w:val="24"/>
        </w:rPr>
        <w:t>As in previous studies</w:t>
      </w:r>
      <w:r w:rsidR="00DE23A9">
        <w:rPr>
          <w:rFonts w:cs="Times New Roman"/>
          <w:szCs w:val="24"/>
        </w:rPr>
        <w:t xml:space="preserve"> </w:t>
      </w:r>
      <w:r w:rsidR="00DE23A9">
        <w:rPr>
          <w:rFonts w:cs="Times New Roman"/>
          <w:szCs w:val="24"/>
        </w:rPr>
        <w:fldChar w:fldCharType="begin" w:fldLock="1"/>
      </w:r>
      <w:r w:rsidR="0062393E">
        <w:rPr>
          <w:rFonts w:cs="Times New Roman"/>
          <w:szCs w:val="24"/>
        </w:rPr>
        <w:instrText>ADDIN CSL_CITATION {"citationItems":[{"id":"ITEM-1","itemData":{"DOI":"https://doi.org/10.1016/j.geoderma.2009.05.023","ISBN":"0016-7061","author":[{"dropping-particle":"","family":"Alletto","given":"Lionel","non-dropping-particle":"","parse-names":false,"suffix":""},{"dropping-particle":"","family":"Coquet","given":"Yves","non-dropping-particle":"","parse-names":false,"suffix":""}],"container-title":"Geoderma","id":"ITEM-1","issue":"1","issued":{"date-parts":[["2009"]]},"page":"85-94","title":"Temporal and spatial variability of soil bulk density and near-saturated hydraulic conductivity under two contrasted tillage management systems","type":"article-journal","volume":"152"},"uris":["http://www.mendeley.com/documents/?uuid=75d75fc4-7228-4c81-90f6-88465dea3d41"]},{"id":"ITEM-2","itemData":{"DOI":"10.3844/ajessp.2012.489.502","author":[{"dropping-particle":"","family":"Deb","given":"S K","non-dropping-particle":"","parse-names":false,"suffix":""},{"dropping-particle":"","family":"Shukla","given":"M K","non-dropping-particle":"","parse-names":false,"suffix":""}],"container-title":"American Journal of Environmental Sciences","id":"ITEM-2","issue":"5","issued":{"date-parts":[["2012"]]},"note":"Cited By :12\nExport Date: 11 September 2018","page":"489-502","title":"Variability of hydraulic conductivity due to multiple factors","type":"article-journal","volume":"8"},"uris":["http://www.mendeley.com/documents/?uuid=cc11b04d-b8f1-4477-81c8-04fc1c388ce0"]},{"id":"ITEM-3","itemData":{"DOI":"https://doi.org/10.1016/j.still.2008.01.007","ISBN":"0167-1987","author":[{"dropping-particle":"","family":"Strudley","given":"Mark W","non-dropping-particle":"","parse-names":false,"suffix":""},{"dropping-particle":"","family":"Green","given":"Timothy R","non-dropping-particle":"","parse-names":false,"suffix":""},{"dropping-particle":"","family":"Ascough","given":"James C","non-dropping-particle":"","parse-names":false,"suffix":""}],"container-title":"Soil and Tillage Research","id":"ITEM-3","issue":"1","issued":{"date-parts":[["2008"]]},"page":"4-48","title":"Tillage effects on soil hydraulic properties in space and time: State of the science","type":"article-journal","volume":"99"},"uris":["http://www.mendeley.com/documents/?uuid=c1e6377c-ca3f-453a-a7c3-764636e564aa"]}],"mendeley":{"formattedCitation":"(Alletto and Coquet, 2009; Deb and Shukla, 2012; Strudley et al., 2008)","plainTextFormattedCitation":"(Alletto and Coquet, 2009; Deb and Shukla, 2012; Strudley et al., 2008)","previouslyFormattedCitation":"(Alletto and Coquet, 2009; Deb and Shukla, 2012; Strudley et al., 2008)"},"properties":{"noteIndex":0},"schema":"https://github.com/citation-style-language/schema/raw/master/csl-citation.json"}</w:instrText>
      </w:r>
      <w:r w:rsidR="00DE23A9">
        <w:rPr>
          <w:rFonts w:cs="Times New Roman"/>
          <w:szCs w:val="24"/>
        </w:rPr>
        <w:fldChar w:fldCharType="separate"/>
      </w:r>
      <w:r w:rsidR="00DE23A9" w:rsidRPr="00DE23A9">
        <w:rPr>
          <w:rFonts w:cs="Times New Roman"/>
          <w:noProof/>
          <w:szCs w:val="24"/>
        </w:rPr>
        <w:t>(Alletto and Coquet, 2009; Deb and Shukla, 2012; Strudley et al., 2008)</w:t>
      </w:r>
      <w:r w:rsidR="00DE23A9">
        <w:rPr>
          <w:rFonts w:cs="Times New Roman"/>
          <w:szCs w:val="24"/>
        </w:rPr>
        <w:fldChar w:fldCharType="end"/>
      </w:r>
      <w:r w:rsidR="00DE23A9">
        <w:rPr>
          <w:rFonts w:cs="Times New Roman"/>
          <w:szCs w:val="24"/>
        </w:rPr>
        <w:t>,</w:t>
      </w:r>
      <w:r>
        <w:rPr>
          <w:rFonts w:cs="Times New Roman"/>
          <w:szCs w:val="24"/>
        </w:rPr>
        <w:t xml:space="preserve"> </w:t>
      </w:r>
      <w:r w:rsidRPr="00A11D32">
        <w:rPr>
          <w:rFonts w:cs="Times New Roman"/>
          <w:i/>
          <w:szCs w:val="24"/>
        </w:rPr>
        <w:t>K</w:t>
      </w:r>
      <w:r>
        <w:rPr>
          <w:rFonts w:cs="Times New Roman"/>
          <w:szCs w:val="24"/>
        </w:rPr>
        <w:t xml:space="preserve"> measured at different tensions varied significantly across the seasons. In this study we largely used measures of </w:t>
      </w:r>
      <w:r w:rsidRPr="000E5AA4">
        <w:rPr>
          <w:rFonts w:cs="Times New Roman"/>
          <w:i/>
          <w:szCs w:val="24"/>
        </w:rPr>
        <w:t>K</w:t>
      </w:r>
      <w:r>
        <w:rPr>
          <w:rFonts w:cs="Times New Roman"/>
          <w:i/>
          <w:szCs w:val="24"/>
          <w:vertAlign w:val="subscript"/>
        </w:rPr>
        <w:t>1</w:t>
      </w:r>
      <w:r>
        <w:rPr>
          <w:rFonts w:cs="Times New Roman"/>
          <w:szCs w:val="24"/>
        </w:rPr>
        <w:t xml:space="preserve">, </w:t>
      </w:r>
      <w:r w:rsidRPr="000E5AA4">
        <w:rPr>
          <w:rFonts w:cs="Times New Roman"/>
          <w:i/>
          <w:szCs w:val="24"/>
        </w:rPr>
        <w:t>K</w:t>
      </w:r>
      <w:r>
        <w:rPr>
          <w:rFonts w:cs="Times New Roman"/>
          <w:i/>
          <w:szCs w:val="24"/>
          <w:vertAlign w:val="subscript"/>
        </w:rPr>
        <w:t>3</w:t>
      </w:r>
      <w:r>
        <w:rPr>
          <w:rFonts w:cs="Times New Roman"/>
          <w:szCs w:val="24"/>
        </w:rPr>
        <w:t xml:space="preserve"> and </w:t>
      </w:r>
      <w:r w:rsidRPr="000E5AA4">
        <w:rPr>
          <w:rFonts w:cs="Times New Roman"/>
          <w:i/>
          <w:szCs w:val="24"/>
        </w:rPr>
        <w:t>K</w:t>
      </w:r>
      <w:r>
        <w:rPr>
          <w:rFonts w:cs="Times New Roman"/>
          <w:i/>
          <w:szCs w:val="24"/>
          <w:vertAlign w:val="subscript"/>
        </w:rPr>
        <w:t>6</w:t>
      </w:r>
      <w:r>
        <w:rPr>
          <w:rFonts w:cs="Times New Roman"/>
          <w:szCs w:val="24"/>
        </w:rPr>
        <w:t xml:space="preserve"> to determine the proportion of water flow through different pore sizes, therefore in this section we focus on </w:t>
      </w:r>
      <w:r w:rsidRPr="000E5AA4">
        <w:rPr>
          <w:rFonts w:cs="Times New Roman"/>
          <w:i/>
          <w:szCs w:val="24"/>
        </w:rPr>
        <w:t>K</w:t>
      </w:r>
      <w:r w:rsidRPr="000E5AA4">
        <w:rPr>
          <w:rFonts w:cs="Times New Roman"/>
          <w:i/>
          <w:szCs w:val="24"/>
          <w:vertAlign w:val="subscript"/>
        </w:rPr>
        <w:t>0.</w:t>
      </w:r>
      <w:r w:rsidRPr="00633166">
        <w:rPr>
          <w:rFonts w:cs="Times New Roman"/>
          <w:szCs w:val="24"/>
          <w:vertAlign w:val="subscript"/>
        </w:rPr>
        <w:t>5</w:t>
      </w:r>
      <w:r>
        <w:rPr>
          <w:rFonts w:cs="Times New Roman"/>
          <w:szCs w:val="24"/>
        </w:rPr>
        <w:t xml:space="preserve"> as this is close to hydraulic conductivity at saturation and allows comparison with other studies.</w:t>
      </w:r>
    </w:p>
    <w:p w14:paraId="3A6ACA63" w14:textId="77777777" w:rsidR="0038409E" w:rsidRDefault="0038409E" w:rsidP="001448A4">
      <w:pPr>
        <w:spacing w:line="480" w:lineRule="auto"/>
        <w:jc w:val="both"/>
        <w:rPr>
          <w:rFonts w:cs="Times New Roman"/>
          <w:szCs w:val="24"/>
        </w:rPr>
      </w:pPr>
      <w:r>
        <w:rPr>
          <w:rFonts w:cs="Times New Roman"/>
          <w:szCs w:val="24"/>
        </w:rPr>
        <w:t xml:space="preserve">Our initial hypotheses were that </w:t>
      </w:r>
      <w:r w:rsidRPr="00E54757">
        <w:rPr>
          <w:rFonts w:cs="Times New Roman"/>
          <w:i/>
          <w:szCs w:val="24"/>
        </w:rPr>
        <w:t>K</w:t>
      </w:r>
      <w:r>
        <w:rPr>
          <w:rFonts w:cs="Times New Roman"/>
          <w:szCs w:val="24"/>
        </w:rPr>
        <w:t xml:space="preserve"> would increase with earthworm activity and in line with the seasonal activity of earthworms. By the end of our experiment our data supported our first hypothesis, but it failed to fully support the second part of our hypothesis. </w:t>
      </w:r>
      <w:r w:rsidRPr="00A11D32">
        <w:rPr>
          <w:rFonts w:cs="Times New Roman"/>
          <w:i/>
          <w:szCs w:val="24"/>
        </w:rPr>
        <w:t>K</w:t>
      </w:r>
      <w:r w:rsidRPr="003E41B8">
        <w:rPr>
          <w:rFonts w:cs="Times New Roman"/>
          <w:i/>
          <w:szCs w:val="24"/>
          <w:vertAlign w:val="subscript"/>
        </w:rPr>
        <w:t>0.5</w:t>
      </w:r>
      <w:r>
        <w:rPr>
          <w:rFonts w:cs="Times New Roman"/>
          <w:szCs w:val="24"/>
        </w:rPr>
        <w:t xml:space="preserve"> increased significantly in summer 2017 when soils were dry and earthworm activity would be expected to decrease compared to spring 2017</w:t>
      </w:r>
      <w:r w:rsidR="0062393E">
        <w:rPr>
          <w:rFonts w:cs="Times New Roman"/>
          <w:szCs w:val="24"/>
        </w:rPr>
        <w:t xml:space="preserve"> </w:t>
      </w:r>
      <w:r w:rsidR="0062393E">
        <w:rPr>
          <w:rFonts w:cs="Times New Roman"/>
          <w:szCs w:val="24"/>
        </w:rPr>
        <w:fldChar w:fldCharType="begin" w:fldLock="1"/>
      </w:r>
      <w:r w:rsidR="0062393E">
        <w:rPr>
          <w:rFonts w:cs="Times New Roman"/>
          <w:szCs w:val="24"/>
        </w:rPr>
        <w:instrText>ADDIN CSL_CITATION {"citationItems":[{"id":"ITEM-1","itemData":{"DOI":"doi:10.1046/j.1365-2664.1999.00389.x","abstract":"1. Earthworms (Annelida: Oligochaeta) were sampled on four occasions (spring, summer, autumn and winter) at 14 sites along two transects from a primary lead/ zinc/cadmium smelting works at Avonmouth, UK. 2. Total abundance and biomass of earthworms decreased with proximity to the smelter. No worms were collected from the two sites closest to the factory (&lt;0·6 km) and catches were significantly lower than controls at a further five sites (&lt;3 km). 3. Seasonal composition of sampled communities differed only for summer with lower numbers of individuals and species collected at all sites. Reduced catches in the summer sample is a response to drought. 4. Species richness was lowest at sites close to the factory. For example, worms such as Aporrectodea caliginosa (Savigny) and Allolobophora chlorotica (Savigny) that were dominant at relatively clean sites further from the smelter are absent from the most contaminated soils. 5. Reduced species richness resulted in lower Shannon–Weiner diversity and higher Berger–Parker dominance. Multivariate cluster analysis for spring, summer and winter indicated that sites could be split into three groups based upon relative species composition. In autumn, two clusters were identified. 6. The absence of sensitive species from sites close to the smelting works supports the inclusion of earthworms as a key group in a terrestrial prediction and classification scheme for quantifying the effects of pollutants on soil biodiversity. However, sampling should be carried out in spring or autumn to obtain an accurate picture of community structure.","author":[{"dropping-particle":"","family":"Spurgeon","given":"D J","non-dropping-particle":"","parse-names":false,"suffix":""},{"dropping-particle":"","family":"Hopkin","given":"S P","non-dropping-particle":"","parse-names":false,"suffix":""}],"container-title":"Journal of Applied Ecology","id":"ITEM-1","issue":"1","issued":{"date-parts":[["1999"]]},"page":"173-183","title":"Seasonal variation in the abundance, biomass and biodiversity of earthworms in soils contaminated with metal emissions from a primary smelting works","type":"article-journal","volume":"36"},"uris":["http://www.mendeley.com/documents/?uuid=d240473e-3deb-4e05-ba24-cb934eb2f1ae"]}],"mendeley":{"formattedCitation":"(Spurgeon and Hopkin, 1999)","plainTextFormattedCitation":"(Spurgeon and Hopkin, 1999)","previouslyFormattedCitation":"(Spurgeon and Hopkin, 1999)"},"properties":{"noteIndex":0},"schema":"https://github.com/citation-style-language/schema/raw/master/csl-citation.json"}</w:instrText>
      </w:r>
      <w:r w:rsidR="0062393E">
        <w:rPr>
          <w:rFonts w:cs="Times New Roman"/>
          <w:szCs w:val="24"/>
        </w:rPr>
        <w:fldChar w:fldCharType="separate"/>
      </w:r>
      <w:r w:rsidR="0062393E" w:rsidRPr="0062393E">
        <w:rPr>
          <w:rFonts w:cs="Times New Roman"/>
          <w:noProof/>
          <w:szCs w:val="24"/>
        </w:rPr>
        <w:t>(Spurgeon and Hopkin, 1999)</w:t>
      </w:r>
      <w:r w:rsidR="0062393E">
        <w:rPr>
          <w:rFonts w:cs="Times New Roman"/>
          <w:szCs w:val="24"/>
        </w:rPr>
        <w:fldChar w:fldCharType="end"/>
      </w:r>
      <w:r>
        <w:rPr>
          <w:rFonts w:cs="Times New Roman"/>
          <w:szCs w:val="24"/>
        </w:rPr>
        <w:t xml:space="preserve"> and was unchanged during autumn 2017 when typically earthworms that aestivated over the summer start working the soil again as conditions become more moist and grass and clover litter accumulates on the soil surface </w:t>
      </w:r>
      <w:r w:rsidR="0062393E">
        <w:rPr>
          <w:rFonts w:cs="Times New Roman"/>
          <w:szCs w:val="24"/>
        </w:rPr>
        <w:fldChar w:fldCharType="begin" w:fldLock="1"/>
      </w:r>
      <w:r w:rsidR="00D320D5">
        <w:rPr>
          <w:rFonts w:cs="Times New Roman"/>
          <w:szCs w:val="24"/>
        </w:rPr>
        <w:instrText>ADDIN CSL_CITATION {"citationItems":[{"id":"ITEM-1","itemData":{"ISBN":"10778306, 17447410","abstract":"We report the results of a laboratory study of the aestivation of Hormogaster elisae to determine the nature of the inactive period (diapause or quiescence) and to evaluate the influence of soil moisture, temperature, season, and earthworm body weight on the process. The results showed that specimens of H. elisae underwent facultative diapause-paradia-pause-characterized by the construction of aestivation chambers in which the animal coils up and its activity decreases. Soil moisture appeared to be the most important environmental factor involved in the onset of aestivation. Temperature and time of year also had some influence, but earthworm body weight appeared to have none. Aestivating earthworms showed a decrease of 41.6% in mean body weight. Once replaced in soil with 20% moisture content, they took 6.4 &amp;#xb1; 3.1 d to exit their chambers and another 6.5 &amp;#xb1; 3.6 d to recover their initial body weight.","author":[{"dropping-particle":"","family":"Dar","given":"","non-dropping-particle":"","parse-names":false,"suffix":""},{"dropping-particle":"","family":"xed","given":"","non-dropping-particle":"","parse-names":false,"suffix":""},{"dropping-particle":"","family":"o","given":"J D","non-dropping-particle":"","parse-names":false,"suffix":""},{"dropping-particle":"","family":"xed","given":"","non-dropping-particle":"","parse-names":false,"suffix":""},{"dropping-particle":"","family":"az","given":"Cosin","non-dropping-particle":"","parse-names":false,"suffix":""},{"dropping-particle":"","family":"Mar","given":"","non-dropping-particle":"","parse-names":false,"suffix":""},{"dropping-particle":"","family":"xed","given":"","non-dropping-particle":"","parse-names":false,"suffix":""},{"dropping-particle":"","family":"a Pilar","given":"Ruiz","non-dropping-particle":"","parse-names":false,"suffix":""},{"dropping-particle":"","family":"Marta","given":"Ramajo","non-dropping-particle":"","parse-names":false,"suffix":""},{"dropping-particle":"","family":"xf","given":"","non-dropping-particle":"","parse-names":false,"suffix":""},{"dropping-particle":"","family":"nica","given":"Guti","non-dropping-particle":"","parse-names":false,"suffix":""},{"dropping-particle":"","family":"xe","given":"","non-dropping-particle":"","parse-names":false,"suffix":""},{"dropping-particle":"","family":"rrez","given":"","non-dropping-particle":"","parse-names":false,"suffix":""}],"container-title":"Invertebrate Biology","id":"ITEM-1","issue":"3","issued":{"date-parts":[["2006"]]},"page":"250-255","publisher":"[Wiley, American Microscopical Society]","title":"Is the aestivation of the earthworm hormogaster elisae a paradiapause?","type":"article-journal","volume":"125"},"uris":["http://www.mendeley.com/documents/?uuid=65e795ce-4e1f-4e2f-9cf6-c65ec747c5af"]},{"id":"ITEM-2","itemData":{"DOI":"10.1093/beheco/12.5.612","ISBN":"1045-2249","abstract":"In the earthworm Lumbricus terrestris L., mating occurs on the soil surface, but partners remain anchored in their burrow and mating is preceded by repeated mutual burrow visits between neighbors. This study focuses on body size as one possible trait that earthworms may assess during these burrow visits. Size-related mate choice is predicted to result in size-assortative mating, which we found in one field sample (n = 90 pairs), but not in a second (n = 102). We discovered that when mates separate, one of them can be pulled out of its burrow. This was more likely for small individuals or those mating across wide distances. In a subsequent greenhouse experiment, we allowed focal individuals to mate with two neighbors of different sizes. Relative size affected neither mating rate nor primary preference, but focals mated sooner with the same-sized neighbor than with a differently sized one. Small focals visited large neighbors more often than small ones. We conclude that size influences mate choice as well as the outcome of mating and discuss how the “tug-of-war” that ends a mating contributes to this result. Precopulatory visits may involve assessment as well as enticement to lure the partner closer to the individual's own burrow, in order to minimize the risk when mating with a partner that is large or far away.","author":[{"dropping-particle":"","family":"Michiels","given":"Nico K","non-dropping-particle":"","parse-names":false,"suffix":""},{"dropping-particle":"","family":"Hohner","given":"Andrea","non-dropping-particle":"","parse-names":false,"suffix":""},{"dropping-particle":"","family":"Vorndran","given":"Iris C","non-dropping-particle":"","parse-names":false,"suffix":""}],"container-title":"Behavioral Ecology","id":"ITEM-2","issue":"5","issued":{"date-parts":[["2001"]]},"note":"10.1093/beheco/12.5.612","page":"612-618","title":"Precopulatory mate assessment in relation to body size in the earthworm Lumbricus terrestris: avoidance of dangerous liaisons?","type":"article-journal","volume":"12"},"uris":["http://www.mendeley.com/documents/?uuid=1612cf14-b046-4b3e-b2e0-b47a332a2862"]}],"mendeley":{"formattedCitation":"(Dar et al., 2006; Michiels et al., 2001)","plainTextFormattedCitation":"(Dar et al., 2006; Michiels et al., 2001)","previouslyFormattedCitation":"(Dar et al., 2006; Michiels et al., 2001)"},"properties":{"noteIndex":0},"schema":"https://github.com/citation-style-language/schema/raw/master/csl-citation.json"}</w:instrText>
      </w:r>
      <w:r w:rsidR="0062393E">
        <w:rPr>
          <w:rFonts w:cs="Times New Roman"/>
          <w:szCs w:val="24"/>
        </w:rPr>
        <w:fldChar w:fldCharType="separate"/>
      </w:r>
      <w:r w:rsidR="0062393E" w:rsidRPr="0062393E">
        <w:rPr>
          <w:rFonts w:cs="Times New Roman"/>
          <w:noProof/>
          <w:szCs w:val="24"/>
          <w:lang w:val="en-GB"/>
        </w:rPr>
        <w:t>(Dar et al., 2006; Michiels et al., 2001)</w:t>
      </w:r>
      <w:r w:rsidR="0062393E">
        <w:rPr>
          <w:rFonts w:cs="Times New Roman"/>
          <w:szCs w:val="24"/>
        </w:rPr>
        <w:fldChar w:fldCharType="end"/>
      </w:r>
      <w:r w:rsidR="0062393E">
        <w:rPr>
          <w:rFonts w:cs="Times New Roman"/>
          <w:szCs w:val="24"/>
        </w:rPr>
        <w:t>.</w:t>
      </w:r>
      <w:r w:rsidRPr="0062393E">
        <w:rPr>
          <w:rFonts w:cs="Times New Roman"/>
          <w:szCs w:val="24"/>
          <w:lang w:val="en-GB"/>
        </w:rPr>
        <w:t xml:space="preserve"> </w:t>
      </w:r>
      <w:r w:rsidRPr="00A11D32">
        <w:rPr>
          <w:rFonts w:cs="Times New Roman"/>
          <w:i/>
          <w:szCs w:val="24"/>
        </w:rPr>
        <w:t>K</w:t>
      </w:r>
      <w:r w:rsidRPr="003E41B8">
        <w:rPr>
          <w:rFonts w:cs="Times New Roman"/>
          <w:i/>
          <w:szCs w:val="24"/>
          <w:vertAlign w:val="subscript"/>
        </w:rPr>
        <w:t>0.5</w:t>
      </w:r>
      <w:r>
        <w:rPr>
          <w:rFonts w:cs="Times New Roman"/>
          <w:i/>
          <w:szCs w:val="24"/>
          <w:vertAlign w:val="subscript"/>
        </w:rPr>
        <w:t xml:space="preserve"> </w:t>
      </w:r>
      <w:r>
        <w:rPr>
          <w:rFonts w:cs="Times New Roman"/>
          <w:szCs w:val="24"/>
        </w:rPr>
        <w:t>then decreased considerably in winter 2017-18 (January 2018) when soils are wet, facilitating earthworm movement and the hatching activity of some species starts to increase</w:t>
      </w:r>
      <w:r w:rsidR="00D320D5">
        <w:rPr>
          <w:rFonts w:cs="Times New Roman"/>
          <w:szCs w:val="24"/>
        </w:rPr>
        <w:t xml:space="preserve"> </w:t>
      </w:r>
      <w:r w:rsidR="00D320D5">
        <w:rPr>
          <w:rFonts w:cs="Times New Roman"/>
          <w:szCs w:val="24"/>
        </w:rPr>
        <w:fldChar w:fldCharType="begin" w:fldLock="1"/>
      </w:r>
      <w:r w:rsidR="009F56C1">
        <w:rPr>
          <w:rFonts w:cs="Times New Roman"/>
          <w:szCs w:val="24"/>
        </w:rPr>
        <w:instrText>ADDIN CSL_CITATION {"citationItems":[{"id":"ITEM-1","itemData":{"DOI":"10.1007/s00374-016-1173-x","ISBN":"1432-0789","abstract":"It is difficult to obtain non-destructive information on the seasonal dynamics of earthworms in northern forest soils. To overcome this, we used a Rhizotron facility to compile 7 years of data on the activity of anecic (Lumbricus terrestris) and endogeic (Aporrectodea caliginosa complex) earthworms in two contrasting soil/plant community types. We hypothesized that L. terrestris burrows would be used for longer than a typical L. terrestris lifetime, and that the distribution and activity pattern of the two earthworm species would respond differently to changes in soil moisture and temperature. For 7 years we recorded earthworm distribution and activity state bi-weekly to a depth of 1.5 m, tracked L. terrestris burrows using images captured annually, and measured soil temperature and moisture. Activity and vertical distribution of earthworms was closely linked to earthworm species and soil temperature in the fall, winter and spring. Lumbricus terrestris typically remained active through the winter, whereas the A. caliginosa complex was more likely to enter an aestivation period. Activity of all earthworms decreased substantially in July and August when soil temperature was at its highest and soil moisture at its lowest for the year. Most L. terrestris burrows were used continuously and moved very little during the 7-year study, likely creating spatiotemporally stable hotspots of soil resources. The different patterns of response of these species to soil temperature and moisture suggests that endogeic earthworms are more likely than anecic earthworms to adjust activity states in response to climate change mediated shifts in soil moisture and temperature.","author":[{"dropping-particle":"","family":"Potvin","given":"Lynette R","non-dropping-particle":"","parse-names":false,"suffix":""},{"dropping-particle":"","family":"Lilleskov","given":"Erik A","non-dropping-particle":"","parse-names":false,"suffix":""}],"container-title":"Biology and Fertility of Soils","id":"ITEM-1","issue":"2","issued":{"date-parts":[["2017"]]},"page":"187-198","title":"Introduced earthworm species exhibited unique patterns of seasonal activity and vertical distribution, and Lumbricus terrestris burrows remained usable for at least 7 years in hardwood and pine stands","type":"article-journal","volume":"53"},"uris":["http://www.mendeley.com/documents/?uuid=58b3f2f8-2f12-4ecc-adfe-233bf4ce714f"]},{"id":"ITEM-2","itemData":{"DOI":"doi:10.1046/j.1365-2664.1999.00389.x","abstract":"1. Earthworms (Annelida: Oligochaeta) were sampled on four occasions (spring, summer, autumn and winter) at 14 sites along two transects from a primary lead/ zinc/cadmium smelting works at Avonmouth, UK. 2. Total abundance and biomass of earthworms decreased with proximity to the smelter. No worms were collected from the two sites closest to the factory (&lt;0·6 km) and catches were significantly lower than controls at a further five sites (&lt;3 km). 3. Seasonal composition of sampled communities differed only for summer with lower numbers of individuals and species collected at all sites. Reduced catches in the summer sample is a response to drought. 4. Species richness was lowest at sites close to the factory. For example, worms such as Aporrectodea caliginosa (Savigny) and Allolobophora chlorotica (Savigny) that were dominant at relatively clean sites further from the smelter are absent from the most contaminated soils. 5. Reduced species richness resulted in lower Shannon–Weiner diversity and higher Berger–Parker dominance. Multivariate cluster analysis for spring, summer and winter indicated that sites could be split into three groups based upon relative species composition. In autumn, two clusters were identified. 6. The absence of sensitive species from sites close to the smelting works supports the inclusion of earthworms as a key group in a terrestrial prediction and classification scheme for quantifying the effects of pollutants on soil biodiversity. However, sampling should be carried out in spring or autumn to obtain an accurate picture of community structure.","author":[{"dropping-particle":"","family":"Spurgeon","given":"D J","non-dropping-particle":"","parse-names":false,"suffix":""},{"dropping-particle":"","family":"Hopkin","given":"S P","non-dropping-particle":"","parse-names":false,"suffix":""}],"container-title":"Journal of Applied Ecology","id":"ITEM-2","issue":"1","issued":{"date-parts":[["1999"]]},"page":"173-183","title":"Seasonal variation in the abundance, biomass and biodiversity of earthworms in soils contaminated with metal emissions from a primary smelting works","type":"article-journal","volume":"36"},"uris":["http://www.mendeley.com/documents/?uuid=d240473e-3deb-4e05-ba24-cb934eb2f1ae"]}],"mendeley":{"formattedCitation":"(Potvin and Lilleskov, 2017; Spurgeon and Hopkin, 1999)","plainTextFormattedCitation":"(Potvin and Lilleskov, 2017; Spurgeon and Hopkin, 1999)","previouslyFormattedCitation":"(Potvin and Lilleskov, 2017; Spurgeon and Hopkin, 1999)"},"properties":{"noteIndex":0},"schema":"https://github.com/citation-style-language/schema/raw/master/csl-citation.json"}</w:instrText>
      </w:r>
      <w:r w:rsidR="00D320D5">
        <w:rPr>
          <w:rFonts w:cs="Times New Roman"/>
          <w:szCs w:val="24"/>
        </w:rPr>
        <w:fldChar w:fldCharType="separate"/>
      </w:r>
      <w:r w:rsidR="00D320D5" w:rsidRPr="00D320D5">
        <w:rPr>
          <w:rFonts w:cs="Times New Roman"/>
          <w:noProof/>
          <w:szCs w:val="24"/>
        </w:rPr>
        <w:t>(Potvin and Lilleskov, 2017; Spurgeon and Hopkin, 1999)</w:t>
      </w:r>
      <w:r w:rsidR="00D320D5">
        <w:rPr>
          <w:rFonts w:cs="Times New Roman"/>
          <w:szCs w:val="24"/>
        </w:rPr>
        <w:fldChar w:fldCharType="end"/>
      </w:r>
      <w:r w:rsidR="00D320D5">
        <w:rPr>
          <w:rFonts w:cs="Times New Roman"/>
          <w:szCs w:val="24"/>
        </w:rPr>
        <w:t>.</w:t>
      </w:r>
      <w:r>
        <w:rPr>
          <w:rFonts w:cs="Times New Roman"/>
          <w:szCs w:val="24"/>
        </w:rPr>
        <w:t xml:space="preserve"> </w:t>
      </w:r>
    </w:p>
    <w:p w14:paraId="2DE30A16" w14:textId="77777777" w:rsidR="0038409E" w:rsidRDefault="0038409E" w:rsidP="001448A4">
      <w:pPr>
        <w:spacing w:line="480" w:lineRule="auto"/>
        <w:jc w:val="both"/>
        <w:rPr>
          <w:rFonts w:cs="Times New Roman"/>
          <w:szCs w:val="24"/>
        </w:rPr>
      </w:pPr>
      <w:r>
        <w:rPr>
          <w:rFonts w:cs="Times New Roman"/>
          <w:szCs w:val="24"/>
        </w:rPr>
        <w:t xml:space="preserve">The high monthly precipitation and temperatures during the summer of 2017 compared to the other seasons (see </w:t>
      </w:r>
      <w:r w:rsidRPr="00EF42B9">
        <w:rPr>
          <w:rFonts w:cs="Times New Roman"/>
          <w:szCs w:val="24"/>
        </w:rPr>
        <w:t>Table S</w:t>
      </w:r>
      <w:r>
        <w:rPr>
          <w:rFonts w:cs="Times New Roman"/>
          <w:szCs w:val="24"/>
        </w:rPr>
        <w:t xml:space="preserve">3) </w:t>
      </w:r>
      <w:r w:rsidRPr="00DA13A7">
        <w:rPr>
          <w:rFonts w:cs="Times New Roman"/>
          <w:szCs w:val="24"/>
        </w:rPr>
        <w:t>w</w:t>
      </w:r>
      <w:r>
        <w:rPr>
          <w:rFonts w:cs="Times New Roman"/>
          <w:szCs w:val="24"/>
        </w:rPr>
        <w:t>ould have induced multiple soil wetting-drying cycles, perhaps resulting in shrink-swell processes increasing aggregation and improving soil structure</w:t>
      </w:r>
      <w:r w:rsidR="009F56C1">
        <w:rPr>
          <w:rFonts w:cs="Times New Roman"/>
          <w:szCs w:val="24"/>
        </w:rPr>
        <w:t xml:space="preserve"> </w:t>
      </w:r>
      <w:r w:rsidR="009F56C1">
        <w:rPr>
          <w:rFonts w:cs="Times New Roman"/>
          <w:szCs w:val="24"/>
        </w:rPr>
        <w:fldChar w:fldCharType="begin" w:fldLock="1"/>
      </w:r>
      <w:r w:rsidR="009F56C1">
        <w:rPr>
          <w:rFonts w:cs="Times New Roman"/>
          <w:szCs w:val="24"/>
        </w:rPr>
        <w:instrText>ADDIN CSL_CITATION {"citationItems":[{"id":"ITEM-1","itemData":{"author":[{"dropping-particle":"","family":"Tang","given":"Chao-Sheng","non-dropping-particle":"","parse-names":false,"suffix":""},{"dropping-particle":"","family":"Cui","given":"Yu-Jun","non-dropping-particle":"","parse-names":false,"suffix":""},{"dropping-particle":"","family":"Shi","given":"Bin","non-dropping-particle":"","parse-names":false,"suffix":""},{"dropping-particle":"","family":"Tang","given":"Anh-Minh","non-dropping-particle":"","parse-names":false,"suffix":""},{"dropping-particle":"","family":"An","given":"Ni","non-dropping-particle":"","parse-names":false,"suffix":""}],"container-title":"E3S Web Conf.","id":"ITEM-1","issued":{"date-parts":[["2016"]]},"page":"12003","title":"Effect of wetting-drying cycles on soil desiccation cracking behaviour","type":"article-journal","volume":"9"},"uris":["http://www.mendeley.com/documents/?uuid=892b3758-5b5e-4c52-af1a-a108d52a46cf"]}],"mendeley":{"formattedCitation":"(Tang et al., 2016)","plainTextFormattedCitation":"(Tang et al., 2016)","previouslyFormattedCitation":"(Tang et al., 2016)"},"properties":{"noteIndex":0},"schema":"https://github.com/citation-style-language/schema/raw/master/csl-citation.json"}</w:instrText>
      </w:r>
      <w:r w:rsidR="009F56C1">
        <w:rPr>
          <w:rFonts w:cs="Times New Roman"/>
          <w:szCs w:val="24"/>
        </w:rPr>
        <w:fldChar w:fldCharType="separate"/>
      </w:r>
      <w:r w:rsidR="009F56C1" w:rsidRPr="009F56C1">
        <w:rPr>
          <w:rFonts w:cs="Times New Roman"/>
          <w:noProof/>
          <w:szCs w:val="24"/>
        </w:rPr>
        <w:t>(Tang et al., 2016)</w:t>
      </w:r>
      <w:r w:rsidR="009F56C1">
        <w:rPr>
          <w:rFonts w:cs="Times New Roman"/>
          <w:szCs w:val="24"/>
        </w:rPr>
        <w:fldChar w:fldCharType="end"/>
      </w:r>
      <w:r w:rsidR="009F56C1">
        <w:rPr>
          <w:rFonts w:cs="Times New Roman"/>
          <w:szCs w:val="24"/>
        </w:rPr>
        <w:t>.</w:t>
      </w:r>
      <w:r>
        <w:rPr>
          <w:rFonts w:cs="Times New Roman"/>
          <w:szCs w:val="24"/>
        </w:rPr>
        <w:t xml:space="preserve"> Soil mineralogy data are not available for the soils, so we are not able to say whether the clays present were those which demonstrate shrink-swell </w:t>
      </w:r>
      <w:proofErr w:type="spellStart"/>
      <w:r>
        <w:rPr>
          <w:rFonts w:cs="Times New Roman"/>
          <w:szCs w:val="24"/>
        </w:rPr>
        <w:t>behaviours</w:t>
      </w:r>
      <w:proofErr w:type="spellEnd"/>
      <w:r>
        <w:rPr>
          <w:rFonts w:cs="Times New Roman"/>
          <w:szCs w:val="24"/>
        </w:rPr>
        <w:t xml:space="preserve">. However, the study site is underlain by limestone and the soils are from the </w:t>
      </w:r>
      <w:proofErr w:type="spellStart"/>
      <w:r>
        <w:rPr>
          <w:rFonts w:cs="Times New Roman"/>
          <w:szCs w:val="24"/>
        </w:rPr>
        <w:t>Aberford</w:t>
      </w:r>
      <w:proofErr w:type="spellEnd"/>
      <w:r>
        <w:rPr>
          <w:rFonts w:cs="Times New Roman"/>
          <w:szCs w:val="24"/>
        </w:rPr>
        <w:t xml:space="preserve"> series of </w:t>
      </w:r>
      <w:proofErr w:type="spellStart"/>
      <w:r>
        <w:rPr>
          <w:rFonts w:cs="Times New Roman"/>
          <w:szCs w:val="24"/>
        </w:rPr>
        <w:t>Calcaric</w:t>
      </w:r>
      <w:proofErr w:type="spellEnd"/>
      <w:r>
        <w:rPr>
          <w:rFonts w:cs="Times New Roman"/>
          <w:szCs w:val="24"/>
        </w:rPr>
        <w:t xml:space="preserve"> </w:t>
      </w:r>
      <w:proofErr w:type="spellStart"/>
      <w:r>
        <w:rPr>
          <w:rFonts w:cs="Times New Roman"/>
          <w:szCs w:val="24"/>
        </w:rPr>
        <w:t>Endoleptic</w:t>
      </w:r>
      <w:proofErr w:type="spellEnd"/>
      <w:r>
        <w:rPr>
          <w:rFonts w:cs="Times New Roman"/>
          <w:szCs w:val="24"/>
        </w:rPr>
        <w:t xml:space="preserve"> Cambisols </w:t>
      </w:r>
      <w:r w:rsidR="009F56C1">
        <w:rPr>
          <w:rFonts w:cs="Times New Roman"/>
          <w:szCs w:val="24"/>
        </w:rPr>
        <w:fldChar w:fldCharType="begin" w:fldLock="1"/>
      </w:r>
      <w:r w:rsidR="0058668A">
        <w:rPr>
          <w:rFonts w:cs="Times New Roman"/>
          <w:szCs w:val="24"/>
        </w:rPr>
        <w:instrText>ADDIN CSL_CITATION {"citationItems":[{"id":"ITEM-1","itemData":{"URL":"http://www.landis.org.uk","author":[{"dropping-particle":"","family":"Cranfield University","given":"","non-dropping-particle":"","parse-names":false,"suffix":""}],"id":"ITEM-1","issue":"09/12/2019","issued":{"date-parts":[["2019"]]},"publisher-place":"Cranfield University, UK","title":"The Soils Guide","type":"webpage"},"uris":["http://www.mendeley.com/documents/?uuid=b104c3f0-bc33-42dc-a188-30bab523df26"]}],"mendeley":{"formattedCitation":"(Cranfield University, 2019)","plainTextFormattedCitation":"(Cranfield University, 2019)","previouslyFormattedCitation":"(Cranfield University, 2019)"},"properties":{"noteIndex":0},"schema":"https://github.com/citation-style-language/schema/raw/master/csl-citation.json"}</w:instrText>
      </w:r>
      <w:r w:rsidR="009F56C1">
        <w:rPr>
          <w:rFonts w:cs="Times New Roman"/>
          <w:szCs w:val="24"/>
        </w:rPr>
        <w:fldChar w:fldCharType="separate"/>
      </w:r>
      <w:r w:rsidR="009F56C1" w:rsidRPr="009F56C1">
        <w:rPr>
          <w:rFonts w:cs="Times New Roman"/>
          <w:noProof/>
          <w:szCs w:val="24"/>
        </w:rPr>
        <w:t>(Cranfield University, 2019)</w:t>
      </w:r>
      <w:r w:rsidR="009F56C1">
        <w:rPr>
          <w:rFonts w:cs="Times New Roman"/>
          <w:szCs w:val="24"/>
        </w:rPr>
        <w:fldChar w:fldCharType="end"/>
      </w:r>
      <w:r w:rsidR="009F56C1">
        <w:rPr>
          <w:rFonts w:cs="Times New Roman"/>
          <w:szCs w:val="24"/>
        </w:rPr>
        <w:t>,</w:t>
      </w:r>
      <w:r>
        <w:rPr>
          <w:rFonts w:cs="Times New Roman"/>
          <w:szCs w:val="24"/>
        </w:rPr>
        <w:t xml:space="preserve"> which are characterized by calcareous clay enrichment, and therefore may be only slightly prone to shrink-swell behavior when compared to non-calcareous equivalents </w:t>
      </w:r>
      <w:r w:rsidR="0058668A">
        <w:rPr>
          <w:rFonts w:cs="Times New Roman"/>
          <w:szCs w:val="24"/>
        </w:rPr>
        <w:fldChar w:fldCharType="begin" w:fldLock="1"/>
      </w:r>
      <w:r w:rsidR="0058668A">
        <w:rPr>
          <w:rFonts w:cs="Times New Roman"/>
          <w:szCs w:val="24"/>
        </w:rPr>
        <w:instrText>ADDIN CSL_CITATION {"citationItems":[{"id":"ITEM-1","itemData":{"author":[{"dropping-particle":"","family":"Avery","given":"B W","non-dropping-particle":"","parse-names":false,"suffix":""},{"dropping-particle":"","family":"Bullock","given":"P","non-dropping-particle":"","parse-names":false,"suffix":""}],"container-title":"Soil Survey of England and Wales","id":"ITEM-1","issued":{"date-parts":[["1977"]]},"publisher-place":"Harpenden, Rothamsted","title":"Mineralogy of clayey soils in relation to soil classification. Soil Survey, Technical Monograph No. 10","type":"report"},"uris":["http://www.mendeley.com/documents/?uuid=c7261c2a-1ea6-49bd-b1a1-1218b836e1e7"]}],"mendeley":{"formattedCitation":"(Avery and Bullock, 1977)","plainTextFormattedCitation":"(Avery and Bullock, 1977)","previouslyFormattedCitation":"(Avery and Bullock, 1977)"},"properties":{"noteIndex":0},"schema":"https://github.com/citation-style-language/schema/raw/master/csl-citation.json"}</w:instrText>
      </w:r>
      <w:r w:rsidR="0058668A">
        <w:rPr>
          <w:rFonts w:cs="Times New Roman"/>
          <w:szCs w:val="24"/>
        </w:rPr>
        <w:fldChar w:fldCharType="separate"/>
      </w:r>
      <w:r w:rsidR="0058668A" w:rsidRPr="0058668A">
        <w:rPr>
          <w:rFonts w:cs="Times New Roman"/>
          <w:noProof/>
          <w:szCs w:val="24"/>
        </w:rPr>
        <w:t>(Avery and Bullock, 1977)</w:t>
      </w:r>
      <w:r w:rsidR="0058668A">
        <w:rPr>
          <w:rFonts w:cs="Times New Roman"/>
          <w:szCs w:val="24"/>
        </w:rPr>
        <w:fldChar w:fldCharType="end"/>
      </w:r>
      <w:r w:rsidR="0058668A">
        <w:rPr>
          <w:rFonts w:cs="Times New Roman"/>
          <w:szCs w:val="24"/>
        </w:rPr>
        <w:t>.</w:t>
      </w:r>
      <w:r>
        <w:rPr>
          <w:rFonts w:cs="Times New Roman"/>
          <w:szCs w:val="24"/>
        </w:rPr>
        <w:t xml:space="preserve"> Although high rainfall can lead to the disintegration of aggregates and the consequent blocking of pores resulting in </w:t>
      </w:r>
      <w:r w:rsidRPr="00D610D3">
        <w:rPr>
          <w:rFonts w:cs="Times New Roman"/>
          <w:szCs w:val="24"/>
        </w:rPr>
        <w:t xml:space="preserve">reduced </w:t>
      </w:r>
      <w:r w:rsidRPr="00462175">
        <w:rPr>
          <w:rFonts w:cs="Times New Roman"/>
          <w:i/>
          <w:szCs w:val="24"/>
        </w:rPr>
        <w:t>K</w:t>
      </w:r>
      <w:r w:rsidRPr="00196039">
        <w:rPr>
          <w:rFonts w:cs="Times New Roman"/>
          <w:szCs w:val="24"/>
        </w:rPr>
        <w:t xml:space="preserve"> </w:t>
      </w:r>
      <w:r>
        <w:rPr>
          <w:rFonts w:cs="Times New Roman"/>
          <w:szCs w:val="24"/>
        </w:rPr>
        <w:t>for</w:t>
      </w:r>
      <w:r w:rsidRPr="00196039">
        <w:rPr>
          <w:rFonts w:cs="Times New Roman"/>
          <w:szCs w:val="24"/>
        </w:rPr>
        <w:t xml:space="preserve"> coarse textured soil</w:t>
      </w:r>
      <w:r>
        <w:rPr>
          <w:rFonts w:cs="Times New Roman"/>
          <w:szCs w:val="24"/>
        </w:rPr>
        <w:t>s</w:t>
      </w:r>
      <w:r w:rsidRPr="00196039">
        <w:rPr>
          <w:rFonts w:cs="Times New Roman"/>
          <w:szCs w:val="24"/>
        </w:rPr>
        <w:t xml:space="preserve"> with </w:t>
      </w:r>
      <w:r>
        <w:rPr>
          <w:rFonts w:cs="Times New Roman"/>
          <w:szCs w:val="24"/>
        </w:rPr>
        <w:t xml:space="preserve">an </w:t>
      </w:r>
      <w:r w:rsidRPr="00196039">
        <w:rPr>
          <w:rFonts w:cs="Times New Roman"/>
          <w:szCs w:val="24"/>
        </w:rPr>
        <w:t>organic matter content</w:t>
      </w:r>
      <w:r>
        <w:rPr>
          <w:rFonts w:cs="Times New Roman"/>
          <w:szCs w:val="24"/>
        </w:rPr>
        <w:t xml:space="preserve"> of</w:t>
      </w:r>
      <w:r w:rsidRPr="00196039">
        <w:rPr>
          <w:rFonts w:cs="Times New Roman"/>
          <w:szCs w:val="24"/>
        </w:rPr>
        <w:t xml:space="preserve"> less than 1%</w:t>
      </w:r>
      <w:r w:rsidR="0058668A">
        <w:rPr>
          <w:rFonts w:cs="Times New Roman"/>
          <w:szCs w:val="24"/>
        </w:rPr>
        <w:t xml:space="preserve"> </w:t>
      </w:r>
      <w:r w:rsidR="0058668A">
        <w:rPr>
          <w:rFonts w:cs="Times New Roman"/>
          <w:szCs w:val="24"/>
        </w:rPr>
        <w:fldChar w:fldCharType="begin" w:fldLock="1"/>
      </w:r>
      <w:r w:rsidR="0058668A">
        <w:rPr>
          <w:rFonts w:cs="Times New Roman"/>
          <w:szCs w:val="24"/>
        </w:rPr>
        <w:instrText>ADDIN CSL_CITATION {"citationItems":[{"id":"ITEM-1","itemData":{"DOI":"https://doi.org/10.1016/j.geoderma.2008.12.016","ISBN":"0016-7061","author":[{"dropping-particle":"","family":"Hu","given":"Wei","non-dropping-particle":"","parse-names":false,"suffix":""},{"dropping-particle":"","family":"Shao","given":"Mingan","non-dropping-particle":"","parse-names":false,"suffix":""},{"dropping-particle":"","family":"Wang","given":"Quanjiu","non-dropping-particle":"","parse-names":false,"suffix":""},{"dropping-particle":"","family":"Fan","given":"Jun","non-dropping-particle":"","parse-names":false,"suffix":""},{"dropping-particle":"","family":"Horton","given":"Robert","non-dropping-particle":"","parse-names":false,"suffix":""}],"container-title":"Geoderma","id":"ITEM-1","issue":"3","issued":{"date-parts":[["2009"]]},"page":"355-366","title":"Temporal changes of soil hydraulic properties under different land uses","type":"article-journal","volume":"149"},"uris":["http://www.mendeley.com/documents/?uuid=f6c23cea-816e-44af-aa5c-9b97fab24e2b"]},{"id":"ITEM-2","itemData":{"DOI":"doi:10.1111/j.1365-2389.2012.01479.x","abstract":"Soil surface bulk density (ρb) and saturated hydraulic conductivity (Ks) control many land-surface processes such as water flow, chemical transport and soil erosion. The objective of this study was to examine seasonal changes in surface ρb and Ks in natural landscapes with few human activities. Measurements of ρb and Ks were made on undisturbed soil samples taken from the soil surface (0–0.05 m) five times from October 2007 to March 2009 along four natural transects in a small watershed on the Chinese Loess Plateau. The transects represented four landscapes with different vegetation and soil typical in this region. Results showed that ρb and Ks varied seasonally. Temporal changes in Ks generally followed the temporal patterns of ρb. According to the mean values of all landscapes, bulk density decreased by 1.6 and 1.1% and log10-transformed Ks (Log10Ks) increased by 11.0 and 5.8% from October 2007 to March 2008 and from October 2008 to March 2009, respectively; bulk density increased by 2.1% and Log10Ks decreased by 4.9% from March to June in 2007; from June to October in 2007, bulk density decreased by 1.3% while a slight increase (1.4%) in Log10Ks was observed. Both landscape and time significantly influenced ρb and Ks, and Ks was more susceptible to temporal change than ρb. Spatial patterns of ρb and Ks did not change significantly with time. Saturated hydraulic conductivity measurements taken in different seasons can affect runoff simulation results, and Ks data measured in spring may result in underestimation of runoff in a rainy season.","author":[{"dropping-particle":"","family":"Hu","given":"W","non-dropping-particle":"","parse-names":false,"suffix":""},{"dropping-particle":"","family":"Shao","given":"M A","non-dropping-particle":"","parse-names":false,"suffix":""},{"dropping-particle":"","family":"Si","given":"B C","non-dropping-particle":"","parse-names":false,"suffix":""}],"container-title":"European Journal of Soil Science","id":"ITEM-2","issue":"6","issued":{"date-parts":[["2012"]]},"page":"820-830","title":"Seasonal changes in surface bulk density and saturated hydraulic conductivity of natural landscapes","type":"article-journal","volume":"63"},"uris":["http://www.mendeley.com/documents/?uuid=3758314d-06df-4584-9ef1-17cb71e7cbff"]}],"mendeley":{"formattedCitation":"(Hu et al., 2012, 2009)","plainTextFormattedCitation":"(Hu et al., 2012, 2009)","previouslyFormattedCitation":"(Hu et al., 2012, 2009)"},"properties":{"noteIndex":0},"schema":"https://github.com/citation-style-language/schema/raw/master/csl-citation.json"}</w:instrText>
      </w:r>
      <w:r w:rsidR="0058668A">
        <w:rPr>
          <w:rFonts w:cs="Times New Roman"/>
          <w:szCs w:val="24"/>
        </w:rPr>
        <w:fldChar w:fldCharType="separate"/>
      </w:r>
      <w:r w:rsidR="0058668A" w:rsidRPr="0058668A">
        <w:rPr>
          <w:rFonts w:cs="Times New Roman"/>
          <w:noProof/>
          <w:szCs w:val="24"/>
        </w:rPr>
        <w:t>(Hu et al., 2012, 2009)</w:t>
      </w:r>
      <w:r w:rsidR="0058668A">
        <w:rPr>
          <w:rFonts w:cs="Times New Roman"/>
          <w:szCs w:val="24"/>
        </w:rPr>
        <w:fldChar w:fldCharType="end"/>
      </w:r>
      <w:r w:rsidR="0058668A">
        <w:rPr>
          <w:rFonts w:cs="Times New Roman"/>
          <w:szCs w:val="24"/>
        </w:rPr>
        <w:t>,</w:t>
      </w:r>
      <w:r>
        <w:rPr>
          <w:rFonts w:cs="Times New Roman"/>
          <w:szCs w:val="24"/>
        </w:rPr>
        <w:t xml:space="preserve"> in fine textured soils the formation of small cracks can lead to an increase in </w:t>
      </w:r>
      <w:r w:rsidRPr="00CA5CD5">
        <w:rPr>
          <w:rFonts w:cs="Times New Roman"/>
          <w:i/>
          <w:szCs w:val="24"/>
        </w:rPr>
        <w:t>K</w:t>
      </w:r>
      <w:r>
        <w:rPr>
          <w:rFonts w:cs="Times New Roman"/>
          <w:szCs w:val="24"/>
        </w:rPr>
        <w:t xml:space="preserve"> of several order of magnitude</w:t>
      </w:r>
      <w:r w:rsidR="0058668A">
        <w:rPr>
          <w:rFonts w:cs="Times New Roman"/>
          <w:szCs w:val="24"/>
        </w:rPr>
        <w:t xml:space="preserve"> </w:t>
      </w:r>
      <w:r w:rsidR="0058668A">
        <w:rPr>
          <w:rFonts w:cs="Times New Roman"/>
          <w:szCs w:val="24"/>
        </w:rPr>
        <w:fldChar w:fldCharType="begin" w:fldLock="1"/>
      </w:r>
      <w:r w:rsidR="0092308F">
        <w:rPr>
          <w:rFonts w:cs="Times New Roman"/>
          <w:szCs w:val="24"/>
        </w:rPr>
        <w:instrText>ADDIN CSL_CITATION {"citationItems":[{"id":"ITEM-1","itemData":{"DOI":"doi:10.1061/(ASCE)1090-0241(2001)127:1(67)","author":[{"dropping-particle":"","family":"Albrecht","given":"Brian A","non-dropping-particle":"","parse-names":false,"suffix":""},{"dropping-particle":"","family":"Benson","given":"Craig H","non-dropping-particle":"","parse-names":false,"suffix":""}],"container-title":"Journal of Geotechnical and Geoenvironmental Engineering","id":"ITEM-1","issue":"1","issued":{"date-parts":[["2001"]]},"page":"67-75","title":"Effect of Desiccation on Compacted Natural Clays","type":"article-journal","volume":"127"},"uris":["http://www.mendeley.com/documents/?uuid=2a3fa3e8-41a7-4d3c-9495-ce42c4b80f2a"]}],"mendeley":{"formattedCitation":"(Albrecht and Benson, 2001)","plainTextFormattedCitation":"(Albrecht and Benson, 2001)","previouslyFormattedCitation":"(Albrecht and Benson, 2001)"},"properties":{"noteIndex":0},"schema":"https://github.com/citation-style-language/schema/raw/master/csl-citation.json"}</w:instrText>
      </w:r>
      <w:r w:rsidR="0058668A">
        <w:rPr>
          <w:rFonts w:cs="Times New Roman"/>
          <w:szCs w:val="24"/>
        </w:rPr>
        <w:fldChar w:fldCharType="separate"/>
      </w:r>
      <w:r w:rsidR="0058668A" w:rsidRPr="0058668A">
        <w:rPr>
          <w:rFonts w:cs="Times New Roman"/>
          <w:noProof/>
          <w:szCs w:val="24"/>
        </w:rPr>
        <w:t>(Albrecht and Benson, 2001)</w:t>
      </w:r>
      <w:r w:rsidR="0058668A">
        <w:rPr>
          <w:rFonts w:cs="Times New Roman"/>
          <w:szCs w:val="24"/>
        </w:rPr>
        <w:fldChar w:fldCharType="end"/>
      </w:r>
      <w:r w:rsidR="0058668A">
        <w:rPr>
          <w:rFonts w:cs="Times New Roman"/>
          <w:szCs w:val="24"/>
        </w:rPr>
        <w:t>.</w:t>
      </w:r>
      <w:r>
        <w:rPr>
          <w:rFonts w:cs="Times New Roman"/>
          <w:szCs w:val="24"/>
        </w:rPr>
        <w:t xml:space="preserve"> These contrasting effects are dependent on soil texture and organic matter content and, in the case of the soils used in this experiment, the formation of small cracks rather than the breakdown of soil aggregates may have dominated and resulted in the increased </w:t>
      </w:r>
      <w:r w:rsidRPr="00CA5CD5">
        <w:rPr>
          <w:rFonts w:cs="Times New Roman"/>
          <w:i/>
          <w:szCs w:val="24"/>
        </w:rPr>
        <w:t>K</w:t>
      </w:r>
      <w:r w:rsidRPr="00F717D0">
        <w:rPr>
          <w:rFonts w:cs="Times New Roman"/>
          <w:i/>
          <w:szCs w:val="24"/>
          <w:vertAlign w:val="subscript"/>
        </w:rPr>
        <w:t>0.5</w:t>
      </w:r>
      <w:r>
        <w:rPr>
          <w:rFonts w:cs="Times New Roman"/>
          <w:szCs w:val="24"/>
        </w:rPr>
        <w:t xml:space="preserve"> in summer 2017. In addition, grass and clover reached maximum growth (s</w:t>
      </w:r>
      <w:r w:rsidRPr="00336D3E">
        <w:rPr>
          <w:rFonts w:cs="Times New Roman"/>
          <w:szCs w:val="24"/>
        </w:rPr>
        <w:t>ee</w:t>
      </w:r>
      <w:r>
        <w:rPr>
          <w:rFonts w:cs="Times New Roman"/>
          <w:szCs w:val="24"/>
        </w:rPr>
        <w:t xml:space="preserve"> </w:t>
      </w:r>
      <w:r w:rsidRPr="00787636">
        <w:rPr>
          <w:rFonts w:cs="Times New Roman"/>
          <w:szCs w:val="24"/>
        </w:rPr>
        <w:t>Figure S</w:t>
      </w:r>
      <w:r>
        <w:rPr>
          <w:rFonts w:cs="Times New Roman"/>
          <w:szCs w:val="24"/>
        </w:rPr>
        <w:t>9) in summer 2017 (with abundant rainfall</w:t>
      </w:r>
      <w:r w:rsidRPr="007863E1">
        <w:rPr>
          <w:rFonts w:cs="Times New Roman"/>
          <w:szCs w:val="24"/>
        </w:rPr>
        <w:t xml:space="preserve"> and suitable temperatures for plant growth </w:t>
      </w:r>
      <w:r>
        <w:rPr>
          <w:rFonts w:cs="Times New Roman"/>
          <w:szCs w:val="24"/>
        </w:rPr>
        <w:t>in summer) and the cracks and pores associated with well-developed root systems</w:t>
      </w:r>
      <w:r w:rsidR="0092308F">
        <w:rPr>
          <w:rFonts w:cs="Times New Roman"/>
          <w:szCs w:val="24"/>
        </w:rPr>
        <w:t xml:space="preserve"> </w:t>
      </w:r>
      <w:r w:rsidR="0092308F">
        <w:rPr>
          <w:rFonts w:cs="Times New Roman"/>
          <w:szCs w:val="24"/>
        </w:rPr>
        <w:fldChar w:fldCharType="begin" w:fldLock="1"/>
      </w:r>
      <w:r w:rsidR="00A1452E">
        <w:rPr>
          <w:rFonts w:cs="Times New Roman"/>
          <w:szCs w:val="24"/>
        </w:rPr>
        <w:instrText>ADDIN CSL_CITATION {"citationItems":[{"id":"ITEM-1","itemData":{"DOI":"10.1023/a:1005944025343","ISBN":"1573-515X","abstract":"Soil structure influences the growth and activity of organisms living in soil. In return, microbes, fauna, and plants affect structure. The objective of this paper is to review the role of plants in modifying soil structure. Vegetation affects structural form and stability at different scales and through various direct and indirect mechanisms. By penetrating the soil, roots form macropores which favour fluid transport. They also create zones of failure which contribute to fragment the soil and form aggregates. This phenomenon is enhanced by the wetting and drying cycles associated with plant growth. Drying also causes shrinkage and strengthening of the soil. Anchorage of roots and the exudation of cementing material stabilizes soil structure. Finally, as a source of C, roots and plant residues provide a food source to the microflora and fauna which contribute to structure formation and stabilization. In return, plant-induced changes in structure will affect plant growth mostly by modifying the root physical environment, and the water and nutrient cycles.","author":[{"dropping-particle":"","family":"Angers","given":"Denis A","non-dropping-particle":"","parse-names":false,"suffix":""},{"dropping-particle":"","family":"Caron","given":"Jean","non-dropping-particle":"","parse-names":false,"suffix":""}],"container-title":"Biogeochemistry","id":"ITEM-1","issue":"1","issued":{"date-parts":[["1998"]]},"page":"55-72","title":"Plant-induced Changes in Soil Structure: Processes and Feedbacks","type":"article-journal","volume":"42"},"uris":["http://www.mendeley.com/documents/?uuid=356cd4e7-a9a6-4c0d-bc11-a3c35a88ec68"]}],"mendeley":{"formattedCitation":"(Angers and Caron, 1998)","plainTextFormattedCitation":"(Angers and Caron, 1998)","previouslyFormattedCitation":"(Angers and Caron, 1998)"},"properties":{"noteIndex":0},"schema":"https://github.com/citation-style-language/schema/raw/master/csl-citation.json"}</w:instrText>
      </w:r>
      <w:r w:rsidR="0092308F">
        <w:rPr>
          <w:rFonts w:cs="Times New Roman"/>
          <w:szCs w:val="24"/>
        </w:rPr>
        <w:fldChar w:fldCharType="separate"/>
      </w:r>
      <w:r w:rsidR="0092308F" w:rsidRPr="0092308F">
        <w:rPr>
          <w:rFonts w:cs="Times New Roman"/>
          <w:noProof/>
          <w:szCs w:val="24"/>
        </w:rPr>
        <w:t>(Angers and Caron, 1998)</w:t>
      </w:r>
      <w:r w:rsidR="0092308F">
        <w:rPr>
          <w:rFonts w:cs="Times New Roman"/>
          <w:szCs w:val="24"/>
        </w:rPr>
        <w:fldChar w:fldCharType="end"/>
      </w:r>
      <w:r w:rsidR="0092308F">
        <w:rPr>
          <w:rFonts w:cs="Times New Roman"/>
          <w:szCs w:val="24"/>
        </w:rPr>
        <w:t xml:space="preserve"> </w:t>
      </w:r>
      <w:r>
        <w:rPr>
          <w:rFonts w:cs="Times New Roman"/>
          <w:szCs w:val="24"/>
        </w:rPr>
        <w:t xml:space="preserve">may have also increased </w:t>
      </w:r>
      <w:r w:rsidRPr="00CA5CD5">
        <w:rPr>
          <w:rFonts w:cs="Times New Roman"/>
          <w:i/>
          <w:szCs w:val="24"/>
        </w:rPr>
        <w:t>K</w:t>
      </w:r>
      <w:r w:rsidRPr="00F717D0">
        <w:rPr>
          <w:rFonts w:cs="Times New Roman"/>
          <w:i/>
          <w:szCs w:val="24"/>
          <w:vertAlign w:val="subscript"/>
        </w:rPr>
        <w:t>0.5</w:t>
      </w:r>
      <w:r>
        <w:rPr>
          <w:rFonts w:cs="Times New Roman"/>
          <w:szCs w:val="24"/>
        </w:rPr>
        <w:t>.</w:t>
      </w:r>
    </w:p>
    <w:p w14:paraId="7A06CAD3" w14:textId="77777777" w:rsidR="0038409E" w:rsidRDefault="0038409E" w:rsidP="001448A4">
      <w:pPr>
        <w:spacing w:before="240" w:after="240" w:line="480" w:lineRule="auto"/>
        <w:jc w:val="both"/>
        <w:rPr>
          <w:rFonts w:cs="Times New Roman"/>
          <w:szCs w:val="24"/>
        </w:rPr>
      </w:pPr>
      <w:r>
        <w:rPr>
          <w:rFonts w:cs="Times New Roman"/>
          <w:szCs w:val="24"/>
        </w:rPr>
        <w:t xml:space="preserve">We expected an increase in earthworm activity and </w:t>
      </w:r>
      <w:r w:rsidRPr="009F62D1">
        <w:rPr>
          <w:rFonts w:cs="Times New Roman"/>
          <w:i/>
          <w:szCs w:val="24"/>
        </w:rPr>
        <w:t>K</w:t>
      </w:r>
      <w:r>
        <w:rPr>
          <w:rFonts w:cs="Times New Roman"/>
          <w:szCs w:val="24"/>
        </w:rPr>
        <w:t xml:space="preserve"> from summer (21 – 25</w:t>
      </w:r>
      <w:r w:rsidRPr="00D065B6">
        <w:rPr>
          <w:rFonts w:cs="Times New Roman"/>
          <w:szCs w:val="24"/>
          <w:vertAlign w:val="superscript"/>
        </w:rPr>
        <w:t>th</w:t>
      </w:r>
      <w:r>
        <w:rPr>
          <w:rFonts w:cs="Times New Roman"/>
          <w:szCs w:val="24"/>
        </w:rPr>
        <w:t xml:space="preserve"> August sampling) to autumn 2017 (3 – 10</w:t>
      </w:r>
      <w:r w:rsidRPr="00D065B6">
        <w:rPr>
          <w:rFonts w:cs="Times New Roman"/>
          <w:szCs w:val="24"/>
          <w:vertAlign w:val="superscript"/>
        </w:rPr>
        <w:t>th</w:t>
      </w:r>
      <w:r>
        <w:rPr>
          <w:rFonts w:cs="Times New Roman"/>
          <w:szCs w:val="24"/>
        </w:rPr>
        <w:t xml:space="preserve"> November sampling)</w:t>
      </w:r>
      <w:r w:rsidR="00A1452E">
        <w:rPr>
          <w:rFonts w:cs="Times New Roman"/>
          <w:szCs w:val="24"/>
        </w:rPr>
        <w:t xml:space="preserve"> </w:t>
      </w:r>
      <w:r w:rsidR="00A1452E">
        <w:rPr>
          <w:rFonts w:cs="Times New Roman"/>
          <w:szCs w:val="24"/>
        </w:rPr>
        <w:fldChar w:fldCharType="begin" w:fldLock="1"/>
      </w:r>
      <w:r w:rsidR="00B70161">
        <w:rPr>
          <w:rFonts w:cs="Times New Roman"/>
          <w:szCs w:val="24"/>
        </w:rPr>
        <w:instrText>ADDIN CSL_CITATION {"citationItems":[{"id":"ITEM-1","itemData":{"DOI":"https://doi.org/10.1016/j.geoderma.2008.12.016","ISBN":"0016-7061","author":[{"dropping-particle":"","family":"Hu","given":"Wei","non-dropping-particle":"","parse-names":false,"suffix":""},{"dropping-particle":"","family":"Shao","given":"Mingan","non-dropping-particle":"","parse-names":false,"suffix":""},{"dropping-particle":"","family":"Wang","given":"Quanjiu","non-dropping-particle":"","parse-names":false,"suffix":""},{"dropping-particle":"","family":"Fan","given":"Jun","non-dropping-particle":"","parse-names":false,"suffix":""},{"dropping-particle":"","family":"Horton","given":"Robert","non-dropping-particle":"","parse-names":false,"suffix":""}],"container-title":"Geoderma","id":"ITEM-1","issue":"3","issued":{"date-parts":[["2009"]]},"page":"355-366","title":"Temporal changes of soil hydraulic properties under different land uses","type":"article-journal","volume":"149"},"uris":["http://www.mendeley.com/documents/?uuid=f6c23cea-816e-44af-aa5c-9b97fab24e2b"]},{"id":"ITEM-2","itemData":{"DOI":"doi:10.1111/j.1365-2389.2012.01479.x","abstract":"Soil surface bulk density (ρb) and saturated hydraulic conductivity (Ks) control many land-surface processes such as water flow, chemical transport and soil erosion. The objective of this study was to examine seasonal changes in surface ρb and Ks in natural landscapes with few human activities. Measurements of ρb and Ks were made on undisturbed soil samples taken from the soil surface (0–0.05 m) five times from October 2007 to March 2009 along four natural transects in a small watershed on the Chinese Loess Plateau. The transects represented four landscapes with different vegetation and soil typical in this region. Results showed that ρb and Ks varied seasonally. Temporal changes in Ks generally followed the temporal patterns of ρb. According to the mean values of all landscapes, bulk density decreased by 1.6 and 1.1% and log10-transformed Ks (Log10Ks) increased by 11.0 and 5.8% from October 2007 to March 2008 and from October 2008 to March 2009, respectively; bulk density increased by 2.1% and Log10Ks decreased by 4.9% from March to June in 2007; from June to October in 2007, bulk density decreased by 1.3% while a slight increase (1.4%) in Log10Ks was observed. Both landscape and time significantly influenced ρb and Ks, and Ks was more susceptible to temporal change than ρb. Spatial patterns of ρb and Ks did not change significantly with time. Saturated hydraulic conductivity measurements taken in different seasons can affect runoff simulation results, and Ks data measured in spring may result in underestimation of runoff in a rainy season.","author":[{"dropping-particle":"","family":"Hu","given":"W","non-dropping-particle":"","parse-names":false,"suffix":""},{"dropping-particle":"","family":"Shao","given":"M A","non-dropping-particle":"","parse-names":false,"suffix":""},{"dropping-particle":"","family":"Si","given":"B C","non-dropping-particle":"","parse-names":false,"suffix":""}],"container-title":"European Journal of Soil Science","id":"ITEM-2","issue":"6","issued":{"date-parts":[["2012"]]},"page":"820-830","title":"Seasonal changes in surface bulk density and saturated hydraulic conductivity of natural landscapes","type":"article-journal","volume":"63"},"uris":["http://www.mendeley.com/documents/?uuid=3758314d-06df-4584-9ef1-17cb71e7cbff"]}],"mendeley":{"formattedCitation":"(Hu et al., 2012, 2009)","plainTextFormattedCitation":"(Hu et al., 2012, 2009)","previouslyFormattedCitation":"(Hu et al., 2012, 2009)"},"properties":{"noteIndex":0},"schema":"https://github.com/citation-style-language/schema/raw/master/csl-citation.json"}</w:instrText>
      </w:r>
      <w:r w:rsidR="00A1452E">
        <w:rPr>
          <w:rFonts w:cs="Times New Roman"/>
          <w:szCs w:val="24"/>
        </w:rPr>
        <w:fldChar w:fldCharType="separate"/>
      </w:r>
      <w:r w:rsidR="00A1452E" w:rsidRPr="00A1452E">
        <w:rPr>
          <w:rFonts w:cs="Times New Roman"/>
          <w:noProof/>
          <w:szCs w:val="24"/>
        </w:rPr>
        <w:t>(Hu et al., 2012, 2009)</w:t>
      </w:r>
      <w:r w:rsidR="00A1452E">
        <w:rPr>
          <w:rFonts w:cs="Times New Roman"/>
          <w:szCs w:val="24"/>
        </w:rPr>
        <w:fldChar w:fldCharType="end"/>
      </w:r>
      <w:r w:rsidR="00A1452E">
        <w:rPr>
          <w:rFonts w:cs="Times New Roman"/>
          <w:szCs w:val="24"/>
        </w:rPr>
        <w:t xml:space="preserve"> </w:t>
      </w:r>
      <w:r>
        <w:rPr>
          <w:rFonts w:cs="Times New Roman"/>
          <w:szCs w:val="24"/>
        </w:rPr>
        <w:t xml:space="preserve">but did not detect a significant change in </w:t>
      </w:r>
      <w:r w:rsidRPr="00CA5CD5">
        <w:rPr>
          <w:rFonts w:cs="Times New Roman"/>
          <w:i/>
          <w:szCs w:val="24"/>
        </w:rPr>
        <w:t>K</w:t>
      </w:r>
      <w:r w:rsidRPr="00F717D0">
        <w:rPr>
          <w:rFonts w:cs="Times New Roman"/>
          <w:i/>
          <w:szCs w:val="24"/>
          <w:vertAlign w:val="subscript"/>
        </w:rPr>
        <w:t>0.5</w:t>
      </w:r>
      <w:r>
        <w:rPr>
          <w:rFonts w:cs="Times New Roman"/>
          <w:szCs w:val="24"/>
        </w:rPr>
        <w:t>. There are two possible factors that can explain this:</w:t>
      </w:r>
    </w:p>
    <w:p w14:paraId="71A002E0" w14:textId="77777777" w:rsidR="0038409E" w:rsidRDefault="0038409E" w:rsidP="001448A4">
      <w:pPr>
        <w:pStyle w:val="ListParagraph"/>
        <w:numPr>
          <w:ilvl w:val="0"/>
          <w:numId w:val="15"/>
        </w:numPr>
        <w:spacing w:before="240" w:after="240" w:line="480" w:lineRule="auto"/>
        <w:jc w:val="both"/>
        <w:rPr>
          <w:rFonts w:cs="Times New Roman"/>
          <w:szCs w:val="24"/>
        </w:rPr>
      </w:pPr>
      <w:r>
        <w:rPr>
          <w:rFonts w:cs="Times New Roman"/>
          <w:szCs w:val="24"/>
        </w:rPr>
        <w:t xml:space="preserve">The numbers of earthworms recovered at the end of the experiment (Figure 2) suggests that </w:t>
      </w:r>
      <w:r w:rsidRPr="00733369">
        <w:rPr>
          <w:rFonts w:cs="Times New Roman"/>
          <w:szCs w:val="24"/>
        </w:rPr>
        <w:t xml:space="preserve">earthworms </w:t>
      </w:r>
      <w:r>
        <w:rPr>
          <w:rFonts w:cs="Times New Roman"/>
          <w:szCs w:val="24"/>
        </w:rPr>
        <w:t xml:space="preserve">in the DeF+E treatment </w:t>
      </w:r>
      <w:r w:rsidRPr="00733369">
        <w:rPr>
          <w:rFonts w:cs="Times New Roman"/>
          <w:szCs w:val="24"/>
        </w:rPr>
        <w:t xml:space="preserve">died over the summer, reducing the populations in the monoliths and therefore earthworm impacts on </w:t>
      </w:r>
      <w:r w:rsidRPr="00733369">
        <w:rPr>
          <w:rFonts w:cs="Times New Roman"/>
          <w:i/>
          <w:szCs w:val="24"/>
        </w:rPr>
        <w:t>K</w:t>
      </w:r>
      <w:r w:rsidRPr="00733369">
        <w:rPr>
          <w:rFonts w:cs="Times New Roman"/>
          <w:szCs w:val="24"/>
        </w:rPr>
        <w:t xml:space="preserve">. We restocked the monoliths with earthworms </w:t>
      </w:r>
      <w:r>
        <w:rPr>
          <w:rFonts w:cs="Times New Roman"/>
          <w:szCs w:val="24"/>
        </w:rPr>
        <w:t>on 15</w:t>
      </w:r>
      <w:r w:rsidRPr="00D065B6">
        <w:rPr>
          <w:rFonts w:cs="Times New Roman"/>
          <w:szCs w:val="24"/>
          <w:vertAlign w:val="superscript"/>
        </w:rPr>
        <w:t>th</w:t>
      </w:r>
      <w:r>
        <w:rPr>
          <w:rFonts w:cs="Times New Roman"/>
          <w:szCs w:val="24"/>
        </w:rPr>
        <w:t xml:space="preserve"> November </w:t>
      </w:r>
      <w:r w:rsidRPr="00733369">
        <w:rPr>
          <w:rFonts w:cs="Times New Roman"/>
          <w:szCs w:val="24"/>
        </w:rPr>
        <w:t xml:space="preserve">just after measuring </w:t>
      </w:r>
      <w:r w:rsidRPr="00733369">
        <w:rPr>
          <w:rFonts w:cs="Times New Roman"/>
          <w:i/>
          <w:szCs w:val="24"/>
        </w:rPr>
        <w:t>K</w:t>
      </w:r>
      <w:r w:rsidRPr="00733369">
        <w:rPr>
          <w:rFonts w:cs="Times New Roman"/>
          <w:szCs w:val="24"/>
        </w:rPr>
        <w:t xml:space="preserve">. </w:t>
      </w:r>
    </w:p>
    <w:p w14:paraId="229B3FE4" w14:textId="77777777" w:rsidR="0038409E" w:rsidRPr="00733369" w:rsidRDefault="0038409E" w:rsidP="001448A4">
      <w:pPr>
        <w:pStyle w:val="ListParagraph"/>
        <w:numPr>
          <w:ilvl w:val="0"/>
          <w:numId w:val="15"/>
        </w:numPr>
        <w:spacing w:before="240" w:after="240" w:line="480" w:lineRule="auto"/>
        <w:jc w:val="both"/>
        <w:rPr>
          <w:rFonts w:cs="Times New Roman"/>
          <w:szCs w:val="24"/>
        </w:rPr>
      </w:pPr>
      <w:r>
        <w:rPr>
          <w:rFonts w:cs="Times New Roman"/>
          <w:szCs w:val="24"/>
        </w:rPr>
        <w:t>T</w:t>
      </w:r>
      <w:r w:rsidRPr="00733369">
        <w:rPr>
          <w:rFonts w:cs="Times New Roman"/>
          <w:szCs w:val="24"/>
        </w:rPr>
        <w:t xml:space="preserve">he shoot harvest taken in late September 2017 likely reduced the food supply for any earthworms that had survived over the summer, particularly for vertical burrowing anecics that produce water transmitting vertical pores which may have reduced their activity. </w:t>
      </w:r>
      <w:r>
        <w:rPr>
          <w:rFonts w:cs="Times New Roman"/>
          <w:szCs w:val="24"/>
        </w:rPr>
        <w:t>Further the harvesting of shoots may have resulted in grass and clover switching from root development that can aid pore formation, to shoot development.</w:t>
      </w:r>
      <w:r w:rsidRPr="00733369" w:rsidDel="00D065B6">
        <w:rPr>
          <w:rFonts w:cs="Times New Roman"/>
          <w:szCs w:val="24"/>
        </w:rPr>
        <w:t xml:space="preserve"> </w:t>
      </w:r>
    </w:p>
    <w:p w14:paraId="38EED2B0" w14:textId="77777777" w:rsidR="0038409E" w:rsidRDefault="0038409E" w:rsidP="001448A4">
      <w:pPr>
        <w:spacing w:before="240" w:after="240" w:line="480" w:lineRule="auto"/>
        <w:jc w:val="both"/>
        <w:rPr>
          <w:rFonts w:cs="Times New Roman"/>
          <w:szCs w:val="24"/>
        </w:rPr>
      </w:pPr>
      <w:r>
        <w:rPr>
          <w:rFonts w:cs="Times New Roman"/>
          <w:szCs w:val="24"/>
        </w:rPr>
        <w:t>By winter 2017-18 (26 January – 2</w:t>
      </w:r>
      <w:r w:rsidRPr="00D065B6">
        <w:rPr>
          <w:rFonts w:cs="Times New Roman"/>
          <w:szCs w:val="24"/>
          <w:vertAlign w:val="superscript"/>
        </w:rPr>
        <w:t>nd</w:t>
      </w:r>
      <w:r>
        <w:rPr>
          <w:rFonts w:cs="Times New Roman"/>
          <w:szCs w:val="24"/>
        </w:rPr>
        <w:t xml:space="preserve"> February), although </w:t>
      </w:r>
      <w:r w:rsidRPr="00B01D85">
        <w:rPr>
          <w:rFonts w:cs="Times New Roman"/>
          <w:i/>
          <w:szCs w:val="24"/>
        </w:rPr>
        <w:t>K</w:t>
      </w:r>
      <w:r>
        <w:rPr>
          <w:rFonts w:cs="Times New Roman"/>
          <w:szCs w:val="24"/>
        </w:rPr>
        <w:t xml:space="preserve"> was significantly higher in the DeF+E treatment relative to the DeF treatment indicating a positive impact of earthworms,</w:t>
      </w:r>
      <w:r w:rsidRPr="00910246">
        <w:rPr>
          <w:rFonts w:cs="Times New Roman"/>
          <w:i/>
          <w:szCs w:val="24"/>
        </w:rPr>
        <w:t xml:space="preserve"> K</w:t>
      </w:r>
      <w:r>
        <w:rPr>
          <w:rFonts w:cs="Times New Roman"/>
          <w:szCs w:val="24"/>
        </w:rPr>
        <w:t xml:space="preserve"> had reduced significantly relative to the autumn period. This was counter to our expectation; we expected earthworm activity to have increased due to cocoons continuing to hatch, autumn hatchlings </w:t>
      </w:r>
      <w:proofErr w:type="gramStart"/>
      <w:r>
        <w:rPr>
          <w:rFonts w:cs="Times New Roman"/>
          <w:szCs w:val="24"/>
        </w:rPr>
        <w:t>growing in size</w:t>
      </w:r>
      <w:proofErr w:type="gramEnd"/>
      <w:r>
        <w:rPr>
          <w:rFonts w:cs="Times New Roman"/>
          <w:szCs w:val="24"/>
        </w:rPr>
        <w:t xml:space="preserve"> and the increase in rainfall leading to moister soils. However, relative to autumn 2017, the low air temperatures in winter 2017-18 (down to -5.9 °C) may have reduced earthworm activity at the surface. Additionally, the heavier rainfall in the winter period (see </w:t>
      </w:r>
      <w:r w:rsidRPr="00EF42B9">
        <w:rPr>
          <w:rFonts w:cs="Times New Roman"/>
          <w:szCs w:val="24"/>
        </w:rPr>
        <w:t>Table S</w:t>
      </w:r>
      <w:r>
        <w:rPr>
          <w:rFonts w:cs="Times New Roman"/>
          <w:szCs w:val="24"/>
        </w:rPr>
        <w:t xml:space="preserve">3), combined with the reduced plant cover may have led to some surface soil disaggregation and blocking of soil pores. Although the average air temperature during the infiltration measurement campaign was 3 °C, on the mornings of the measurements there was often a thin sheet of ice on the soil surface so it seems likely that at least near-surface pores could also have been blocked by ice which would reduce measures of </w:t>
      </w:r>
      <w:r>
        <w:rPr>
          <w:rFonts w:cs="Times New Roman"/>
          <w:i/>
          <w:szCs w:val="24"/>
        </w:rPr>
        <w:t>K</w:t>
      </w:r>
      <w:r>
        <w:rPr>
          <w:rFonts w:cs="Times New Roman"/>
          <w:szCs w:val="24"/>
        </w:rPr>
        <w:t>. In addition the viscosity of</w:t>
      </w:r>
      <w:r w:rsidDel="00171F94">
        <w:rPr>
          <w:rFonts w:cs="Times New Roman"/>
          <w:szCs w:val="24"/>
        </w:rPr>
        <w:t xml:space="preserve"> </w:t>
      </w:r>
      <w:r>
        <w:rPr>
          <w:rFonts w:cs="Times New Roman"/>
          <w:szCs w:val="24"/>
        </w:rPr>
        <w:t>water decreases with decreasing temperature (e.g. by a factor of 1.6 between temperatures of 3 °C (Figure 3) and</w:t>
      </w:r>
      <w:r w:rsidRPr="00D753F4">
        <w:rPr>
          <w:rFonts w:cs="Times New Roman"/>
          <w:szCs w:val="24"/>
        </w:rPr>
        <w:t xml:space="preserve"> 20 </w:t>
      </w:r>
      <w:r>
        <w:rPr>
          <w:rFonts w:cs="Times New Roman"/>
          <w:szCs w:val="24"/>
        </w:rPr>
        <w:t xml:space="preserve">°C (see </w:t>
      </w:r>
      <w:r w:rsidRPr="00787636">
        <w:rPr>
          <w:rFonts w:cs="Times New Roman"/>
          <w:szCs w:val="24"/>
        </w:rPr>
        <w:t>Figure S</w:t>
      </w:r>
      <w:r>
        <w:rPr>
          <w:rFonts w:cs="Times New Roman"/>
          <w:szCs w:val="24"/>
        </w:rPr>
        <w:t>3</w:t>
      </w:r>
      <w:r w:rsidRPr="00787636">
        <w:rPr>
          <w:rFonts w:cs="Times New Roman"/>
          <w:szCs w:val="24"/>
        </w:rPr>
        <w:t>e</w:t>
      </w:r>
      <w:r>
        <w:rPr>
          <w:rFonts w:cs="Times New Roman"/>
          <w:szCs w:val="24"/>
        </w:rPr>
        <w:t xml:space="preserve">)) </w:t>
      </w:r>
      <w:r w:rsidR="00B70161">
        <w:rPr>
          <w:rFonts w:cs="Times New Roman"/>
          <w:szCs w:val="24"/>
        </w:rPr>
        <w:fldChar w:fldCharType="begin" w:fldLock="1"/>
      </w:r>
      <w:r w:rsidR="00B70161">
        <w:rPr>
          <w:rFonts w:cs="Times New Roman"/>
          <w:szCs w:val="24"/>
        </w:rPr>
        <w:instrText>ADDIN CSL_CITATION {"citationItems":[{"id":"ITEM-1","itemData":{"DOI":"10.1007/bf00864022","ISBN":"1573-871X","abstract":"An equation for dynamic viscosity of water at atmospheric pressure is presented together with tables of dynamic and kinematic viscosity.","author":[{"dropping-particle":"","family":"Aleksandrov","given":"A A","non-dropping-particle":"","parse-names":false,"suffix":""},{"dropping-particle":"","family":"Trakhtengerts","given":"M S","non-dropping-particle":"","parse-names":false,"suffix":""}],"container-title":"Journal of engineering physics","id":"ITEM-1","issue":"4","issued":{"date-parts":[["1974"]]},"page":"1235-1239","title":"Viscosity of water at temperatures of −20 to 150°C","type":"article-journal","volume":"27"},"uris":["http://www.mendeley.com/documents/?uuid=a0fb53ba-aff9-4800-b80e-9ce6ca8cfc1e"]},{"id":"ITEM-2","itemData":{"DOI":"10.2136/sssaj1972.03615995003600050011x","abstract":"Abstract A series of experiments was conducted in the laboratory to study the effect of temperature on pressure head-water content relationship and on hydraulic conductivity as a function of water content and pressure head in two silt loam soils. Hydraulic conductivity was determined as a function of water content and pressure head at constant temperatures of 15, 25, and 35C by steady state and pressure plate outflow methods. The temperature dependence of pressure head-water content relationship during pressure plate outflow could not be explained on the basis of changes in surface tension of air-water interfaces alone. Pressure head-water content relationship under steady state flow conditions was found to be different from that under transient flow conditions during pressure plate outflow. Desorption curves obtained at the three temperatures under steady state flow conditions did not reflect any temperature effects. Results of the steady state experiments were too variable to reflect any temperature dependence of hydraulic conductivity either as a function of water content or as a function of pressure head of soil water. Hydraulic conductivity as a function of soil water content was found to be more temperature dependent than as a function of pressure head of soil water in pressure plate outflow experiments. The increase in hydraulic conductivity at a given water content due to temperature rise is almost entirely accounted for by the decrease in viscosity of water.","author":[{"dropping-particle":"","family":"Haridasan","given":"M","non-dropping-particle":"","parse-names":false,"suffix":""},{"dropping-particle":"","family":"Jensen","given":"R D","non-dropping-particle":"","parse-names":false,"suffix":""}],"container-title":"Soil Science Society of America Journal","id":"ITEM-2","issue":"5","issued":{"date-parts":[["1972"]]},"language":"English","page":"703-708","title":"Effect of temperature on pressure head-water content relationship and conductivity of two soils1","type":"article-journal","volume":"36"},"uris":["http://www.mendeley.com/documents/?uuid=096e79ef-05d0-49bf-bcd6-e78e666a1ae0"]}],"mendeley":{"formattedCitation":"(Aleksandrov and Trakhtengerts, 1974; Haridasan and Jensen, 1972)","plainTextFormattedCitation":"(Aleksandrov and Trakhtengerts, 1974; Haridasan and Jensen, 1972)","previouslyFormattedCitation":"(Aleksandrov and Trakhtengerts, 1974; Haridasan and Jensen, 1972)"},"properties":{"noteIndex":0},"schema":"https://github.com/citation-style-language/schema/raw/master/csl-citation.json"}</w:instrText>
      </w:r>
      <w:r w:rsidR="00B70161">
        <w:rPr>
          <w:rFonts w:cs="Times New Roman"/>
          <w:szCs w:val="24"/>
        </w:rPr>
        <w:fldChar w:fldCharType="separate"/>
      </w:r>
      <w:r w:rsidR="00B70161" w:rsidRPr="00B70161">
        <w:rPr>
          <w:rFonts w:cs="Times New Roman"/>
          <w:noProof/>
          <w:szCs w:val="24"/>
        </w:rPr>
        <w:t>(Aleksandrov and Trakhtengerts, 1974; Haridasan and Jensen, 1972)</w:t>
      </w:r>
      <w:r w:rsidR="00B70161">
        <w:rPr>
          <w:rFonts w:cs="Times New Roman"/>
          <w:szCs w:val="24"/>
        </w:rPr>
        <w:fldChar w:fldCharType="end"/>
      </w:r>
      <w:r w:rsidR="00B70161">
        <w:rPr>
          <w:rFonts w:cs="Times New Roman"/>
          <w:szCs w:val="24"/>
        </w:rPr>
        <w:t xml:space="preserve"> </w:t>
      </w:r>
      <w:r>
        <w:rPr>
          <w:rFonts w:cs="Times New Roman"/>
          <w:szCs w:val="24"/>
        </w:rPr>
        <w:t xml:space="preserve">which would reduce rates of flow and calculated values of </w:t>
      </w:r>
      <w:r w:rsidRPr="00B70161">
        <w:rPr>
          <w:rFonts w:cs="Times New Roman"/>
          <w:i/>
          <w:iCs/>
          <w:szCs w:val="24"/>
        </w:rPr>
        <w:t>K</w:t>
      </w:r>
      <w:r>
        <w:rPr>
          <w:rFonts w:cs="Times New Roman"/>
          <w:szCs w:val="24"/>
        </w:rPr>
        <w:t xml:space="preserve">. However, although correcting </w:t>
      </w:r>
      <w:r w:rsidRPr="000C304F">
        <w:rPr>
          <w:rFonts w:cs="Times New Roman"/>
          <w:i/>
          <w:szCs w:val="24"/>
        </w:rPr>
        <w:t>K</w:t>
      </w:r>
      <w:r w:rsidRPr="00F8474D">
        <w:rPr>
          <w:rFonts w:cs="Times New Roman"/>
          <w:szCs w:val="24"/>
        </w:rPr>
        <w:t xml:space="preserve"> values to 20 °C increase</w:t>
      </w:r>
      <w:r>
        <w:rPr>
          <w:rFonts w:cs="Times New Roman"/>
          <w:szCs w:val="24"/>
        </w:rPr>
        <w:t>s the calculated</w:t>
      </w:r>
      <w:r w:rsidRPr="00F8474D">
        <w:rPr>
          <w:rFonts w:cs="Times New Roman"/>
          <w:szCs w:val="24"/>
        </w:rPr>
        <w:t xml:space="preserve"> </w:t>
      </w:r>
      <w:r w:rsidRPr="000C304F">
        <w:rPr>
          <w:rFonts w:cs="Times New Roman"/>
          <w:i/>
          <w:szCs w:val="24"/>
        </w:rPr>
        <w:t>K</w:t>
      </w:r>
      <w:r>
        <w:rPr>
          <w:rFonts w:cs="Times New Roman"/>
          <w:i/>
          <w:szCs w:val="24"/>
        </w:rPr>
        <w:t xml:space="preserve"> </w:t>
      </w:r>
      <w:r w:rsidRPr="00193C3C">
        <w:rPr>
          <w:rFonts w:cs="Times New Roman"/>
          <w:i/>
          <w:szCs w:val="24"/>
          <w:vertAlign w:val="subscript"/>
        </w:rPr>
        <w:t>0.5</w:t>
      </w:r>
      <w:r w:rsidRPr="00F8474D">
        <w:rPr>
          <w:rFonts w:cs="Times New Roman"/>
          <w:szCs w:val="24"/>
        </w:rPr>
        <w:t xml:space="preserve"> </w:t>
      </w:r>
      <w:r>
        <w:rPr>
          <w:rFonts w:cs="Times New Roman"/>
          <w:szCs w:val="24"/>
        </w:rPr>
        <w:t xml:space="preserve">values for </w:t>
      </w:r>
      <w:r w:rsidRPr="00F8474D">
        <w:rPr>
          <w:rFonts w:cs="Times New Roman"/>
          <w:szCs w:val="24"/>
        </w:rPr>
        <w:t>winter 20</w:t>
      </w:r>
      <w:r>
        <w:rPr>
          <w:rFonts w:cs="Times New Roman"/>
          <w:szCs w:val="24"/>
        </w:rPr>
        <w:t>17-</w:t>
      </w:r>
      <w:r w:rsidRPr="00F8474D">
        <w:rPr>
          <w:rFonts w:cs="Times New Roman"/>
          <w:szCs w:val="24"/>
        </w:rPr>
        <w:t>18 (see</w:t>
      </w:r>
      <w:r>
        <w:rPr>
          <w:rFonts w:cs="Times New Roman"/>
          <w:szCs w:val="24"/>
        </w:rPr>
        <w:t xml:space="preserve"> </w:t>
      </w:r>
      <w:r w:rsidRPr="00FF1AC5">
        <w:rPr>
          <w:rFonts w:cs="Times New Roman"/>
          <w:szCs w:val="24"/>
        </w:rPr>
        <w:t>Figure S</w:t>
      </w:r>
      <w:r>
        <w:rPr>
          <w:rFonts w:cs="Times New Roman"/>
          <w:szCs w:val="24"/>
        </w:rPr>
        <w:t>3</w:t>
      </w:r>
      <w:r w:rsidRPr="00FF1AC5">
        <w:rPr>
          <w:rFonts w:cs="Times New Roman"/>
          <w:szCs w:val="24"/>
        </w:rPr>
        <w:t>e</w:t>
      </w:r>
      <w:r>
        <w:rPr>
          <w:rFonts w:cs="Times New Roman"/>
          <w:szCs w:val="24"/>
        </w:rPr>
        <w:t xml:space="preserve">) they still remain lower than the other seasons </w:t>
      </w:r>
      <w:r w:rsidRPr="006B07D2">
        <w:rPr>
          <w:rFonts w:cs="Times New Roman"/>
          <w:szCs w:val="24"/>
        </w:rPr>
        <w:t xml:space="preserve">with the change in water viscosity </w:t>
      </w:r>
      <w:r>
        <w:rPr>
          <w:rFonts w:cs="Times New Roman"/>
          <w:szCs w:val="24"/>
        </w:rPr>
        <w:t xml:space="preserve">only </w:t>
      </w:r>
      <w:r w:rsidRPr="006B07D2">
        <w:rPr>
          <w:rFonts w:cs="Times New Roman"/>
          <w:szCs w:val="24"/>
        </w:rPr>
        <w:t>accounting</w:t>
      </w:r>
      <w:r>
        <w:rPr>
          <w:rFonts w:cs="Times New Roman"/>
          <w:szCs w:val="24"/>
        </w:rPr>
        <w:t xml:space="preserve"> </w:t>
      </w:r>
      <w:r w:rsidRPr="006B07D2">
        <w:rPr>
          <w:rFonts w:cs="Times New Roman"/>
          <w:szCs w:val="24"/>
        </w:rPr>
        <w:t xml:space="preserve">for </w:t>
      </w:r>
      <w:r>
        <w:rPr>
          <w:rFonts w:cs="Times New Roman"/>
          <w:szCs w:val="24"/>
        </w:rPr>
        <w:t>6</w:t>
      </w:r>
      <w:r w:rsidRPr="006B07D2">
        <w:rPr>
          <w:rFonts w:cs="Times New Roman"/>
          <w:szCs w:val="24"/>
        </w:rPr>
        <w:t xml:space="preserve"> % of the decrease in </w:t>
      </w:r>
      <w:r w:rsidRPr="00B70161">
        <w:rPr>
          <w:rFonts w:cs="Times New Roman"/>
          <w:i/>
          <w:iCs/>
          <w:szCs w:val="24"/>
        </w:rPr>
        <w:t>K</w:t>
      </w:r>
      <w:r w:rsidRPr="006B07D2">
        <w:rPr>
          <w:rFonts w:cs="Times New Roman"/>
          <w:szCs w:val="24"/>
        </w:rPr>
        <w:t xml:space="preserve"> from autumn 2017 to winter 2017-18</w:t>
      </w:r>
      <w:r>
        <w:rPr>
          <w:rFonts w:cs="Times New Roman"/>
          <w:szCs w:val="24"/>
        </w:rPr>
        <w:t>. Finally, low temperatures and solar radiation in winter reduce water evaporation after frequent rainfall and the increased water content may have led to increasing periods of water saturation and expansion of clays in the soil</w:t>
      </w:r>
      <w:r w:rsidR="00B70161">
        <w:rPr>
          <w:rFonts w:cs="Times New Roman"/>
          <w:szCs w:val="24"/>
        </w:rPr>
        <w:t xml:space="preserve"> </w:t>
      </w:r>
      <w:r w:rsidR="00B70161">
        <w:rPr>
          <w:rFonts w:cs="Times New Roman"/>
          <w:szCs w:val="24"/>
        </w:rPr>
        <w:fldChar w:fldCharType="begin" w:fldLock="1"/>
      </w:r>
      <w:r w:rsidR="00B70161">
        <w:rPr>
          <w:rFonts w:cs="Times New Roman"/>
          <w:szCs w:val="24"/>
        </w:rPr>
        <w:instrText>ADDIN CSL_CITATION {"citationItems":[{"id":"ITEM-1","itemData":{"DOI":"http://localhost/files/h702q8180","author":[{"dropping-particle":"","family":"Hesseltine","given":"Johnathon","non-dropping-particle":"","parse-names":false,"suffix":""}],"id":"ITEM-1","issued":{"date-parts":[["2016"]]},"language":"http://id.loc.gov/vocabulary/iso639-2/eng","publisher":"Oregon State University","title":"Change in Hydraulic Conductivity of Expansive Soils","type":"thesis"},"uris":["http://www.mendeley.com/documents/?uuid=853224a9-d17c-4a62-b5c0-0a3aff27cbaa"]}],"mendeley":{"formattedCitation":"(Hesseltine, 2016)","plainTextFormattedCitation":"(Hesseltine, 2016)","previouslyFormattedCitation":"(Hesseltine, 2016)"},"properties":{"noteIndex":0},"schema":"https://github.com/citation-style-language/schema/raw/master/csl-citation.json"}</w:instrText>
      </w:r>
      <w:r w:rsidR="00B70161">
        <w:rPr>
          <w:rFonts w:cs="Times New Roman"/>
          <w:szCs w:val="24"/>
        </w:rPr>
        <w:fldChar w:fldCharType="separate"/>
      </w:r>
      <w:r w:rsidR="00B70161" w:rsidRPr="00B70161">
        <w:rPr>
          <w:rFonts w:cs="Times New Roman"/>
          <w:noProof/>
          <w:szCs w:val="24"/>
        </w:rPr>
        <w:t>(Hesseltine, 2016)</w:t>
      </w:r>
      <w:r w:rsidR="00B70161">
        <w:rPr>
          <w:rFonts w:cs="Times New Roman"/>
          <w:szCs w:val="24"/>
        </w:rPr>
        <w:fldChar w:fldCharType="end"/>
      </w:r>
      <w:r w:rsidR="00B70161">
        <w:rPr>
          <w:rFonts w:cs="Times New Roman"/>
          <w:szCs w:val="24"/>
        </w:rPr>
        <w:t xml:space="preserve"> </w:t>
      </w:r>
      <w:r>
        <w:rPr>
          <w:rFonts w:cs="Times New Roman"/>
          <w:szCs w:val="24"/>
        </w:rPr>
        <w:t xml:space="preserve">which can lead to a reduction in pore size and thus a decrease of </w:t>
      </w:r>
      <w:r w:rsidRPr="00CA5CD5">
        <w:rPr>
          <w:rFonts w:cs="Times New Roman"/>
          <w:i/>
          <w:szCs w:val="24"/>
        </w:rPr>
        <w:t>K</w:t>
      </w:r>
      <w:r>
        <w:rPr>
          <w:rFonts w:cs="Times New Roman"/>
          <w:szCs w:val="24"/>
        </w:rPr>
        <w:t xml:space="preserve"> </w:t>
      </w:r>
      <w:r w:rsidR="00B70161">
        <w:rPr>
          <w:rFonts w:cs="Times New Roman"/>
          <w:szCs w:val="24"/>
        </w:rPr>
        <w:fldChar w:fldCharType="begin" w:fldLock="1"/>
      </w:r>
      <w:r w:rsidR="005037BC">
        <w:rPr>
          <w:rFonts w:cs="Times New Roman"/>
          <w:szCs w:val="24"/>
        </w:rPr>
        <w:instrText>ADDIN CSL_CITATION {"citationItems":[{"id":"ITEM-1","itemData":{"DOI":"https://doi.org/10.1016/0167-1987(88)90002-5","ISBN":"0167-1987","author":[{"dropping-particle":"","family":"Dexter","given":"A R","non-dropping-particle":"","parse-names":false,"suffix":""}],"container-title":"Soil and Tillage Research","id":"ITEM-1","issue":"3","issued":{"date-parts":[["1988"]]},"page":"199-238","title":"Advances in characterization of soil structure","type":"article-journal","volume":"11"},"uris":["http://www.mendeley.com/documents/?uuid=1d568159-2eee-4ab9-96bd-e2262d35676f"]},{"id":"ITEM-2","itemData":{"ISBN":"0038-075X","abstract":"Field-saturated hydraulic conductivity (Kfs) is perhaps the single most important property for flow and transport-related phenomena in soils. Kfs is prone to variability because of swelling and shrinking of clay that results from differences in initial soil water content. The effects of initial soil water content on the variability of Kfs in a structured clayey soil were investigated in this study. The soil was classified as a Hagerstown silt loam (fine, mixed, mesic, Typic Hapludalf). The Kfs and initial water content were measured monthly from May 1994 to November 1995. The Guelph permeameter was used to measure Kfs. Three Kfs measurements were made in-situ on three corners of an equilateral triangle with sides of 3 m at a depth range of 0.35-0.40 m. The measurements were taken between the 23rd and 31st day of each month, depending on weather and soil conditions. A soil sample was collected from each hole at a depth of 0.35-0.40 m before making Kfs measurements in order to determine water content using the gravimetric method. Variations and fluctuations in Kfs values were observed throughout the duration of the study. Kfs values in June and July 1994 were about 4 to 15 times greater than in the spring, fall, and winter. In 1995, Kfs varied in the same manner as it did in 1994. Kfs values for the interval from June through September 1995 were much larger than in early spring, late fall, and winter. This variation in Kfs was attributed primarily to changes in soil structure and macroporosity caused by the swelling and shrinking of the clay associated with variations in soil water content throughout the year. A curvilinear logistic relationship (R2 = 0.95) was found between the data of Kfs and initial soil water content.","author":[{"dropping-particle":"","family":"Jabro","given":"Jalal D","non-dropping-particle":"","parse-names":false,"suffix":""}],"container-title":"Soil Science","id":"ITEM-2","issue":"11","issued":{"date-parts":[["1996"]]},"page":"735-739","title":"Variability of field-saturated hydraulic conductivity in Hagerstown soil as affected by initial water content","type":"article-journal","volume":"161"},"uris":["http://www.mendeley.com/documents/?uuid=a4320041-bc2a-4dc4-8f73-023a3dcab8b9"]},{"id":"ITEM-3","itemData":{"DOI":"doi:10.1111/j.1365-2389.1990.tb00059.x","abstract":"SUMMARY A simple method (the inversed auger hole method) for measuring field-saturated hydraulic conductivity (Kfs) was investigated. Measurements were carried out in the spring, summer and autumn at three depths in two Swedish clay soils (Ultuna and Limsta, with clay contents of 45–60%0 and 65–80%, under barley and grass/clover ley respectively). Seasonal fluctuations in Kfs at Limsta were more pronounced, and were observed deeper in the profile. This was attributed primarily to larger structural changes due to a higher capacity for swell/shrink (normal shrinkage over the available water range) and an earlier drying up of the soil under grass/clover ley. It was shown that the measured Kfs values were strongly correlated with the total inter aggregate (macro-) porosity (et), estimated from a simple model of soil shrinkage. Combining the data from both soils, a single power-law relation was adequate (r= 0.73) to describe the variations in Kfs with et","author":[{"dropping-particle":"","family":"Messing","given":"I","non-dropping-particle":"","parse-names":false,"suffix":""},{"dropping-particle":"","family":"Jarvis","given":"N J","non-dropping-particle":"","parse-names":false,"suffix":""}],"container-title":"Journal of Soil Science","id":"ITEM-3","issue":"2","issued":{"date-parts":[["1990"]]},"page":"229-237","title":"Seasonal variation in field-saturated hydraulic conductivity in two swelling clay soils in Sweden","type":"article-journal","volume":"41"},"uris":["http://www.mendeley.com/documents/?uuid=1f5527c5-6d6e-4557-ad56-e22247a7fcdb"]}],"mendeley":{"formattedCitation":"(Dexter, 1988; Jabro, 1996; Messing and Jarvis, 1990)","plainTextFormattedCitation":"(Dexter, 1988; Jabro, 1996; Messing and Jarvis, 1990)","previouslyFormattedCitation":"(Dexter, 1988; Jabro, 1996; Messing and Jarvis, 1990)"},"properties":{"noteIndex":0},"schema":"https://github.com/citation-style-language/schema/raw/master/csl-citation.json"}</w:instrText>
      </w:r>
      <w:r w:rsidR="00B70161">
        <w:rPr>
          <w:rFonts w:cs="Times New Roman"/>
          <w:szCs w:val="24"/>
        </w:rPr>
        <w:fldChar w:fldCharType="separate"/>
      </w:r>
      <w:r w:rsidR="00B70161" w:rsidRPr="00B70161">
        <w:rPr>
          <w:rFonts w:cs="Times New Roman"/>
          <w:noProof/>
          <w:szCs w:val="24"/>
        </w:rPr>
        <w:t>(Dexter, 1988; Jabro, 1996; Messing and Jarvis, 1990)</w:t>
      </w:r>
      <w:r w:rsidR="00B70161">
        <w:rPr>
          <w:rFonts w:cs="Times New Roman"/>
          <w:szCs w:val="24"/>
        </w:rPr>
        <w:fldChar w:fldCharType="end"/>
      </w:r>
      <w:r w:rsidR="00B70161">
        <w:rPr>
          <w:rFonts w:cs="Times New Roman"/>
          <w:szCs w:val="24"/>
        </w:rPr>
        <w:t>.</w:t>
      </w:r>
      <w:r>
        <w:rPr>
          <w:rFonts w:cs="Times New Roman"/>
          <w:szCs w:val="24"/>
        </w:rPr>
        <w:t xml:space="preserve"> </w:t>
      </w:r>
    </w:p>
    <w:p w14:paraId="3D158101" w14:textId="77777777" w:rsidR="0038409E" w:rsidRDefault="0038409E" w:rsidP="001448A4">
      <w:pPr>
        <w:spacing w:line="480" w:lineRule="auto"/>
        <w:jc w:val="both"/>
        <w:rPr>
          <w:rFonts w:cs="Times New Roman"/>
          <w:szCs w:val="24"/>
        </w:rPr>
      </w:pPr>
      <w:r>
        <w:rPr>
          <w:rFonts w:cs="Times New Roman"/>
          <w:szCs w:val="24"/>
        </w:rPr>
        <w:t xml:space="preserve">In some soils </w:t>
      </w:r>
      <w:r w:rsidRPr="00CA5CD5">
        <w:rPr>
          <w:rFonts w:cs="Times New Roman"/>
          <w:i/>
          <w:szCs w:val="24"/>
        </w:rPr>
        <w:t>K</w:t>
      </w:r>
      <w:r>
        <w:rPr>
          <w:rFonts w:cs="Times New Roman"/>
          <w:szCs w:val="24"/>
        </w:rPr>
        <w:t xml:space="preserve"> can decrease in spring after winter freeze-thaw cycles due to reconsolidation causing an increase in soil density</w:t>
      </w:r>
      <w:r w:rsidR="005037BC">
        <w:rPr>
          <w:rFonts w:cs="Times New Roman"/>
          <w:szCs w:val="24"/>
        </w:rPr>
        <w:t xml:space="preserve"> </w:t>
      </w:r>
      <w:r w:rsidR="005037BC">
        <w:rPr>
          <w:rFonts w:cs="Times New Roman"/>
          <w:szCs w:val="24"/>
        </w:rPr>
        <w:fldChar w:fldCharType="begin" w:fldLock="1"/>
      </w:r>
      <w:r w:rsidR="00677D72">
        <w:rPr>
          <w:rFonts w:cs="Times New Roman"/>
          <w:szCs w:val="24"/>
        </w:rPr>
        <w:instrText>ADDIN CSL_CITATION {"citationItems":[{"id":"ITEM-1","itemData":{"DOI":"https://doi.org/10.1016/j.geoderma.2008.12.016","ISBN":"0016-7061","author":[{"dropping-particle":"","family":"Hu","given":"Wei","non-dropping-particle":"","parse-names":false,"suffix":""},{"dropping-particle":"","family":"Shao","given":"Mingan","non-dropping-particle":"","parse-names":false,"suffix":""},{"dropping-particle":"","family":"Wang","given":"Quanjiu","non-dropping-particle":"","parse-names":false,"suffix":""},{"dropping-particle":"","family":"Fan","given":"Jun","non-dropping-particle":"","parse-names":false,"suffix":""},{"dropping-particle":"","family":"Horton","given":"Robert","non-dropping-particle":"","parse-names":false,"suffix":""}],"container-title":"Geoderma","id":"ITEM-1","issue":"3","issued":{"date-parts":[["2009"]]},"page":"355-366","title":"Temporal changes of soil hydraulic properties under different land uses","type":"article-journal","volume":"149"},"uris":["http://www.mendeley.com/documents/?uuid=f6c23cea-816e-44af-aa5c-9b97fab24e2b"]},{"id":"ITEM-2","itemData":{"DOI":"doi:10.1111/j.1365-2389.2012.01479.x","abstract":"Soil surface bulk density (ρb) and saturated hydraulic conductivity (Ks) control many land-surface processes such as water flow, chemical transport and soil erosion. The objective of this study was to examine seasonal changes in surface ρb and Ks in natural landscapes with few human activities. Measurements of ρb and Ks were made on undisturbed soil samples taken from the soil surface (0–0.05 m) five times from October 2007 to March 2009 along four natural transects in a small watershed on the Chinese Loess Plateau. The transects represented four landscapes with different vegetation and soil typical in this region. Results showed that ρb and Ks varied seasonally. Temporal changes in Ks generally followed the temporal patterns of ρb. According to the mean values of all landscapes, bulk density decreased by 1.6 and 1.1% and log10-transformed Ks (Log10Ks) increased by 11.0 and 5.8% from October 2007 to March 2008 and from October 2008 to March 2009, respectively; bulk density increased by 2.1% and Log10Ks decreased by 4.9% from March to June in 2007; from June to October in 2007, bulk density decreased by 1.3% while a slight increase (1.4%) in Log10Ks was observed. Both landscape and time significantly influenced ρb and Ks, and Ks was more susceptible to temporal change than ρb. Spatial patterns of ρb and Ks did not change significantly with time. Saturated hydraulic conductivity measurements taken in different seasons can affect runoff simulation results, and Ks data measured in spring may result in underestimation of runoff in a rainy season.","author":[{"dropping-particle":"","family":"Hu","given":"W","non-dropping-particle":"","parse-names":false,"suffix":""},{"dropping-particle":"","family":"Shao","given":"M A","non-dropping-particle":"","parse-names":false,"suffix":""},{"dropping-particle":"","family":"Si","given":"B C","non-dropping-particle":"","parse-names":false,"suffix":""}],"container-title":"European Journal of Soil Science","id":"ITEM-2","issue":"6","issued":{"date-parts":[["2012"]]},"page":"820-830","title":"Seasonal changes in surface bulk density and saturated hydraulic conductivity of natural landscapes","type":"article-journal","volume":"63"},"uris":["http://www.mendeley.com/documents/?uuid=3758314d-06df-4584-9ef1-17cb71e7cbff"]}],"mendeley":{"formattedCitation":"(Hu et al., 2012, 2009)","plainTextFormattedCitation":"(Hu et al., 2012, 2009)","previouslyFormattedCitation":"(Hu et al., 2012, 2009)"},"properties":{"noteIndex":0},"schema":"https://github.com/citation-style-language/schema/raw/master/csl-citation.json"}</w:instrText>
      </w:r>
      <w:r w:rsidR="005037BC">
        <w:rPr>
          <w:rFonts w:cs="Times New Roman"/>
          <w:szCs w:val="24"/>
        </w:rPr>
        <w:fldChar w:fldCharType="separate"/>
      </w:r>
      <w:r w:rsidR="005037BC" w:rsidRPr="005037BC">
        <w:rPr>
          <w:rFonts w:cs="Times New Roman"/>
          <w:noProof/>
          <w:szCs w:val="24"/>
        </w:rPr>
        <w:t>(Hu et al., 2012, 2009)</w:t>
      </w:r>
      <w:r w:rsidR="005037BC">
        <w:rPr>
          <w:rFonts w:cs="Times New Roman"/>
          <w:szCs w:val="24"/>
        </w:rPr>
        <w:fldChar w:fldCharType="end"/>
      </w:r>
      <w:r w:rsidR="005037BC">
        <w:rPr>
          <w:rFonts w:cs="Times New Roman"/>
          <w:szCs w:val="24"/>
        </w:rPr>
        <w:t>.</w:t>
      </w:r>
      <w:r>
        <w:rPr>
          <w:rFonts w:cs="Times New Roman"/>
          <w:szCs w:val="24"/>
        </w:rPr>
        <w:t xml:space="preserve"> However, in our experiments </w:t>
      </w:r>
      <w:r w:rsidRPr="00CA5CD5">
        <w:rPr>
          <w:rFonts w:cs="Times New Roman"/>
          <w:i/>
          <w:szCs w:val="24"/>
        </w:rPr>
        <w:t>K</w:t>
      </w:r>
      <w:r w:rsidRPr="00F717D0">
        <w:rPr>
          <w:rFonts w:cs="Times New Roman"/>
          <w:i/>
          <w:szCs w:val="24"/>
          <w:vertAlign w:val="subscript"/>
        </w:rPr>
        <w:t>0.5</w:t>
      </w:r>
      <w:r w:rsidRPr="005266A9">
        <w:rPr>
          <w:rFonts w:cs="Times New Roman"/>
          <w:szCs w:val="24"/>
          <w:vertAlign w:val="subscript"/>
        </w:rPr>
        <w:t xml:space="preserve"> </w:t>
      </w:r>
      <w:r>
        <w:rPr>
          <w:rFonts w:cs="Times New Roman"/>
          <w:szCs w:val="24"/>
        </w:rPr>
        <w:t>increased significantly in spring 2018 (3</w:t>
      </w:r>
      <w:r w:rsidRPr="00D065B6">
        <w:rPr>
          <w:rFonts w:cs="Times New Roman"/>
          <w:szCs w:val="24"/>
          <w:vertAlign w:val="superscript"/>
        </w:rPr>
        <w:t>rd</w:t>
      </w:r>
      <w:r>
        <w:rPr>
          <w:rFonts w:cs="Times New Roman"/>
          <w:szCs w:val="24"/>
        </w:rPr>
        <w:t xml:space="preserve"> – 6</w:t>
      </w:r>
      <w:r w:rsidRPr="00D065B6">
        <w:rPr>
          <w:rFonts w:cs="Times New Roman"/>
          <w:szCs w:val="24"/>
          <w:vertAlign w:val="superscript"/>
        </w:rPr>
        <w:t>th</w:t>
      </w:r>
      <w:r>
        <w:rPr>
          <w:rFonts w:cs="Times New Roman"/>
          <w:szCs w:val="24"/>
        </w:rPr>
        <w:t xml:space="preserve"> April) relative to winter 2017-18. Earthworm activity and plant growth during the spring may contribute to an increase in connected soil pores that can conduct more water. At a coarser scale of observation than the hydraulic conductivity measurements we recorded, a decrease in the bulk density and an increase in the %OM content of the soils between the start and end of the experiment, would improve soil structure and also be expected to increase</w:t>
      </w:r>
      <w:r w:rsidRPr="00C71569">
        <w:rPr>
          <w:rFonts w:cs="Times New Roman"/>
          <w:szCs w:val="24"/>
        </w:rPr>
        <w:t xml:space="preserve"> the amount of water movement</w:t>
      </w:r>
      <w:r>
        <w:rPr>
          <w:rFonts w:cs="Times New Roman"/>
          <w:szCs w:val="24"/>
        </w:rPr>
        <w:t xml:space="preserve"> within the soil</w:t>
      </w:r>
      <w:r w:rsidR="00677D72">
        <w:rPr>
          <w:rFonts w:cs="Times New Roman"/>
          <w:szCs w:val="24"/>
        </w:rPr>
        <w:t xml:space="preserve"> </w:t>
      </w:r>
      <w:r w:rsidR="00677D72">
        <w:rPr>
          <w:rFonts w:cs="Times New Roman"/>
          <w:szCs w:val="24"/>
        </w:rPr>
        <w:fldChar w:fldCharType="begin" w:fldLock="1"/>
      </w:r>
      <w:r w:rsidR="00366989">
        <w:rPr>
          <w:rFonts w:cs="Times New Roman"/>
          <w:szCs w:val="24"/>
        </w:rPr>
        <w:instrText>ADDIN CSL_CITATION {"citationItems":[{"id":"ITEM-1","itemData":{"DOI":"https://doi.org/10.1016/B978-0-12-348536-6.50012-5","ISBN":"978-0-12-348536-6","author":[{"dropping-particle":"","family":"Hillel","given":"Daniel","non-dropping-particle":"","parse-names":false,"suffix":""}],"container-title":"Soil in the Environment","editor":[{"dropping-particle":"","family":"Hillel","given":"Daniel","non-dropping-particle":"","parse-names":false,"suffix":""}],"id":"ITEM-1","issued":{"date-parts":[["2008"]]},"page":"91-101","publisher":"Academic Press","publisher-place":"San Diego","title":"7. - SOIL-WATER DYNAMICS","type":"chapter"},"uris":["http://www.mendeley.com/documents/?uuid=fa2c76a1-46ed-46ec-9df2-2aff0f1f7764"]}],"mendeley":{"formattedCitation":"(Hillel, 2008)","plainTextFormattedCitation":"(Hillel, 2008)","previouslyFormattedCitation":"(Hillel, 2008)"},"properties":{"noteIndex":0},"schema":"https://github.com/citation-style-language/schema/raw/master/csl-citation.json"}</w:instrText>
      </w:r>
      <w:r w:rsidR="00677D72">
        <w:rPr>
          <w:rFonts w:cs="Times New Roman"/>
          <w:szCs w:val="24"/>
        </w:rPr>
        <w:fldChar w:fldCharType="separate"/>
      </w:r>
      <w:r w:rsidR="00677D72" w:rsidRPr="00677D72">
        <w:rPr>
          <w:rFonts w:cs="Times New Roman"/>
          <w:noProof/>
          <w:szCs w:val="24"/>
        </w:rPr>
        <w:t>(Hillel, 2008)</w:t>
      </w:r>
      <w:r w:rsidR="00677D72">
        <w:rPr>
          <w:rFonts w:cs="Times New Roman"/>
          <w:szCs w:val="24"/>
        </w:rPr>
        <w:fldChar w:fldCharType="end"/>
      </w:r>
      <w:r w:rsidR="00677D72">
        <w:rPr>
          <w:rFonts w:cs="Times New Roman"/>
          <w:szCs w:val="24"/>
        </w:rPr>
        <w:t>.</w:t>
      </w:r>
      <w:r>
        <w:rPr>
          <w:rFonts w:cs="Times New Roman"/>
          <w:szCs w:val="24"/>
        </w:rPr>
        <w:t xml:space="preserve"> </w:t>
      </w:r>
    </w:p>
    <w:p w14:paraId="7D02DFBF" w14:textId="77777777" w:rsidR="0038409E" w:rsidRDefault="0038409E" w:rsidP="001448A4">
      <w:pPr>
        <w:pStyle w:val="Heading3"/>
        <w:numPr>
          <w:ilvl w:val="1"/>
          <w:numId w:val="14"/>
        </w:numPr>
        <w:spacing w:before="360" w:after="200" w:line="480" w:lineRule="auto"/>
      </w:pPr>
      <w:r>
        <w:t>Soil w</w:t>
      </w:r>
      <w:r w:rsidRPr="00496081">
        <w:t xml:space="preserve">ater release curves </w:t>
      </w:r>
      <w:r>
        <w:t xml:space="preserve">and water holding capacity </w:t>
      </w:r>
    </w:p>
    <w:p w14:paraId="724EA12A" w14:textId="77777777" w:rsidR="0038409E" w:rsidRDefault="0038409E" w:rsidP="001448A4">
      <w:pPr>
        <w:spacing w:after="120" w:line="480" w:lineRule="auto"/>
        <w:jc w:val="both"/>
        <w:rPr>
          <w:rFonts w:cs="Times New Roman"/>
          <w:szCs w:val="24"/>
        </w:rPr>
      </w:pPr>
      <w:r w:rsidRPr="009062DC">
        <w:rPr>
          <w:rFonts w:cs="Times New Roman"/>
          <w:szCs w:val="24"/>
        </w:rPr>
        <w:t xml:space="preserve">Soil water release curves for the </w:t>
      </w:r>
      <w:r>
        <w:rPr>
          <w:rFonts w:cs="Times New Roman"/>
          <w:szCs w:val="24"/>
        </w:rPr>
        <w:t>DeF</w:t>
      </w:r>
      <w:r w:rsidRPr="009062DC">
        <w:rPr>
          <w:rFonts w:cs="Times New Roman"/>
          <w:szCs w:val="24"/>
        </w:rPr>
        <w:t xml:space="preserve">+E treatments shifted to the right relative to the </w:t>
      </w:r>
      <w:r>
        <w:rPr>
          <w:rFonts w:cs="Times New Roman"/>
          <w:szCs w:val="24"/>
        </w:rPr>
        <w:t>DeF</w:t>
      </w:r>
      <w:r w:rsidRPr="009062DC">
        <w:rPr>
          <w:rFonts w:cs="Times New Roman"/>
          <w:szCs w:val="24"/>
        </w:rPr>
        <w:t xml:space="preserve"> and </w:t>
      </w:r>
      <w:r>
        <w:rPr>
          <w:rFonts w:cs="Times New Roman"/>
          <w:szCs w:val="24"/>
        </w:rPr>
        <w:t>c</w:t>
      </w:r>
      <w:r w:rsidRPr="009062DC">
        <w:rPr>
          <w:rFonts w:cs="Times New Roman"/>
          <w:szCs w:val="24"/>
        </w:rPr>
        <w:t>ontrol treatments resulting in increased predicted water contents at saturation, field capacity and at wilting point for all the fields</w:t>
      </w:r>
      <w:r>
        <w:rPr>
          <w:rFonts w:cs="Times New Roman"/>
          <w:szCs w:val="24"/>
        </w:rPr>
        <w:t xml:space="preserve"> (Table 3, Figure 5, </w:t>
      </w:r>
      <w:r w:rsidRPr="00FF1AC5">
        <w:rPr>
          <w:rFonts w:cs="Times New Roman"/>
          <w:szCs w:val="24"/>
        </w:rPr>
        <w:t>Figure S</w:t>
      </w:r>
      <w:r>
        <w:rPr>
          <w:rFonts w:cs="Times New Roman"/>
          <w:szCs w:val="24"/>
        </w:rPr>
        <w:t>5).</w:t>
      </w:r>
      <w:r w:rsidRPr="009062DC">
        <w:rPr>
          <w:rFonts w:cs="Times New Roman"/>
          <w:szCs w:val="24"/>
        </w:rPr>
        <w:t xml:space="preserve"> </w:t>
      </w:r>
      <w:r>
        <w:rPr>
          <w:rFonts w:cs="Times New Roman"/>
          <w:szCs w:val="24"/>
        </w:rPr>
        <w:t xml:space="preserve">The DeF+E treatments also had higher </w:t>
      </w:r>
      <w:r w:rsidRPr="00DB0B8F">
        <w:rPr>
          <w:rFonts w:cs="Times New Roman"/>
          <w:szCs w:val="24"/>
        </w:rPr>
        <w:t>water holding capacit</w:t>
      </w:r>
      <w:r>
        <w:rPr>
          <w:rFonts w:cs="Times New Roman"/>
          <w:szCs w:val="24"/>
        </w:rPr>
        <w:t>ies (Table 4)</w:t>
      </w:r>
      <w:r w:rsidRPr="00B0142A">
        <w:rPr>
          <w:rFonts w:cs="Times New Roman"/>
          <w:szCs w:val="24"/>
        </w:rPr>
        <w:t xml:space="preserve"> </w:t>
      </w:r>
      <w:r>
        <w:rPr>
          <w:rFonts w:cs="Times New Roman"/>
          <w:szCs w:val="24"/>
        </w:rPr>
        <w:t xml:space="preserve">and </w:t>
      </w:r>
      <w:r w:rsidRPr="00DB0B8F">
        <w:rPr>
          <w:rFonts w:cs="Times New Roman"/>
          <w:szCs w:val="24"/>
        </w:rPr>
        <w:t xml:space="preserve">plant available </w:t>
      </w:r>
      <w:r>
        <w:rPr>
          <w:rFonts w:cs="Times New Roman"/>
          <w:szCs w:val="24"/>
        </w:rPr>
        <w:t>water</w:t>
      </w:r>
      <w:r w:rsidRPr="00B06F13">
        <w:rPr>
          <w:rFonts w:cs="Times New Roman"/>
          <w:szCs w:val="24"/>
        </w:rPr>
        <w:t>. Th</w:t>
      </w:r>
      <w:r>
        <w:rPr>
          <w:rFonts w:cs="Times New Roman"/>
          <w:szCs w:val="24"/>
        </w:rPr>
        <w:t xml:space="preserve">is is consistent with </w:t>
      </w:r>
      <w:r w:rsidRPr="00DB0B8F">
        <w:rPr>
          <w:rFonts w:cs="Times New Roman"/>
          <w:szCs w:val="24"/>
        </w:rPr>
        <w:t>an improved soil structure</w:t>
      </w:r>
      <w:r w:rsidR="00366989">
        <w:rPr>
          <w:rFonts w:cs="Times New Roman"/>
          <w:szCs w:val="24"/>
        </w:rPr>
        <w:t xml:space="preserve"> </w:t>
      </w:r>
      <w:r w:rsidR="00366989">
        <w:rPr>
          <w:rFonts w:cs="Times New Roman"/>
          <w:szCs w:val="24"/>
        </w:rPr>
        <w:fldChar w:fldCharType="begin" w:fldLock="1"/>
      </w:r>
      <w:r w:rsidR="00366989">
        <w:rPr>
          <w:rFonts w:cs="Times New Roman"/>
          <w:szCs w:val="24"/>
        </w:rPr>
        <w:instrText>ADDIN CSL_CITATION {"citationItems":[{"id":"ITEM-1","itemData":{"DOI":"http://dx.doi.org/10.1081/E-ESS-120018496","author":[{"dropping-particle":"","family":"Huntington","given":"Tom G","non-dropping-particle":"","parse-names":false,"suffix":""}],"container-title":"Encyclopedia of soil science","edition":"Second Edi","id":"ITEM-1","issued":{"date-parts":[["2006"]]},"page":"139-143","publisher":"Taylor and Francis","publisher-place":" New York","title":"Available water capacity and soil organic matter","type":"chapter","volume":"1"},"uris":["http://www.mendeley.com/documents/?uuid=94a47b78-a480-46af-a547-d2c7451e4f03"]}],"mendeley":{"formattedCitation":"(Huntington, 2006)","plainTextFormattedCitation":"(Huntington, 2006)","previouslyFormattedCitation":"(Huntington, 2006)"},"properties":{"noteIndex":0},"schema":"https://github.com/citation-style-language/schema/raw/master/csl-citation.json"}</w:instrText>
      </w:r>
      <w:r w:rsidR="00366989">
        <w:rPr>
          <w:rFonts w:cs="Times New Roman"/>
          <w:szCs w:val="24"/>
        </w:rPr>
        <w:fldChar w:fldCharType="separate"/>
      </w:r>
      <w:r w:rsidR="00366989" w:rsidRPr="00366989">
        <w:rPr>
          <w:rFonts w:cs="Times New Roman"/>
          <w:noProof/>
          <w:szCs w:val="24"/>
        </w:rPr>
        <w:t>(Huntington, 2006)</w:t>
      </w:r>
      <w:r w:rsidR="00366989">
        <w:rPr>
          <w:rFonts w:cs="Times New Roman"/>
          <w:szCs w:val="24"/>
        </w:rPr>
        <w:fldChar w:fldCharType="end"/>
      </w:r>
      <w:r w:rsidR="00366989">
        <w:rPr>
          <w:rFonts w:cs="Times New Roman"/>
          <w:szCs w:val="24"/>
        </w:rPr>
        <w:t>.</w:t>
      </w:r>
      <w:r w:rsidRPr="00DB0B8F">
        <w:rPr>
          <w:rFonts w:cs="Times New Roman"/>
          <w:szCs w:val="24"/>
        </w:rPr>
        <w:t xml:space="preserve"> </w:t>
      </w:r>
      <w:r>
        <w:rPr>
          <w:rFonts w:cs="Times New Roman"/>
          <w:szCs w:val="24"/>
        </w:rPr>
        <w:t xml:space="preserve">Earthworms impact soil structure directly by creating pores of different sizes, branching and sinuosity which impact on soil water storage capacity </w:t>
      </w:r>
      <w:r w:rsidR="00366989">
        <w:rPr>
          <w:rFonts w:cs="Times New Roman"/>
          <w:szCs w:val="24"/>
        </w:rPr>
        <w:fldChar w:fldCharType="begin" w:fldLock="1"/>
      </w:r>
      <w:r w:rsidR="00366989">
        <w:rPr>
          <w:rFonts w:cs="Times New Roman"/>
          <w:szCs w:val="24"/>
        </w:rPr>
        <w:instrText>ADDIN CSL_CITATION {"citationItems":[{"id":"ITEM-1","itemData":{"DOI":"10.1016/j.apsoil.2005.01.001","ISBN":"0929-1393","abstract":"To link earthworm burrow distribution with the spatial variability of soil functions, accurate mapping of their spatial burrowing patterns is required. Eight natural soil cores (25 cm in diameter; up to 60 cm long) were collected from a pasture in spring 2001-2003. Earthworm populations were sampled on the first date and the anecie species Nicodrilus giardi was found to be dominant (55% of the average density of 101 worms m(-2)). Soil cores were imaged using medical X-ray tomography equipment. These tomography images served as a basis for 3D reconstructions generated using specifically written software. Finally, the reconstructed burrow systems were measured and analysed using mathematical morphological approaches. The 3D reconstructions thus derived showed dense systems of interconnected burrows. A number of burrows extending vertically from the top to the bottom of the cores, but most were short, disconnected burrows. These two classes of burrows could not be linked with the activity of a particular species. In addition to the visual appraisal of the burrow system shape, structural parameters such as burrow volume, burrow wall surface area, burrow length density, topology and burrow angles were computed from the 3D reconstructions. Total burrow length density ranged from 687 to 1212 m m(-3). Burrow volume density represented less than 2.5% of total soil volume and ranged from 13.3 x 10(3) to 24.2 x 10(3) cm(3) m(-3). Inspire of the apparently high continuity of burrows, only 9-43% of the volume was connected to the soil surface. Total burrow wall area ranged from 7721 to 12764 cm(2) m-3 while surface-connected burrow wall surface area ranged from 1069 to 7237 cm(2) m(-3). The drilosphere volumes (i.e. a 2 turn thick sheath around burrows) were estimated to range from 44.9 x 10(3) to 52.9 x 10(3) cm(3) m(-3). Earthworm activity was found to vary throughout the year as revealed by changes in burrowing patterns. The burrow systems in spring 2001 were denser than that in others years, and the burrow systems in spring 2003 appeared to be partially re-filled close to the surface. This temporal variability demonstrates that it is virtually impossible to obtain true replicates of burrow systems of a given earthworm community without knowing (1) which burrows were created by which species and (2) the burrows age. However, the accurate description and quantification of earthworm burrow systems using powerful image processing tools allows a detailed discussion o…","author":[{"dropping-particle":"","family":"Bastardie","given":"F","non-dropping-particle":"","parse-names":false,"suffix":""},{"dropping-particle":"","family":"Capowiez","given":"Y","non-dropping-particle":"","parse-names":false,"suffix":""},{"dropping-particle":"","family":"Cluzeau","given":"D","non-dropping-particle":"","parse-names":false,"suffix":""}],"container-title":"Applied Soil Ecology","id":"ITEM-1","issue":"1","issued":{"date-parts":[["2005"]]},"language":"English","note":"962GN\nTimes Cited:32\nCited References Count:48","page":"34-46","title":"3D characterisation of earthworm burrow systems in natural soil cores collected from a 12-year-old pasture","type":"article-journal","volume":"30"},"uris":["http://www.mendeley.com/documents/?uuid=bc99b608-1bd8-4f99-82a2-8079425c4880"]}],"mendeley":{"formattedCitation":"(Bastardie et al., 2005)","plainTextFormattedCitation":"(Bastardie et al., 2005)","previouslyFormattedCitation":"(Bastardie et al., 2005)"},"properties":{"noteIndex":0},"schema":"https://github.com/citation-style-language/schema/raw/master/csl-citation.json"}</w:instrText>
      </w:r>
      <w:r w:rsidR="00366989">
        <w:rPr>
          <w:rFonts w:cs="Times New Roman"/>
          <w:szCs w:val="24"/>
        </w:rPr>
        <w:fldChar w:fldCharType="separate"/>
      </w:r>
      <w:r w:rsidR="00366989" w:rsidRPr="00366989">
        <w:rPr>
          <w:rFonts w:cs="Times New Roman"/>
          <w:noProof/>
          <w:szCs w:val="24"/>
        </w:rPr>
        <w:t>(Bastardie et al., 2005)</w:t>
      </w:r>
      <w:r w:rsidR="00366989">
        <w:rPr>
          <w:rFonts w:cs="Times New Roman"/>
          <w:szCs w:val="24"/>
        </w:rPr>
        <w:fldChar w:fldCharType="end"/>
      </w:r>
      <w:r w:rsidR="00366989">
        <w:rPr>
          <w:rFonts w:cs="Times New Roman"/>
          <w:szCs w:val="24"/>
        </w:rPr>
        <w:t>.</w:t>
      </w:r>
      <w:r>
        <w:rPr>
          <w:rFonts w:cs="Times New Roman"/>
          <w:szCs w:val="24"/>
        </w:rPr>
        <w:t xml:space="preserve"> According to the </w:t>
      </w:r>
      <w:r w:rsidRPr="00FA4BD9">
        <w:rPr>
          <w:rFonts w:cs="Times New Roman"/>
          <w:szCs w:val="24"/>
        </w:rPr>
        <w:t>capillary rise equation</w:t>
      </w:r>
      <w:r>
        <w:rPr>
          <w:rFonts w:cs="Times New Roman"/>
          <w:szCs w:val="24"/>
        </w:rPr>
        <w:t xml:space="preserve">, </w:t>
      </w:r>
      <w:r w:rsidRPr="00155D6F">
        <w:rPr>
          <w:rFonts w:cs="Times New Roman"/>
          <w:szCs w:val="24"/>
        </w:rPr>
        <w:t xml:space="preserve">pore </w:t>
      </w:r>
      <w:r>
        <w:rPr>
          <w:rFonts w:cs="Times New Roman"/>
          <w:szCs w:val="24"/>
        </w:rPr>
        <w:t xml:space="preserve">radius is proportional to the potential </w:t>
      </w:r>
      <w:r w:rsidRPr="00155D6F">
        <w:rPr>
          <w:rFonts w:cs="Times New Roman"/>
          <w:szCs w:val="24"/>
        </w:rPr>
        <w:t>value at which that pore drains</w:t>
      </w:r>
      <w:r w:rsidR="00366989">
        <w:rPr>
          <w:rFonts w:cs="Times New Roman"/>
          <w:szCs w:val="24"/>
        </w:rPr>
        <w:t xml:space="preserve"> </w:t>
      </w:r>
      <w:r w:rsidR="00366989">
        <w:rPr>
          <w:rFonts w:cs="Times New Roman"/>
          <w:szCs w:val="24"/>
        </w:rPr>
        <w:fldChar w:fldCharType="begin" w:fldLock="1"/>
      </w:r>
      <w:r w:rsidR="00366989">
        <w:rPr>
          <w:rFonts w:cs="Times New Roman"/>
          <w:szCs w:val="24"/>
        </w:rPr>
        <w:instrText>ADDIN CSL_CITATION {"citationItems":[{"id":"ITEM-1","itemData":{"DOI":"https://doi.org/10.1016/B978-0-08-091870-9.50012-1","ISBN":"978-0-08-091870-9","author":[{"dropping-particle":"","family":"Hillel","given":"Daniel","non-dropping-particle":"","parse-names":false,"suffix":""}],"container-title":"Fundamentals of Soil Physics","editor":[{"dropping-particle":"","family":"Hillel","given":"Daniel","non-dropping-particle":"","parse-names":false,"suffix":""}],"id":"ITEM-1","issued":{"date-parts":[["1980"]]},"page":"123-165","publisher":"Academic Press","publisher-place":"San Diego","title":"7 - Soil Water: Content and Potential","type":"chapter"},"uris":["http://www.mendeley.com/documents/?uuid=709e64e4-3ec9-4ec0-8f71-4ef0dde09ff9"]}],"mendeley":{"formattedCitation":"(Hillel, 1980)","plainTextFormattedCitation":"(Hillel, 1980)","previouslyFormattedCitation":"(Hillel, 1980)"},"properties":{"noteIndex":0},"schema":"https://github.com/citation-style-language/schema/raw/master/csl-citation.json"}</w:instrText>
      </w:r>
      <w:r w:rsidR="00366989">
        <w:rPr>
          <w:rFonts w:cs="Times New Roman"/>
          <w:szCs w:val="24"/>
        </w:rPr>
        <w:fldChar w:fldCharType="separate"/>
      </w:r>
      <w:r w:rsidR="00366989" w:rsidRPr="00366989">
        <w:rPr>
          <w:rFonts w:cs="Times New Roman"/>
          <w:noProof/>
          <w:szCs w:val="24"/>
        </w:rPr>
        <w:t>(Hillel, 1980)</w:t>
      </w:r>
      <w:r w:rsidR="00366989">
        <w:rPr>
          <w:rFonts w:cs="Times New Roman"/>
          <w:szCs w:val="24"/>
        </w:rPr>
        <w:fldChar w:fldCharType="end"/>
      </w:r>
      <w:r w:rsidR="00366989">
        <w:rPr>
          <w:rFonts w:cs="Times New Roman"/>
          <w:szCs w:val="24"/>
        </w:rPr>
        <w:t>.</w:t>
      </w:r>
      <w:r>
        <w:rPr>
          <w:rFonts w:cs="Times New Roman"/>
          <w:szCs w:val="24"/>
        </w:rPr>
        <w:t xml:space="preserve"> Therefore, at very low potential, water drains through both rapidly and slowly draining pores</w:t>
      </w:r>
      <w:r w:rsidR="00366989">
        <w:rPr>
          <w:rFonts w:cs="Times New Roman"/>
          <w:szCs w:val="24"/>
        </w:rPr>
        <w:t xml:space="preserve"> </w:t>
      </w:r>
      <w:r w:rsidR="00366989">
        <w:rPr>
          <w:rFonts w:cs="Times New Roman"/>
          <w:szCs w:val="24"/>
        </w:rPr>
        <w:fldChar w:fldCharType="begin" w:fldLock="1"/>
      </w:r>
      <w:r w:rsidR="00A15D17">
        <w:rPr>
          <w:rFonts w:cs="Times New Roman"/>
          <w:szCs w:val="24"/>
        </w:rPr>
        <w:instrText>ADDIN CSL_CITATION {"citationItems":[{"id":"ITEM-1","itemData":{"DOI":"10.4067/s0718-95162012000100009","ISBN":"0718-9516","abstract":"Downward water flow in the vadose zone occurs principally through the non-capillary pores, while the redistribution and lateral and upward flow occurs in the capillary pores. The purpose of this study was to propose equations to estimate water flow, Q(theta), and hydraulic conductivity, K(theta), in the capillary and non-capillary soil pores. The equations related K(theta) to soil pore radius (r) were based on soil hydraulic data, including water retention h(q), field basic infiltration rate, water sorptivity (S) and distribution density function f(r) of the soil pore size. Calcareous sandy loam and alluvial clay soils located at the Nile Delta were used to test the validity of the assumed equations. Data showed that the values of K(theta) calculated by the proposed equations were in the common ranges for such soils. The equations are therefore expected to be applicable for both coarse and fine textured soils. Also, an equation was derived to estimate the sorptivity at steady state infiltration. It was observed that S is decreased in going from the un-saturation condition to steady state infiltration by 15.1% and 45.9% in sandy loam and clay soils, respectively.","author":[{"dropping-particle":"","family":"Amer","given":"A M","non-dropping-particle":"","parse-names":false,"suffix":""}],"container-title":"Journal of soil science and plant nutrition","id":"ITEM-1","issue":"1","issued":{"date-parts":[["2012"]]},"note":"Amer, Abdelmonem M.\nAmer, Abdelmonem/0000-0001-7427-6972","page":"99-112","title":"Water flow and conductivity into capillary and non-capillary pores of soils","type":"article-journal","volume":"12"},"uris":["http://www.mendeley.com/documents/?uuid=7aea5059-32bd-4c9d-9cb9-c1a3e2a74d57"]}],"mendeley":{"formattedCitation":"(Amer, 2012)","plainTextFormattedCitation":"(Amer, 2012)","previouslyFormattedCitation":"(Amer, 2012)"},"properties":{"noteIndex":0},"schema":"https://github.com/citation-style-language/schema/raw/master/csl-citation.json"}</w:instrText>
      </w:r>
      <w:r w:rsidR="00366989">
        <w:rPr>
          <w:rFonts w:cs="Times New Roman"/>
          <w:szCs w:val="24"/>
        </w:rPr>
        <w:fldChar w:fldCharType="separate"/>
      </w:r>
      <w:r w:rsidR="00366989" w:rsidRPr="00366989">
        <w:rPr>
          <w:rFonts w:cs="Times New Roman"/>
          <w:noProof/>
          <w:szCs w:val="24"/>
        </w:rPr>
        <w:t>(Amer, 2012)</w:t>
      </w:r>
      <w:r w:rsidR="00366989">
        <w:rPr>
          <w:rFonts w:cs="Times New Roman"/>
          <w:szCs w:val="24"/>
        </w:rPr>
        <w:fldChar w:fldCharType="end"/>
      </w:r>
      <w:r w:rsidR="00366989">
        <w:rPr>
          <w:rFonts w:cs="Times New Roman"/>
          <w:szCs w:val="24"/>
        </w:rPr>
        <w:t xml:space="preserve"> </w:t>
      </w:r>
      <w:r>
        <w:rPr>
          <w:rFonts w:cs="Times New Roman"/>
          <w:szCs w:val="24"/>
        </w:rPr>
        <w:t>such as those created by adult earthworms (2 – 9 mm diameter</w:t>
      </w:r>
      <w:r w:rsidR="00A15D17">
        <w:rPr>
          <w:rFonts w:cs="Times New Roman"/>
          <w:szCs w:val="24"/>
        </w:rPr>
        <w:t xml:space="preserve"> </w:t>
      </w:r>
      <w:r w:rsidR="00A15D17">
        <w:rPr>
          <w:rFonts w:cs="Times New Roman"/>
          <w:szCs w:val="24"/>
        </w:rPr>
        <w:fldChar w:fldCharType="begin" w:fldLock="1"/>
      </w:r>
      <w:r w:rsidR="00A15D17">
        <w:rPr>
          <w:rFonts w:cs="Times New Roman"/>
          <w:szCs w:val="24"/>
        </w:rPr>
        <w:instrText>ADDIN CSL_CITATION {"citationItems":[{"id":"ITEM-1","itemData":{"DOI":"10.1007/s003740050452","ISBN":"1432-0789","abstract":" The effect of organic enrichment on earthworm activity and soil structure was studied in two French vineyards, by comparing control and test plots. In each vineyard the organic matter quantitatively increased the abundance and biomass of the earthworm community. These increases were associated with a higher level of species diversity and a higher evenness corresponding to the development of endogeic community. These earthworm community changes were associated with an increase in granular bioturbated areas and in macroporosity in the top soil layer. The micromorphological approach incorporated an original process of image analysis which appeared to be an appropriate method for characterizing pore morphology in this study. The pores when characterized by their size and shape could be related to ecological groups and growth stages of earthworms.","author":[{"dropping-particle":"","family":"Pérès","given":"G","non-dropping-particle":"","parse-names":false,"suffix":""},{"dropping-particle":"","family":"Cluzeau","given":"D","non-dropping-particle":"","parse-names":false,"suffix":""},{"dropping-particle":"","family":"Curmi","given":"P","non-dropping-particle":"","parse-names":false,"suffix":""},{"dropping-particle":"","family":"Hallaire","given":"V","non-dropping-particle":"","parse-names":false,"suffix":""}],"container-title":"Biology and Fertility of Soils","id":"ITEM-1","issue":"4","issued":{"date-parts":[["1998"]]},"page":"417-424","title":"Earthworm activity and soil structure changes due to organic enrichments in vineyard systems","type":"article-journal","volume":"27"},"uris":["http://www.mendeley.com/documents/?uuid=abd1adaf-b620-4fb6-92b5-83d01b6ed34d"]}],"mendeley":{"formattedCitation":"(Pérès et al., 1998)","plainTextFormattedCitation":"(Pérès et al., 1998)","previouslyFormattedCitation":"(Pérès et al., 1998)"},"properties":{"noteIndex":0},"schema":"https://github.com/citation-style-language/schema/raw/master/csl-citation.json"}</w:instrText>
      </w:r>
      <w:r w:rsidR="00A15D17">
        <w:rPr>
          <w:rFonts w:cs="Times New Roman"/>
          <w:szCs w:val="24"/>
        </w:rPr>
        <w:fldChar w:fldCharType="separate"/>
      </w:r>
      <w:r w:rsidR="00A15D17" w:rsidRPr="00A15D17">
        <w:rPr>
          <w:rFonts w:cs="Times New Roman"/>
          <w:noProof/>
          <w:szCs w:val="24"/>
        </w:rPr>
        <w:t>(Pérès et al., 1998)</w:t>
      </w:r>
      <w:r w:rsidR="00A15D17">
        <w:rPr>
          <w:rFonts w:cs="Times New Roman"/>
          <w:szCs w:val="24"/>
        </w:rPr>
        <w:fldChar w:fldCharType="end"/>
      </w:r>
      <w:r w:rsidR="00A15D17">
        <w:rPr>
          <w:rFonts w:cs="Times New Roman"/>
          <w:szCs w:val="24"/>
        </w:rPr>
        <w:t>).</w:t>
      </w:r>
      <w:r>
        <w:rPr>
          <w:rFonts w:cs="Times New Roman"/>
          <w:szCs w:val="24"/>
        </w:rPr>
        <w:t xml:space="preserve"> The wide pores have more impact on soil water content at saturation than at lower water contents. Pores created by juveniles of diameter less than 1 mm would affect capillary water and therefore water content </w:t>
      </w:r>
      <w:r w:rsidRPr="00DB0B8F">
        <w:rPr>
          <w:rFonts w:cs="Times New Roman"/>
          <w:szCs w:val="24"/>
        </w:rPr>
        <w:t>at field capacity, plant available water and water holding capacity</w:t>
      </w:r>
      <w:r w:rsidR="00A15D17">
        <w:rPr>
          <w:rFonts w:cs="Times New Roman"/>
          <w:szCs w:val="24"/>
        </w:rPr>
        <w:t xml:space="preserve"> </w:t>
      </w:r>
      <w:r w:rsidR="00A15D17">
        <w:rPr>
          <w:rFonts w:cs="Times New Roman"/>
          <w:szCs w:val="24"/>
        </w:rPr>
        <w:fldChar w:fldCharType="begin" w:fldLock="1"/>
      </w:r>
      <w:r w:rsidR="00A15D17">
        <w:rPr>
          <w:rFonts w:cs="Times New Roman"/>
          <w:szCs w:val="24"/>
        </w:rPr>
        <w:instrText>ADDIN CSL_CITATION {"citationItems":[{"id":"ITEM-1","itemData":{"DOI":"10.4067/s0718-95162012000100009","ISBN":"0718-9516","abstract":"Downward water flow in the vadose zone occurs principally through the non-capillary pores, while the redistribution and lateral and upward flow occurs in the capillary pores. The purpose of this study was to propose equations to estimate water flow, Q(theta), and hydraulic conductivity, K(theta), in the capillary and non-capillary soil pores. The equations related K(theta) to soil pore radius (r) were based on soil hydraulic data, including water retention h(q), field basic infiltration rate, water sorptivity (S) and distribution density function f(r) of the soil pore size. Calcareous sandy loam and alluvial clay soils located at the Nile Delta were used to test the validity of the assumed equations. Data showed that the values of K(theta) calculated by the proposed equations were in the common ranges for such soils. The equations are therefore expected to be applicable for both coarse and fine textured soils. Also, an equation was derived to estimate the sorptivity at steady state infiltration. It was observed that S is decreased in going from the un-saturation condition to steady state infiltration by 15.1% and 45.9% in sandy loam and clay soils, respectively.","author":[{"dropping-particle":"","family":"Amer","given":"A M","non-dropping-particle":"","parse-names":false,"suffix":""}],"container-title":"Journal of soil science and plant nutrition","id":"ITEM-1","issue":"1","issued":{"date-parts":[["2012"]]},"note":"Amer, Abdelmonem M.\nAmer, Abdelmonem/0000-0001-7427-6972","page":"99-112","title":"Water flow and conductivity into capillary and non-capillary pores of soils","type":"article-journal","volume":"12"},"uris":["http://www.mendeley.com/documents/?uuid=7aea5059-32bd-4c9d-9cb9-c1a3e2a74d57"]}],"mendeley":{"formattedCitation":"(Amer, 2012)","plainTextFormattedCitation":"(Amer, 2012)","previouslyFormattedCitation":"(Amer, 2012)"},"properties":{"noteIndex":0},"schema":"https://github.com/citation-style-language/schema/raw/master/csl-citation.json"}</w:instrText>
      </w:r>
      <w:r w:rsidR="00A15D17">
        <w:rPr>
          <w:rFonts w:cs="Times New Roman"/>
          <w:szCs w:val="24"/>
        </w:rPr>
        <w:fldChar w:fldCharType="separate"/>
      </w:r>
      <w:r w:rsidR="00A15D17" w:rsidRPr="00A15D17">
        <w:rPr>
          <w:rFonts w:cs="Times New Roman"/>
          <w:noProof/>
          <w:szCs w:val="24"/>
        </w:rPr>
        <w:t>(Amer, 2012)</w:t>
      </w:r>
      <w:r w:rsidR="00A15D17">
        <w:rPr>
          <w:rFonts w:cs="Times New Roman"/>
          <w:szCs w:val="24"/>
        </w:rPr>
        <w:fldChar w:fldCharType="end"/>
      </w:r>
      <w:r w:rsidR="00A15D17">
        <w:rPr>
          <w:rFonts w:cs="Times New Roman"/>
          <w:szCs w:val="24"/>
        </w:rPr>
        <w:t>.</w:t>
      </w:r>
      <w:r>
        <w:rPr>
          <w:rFonts w:cs="Times New Roman"/>
          <w:szCs w:val="24"/>
        </w:rPr>
        <w:t xml:space="preserve"> Earthworms also impact soil structure by fragmenting organic matter content and mixing it into the soil</w:t>
      </w:r>
      <w:r w:rsidR="00A15D17">
        <w:rPr>
          <w:rFonts w:cs="Times New Roman"/>
          <w:szCs w:val="24"/>
        </w:rPr>
        <w:t xml:space="preserve"> </w:t>
      </w:r>
      <w:r w:rsidR="00A15D17">
        <w:rPr>
          <w:rFonts w:cs="Times New Roman"/>
          <w:szCs w:val="24"/>
        </w:rPr>
        <w:fldChar w:fldCharType="begin" w:fldLock="1"/>
      </w:r>
      <w:r w:rsidR="00A15D17">
        <w:rPr>
          <w:rFonts w:cs="Times New Roman"/>
          <w:szCs w:val="24"/>
        </w:rPr>
        <w:instrText>ADDIN CSL_CITATION {"citationItems":[{"id":"ITEM-1","itemData":{"abstract":"This chapter synthesizes information on the effects of earthworms on soil systems at scales longer than 1 year, and earthworm behavior that may affect these processes is detailed","author":[{"dropping-particle":"","family":"Lavelle","given":"Patrick","non-dropping-particle":"","parse-names":false,"suffix":""},{"dropping-particle":"","family":"Pashanasi","given":"Beto","non-dropping-particle":"","parse-names":false,"suffix":""},{"dropping-particle":"","family":"Charpentier","given":"Fabienne","non-dropping-particle":"","parse-names":false,"suffix":""},{"dropping-particle":"","family":"Gilot","given":"Cécile","non-dropping-particle":"","parse-names":false,"suffix":""},{"dropping-particle":"","family":"Rossi","given":"Jean-Pierre","non-dropping-particle":"","parse-names":false,"suffix":""},{"dropping-particle":"","family":"Derouard","given":"Laurent","non-dropping-particle":"","parse-names":false,"suffix":""},{"dropping-particle":"","family":"André","given":"Jean","non-dropping-particle":"","parse-names":false,"suffix":""},{"dropping-particle":"","family":"Ponge","given":"Jean-François","non-dropping-particle":"","parse-names":false,"suffix":""},{"dropping-particle":"","family":"Bernier","given":"Nicolas","non-dropping-particle":"","parse-names":false,"suffix":""}],"container-title":"Earthworm ecology","editor":[{"dropping-particle":"","family":"Edwards","given":"C A","non-dropping-particle":"","parse-names":false,"suffix":""}],"id":"ITEM-1","issued":{"date-parts":[["1998"]]},"language":"English","note":"Life Sciences [q-bio]/Agricultural sciences/Soil studyBook sections","page":"103-122","publisher":"St. Lucie Press","title":"Large-scale effects of earthworms on soil organic matter and nutrient dynamics","type":"chapter"},"uris":["http://www.mendeley.com/documents/?uuid=3e217f54-6d90-4868-820f-ceb11fe5ed7b"]}],"mendeley":{"formattedCitation":"(Lavelle et al., 1998)","plainTextFormattedCitation":"(Lavelle et al., 1998)","previouslyFormattedCitation":"(Lavelle et al., 1998)"},"properties":{"noteIndex":0},"schema":"https://github.com/citation-style-language/schema/raw/master/csl-citation.json"}</w:instrText>
      </w:r>
      <w:r w:rsidR="00A15D17">
        <w:rPr>
          <w:rFonts w:cs="Times New Roman"/>
          <w:szCs w:val="24"/>
        </w:rPr>
        <w:fldChar w:fldCharType="separate"/>
      </w:r>
      <w:r w:rsidR="00A15D17" w:rsidRPr="00A15D17">
        <w:rPr>
          <w:rFonts w:cs="Times New Roman"/>
          <w:noProof/>
          <w:szCs w:val="24"/>
        </w:rPr>
        <w:t>(Lavelle et al., 1998)</w:t>
      </w:r>
      <w:r w:rsidR="00A15D17">
        <w:rPr>
          <w:rFonts w:cs="Times New Roman"/>
          <w:szCs w:val="24"/>
        </w:rPr>
        <w:fldChar w:fldCharType="end"/>
      </w:r>
      <w:r w:rsidR="00A15D17">
        <w:rPr>
          <w:rFonts w:cs="Times New Roman"/>
          <w:szCs w:val="24"/>
        </w:rPr>
        <w:t>.</w:t>
      </w:r>
      <w:r>
        <w:rPr>
          <w:rFonts w:cs="Times New Roman"/>
          <w:szCs w:val="24"/>
        </w:rPr>
        <w:t xml:space="preserve"> This would improve soil aggregation (Table 4) and porosity which in turn increases soil water retention</w:t>
      </w:r>
      <w:r w:rsidR="00A15D17">
        <w:rPr>
          <w:rFonts w:cs="Times New Roman"/>
          <w:szCs w:val="24"/>
        </w:rPr>
        <w:t xml:space="preserve"> </w:t>
      </w:r>
      <w:r w:rsidR="00A15D17">
        <w:rPr>
          <w:rFonts w:cs="Times New Roman"/>
          <w:szCs w:val="24"/>
        </w:rPr>
        <w:fldChar w:fldCharType="begin" w:fldLock="1"/>
      </w:r>
      <w:r w:rsidR="004B27B1">
        <w:rPr>
          <w:rFonts w:cs="Times New Roman"/>
          <w:szCs w:val="24"/>
        </w:rPr>
        <w:instrText>ADDIN CSL_CITATION {"citationItems":[{"id":"ITEM-1","itemData":{"DOI":"10.1134/S1064229308060069","ISBN":"1064-2293","abstract":"The effect of earthworm coprolites on the water retention curves in soils of different geneses and textures was investigated by the method of equilibrium centrifuging. Coprolites sampled in the field were compared with the surrounding soil. The effect of earthworms on a soddy-podzolic light loamy soil (from Moscow oblast) was comprehensively analyzed in the course of a special model experiment in a laboratory. This experiment was necessary because it was difficult to separate the coprolites from the soil, in which additional coprolites could appear under natural conditions. In all the variants of the experiment, the differences between the water retention curves of the coprolites and the surrounding soil (or control substrates unaffected by earthworms) were statistically significant. The development of coprolites favored a considerable increase (up to 20 wt.% and more) of the soil water retention capacity upon equivalent water potentials within the range from 0 to -1000 kPa. In most cases, the soil water retention capacity increased within the entire range of the soil moisture contents. This could be explained by the fact that strongly swelling hygroscopic plant remains (detritus) were included into the coprolites and by the formation of a specific highly porous aggregate structure.","author":[{"dropping-particle":"V","family":"Smagin","given":"A","non-dropping-particle":"","parse-names":false,"suffix":""},{"dropping-particle":"V","family":"Prusak","given":"A","non-dropping-particle":"","parse-names":false,"suffix":""}],"container-title":"Eurasian Soil Science","id":"ITEM-1","issue":"6","issued":{"date-parts":[["2008"]]},"language":"English","note":"316QT\nTimes Cited:2\nCited References Count:10","page":"618-622","title":"The effect of earthworm coprolites on the soil water retention curve","type":"article-journal","volume":"41"},"uris":["http://www.mendeley.com/documents/?uuid=f83f6e16-447f-4459-9862-f7b51e2bed4f"]},{"id":"ITEM-2","itemData":{"DOI":"10.1111/j.1365-2389.1982.tb01755.x","ISBN":"1365-2389","author":[{"dropping-particle":"","family":"Tisdall","given":"J M","non-dropping-particle":"","parse-names":false,"suffix":""},{"dropping-particle":"","family":"Oades","given":"J M","non-dropping-particle":"","parse-names":false,"suffix":""}],"container-title":"Journal of Soil Science","id":"ITEM-2","issue":"2","issued":{"date-parts":[["1982"]]},"page":"141-163","publisher":"Blackwell Publishing Ltd","title":"Organic matter and water-stable aggregates in soils","type":"article-journal","volume":"33"},"uris":["http://www.mendeley.com/documents/?uuid=ebf2cb7b-a2db-4509-8239-065a036dbae3"]}],"mendeley":{"formattedCitation":"(Smagin and Prusak, 2008; Tisdall and Oades, 1982)","plainTextFormattedCitation":"(Smagin and Prusak, 2008; Tisdall and Oades, 1982)","previouslyFormattedCitation":"(Smagin and Prusak, 2008; Tisdall and Oades, 1982)"},"properties":{"noteIndex":0},"schema":"https://github.com/citation-style-language/schema/raw/master/csl-citation.json"}</w:instrText>
      </w:r>
      <w:r w:rsidR="00A15D17">
        <w:rPr>
          <w:rFonts w:cs="Times New Roman"/>
          <w:szCs w:val="24"/>
        </w:rPr>
        <w:fldChar w:fldCharType="separate"/>
      </w:r>
      <w:r w:rsidR="00A15D17" w:rsidRPr="00A15D17">
        <w:rPr>
          <w:rFonts w:cs="Times New Roman"/>
          <w:noProof/>
          <w:szCs w:val="24"/>
        </w:rPr>
        <w:t>(Smagin and Prusak, 2008; Tisdall and Oades, 1982)</w:t>
      </w:r>
      <w:r w:rsidR="00A15D17">
        <w:rPr>
          <w:rFonts w:cs="Times New Roman"/>
          <w:szCs w:val="24"/>
        </w:rPr>
        <w:fldChar w:fldCharType="end"/>
      </w:r>
      <w:r w:rsidR="00A15D17">
        <w:rPr>
          <w:rFonts w:cs="Times New Roman"/>
          <w:szCs w:val="24"/>
        </w:rPr>
        <w:t>.</w:t>
      </w:r>
      <w:r>
        <w:rPr>
          <w:rFonts w:cs="Times New Roman"/>
          <w:szCs w:val="24"/>
        </w:rPr>
        <w:t xml:space="preserve"> </w:t>
      </w:r>
    </w:p>
    <w:p w14:paraId="4D89AEFC" w14:textId="77777777" w:rsidR="0038409E" w:rsidRDefault="0038409E" w:rsidP="001448A4">
      <w:pPr>
        <w:spacing w:after="240" w:line="480" w:lineRule="auto"/>
        <w:jc w:val="both"/>
        <w:rPr>
          <w:rFonts w:cs="Times New Roman"/>
          <w:szCs w:val="24"/>
        </w:rPr>
      </w:pPr>
      <w:r w:rsidRPr="008C1C57">
        <w:rPr>
          <w:rFonts w:cs="Times New Roman"/>
          <w:szCs w:val="24"/>
        </w:rPr>
        <w:t xml:space="preserve">Plants roots </w:t>
      </w:r>
      <w:r>
        <w:rPr>
          <w:rFonts w:cs="Times New Roman"/>
          <w:szCs w:val="24"/>
        </w:rPr>
        <w:t>and associated mycorrhizal fungi also improve soil structure by stabilizing macro-aggregates</w:t>
      </w:r>
      <w:r w:rsidR="004B27B1">
        <w:rPr>
          <w:rFonts w:cs="Times New Roman"/>
          <w:szCs w:val="24"/>
        </w:rPr>
        <w:t xml:space="preserve"> </w:t>
      </w:r>
      <w:r w:rsidR="004B27B1">
        <w:rPr>
          <w:rFonts w:cs="Times New Roman"/>
          <w:szCs w:val="24"/>
        </w:rPr>
        <w:fldChar w:fldCharType="begin" w:fldLock="1"/>
      </w:r>
      <w:r w:rsidR="004B27B1">
        <w:rPr>
          <w:rFonts w:cs="Times New Roman"/>
          <w:szCs w:val="24"/>
        </w:rPr>
        <w:instrText>ADDIN CSL_CITATION {"citationItems":[{"id":"ITEM-1","itemData":{"DOI":"10.1111/j.1365-2389.1982.tb01755.x","ISBN":"1365-2389","author":[{"dropping-particle":"","family":"Tisdall","given":"J M","non-dropping-particle":"","parse-names":false,"suffix":""},{"dropping-particle":"","family":"Oades","given":"J M","non-dropping-particle":"","parse-names":false,"suffix":""}],"container-title":"Journal of Soil Science","id":"ITEM-1","issue":"2","issued":{"date-parts":[["1982"]]},"page":"141-163","publisher":"Blackwell Publishing Ltd","title":"Organic matter and water-stable aggregates in soils","type":"article-journal","volume":"33"},"uris":["http://www.mendeley.com/documents/?uuid=ebf2cb7b-a2db-4509-8239-065a036dbae3"]}],"mendeley":{"formattedCitation":"(Tisdall and Oades, 1982)","plainTextFormattedCitation":"(Tisdall and Oades, 1982)","previouslyFormattedCitation":"(Tisdall and Oades, 1982)"},"properties":{"noteIndex":0},"schema":"https://github.com/citation-style-language/schema/raw/master/csl-citation.json"}</w:instrText>
      </w:r>
      <w:r w:rsidR="004B27B1">
        <w:rPr>
          <w:rFonts w:cs="Times New Roman"/>
          <w:szCs w:val="24"/>
        </w:rPr>
        <w:fldChar w:fldCharType="separate"/>
      </w:r>
      <w:r w:rsidR="004B27B1" w:rsidRPr="004B27B1">
        <w:rPr>
          <w:rFonts w:cs="Times New Roman"/>
          <w:noProof/>
          <w:szCs w:val="24"/>
        </w:rPr>
        <w:t>(Tisdall and Oades, 1982)</w:t>
      </w:r>
      <w:r w:rsidR="004B27B1">
        <w:rPr>
          <w:rFonts w:cs="Times New Roman"/>
          <w:szCs w:val="24"/>
        </w:rPr>
        <w:fldChar w:fldCharType="end"/>
      </w:r>
      <w:r w:rsidR="004B27B1">
        <w:rPr>
          <w:rFonts w:cs="Times New Roman"/>
          <w:szCs w:val="24"/>
        </w:rPr>
        <w:t xml:space="preserve"> </w:t>
      </w:r>
      <w:r>
        <w:rPr>
          <w:rFonts w:cs="Times New Roman"/>
          <w:szCs w:val="24"/>
        </w:rPr>
        <w:t>and creating pores of different sizes. Plant species with dense and fine roots such as grass</w:t>
      </w:r>
      <w:r w:rsidR="004B27B1">
        <w:rPr>
          <w:rFonts w:cs="Times New Roman"/>
          <w:szCs w:val="24"/>
        </w:rPr>
        <w:t xml:space="preserve"> </w:t>
      </w:r>
      <w:r w:rsidR="004B27B1">
        <w:rPr>
          <w:rFonts w:cs="Times New Roman"/>
          <w:szCs w:val="24"/>
        </w:rPr>
        <w:fldChar w:fldCharType="begin" w:fldLock="1"/>
      </w:r>
      <w:r w:rsidR="004B27B1">
        <w:rPr>
          <w:rFonts w:cs="Times New Roman"/>
          <w:szCs w:val="24"/>
        </w:rPr>
        <w:instrText>ADDIN CSL_CITATION {"citationItems":[{"id":"ITEM-1","itemData":{"ISBN":"978-3-319-28932-8","abstract":"Although grasses have dense rooting systems, further improvements to rooting may increase nutrient uptake and drought resistance and reduce N leaching. Improved rooting of grasses in agricultural systems should, however, not reduce aboveground biomass allocation and yield. In two field experiments on sandy soil in The Netherlands, we measured the variation in grass yield of 16 varieties of Lolium perenne (Lp) during three years, and the root dry matter (RDM) at the end of the experiments. The Lp- varieties differed in aboveground and genetic characteristics such as productivity (classified according to the measured yields in the actual experiments), grass cover and ploidy. Results of the experiments show that RDM of perennial ryegrass differed significantly between varieties, and that these differences were not linked to grass yield. Our results indicate that it is possible to select perennial ryegrass varieties that combine high aboveground productivity with high RDM. Considering challenges in the areas of climate change, pollution and soil degradation, high yielding grass varieties with improved root systems could contribute to an efficient use of nutrients and water, and to erosion control, soil improvement and carbon sequestration.","author":[{"dropping-particle":"","family":"Deru","given":"J","non-dropping-particle":"","parse-names":false,"suffix":""},{"dropping-particle":"","family":"Schilder","given":"H","non-dropping-particle":"","parse-names":false,"suffix":""},{"dropping-particle":"","family":"Schoot","given":"J R","non-dropping-particle":"Van der","parse-names":false,"suffix":""},{"dropping-particle":"","family":"Eekeren","given":"N","non-dropping-particle":"Van","parse-names":false,"suffix":""},{"dropping-particle":"","family":"Roldán-Ruiz","given":"Isabel","non-dropping-particle":"","parse-names":false,"suffix":""},{"dropping-particle":"","family":"Baert","given":"Joost","non-dropping-particle":"","parse-names":false,"suffix":""},{"dropping-particle":"","family":"Reheul","given":"Dirk","non-dropping-particle":"","parse-names":false,"suffix":""}],"id":"ITEM-1","issued":{"date-parts":[["2016"]]},"page":"289-292","publisher":"Springer International Publishing","publisher-place":"Cham","title":"No Trade-off Between Root Biomass and Aboveground Production in Lolium perenne","type":"paper-conference"},"uris":["http://www.mendeley.com/documents/?uuid=60d5c32b-fb23-43fd-8362-d705db5c6f65"]}],"mendeley":{"formattedCitation":"(Deru et al., 2016)","plainTextFormattedCitation":"(Deru et al., 2016)","previouslyFormattedCitation":"(Deru et al., 2016)"},"properties":{"noteIndex":0},"schema":"https://github.com/citation-style-language/schema/raw/master/csl-citation.json"}</w:instrText>
      </w:r>
      <w:r w:rsidR="004B27B1">
        <w:rPr>
          <w:rFonts w:cs="Times New Roman"/>
          <w:szCs w:val="24"/>
        </w:rPr>
        <w:fldChar w:fldCharType="separate"/>
      </w:r>
      <w:r w:rsidR="004B27B1" w:rsidRPr="004B27B1">
        <w:rPr>
          <w:rFonts w:cs="Times New Roman"/>
          <w:noProof/>
          <w:szCs w:val="24"/>
        </w:rPr>
        <w:t>(Deru et al., 2016)</w:t>
      </w:r>
      <w:r w:rsidR="004B27B1">
        <w:rPr>
          <w:rFonts w:cs="Times New Roman"/>
          <w:szCs w:val="24"/>
        </w:rPr>
        <w:fldChar w:fldCharType="end"/>
      </w:r>
      <w:r w:rsidR="004B27B1">
        <w:rPr>
          <w:rFonts w:cs="Times New Roman"/>
          <w:noProof/>
          <w:szCs w:val="24"/>
        </w:rPr>
        <w:t xml:space="preserve"> </w:t>
      </w:r>
      <w:r>
        <w:rPr>
          <w:rFonts w:cs="Times New Roman"/>
          <w:szCs w:val="24"/>
        </w:rPr>
        <w:t>and highly mycorrhizal fibrous lateral root systems such as clover</w:t>
      </w:r>
      <w:r w:rsidR="004B27B1">
        <w:rPr>
          <w:rFonts w:cs="Times New Roman"/>
          <w:szCs w:val="24"/>
        </w:rPr>
        <w:t xml:space="preserve"> </w:t>
      </w:r>
      <w:r w:rsidR="004B27B1">
        <w:rPr>
          <w:rFonts w:cs="Times New Roman"/>
          <w:szCs w:val="24"/>
        </w:rPr>
        <w:fldChar w:fldCharType="begin" w:fldLock="1"/>
      </w:r>
      <w:r w:rsidR="004B27B1">
        <w:rPr>
          <w:rFonts w:cs="Times New Roman"/>
          <w:szCs w:val="24"/>
        </w:rPr>
        <w:instrText>ADDIN CSL_CITATION {"citationItems":[{"id":"ITEM-1","itemData":{"ISBN":"2071-1050","author":[{"dropping-particle":"","family":"Wyngaarden","given":"Sara","non-dropping-particle":"","parse-names":false,"suffix":""},{"dropping-particle":"","family":"Gaudin","given":"Amélie","non-dropping-particle":"","parse-names":false,"suffix":""},{"dropping-particle":"","family":"Deen","given":"William","non-dropping-particle":"","parse-names":false,"suffix":""},{"dropping-particle":"","family":"Martin","given":"Ralph","non-dropping-particle":"","parse-names":false,"suffix":""}],"container-title":"Sustainability","id":"ITEM-1","issue":"11","issued":{"date-parts":[["2015"]]},"page":"15487","title":"Expanding Red Clover (Trifolium pratense) Usage in the Corn–Soy–Wheat Rotation","type":"article-journal","volume":"7"},"uris":["http://www.mendeley.com/documents/?uuid=bff973e3-6493-4f14-a541-dda71518f6f5"]}],"mendeley":{"formattedCitation":"(Wyngaarden et al., 2015)","plainTextFormattedCitation":"(Wyngaarden et al., 2015)","previouslyFormattedCitation":"(Wyngaarden et al., 2015)"},"properties":{"noteIndex":0},"schema":"https://github.com/citation-style-language/schema/raw/master/csl-citation.json"}</w:instrText>
      </w:r>
      <w:r w:rsidR="004B27B1">
        <w:rPr>
          <w:rFonts w:cs="Times New Roman"/>
          <w:szCs w:val="24"/>
        </w:rPr>
        <w:fldChar w:fldCharType="separate"/>
      </w:r>
      <w:r w:rsidR="004B27B1" w:rsidRPr="004B27B1">
        <w:rPr>
          <w:rFonts w:cs="Times New Roman"/>
          <w:noProof/>
          <w:szCs w:val="24"/>
        </w:rPr>
        <w:t>(Wyngaarden et al., 2015)</w:t>
      </w:r>
      <w:r w:rsidR="004B27B1">
        <w:rPr>
          <w:rFonts w:cs="Times New Roman"/>
          <w:szCs w:val="24"/>
        </w:rPr>
        <w:fldChar w:fldCharType="end"/>
      </w:r>
      <w:r w:rsidR="004B27B1">
        <w:rPr>
          <w:rFonts w:cs="Times New Roman"/>
          <w:noProof/>
          <w:szCs w:val="24"/>
        </w:rPr>
        <w:t xml:space="preserve"> </w:t>
      </w:r>
      <w:r>
        <w:rPr>
          <w:rFonts w:cs="Times New Roman"/>
          <w:szCs w:val="24"/>
        </w:rPr>
        <w:t xml:space="preserve">both produce a range of soil </w:t>
      </w:r>
      <w:r w:rsidRPr="00D8453B">
        <w:rPr>
          <w:rFonts w:cs="Times New Roman"/>
          <w:szCs w:val="24"/>
        </w:rPr>
        <w:t xml:space="preserve">pore </w:t>
      </w:r>
      <w:r>
        <w:rPr>
          <w:rFonts w:cs="Times New Roman"/>
          <w:szCs w:val="24"/>
        </w:rPr>
        <w:t xml:space="preserve">sizes </w:t>
      </w:r>
      <w:r w:rsidRPr="00D8453B">
        <w:rPr>
          <w:rFonts w:cs="Times New Roman"/>
          <w:szCs w:val="24"/>
        </w:rPr>
        <w:t xml:space="preserve">and </w:t>
      </w:r>
      <w:r>
        <w:rPr>
          <w:rFonts w:cs="Times New Roman"/>
          <w:szCs w:val="24"/>
        </w:rPr>
        <w:t xml:space="preserve">increase </w:t>
      </w:r>
      <w:r w:rsidRPr="00D8453B">
        <w:rPr>
          <w:rFonts w:cs="Times New Roman"/>
          <w:szCs w:val="24"/>
        </w:rPr>
        <w:t>micropore volume</w:t>
      </w:r>
      <w:r w:rsidR="004B27B1">
        <w:rPr>
          <w:rFonts w:cs="Times New Roman"/>
          <w:szCs w:val="24"/>
        </w:rPr>
        <w:t xml:space="preserve"> </w:t>
      </w:r>
      <w:r w:rsidR="004B27B1">
        <w:rPr>
          <w:rFonts w:cs="Times New Roman"/>
          <w:szCs w:val="24"/>
        </w:rPr>
        <w:fldChar w:fldCharType="begin" w:fldLock="1"/>
      </w:r>
      <w:r w:rsidR="004B27B1">
        <w:rPr>
          <w:rFonts w:cs="Times New Roman"/>
          <w:szCs w:val="24"/>
        </w:rPr>
        <w:instrText>ADDIN CSL_CITATION {"citationItems":[{"id":"ITEM-1","itemData":{"DOI":"10.1007/s11104-014-2079-8","ISBN":"1573-5036","abstract":"Small scale root-pore interactions require validation of their impact on effective hydraulic processes at the field scale. Our objective was to develop an interpretative framework linking root effects on macroscopic pore parameters with knowledge at the rhizosphere scale.","author":[{"dropping-particle":"","family":"Bodner","given":"G","non-dropping-particle":"","parse-names":false,"suffix":""},{"dropping-particle":"","family":"Leitner","given":"D","non-dropping-particle":"","parse-names":false,"suffix":""},{"dropping-particle":"","family":"Kaul","given":"H.-P.","non-dropping-particle":"","parse-names":false,"suffix":""}],"container-title":"Plant and Soil","id":"ITEM-1","issue":"1","issued":{"date-parts":[["2014"]]},"page":"133-151","title":"Coarse and fine root plants affect pore size distributions differently","type":"article-journal","volume":"380"},"uris":["http://www.mendeley.com/documents/?uuid=9aaf66bb-1df1-4e0b-86bb-f2175a5789d0"]},{"id":"ITEM-2","itemData":{"DOI":"https://doi.org/10.1016/j.agee.2017.06.042","ISBN":"0167-8809","author":[{"dropping-particle":"","family":"Jarvis","given":"Nicholas","non-dropping-particle":"","parse-names":false,"suffix":""},{"dropping-particle":"","family":"Forkman","given":"Johannes","non-dropping-particle":"","parse-names":false,"suffix":""},{"dropping-particle":"","family":"Koestel","given":"John","non-dropping-particle":"","parse-names":false,"suffix":""},{"dropping-particle":"","family":"Kätterer","given":"Thomas","non-dropping-particle":"","parse-names":false,"suffix":""},{"dropping-particle":"","family":"Larsbo","given":"Mats","non-dropping-particle":"","parse-names":false,"suffix":""},{"dropping-particle":"","family":"Taylor","given":"Astrid","non-dropping-particle":"","parse-names":false,"suffix":""}],"container-title":"Agriculture, Ecosystems &amp; Environment","id":"ITEM-2","issued":{"date-parts":[["2017"]]},"page":"319-328","title":"Long-term effects of grass-clover leys on the structure of a silt loam soil in a cold climate","type":"article-journal","volume":"247"},"uris":["http://www.mendeley.com/documents/?uuid=05c622bc-58a0-4a35-ba53-216c0f9a3a19"]}],"mendeley":{"formattedCitation":"(Bodner et al., 2014; Jarvis et al., 2017)","plainTextFormattedCitation":"(Bodner et al., 2014; Jarvis et al., 2017)","previouslyFormattedCitation":"(Bodner et al., 2014; Jarvis et al., 2017)"},"properties":{"noteIndex":0},"schema":"https://github.com/citation-style-language/schema/raw/master/csl-citation.json"}</w:instrText>
      </w:r>
      <w:r w:rsidR="004B27B1">
        <w:rPr>
          <w:rFonts w:cs="Times New Roman"/>
          <w:szCs w:val="24"/>
        </w:rPr>
        <w:fldChar w:fldCharType="separate"/>
      </w:r>
      <w:r w:rsidR="004B27B1" w:rsidRPr="004B27B1">
        <w:rPr>
          <w:rFonts w:cs="Times New Roman"/>
          <w:noProof/>
          <w:szCs w:val="24"/>
        </w:rPr>
        <w:t>(Bodner et al., 2014; Jarvis et al., 2017)</w:t>
      </w:r>
      <w:r w:rsidR="004B27B1">
        <w:rPr>
          <w:rFonts w:cs="Times New Roman"/>
          <w:szCs w:val="24"/>
        </w:rPr>
        <w:fldChar w:fldCharType="end"/>
      </w:r>
      <w:r w:rsidR="004B27B1">
        <w:rPr>
          <w:rFonts w:cs="Times New Roman"/>
          <w:szCs w:val="24"/>
        </w:rPr>
        <w:t>.</w:t>
      </w:r>
      <w:r>
        <w:rPr>
          <w:rFonts w:cs="Times New Roman"/>
          <w:szCs w:val="24"/>
        </w:rPr>
        <w:t xml:space="preserve"> This can increase the water available to plants</w:t>
      </w:r>
      <w:r w:rsidR="004B27B1">
        <w:rPr>
          <w:rFonts w:cs="Times New Roman"/>
          <w:szCs w:val="24"/>
        </w:rPr>
        <w:t xml:space="preserve"> </w:t>
      </w:r>
      <w:r w:rsidR="004B27B1">
        <w:rPr>
          <w:rFonts w:cs="Times New Roman"/>
          <w:szCs w:val="24"/>
        </w:rPr>
        <w:fldChar w:fldCharType="begin" w:fldLock="1"/>
      </w:r>
      <w:r w:rsidR="004B27B1">
        <w:rPr>
          <w:rFonts w:cs="Times New Roman"/>
          <w:szCs w:val="24"/>
        </w:rPr>
        <w:instrText>ADDIN CSL_CITATION {"citationItems":[{"id":"ITEM-1","itemData":{"DOI":"https://doi.org/10.1016/S1002-0160(17)60473-9","ISBN":"1002-0160","author":[{"dropping-particle":"","family":"Zangiabadi","given":"Mehdi","non-dropping-particle":"","parse-names":false,"suffix":""},{"dropping-particle":"","family":"Gorji","given":"Manoochehr","non-dropping-particle":"","parse-names":false,"suffix":""},{"dropping-particle":"","family":"Shorafa","given":"Mehdi","non-dropping-particle":"","parse-names":false,"suffix":""},{"dropping-particle":"","family":"Khavari Khorasani","given":"Saeed","non-dropping-particle":"","parse-names":false,"suffix":""},{"dropping-particle":"","family":"Saadat","given":"Saeed","non-dropping-particle":"","parse-names":false,"suffix":""}],"container-title":"Pedosphere","id":"ITEM-1","issued":{"date-parts":[["2017"]]},"title":"Effects of Soil Pore Size Distribution on Plant Available Water and Least Limiting Water Range as Soil Physical Quality Indicators","type":"article-journal"},"uris":["http://www.mendeley.com/documents/?uuid=44d4c1d7-16f6-4b45-869f-ea0e5e55021b"]}],"mendeley":{"formattedCitation":"(Zangiabadi et al., 2017)","plainTextFormattedCitation":"(Zangiabadi et al., 2017)","previouslyFormattedCitation":"(Zangiabadi et al., 2017)"},"properties":{"noteIndex":0},"schema":"https://github.com/citation-style-language/schema/raw/master/csl-citation.json"}</w:instrText>
      </w:r>
      <w:r w:rsidR="004B27B1">
        <w:rPr>
          <w:rFonts w:cs="Times New Roman"/>
          <w:szCs w:val="24"/>
        </w:rPr>
        <w:fldChar w:fldCharType="separate"/>
      </w:r>
      <w:r w:rsidR="004B27B1" w:rsidRPr="004B27B1">
        <w:rPr>
          <w:rFonts w:cs="Times New Roman"/>
          <w:noProof/>
          <w:szCs w:val="24"/>
        </w:rPr>
        <w:t>(Zangiabadi et al., 2017)</w:t>
      </w:r>
      <w:r w:rsidR="004B27B1">
        <w:rPr>
          <w:rFonts w:cs="Times New Roman"/>
          <w:szCs w:val="24"/>
        </w:rPr>
        <w:fldChar w:fldCharType="end"/>
      </w:r>
      <w:r w:rsidR="004B27B1">
        <w:rPr>
          <w:rFonts w:cs="Times New Roman"/>
          <w:szCs w:val="24"/>
        </w:rPr>
        <w:t>.</w:t>
      </w:r>
      <w:r>
        <w:rPr>
          <w:rFonts w:cs="Times New Roman"/>
          <w:szCs w:val="24"/>
        </w:rPr>
        <w:t xml:space="preserve"> As is commonly observed</w:t>
      </w:r>
      <w:r w:rsidR="004B27B1">
        <w:rPr>
          <w:rFonts w:cs="Times New Roman"/>
          <w:szCs w:val="24"/>
        </w:rPr>
        <w:t xml:space="preserve"> </w:t>
      </w:r>
      <w:r w:rsidR="004B27B1">
        <w:rPr>
          <w:rFonts w:cs="Times New Roman"/>
          <w:szCs w:val="24"/>
        </w:rPr>
        <w:fldChar w:fldCharType="begin" w:fldLock="1"/>
      </w:r>
      <w:r w:rsidR="00650FF6">
        <w:rPr>
          <w:rFonts w:cs="Times New Roman"/>
          <w:szCs w:val="24"/>
        </w:rPr>
        <w:instrText>ADDIN CSL_CITATION {"citationItems":[{"id":"ITEM-1","itemData":{"DOI":"10.1038/srep06365","ISBN":"2045-2322","abstract":"To meet the challenge of feeding a growing world population with minimal environmental impact, we need comprehensive and quantitative knowledge of ecological factors affecting crop production. Earthworms are among the most important soil dwelling invertebrates. Their activity affects both biotic and abiotic soil properties, in turn affecting plant growth. Yet, studies on the effect of earthworm presence on crop yields have not been quantitatively synthesized. Here we show, using meta-analysis, that on average earthworm presence in agroecosystems leads to a 25% increase in crop yield and a 23% increase in aboveground biomass. The magnitude of these effects depends on presence of crop residue, earthworm density and type and rate of fertilization. The positive effects of earthworms become larger when more residue is returned to the soil, but disappear when soil nitrogen availability is high. This suggests that earthworms stimulate plant growth predominantly through releasing nitrogen locked away in residue and soil organic matter. Our results therefore imply that earthworms are of crucial importance to decrease the yield gap of farmers who can't -or won't- use nitrogen fertilizer.","author":[{"dropping-particle":"","family":"Groenigen","given":"Jan Willem","non-dropping-particle":"van","parse-names":false,"suffix":""},{"dropping-particle":"","family":"Lubbers","given":"Ingrid M","non-dropping-particle":"","parse-names":false,"suffix":""},{"dropping-particle":"","family":"Vos","given":"Hannah M J","non-dropping-particle":"","parse-names":false,"suffix":""},{"dropping-particle":"","family":"Brown","given":"George G","non-dropping-particle":"","parse-names":false,"suffix":""},{"dropping-particle":"","family":"Deyn","given":"Gerlinde B","non-dropping-particle":"De","parse-names":false,"suffix":""},{"dropping-particle":"","family":"Groenigen","given":"Kees Jan","non-dropping-particle":"van","parse-names":false,"suffix":""}],"container-title":"Scientific Reports","id":"ITEM-1","issued":{"date-parts":[["2014"]]},"note":"25219785[pmid]\nSci Rep","page":"6365","publisher":"Nature Publishing Group","title":"Earthworms increase plant production: a meta-analysis","type":"article-journal","volume":"4"},"uris":["http://www.mendeley.com/documents/?uuid=217030f5-8693-4956-aecd-2b79d1e3ebec"]}],"mendeley":{"formattedCitation":"(van Groenigen et al., 2014)","plainTextFormattedCitation":"(van Groenigen et al., 2014)","previouslyFormattedCitation":"(van Groenigen et al., 2014)"},"properties":{"noteIndex":0},"schema":"https://github.com/citation-style-language/schema/raw/master/csl-citation.json"}</w:instrText>
      </w:r>
      <w:r w:rsidR="004B27B1">
        <w:rPr>
          <w:rFonts w:cs="Times New Roman"/>
          <w:szCs w:val="24"/>
        </w:rPr>
        <w:fldChar w:fldCharType="separate"/>
      </w:r>
      <w:r w:rsidR="004B27B1" w:rsidRPr="004B27B1">
        <w:rPr>
          <w:rFonts w:cs="Times New Roman"/>
          <w:noProof/>
          <w:szCs w:val="24"/>
        </w:rPr>
        <w:t>(van Groenigen et al., 2014)</w:t>
      </w:r>
      <w:r w:rsidR="004B27B1">
        <w:rPr>
          <w:rFonts w:cs="Times New Roman"/>
          <w:szCs w:val="24"/>
        </w:rPr>
        <w:fldChar w:fldCharType="end"/>
      </w:r>
      <w:r w:rsidR="004B27B1">
        <w:rPr>
          <w:rFonts w:cs="Times New Roman"/>
          <w:szCs w:val="24"/>
        </w:rPr>
        <w:t xml:space="preserve"> </w:t>
      </w:r>
      <w:r>
        <w:rPr>
          <w:rFonts w:cs="Times New Roman"/>
          <w:szCs w:val="24"/>
        </w:rPr>
        <w:t xml:space="preserve">plant growth was greater in the presence of earthworms (Table 4, </w:t>
      </w:r>
      <w:r w:rsidRPr="00FF1AC5">
        <w:rPr>
          <w:rFonts w:cs="Times New Roman"/>
          <w:szCs w:val="24"/>
        </w:rPr>
        <w:t>Figure S</w:t>
      </w:r>
      <w:r>
        <w:rPr>
          <w:rFonts w:cs="Times New Roman"/>
          <w:szCs w:val="24"/>
        </w:rPr>
        <w:t xml:space="preserve">10). This suggests a potential synergistic effect whereby improvements in soil structure may be greater in the presence of earthworms and plants than expected based on improvements in soil structure in the presence of plants or earthworms alone. </w:t>
      </w:r>
    </w:p>
    <w:p w14:paraId="360AD496" w14:textId="77777777" w:rsidR="0038409E" w:rsidRDefault="0038409E" w:rsidP="001448A4">
      <w:pPr>
        <w:pStyle w:val="Heading3"/>
        <w:numPr>
          <w:ilvl w:val="1"/>
          <w:numId w:val="14"/>
        </w:numPr>
        <w:spacing w:before="360" w:after="200" w:line="480" w:lineRule="auto"/>
      </w:pPr>
      <w:r>
        <w:t>Plant dry biomass and soil organic matter</w:t>
      </w:r>
    </w:p>
    <w:p w14:paraId="588A4C91" w14:textId="77777777" w:rsidR="0038409E" w:rsidRDefault="0038409E" w:rsidP="001448A4">
      <w:pPr>
        <w:spacing w:line="480" w:lineRule="auto"/>
        <w:jc w:val="both"/>
      </w:pPr>
      <w:r>
        <w:rPr>
          <w:rFonts w:cs="Times New Roman"/>
          <w:szCs w:val="24"/>
        </w:rPr>
        <w:t>Plant shoot dry biomass of grass-clover was greater in the DeF+E compared to the DeF treatments, which is consistent with the majority of studies that report the impact of earthworms on plant growth</w:t>
      </w:r>
      <w:r w:rsidR="00650FF6">
        <w:rPr>
          <w:rFonts w:cs="Times New Roman"/>
          <w:szCs w:val="24"/>
        </w:rPr>
        <w:t xml:space="preserve"> </w:t>
      </w:r>
      <w:r w:rsidR="00650FF6">
        <w:rPr>
          <w:rFonts w:cs="Times New Roman"/>
          <w:szCs w:val="24"/>
        </w:rPr>
        <w:fldChar w:fldCharType="begin" w:fldLock="1"/>
      </w:r>
      <w:r w:rsidR="00650FF6">
        <w:rPr>
          <w:rFonts w:cs="Times New Roman"/>
          <w:szCs w:val="24"/>
        </w:rPr>
        <w:instrText>ADDIN CSL_CITATION {"citationItems":[{"id":"ITEM-1","itemData":{"DOI":"https://doi.org/10.1078/0031-4056-00270","ISBN":"0031-4056","author":[{"dropping-particle":"","family":"Scheu","given":"Stefan","non-dropping-particle":"","parse-names":false,"suffix":""}],"container-title":"Pedobiologia","id":"ITEM-1","issue":"5","issued":{"date-parts":[["2003"]]},"page":"846-856","title":"Effects of earthworms on plant growth: patterns and perspectives: The 7th international symposium on earthworm ecology Cardiff Wales 2002","type":"article-journal","volume":"47"},"uris":["http://www.mendeley.com/documents/?uuid=7f7b82f4-73c1-402d-87af-66c209529c92"]}],"mendeley":{"formattedCitation":"(Scheu, 2003)","plainTextFormattedCitation":"(Scheu, 2003)","previouslyFormattedCitation":"(Scheu, 2003)"},"properties":{"noteIndex":0},"schema":"https://github.com/citation-style-language/schema/raw/master/csl-citation.json"}</w:instrText>
      </w:r>
      <w:r w:rsidR="00650FF6">
        <w:rPr>
          <w:rFonts w:cs="Times New Roman"/>
          <w:szCs w:val="24"/>
        </w:rPr>
        <w:fldChar w:fldCharType="separate"/>
      </w:r>
      <w:r w:rsidR="00650FF6" w:rsidRPr="00650FF6">
        <w:rPr>
          <w:rFonts w:cs="Times New Roman"/>
          <w:noProof/>
          <w:szCs w:val="24"/>
        </w:rPr>
        <w:t>(Scheu, 2003)</w:t>
      </w:r>
      <w:r w:rsidR="00650FF6">
        <w:rPr>
          <w:rFonts w:cs="Times New Roman"/>
          <w:szCs w:val="24"/>
        </w:rPr>
        <w:fldChar w:fldCharType="end"/>
      </w:r>
      <w:r w:rsidR="00650FF6">
        <w:rPr>
          <w:rFonts w:cs="Times New Roman"/>
          <w:szCs w:val="24"/>
        </w:rPr>
        <w:t>.</w:t>
      </w:r>
      <w:r>
        <w:rPr>
          <w:rFonts w:cs="Times New Roman"/>
          <w:szCs w:val="24"/>
        </w:rPr>
        <w:t xml:space="preserve"> In a meta-analysis</w:t>
      </w:r>
      <w:r w:rsidR="00650FF6">
        <w:rPr>
          <w:rFonts w:cs="Times New Roman"/>
          <w:szCs w:val="24"/>
        </w:rPr>
        <w:t xml:space="preserve"> </w:t>
      </w:r>
      <w:r w:rsidR="00650FF6">
        <w:rPr>
          <w:rFonts w:cs="Times New Roman"/>
          <w:noProof/>
          <w:szCs w:val="24"/>
        </w:rPr>
        <w:t xml:space="preserve">van Groenigen et al. </w:t>
      </w:r>
      <w:r w:rsidR="00650FF6">
        <w:rPr>
          <w:rFonts w:cs="Times New Roman"/>
          <w:szCs w:val="24"/>
        </w:rPr>
        <w:fldChar w:fldCharType="begin" w:fldLock="1"/>
      </w:r>
      <w:r w:rsidR="00650FF6">
        <w:rPr>
          <w:rFonts w:cs="Times New Roman"/>
          <w:szCs w:val="24"/>
        </w:rPr>
        <w:instrText>ADDIN CSL_CITATION {"citationItems":[{"id":"ITEM-1","itemData":{"DOI":"10.1038/srep06365","ISBN":"2045-2322","abstract":"To meet the challenge of feeding a growing world population with minimal environmental impact, we need comprehensive and quantitative knowledge of ecological factors affecting crop production. Earthworms are among the most important soil dwelling invertebrates. Their activity affects both biotic and abiotic soil properties, in turn affecting plant growth. Yet, studies on the effect of earthworm presence on crop yields have not been quantitatively synthesized. Here we show, using meta-analysis, that on average earthworm presence in agroecosystems leads to a 25% increase in crop yield and a 23% increase in aboveground biomass. The magnitude of these effects depends on presence of crop residue, earthworm density and type and rate of fertilization. The positive effects of earthworms become larger when more residue is returned to the soil, but disappear when soil nitrogen availability is high. This suggests that earthworms stimulate plant growth predominantly through releasing nitrogen locked away in residue and soil organic matter. Our results therefore imply that earthworms are of crucial importance to decrease the yield gap of farmers who can't -or won't- use nitrogen fertilizer.","author":[{"dropping-particle":"","family":"Groenigen","given":"Jan Willem","non-dropping-particle":"van","parse-names":false,"suffix":""},{"dropping-particle":"","family":"Lubbers","given":"Ingrid M","non-dropping-particle":"","parse-names":false,"suffix":""},{"dropping-particle":"","family":"Vos","given":"Hannah M J","non-dropping-particle":"","parse-names":false,"suffix":""},{"dropping-particle":"","family":"Brown","given":"George G","non-dropping-particle":"","parse-names":false,"suffix":""},{"dropping-particle":"","family":"Deyn","given":"Gerlinde B","non-dropping-particle":"De","parse-names":false,"suffix":""},{"dropping-particle":"","family":"Groenigen","given":"Kees Jan","non-dropping-particle":"van","parse-names":false,"suffix":""}],"container-title":"Scientific Reports","id":"ITEM-1","issued":{"date-parts":[["2014"]]},"note":"25219785[pmid]\nSci Rep","page":"6365","publisher":"Nature Publishing Group","title":"Earthworms increase plant production: a meta-analysis","type":"article-journal","volume":"4"},"suppress-author":1,"uris":["http://www.mendeley.com/documents/?uuid=217030f5-8693-4956-aecd-2b79d1e3ebec"]}],"mendeley":{"formattedCitation":"(2014)","plainTextFormattedCitation":"(2014)","previouslyFormattedCitation":"(2014)"},"properties":{"noteIndex":0},"schema":"https://github.com/citation-style-language/schema/raw/master/csl-citation.json"}</w:instrText>
      </w:r>
      <w:r w:rsidR="00650FF6">
        <w:rPr>
          <w:rFonts w:cs="Times New Roman"/>
          <w:szCs w:val="24"/>
        </w:rPr>
        <w:fldChar w:fldCharType="separate"/>
      </w:r>
      <w:r w:rsidR="00650FF6" w:rsidRPr="00650FF6">
        <w:rPr>
          <w:rFonts w:cs="Times New Roman"/>
          <w:noProof/>
          <w:szCs w:val="24"/>
        </w:rPr>
        <w:t>(2014)</w:t>
      </w:r>
      <w:r w:rsidR="00650FF6">
        <w:rPr>
          <w:rFonts w:cs="Times New Roman"/>
          <w:szCs w:val="24"/>
        </w:rPr>
        <w:fldChar w:fldCharType="end"/>
      </w:r>
      <w:r w:rsidR="00650FF6">
        <w:rPr>
          <w:rFonts w:cs="Times New Roman"/>
          <w:szCs w:val="24"/>
        </w:rPr>
        <w:t xml:space="preserve"> </w:t>
      </w:r>
      <w:r>
        <w:rPr>
          <w:rFonts w:cs="Times New Roman"/>
          <w:szCs w:val="24"/>
        </w:rPr>
        <w:t xml:space="preserve">reported that the presence of </w:t>
      </w:r>
      <w:r w:rsidRPr="00A65809">
        <w:rPr>
          <w:rFonts w:cs="Times New Roman"/>
          <w:szCs w:val="24"/>
        </w:rPr>
        <w:t>earthworm</w:t>
      </w:r>
      <w:r>
        <w:rPr>
          <w:rFonts w:cs="Times New Roman"/>
          <w:szCs w:val="24"/>
        </w:rPr>
        <w:t>s</w:t>
      </w:r>
      <w:r w:rsidRPr="00A65809">
        <w:rPr>
          <w:rFonts w:cs="Times New Roman"/>
          <w:szCs w:val="24"/>
        </w:rPr>
        <w:t xml:space="preserve"> in agroecosystems i</w:t>
      </w:r>
      <w:r>
        <w:rPr>
          <w:rFonts w:cs="Times New Roman"/>
          <w:szCs w:val="24"/>
        </w:rPr>
        <w:t xml:space="preserve">ncreased the </w:t>
      </w:r>
      <w:r w:rsidRPr="00A65809">
        <w:rPr>
          <w:rFonts w:cs="Times New Roman"/>
          <w:szCs w:val="24"/>
        </w:rPr>
        <w:t xml:space="preserve">aboveground biomass </w:t>
      </w:r>
      <w:r>
        <w:rPr>
          <w:rFonts w:cs="Times New Roman"/>
          <w:szCs w:val="24"/>
        </w:rPr>
        <w:t xml:space="preserve">by </w:t>
      </w:r>
      <w:r w:rsidRPr="00A65809">
        <w:rPr>
          <w:rFonts w:cs="Times New Roman"/>
          <w:szCs w:val="24"/>
        </w:rPr>
        <w:t xml:space="preserve">23% </w:t>
      </w:r>
      <w:r>
        <w:rPr>
          <w:rFonts w:cs="Times New Roman"/>
          <w:szCs w:val="24"/>
        </w:rPr>
        <w:t xml:space="preserve">on average and attributed the majority of this effect to the release of nitrogen from organic matter by earthworms. Consistent with this, in our experiment, the DeF+E treatment of the monoliths </w:t>
      </w:r>
      <w:r w:rsidRPr="00CB3ACF">
        <w:rPr>
          <w:rFonts w:cs="Times New Roman"/>
          <w:szCs w:val="24"/>
        </w:rPr>
        <w:t xml:space="preserve">increased total soil N content </w:t>
      </w:r>
      <w:r>
        <w:rPr>
          <w:rFonts w:cs="Times New Roman"/>
          <w:szCs w:val="24"/>
        </w:rPr>
        <w:t xml:space="preserve">and increased shoot dry biomass by 37 ± 10% (Table 4). Although no significant increase in shoot biomass was observed in the DeF+E treatments in the bioassay, root biomass did increase significantly, resulting in a significant increase in total dry biomass in the DeF+E treatments. Our data suggest escape or death of at least some of the earthworms added over the duration of the experiment so it is possible that earthworm </w:t>
      </w:r>
      <w:proofErr w:type="spellStart"/>
      <w:r>
        <w:rPr>
          <w:rFonts w:cs="Times New Roman"/>
          <w:szCs w:val="24"/>
        </w:rPr>
        <w:t>necromass</w:t>
      </w:r>
      <w:proofErr w:type="spellEnd"/>
      <w:r>
        <w:rPr>
          <w:rFonts w:cs="Times New Roman"/>
          <w:szCs w:val="24"/>
        </w:rPr>
        <w:t xml:space="preserve"> contributed to this increase in total soil N. However, given a typical earthworm moisture content of 80%</w:t>
      </w:r>
      <w:r w:rsidR="00650FF6">
        <w:rPr>
          <w:rFonts w:cs="Times New Roman"/>
          <w:szCs w:val="24"/>
        </w:rPr>
        <w:t xml:space="preserve"> </w:t>
      </w:r>
      <w:r w:rsidR="00650FF6">
        <w:rPr>
          <w:rFonts w:cs="Times New Roman"/>
          <w:szCs w:val="24"/>
        </w:rPr>
        <w:fldChar w:fldCharType="begin" w:fldLock="1"/>
      </w:r>
      <w:r w:rsidR="00650FF6">
        <w:rPr>
          <w:rFonts w:cs="Times New Roman"/>
          <w:szCs w:val="24"/>
        </w:rPr>
        <w:instrText>ADDIN CSL_CITATION {"citationItems":[{"id":"ITEM-1","itemData":{"ISBN":"0022-0949","author":[{"dropping-particle":"","family":"Roots","given":"Betty I","non-dropping-particle":"","parse-names":false,"suffix":""}],"container-title":"Journal of Experimental Biology","id":"ITEM-1","issue":"1","issued":{"date-parts":[["1956"]]},"page":"29-44","title":"The water relations of earthworms: II. Resistance to desiccation and immersion, and behaviour when submerged and when allowed a choice of environment","type":"article-journal","volume":"33"},"uris":["http://www.mendeley.com/documents/?uuid=c3e559d3-773a-411a-9935-a98b79c090f7"]}],"mendeley":{"formattedCitation":"(Roots, 1956)","plainTextFormattedCitation":"(Roots, 1956)","previouslyFormattedCitation":"(Roots, 1956)"},"properties":{"noteIndex":0},"schema":"https://github.com/citation-style-language/schema/raw/master/csl-citation.json"}</w:instrText>
      </w:r>
      <w:r w:rsidR="00650FF6">
        <w:rPr>
          <w:rFonts w:cs="Times New Roman"/>
          <w:szCs w:val="24"/>
        </w:rPr>
        <w:fldChar w:fldCharType="separate"/>
      </w:r>
      <w:r w:rsidR="00650FF6" w:rsidRPr="00650FF6">
        <w:rPr>
          <w:rFonts w:cs="Times New Roman"/>
          <w:noProof/>
          <w:szCs w:val="24"/>
        </w:rPr>
        <w:t>(Roots, 1956)</w:t>
      </w:r>
      <w:r w:rsidR="00650FF6">
        <w:rPr>
          <w:rFonts w:cs="Times New Roman"/>
          <w:szCs w:val="24"/>
        </w:rPr>
        <w:fldChar w:fldCharType="end"/>
      </w:r>
      <w:r w:rsidR="00650FF6">
        <w:rPr>
          <w:rFonts w:cs="Times New Roman"/>
          <w:szCs w:val="24"/>
        </w:rPr>
        <w:t>,</w:t>
      </w:r>
      <w:r>
        <w:rPr>
          <w:rFonts w:cs="Times New Roman"/>
          <w:szCs w:val="24"/>
        </w:rPr>
        <w:t xml:space="preserve"> and assuming that earthworms have a protein content of 20% comprising 20% N</w:t>
      </w:r>
      <w:r w:rsidR="00650FF6">
        <w:rPr>
          <w:rFonts w:cs="Times New Roman"/>
          <w:szCs w:val="24"/>
        </w:rPr>
        <w:t xml:space="preserve"> </w:t>
      </w:r>
      <w:r w:rsidR="00650FF6">
        <w:rPr>
          <w:rFonts w:cs="Times New Roman"/>
          <w:szCs w:val="24"/>
        </w:rPr>
        <w:fldChar w:fldCharType="begin" w:fldLock="1"/>
      </w:r>
      <w:r w:rsidR="00264E07">
        <w:rPr>
          <w:rFonts w:cs="Times New Roman"/>
          <w:szCs w:val="24"/>
        </w:rPr>
        <w:instrText>ADDIN CSL_CITATION {"citationItems":[{"id":"ITEM-1","itemData":{"DOI":"10.1897/03-686.1","ISBN":"0730-7268","abstract":"Abstract The mortality (7 and 14 d), weight change (7 and 14 d), and metal uptake of Eisenia fetida (Savigny, 1826) kept in Pb(NO3)2-treated Kettering loam soil in single- and multiple-occupancy (10 earthworms) test containers were determined. The number of earthworms to dry mass (g) ratio of soil was 1:50 in both sets of test containers. Lead concentrations were in the nominal range of 0 to 10,000 mg Pb/kg soil (mg/kg hereafter). Levels of mortality at a given concentration were statistically identical between the single- and multiple-occupancy tests, except at 1,800 mg/kg, at which significantly (p ≤ 0.05) more mortality occurred in the multiple-occupancy tests. Death of individual earthworms in the multiple-occupancy tests did not trigger death of the other earthworms in that soil. The LC50 values (concentration statistically likely to kill 50% of the population) were identical between the multiple- and single-occupancy soils: 2,662 mg/kg (2,598–2,984, 7 d) and 2,589 mg/kg (2,251–3,013, 14 d) for the multiple-occupancy soils and 2,827 mg/kg (2,443–3,168, both 7 and 14 d) for the single-occupancy soils (values in brackets represent the 95% confidence intervals). Data were insufficient to calculate the concentration statistically likely to reduce individual earthworm mass by 50% (EC50), but after 14 d, the decrease in earthworm weight in the 1,800 and 3,000 mg/kg tests was significantly greater in the multiple- than in the single-occupancy soils. At 1,000, 1,800, and 3,000 mg/kg tests, earthworm Pb tissue concentration was significantly (p ≤ 0.05) greater in earthworms from the multiple-occupancy soils. The presence of earthworms increased the NH3 content of the soil; earthworm mortality increased NH3 concentrations further but not to toxic levels.","author":[{"dropping-particle":"","family":"Currie","given":"Mark","non-dropping-particle":"","parse-names":false,"suffix":""},{"dropping-particle":"","family":"Hodson","given":"Mark E","non-dropping-particle":"","parse-names":false,"suffix":""},{"dropping-particle":"","family":"Arnold","given":"Rebecca E","non-dropping-particle":"","parse-names":false,"suffix":""},{"dropping-particle":"","family":"Langdon","given":"Caroline J","non-dropping-particle":"","parse-names":false,"suffix":""}],"container-title":"Environmental Toxicology and Chemistry","id":"ITEM-1","issue":"1","issued":{"date-parts":[["2005"]]},"page":"110-116","title":"Single versus multiple occupancy—effects on toxcityp parameters measured on Eisenia fetida in lead nitrate–treated soil","type":"article-journal","volume":"24"},"uris":["http://www.mendeley.com/documents/?uuid=41181cfb-3161-4279-bda5-3b5112a1363c"]}],"mendeley":{"formattedCitation":"(Currie et al., 2005)","plainTextFormattedCitation":"(Currie et al., 2005)","previouslyFormattedCitation":"(Currie et al., 2005)"},"properties":{"noteIndex":0},"schema":"https://github.com/citation-style-language/schema/raw/master/csl-citation.json"}</w:instrText>
      </w:r>
      <w:r w:rsidR="00650FF6">
        <w:rPr>
          <w:rFonts w:cs="Times New Roman"/>
          <w:szCs w:val="24"/>
        </w:rPr>
        <w:fldChar w:fldCharType="separate"/>
      </w:r>
      <w:r w:rsidR="00650FF6" w:rsidRPr="00650FF6">
        <w:rPr>
          <w:rFonts w:cs="Times New Roman"/>
          <w:noProof/>
          <w:szCs w:val="24"/>
        </w:rPr>
        <w:t>(Currie et al., 2005)</w:t>
      </w:r>
      <w:r w:rsidR="00650FF6">
        <w:rPr>
          <w:rFonts w:cs="Times New Roman"/>
          <w:szCs w:val="24"/>
        </w:rPr>
        <w:fldChar w:fldCharType="end"/>
      </w:r>
      <w:r w:rsidR="00650FF6">
        <w:rPr>
          <w:rFonts w:cs="Times New Roman"/>
          <w:szCs w:val="24"/>
        </w:rPr>
        <w:t xml:space="preserve"> </w:t>
      </w:r>
      <w:r>
        <w:rPr>
          <w:rFonts w:cs="Times New Roman"/>
          <w:szCs w:val="24"/>
        </w:rPr>
        <w:t>even if all the earthworms added to each monolith had died, and all the N present in the earthworms had remained in the soil, the resultant increase in total soil N would be over an order of magnitude less than the increase seen in the DeF+E treatment soils.</w:t>
      </w:r>
      <w:r>
        <w:t xml:space="preserve"> </w:t>
      </w:r>
    </w:p>
    <w:p w14:paraId="4CA83ADB" w14:textId="77777777" w:rsidR="0038409E" w:rsidRDefault="0038409E" w:rsidP="001448A4">
      <w:pPr>
        <w:spacing w:line="480" w:lineRule="auto"/>
        <w:jc w:val="both"/>
        <w:rPr>
          <w:rFonts w:cs="Times New Roman"/>
          <w:szCs w:val="24"/>
        </w:rPr>
      </w:pPr>
      <w:r>
        <w:rPr>
          <w:rFonts w:cs="Times New Roman"/>
          <w:szCs w:val="24"/>
        </w:rPr>
        <w:t xml:space="preserve">The significantly higher water holding capacity and available water to plants in the DeF+E </w:t>
      </w:r>
      <w:r w:rsidRPr="00F62D09">
        <w:rPr>
          <w:rFonts w:cs="Times New Roman"/>
          <w:szCs w:val="24"/>
        </w:rPr>
        <w:t>treatments</w:t>
      </w:r>
      <w:r>
        <w:rPr>
          <w:rFonts w:cs="Times New Roman"/>
          <w:szCs w:val="24"/>
        </w:rPr>
        <w:t xml:space="preserve"> (Table 4, Table 3) would also support improved plant growth leading to significant increases in shoot dry biomass in the monoliths and the total dry biomass of the bioassay experiment</w:t>
      </w:r>
      <w:r w:rsidR="00264E07">
        <w:rPr>
          <w:rFonts w:cs="Times New Roman"/>
          <w:szCs w:val="24"/>
        </w:rPr>
        <w:t xml:space="preserve"> </w:t>
      </w:r>
      <w:r w:rsidR="00264E07">
        <w:rPr>
          <w:rFonts w:cs="Times New Roman"/>
          <w:szCs w:val="24"/>
        </w:rPr>
        <w:fldChar w:fldCharType="begin" w:fldLock="1"/>
      </w:r>
      <w:r w:rsidR="006B3A61">
        <w:rPr>
          <w:rFonts w:cs="Times New Roman"/>
          <w:szCs w:val="24"/>
        </w:rPr>
        <w:instrText>ADDIN CSL_CITATION {"citationItems":[{"id":"ITEM-1","itemData":{"DOI":"10.2134/agronj1962.00021962005400050005x","abstract":"Synopsis Actual transpiration decreased with decreasing soil moisture content and increasing potential transpiration. Average soil suction in the root zone when the actual transpiration rate fell below the potential rate varied from 12 bars when the potential transpiration rate was 1.4 mm. per day to 0.3 bar when the potential rate was 6 to 7 mm. per day.","author":[{"dropping-particle":"","family":"Denmead","given":"O T","non-dropping-particle":"","parse-names":false,"suffix":""},{"dropping-particle":"","family":"Shaw","given":"R H","non-dropping-particle":"","parse-names":false,"suffix":""}],"container-title":"Agronomy Journal","id":"ITEM-1","issue":"5","issued":{"date-parts":[["1962"]]},"language":"English","page":"385-390","title":"Availability of Soil Water to Plants as Affected by Soil Moisture Content and Meteorological Conditions1","type":"article-journal","volume":"54"},"uris":["http://www.mendeley.com/documents/?uuid=38886f4d-a8ad-4076-84c1-cddc8ca7997c"]},{"id":"ITEM-2","itemData":{"DOI":"10.1146/annurev.pp.01.060150.001441","author":[{"dropping-particle":"","family":"Veihmeyer","given":"F J","non-dropping-particle":"","parse-names":false,"suffix":""},{"dropping-particle":"","family":"Hendrickson","given":"A H","non-dropping-particle":"","parse-names":false,"suffix":""}],"container-title":"Annual Review of Plant Physiology","id":"ITEM-2","issue":"1","issued":{"date-parts":[["1950"]]},"page":"285-304","title":"Soil Moisture in Relation to Plant Growth","type":"article-journal","volume":"1"},"uris":["http://www.mendeley.com/documents/?uuid=90a16a15-89a6-45a3-9ef1-f901f6e385a9"]}],"mendeley":{"formattedCitation":"(Denmead and Shaw, 1962; Veihmeyer and Hendrickson, 1950)","plainTextFormattedCitation":"(Denmead and Shaw, 1962; Veihmeyer and Hendrickson, 1950)","previouslyFormattedCitation":"(Denmead and Shaw, 1962; Veihmeyer and Hendrickson, 1950)"},"properties":{"noteIndex":0},"schema":"https://github.com/citation-style-language/schema/raw/master/csl-citation.json"}</w:instrText>
      </w:r>
      <w:r w:rsidR="00264E07">
        <w:rPr>
          <w:rFonts w:cs="Times New Roman"/>
          <w:szCs w:val="24"/>
        </w:rPr>
        <w:fldChar w:fldCharType="separate"/>
      </w:r>
      <w:r w:rsidR="00264E07" w:rsidRPr="00264E07">
        <w:rPr>
          <w:rFonts w:cs="Times New Roman"/>
          <w:noProof/>
          <w:szCs w:val="24"/>
        </w:rPr>
        <w:t>(Denmead and Shaw, 1962; Veihmeyer and Hendrickson, 1950)</w:t>
      </w:r>
      <w:r w:rsidR="00264E07">
        <w:rPr>
          <w:rFonts w:cs="Times New Roman"/>
          <w:szCs w:val="24"/>
        </w:rPr>
        <w:fldChar w:fldCharType="end"/>
      </w:r>
      <w:r w:rsidR="00264E07">
        <w:rPr>
          <w:rFonts w:cs="Times New Roman"/>
          <w:szCs w:val="24"/>
        </w:rPr>
        <w:t>.</w:t>
      </w:r>
      <w:r>
        <w:rPr>
          <w:rFonts w:cs="Times New Roman"/>
          <w:szCs w:val="24"/>
        </w:rPr>
        <w:t xml:space="preserve"> These results show the important role of earthworms in supporting </w:t>
      </w:r>
      <w:r w:rsidRPr="00C94905">
        <w:rPr>
          <w:rFonts w:cs="Times New Roman"/>
          <w:szCs w:val="24"/>
        </w:rPr>
        <w:t>food production</w:t>
      </w:r>
      <w:r>
        <w:rPr>
          <w:rFonts w:cs="Times New Roman"/>
          <w:szCs w:val="24"/>
        </w:rPr>
        <w:t xml:space="preserve"> and</w:t>
      </w:r>
      <w:r w:rsidRPr="00C94905">
        <w:rPr>
          <w:rFonts w:cs="Times New Roman"/>
          <w:szCs w:val="24"/>
        </w:rPr>
        <w:t xml:space="preserve"> security</w:t>
      </w:r>
      <w:r>
        <w:rPr>
          <w:rFonts w:cs="Times New Roman"/>
          <w:szCs w:val="24"/>
        </w:rPr>
        <w:t>.</w:t>
      </w:r>
    </w:p>
    <w:p w14:paraId="6CE6B7C7" w14:textId="77777777" w:rsidR="0038409E" w:rsidRDefault="0038409E" w:rsidP="001448A4">
      <w:pPr>
        <w:spacing w:line="480" w:lineRule="auto"/>
        <w:jc w:val="both"/>
        <w:rPr>
          <w:rFonts w:cs="Times New Roman"/>
          <w:szCs w:val="24"/>
        </w:rPr>
      </w:pPr>
      <w:r>
        <w:rPr>
          <w:rFonts w:cs="Times New Roman"/>
          <w:szCs w:val="24"/>
        </w:rPr>
        <w:t>The increases in the %OM in the DeF and DeF+E treatments relative to the initial arable soil conditions are most likely due to organic exudates from plant roots</w:t>
      </w:r>
      <w:r w:rsidR="006B3A61">
        <w:rPr>
          <w:rFonts w:cs="Times New Roman"/>
          <w:szCs w:val="24"/>
        </w:rPr>
        <w:t xml:space="preserve"> </w:t>
      </w:r>
      <w:r w:rsidR="006B3A61">
        <w:rPr>
          <w:rFonts w:cs="Times New Roman"/>
          <w:szCs w:val="24"/>
        </w:rPr>
        <w:fldChar w:fldCharType="begin" w:fldLock="1"/>
      </w:r>
      <w:r w:rsidR="006B3A61">
        <w:rPr>
          <w:rFonts w:cs="Times New Roman"/>
          <w:szCs w:val="24"/>
        </w:rPr>
        <w:instrText>ADDIN CSL_CITATION {"citationItems":[{"id":"ITEM-1","itemData":{"DOI":"https://doi.org/10.1016/j.geoderma.2018.07.026","ISBN":"0016-7061","abstract":"The capacity of soils to store organic carbon represents a key function of soils that is not only decisive for climate regulation but also affects other soil functions. Recent efforts to assess the impact of land management on soil functionality proposed that an indicator- or proxy-based approach is a promising alternative to quantify soil functions compared to time- and cost-intensive measurements, particularly when larger regions are targeted. The objective of this review is to identify measurable biotic or abiotic properties that control soil organic carbon (SOC) storage at different spatial scales and could serve as indicators for an efficient quantification of SOC. These indicators should enable both an estimation of actual SOC storage as well as a prediction of the SOC storage potential, which is an important aspect in land use and management planning. There are many environmental conditions that affect SOC storage at different spatial scales. We provide a thorough overview of factors from micro-scales (particles to pedons) to the global scale and discuss their suitability as indicators for SOC storage: clay mineralogy, specific surface area, metal oxides, Ca and Mg cations, microorganisms, soil fauna, aggregation, texture, soil type, natural vegetation, land use and management, topography, parent material and climate. As a result, we propose a set of indicators that allow for time- and cost-efficient estimates of actual and potential SOC storage from the local to the regional and subcontinental scale. As a key element, the fine mineral fraction was identified to determine SOC stabilization in most soils. The quantification of SOC can be further refined by including climatic proxies, particularly elevation, as well as information on land use, soil management and vegetation characteristics. To enhance its indicative power towards land management effects, further “functional soil characteristics”, particularly soil structural properties and changes in the soil microbial biomass pool should be included in this indicator system. The proposed system offers the potential to efficiently estimate the SOC storage capacity by means of simplified measures, such as soil fractionation procedures or infrared spectroscopic approaches.","author":[{"dropping-particle":"","family":"Wiesmeier","given":"Martin","non-dropping-particle":"","parse-names":false,"suffix":""},{"dropping-particle":"","family":"Urbanski","given":"Livia","non-dropping-particle":"","parse-names":false,"suffix":""},{"dropping-particle":"","family":"Hobley","given":"Eleanor","non-dropping-particle":"","parse-names":false,"suffix":""},{"dropping-particle":"","family":"Lang","given":"Birgit","non-dropping-particle":"","parse-names":false,"suffix":""},{"dropping-particle":"","family":"Lützow","given":"Margit","non-dropping-particle":"von","parse-names":false,"suffix":""},{"dropping-particle":"","family":"Marin-Spiotta","given":"Erika","non-dropping-particle":"","parse-names":false,"suffix":""},{"dropping-particle":"","family":"Wesemael","given":"Bas","non-dropping-particle":"van","parse-names":false,"suffix":""},{"dropping-particle":"","family":"Rabot","given":"Eva","non-dropping-particle":"","parse-names":false,"suffix":""},{"dropping-particle":"","family":"Ließ","given":"Mareike","non-dropping-particle":"","parse-names":false,"suffix":""},{"dropping-particle":"","family":"Garcia-Franco","given":"Noelia","non-dropping-particle":"","parse-names":false,"suffix":""},{"dropping-particle":"","family":"Wollschläger","given":"Ute","non-dropping-particle":"","parse-names":false,"suffix":""},{"dropping-particle":"","family":"Vogel","given":"Hans-Jörg","non-dropping-particle":"","parse-names":false,"suffix":""},{"dropping-particle":"","family":"Kögel-Knabner","given":"Ingrid","non-dropping-particle":"","parse-names":false,"suffix":""}],"container-title":"Geoderma","id":"ITEM-1","issued":{"date-parts":[["2019"]]},"page":"149-162","title":"Soil organic carbon storage as a key function of soils - A review of drivers and indicators at various scales","type":"article-journal","volume":"333"},"uris":["http://www.mendeley.com/documents/?uuid=33ab9f9e-fad8-41ad-85f5-7e76182f93cb"]}],"mendeley":{"formattedCitation":"(Wiesmeier et al., 2019)","plainTextFormattedCitation":"(Wiesmeier et al., 2019)","previouslyFormattedCitation":"(Wiesmeier et al., 2019)"},"properties":{"noteIndex":0},"schema":"https://github.com/citation-style-language/schema/raw/master/csl-citation.json"}</w:instrText>
      </w:r>
      <w:r w:rsidR="006B3A61">
        <w:rPr>
          <w:rFonts w:cs="Times New Roman"/>
          <w:szCs w:val="24"/>
        </w:rPr>
        <w:fldChar w:fldCharType="separate"/>
      </w:r>
      <w:r w:rsidR="006B3A61" w:rsidRPr="006B3A61">
        <w:rPr>
          <w:rFonts w:cs="Times New Roman"/>
          <w:noProof/>
          <w:szCs w:val="24"/>
        </w:rPr>
        <w:t>(Wiesmeier et al., 2019)</w:t>
      </w:r>
      <w:r w:rsidR="006B3A61">
        <w:rPr>
          <w:rFonts w:cs="Times New Roman"/>
          <w:szCs w:val="24"/>
        </w:rPr>
        <w:fldChar w:fldCharType="end"/>
      </w:r>
      <w:r w:rsidR="006B3A61">
        <w:rPr>
          <w:rFonts w:cs="Times New Roman"/>
          <w:szCs w:val="24"/>
        </w:rPr>
        <w:t xml:space="preserve"> </w:t>
      </w:r>
      <w:r>
        <w:rPr>
          <w:rFonts w:cs="Times New Roman"/>
          <w:szCs w:val="24"/>
        </w:rPr>
        <w:t>and increased amounts of plant litter. The precise role that earthworms have on the soil C cycle remain debated (e.g.</w:t>
      </w:r>
      <w:r w:rsidR="006B3A61">
        <w:rPr>
          <w:rFonts w:cs="Times New Roman"/>
          <w:szCs w:val="24"/>
        </w:rPr>
        <w:t xml:space="preserve"> </w:t>
      </w:r>
      <w:r w:rsidR="006B3A61">
        <w:rPr>
          <w:rFonts w:cs="Times New Roman"/>
          <w:noProof/>
          <w:szCs w:val="24"/>
        </w:rPr>
        <w:t xml:space="preserve">Lubbers et al. </w:t>
      </w:r>
      <w:r w:rsidR="006B3A61">
        <w:rPr>
          <w:rFonts w:cs="Times New Roman"/>
          <w:szCs w:val="24"/>
        </w:rPr>
        <w:fldChar w:fldCharType="begin" w:fldLock="1"/>
      </w:r>
      <w:r w:rsidR="006B3A61">
        <w:rPr>
          <w:rFonts w:cs="Times New Roman"/>
          <w:szCs w:val="24"/>
        </w:rPr>
        <w:instrText>ADDIN CSL_CITATION {"citationItems":[{"id":"ITEM-1","itemData":{"DOI":"10.1038/nclimate1692","ISBN":"1758-6798","abstract":"Earthworms play an essential part in determining the greenhouse-gas balance of soils worldwide but whether their activity moves soils towards being a net source or sink remains controversial. This Review of the overall effect of earthworms on the greenhouse-gas balance of soils suggests that although beneficial to fertility, earthworms tend to increase the net soil emissions of such gases.","author":[{"dropping-particle":"","family":"Lubbers","given":"Ingrid M","non-dropping-particle":"","parse-names":false,"suffix":""},{"dropping-particle":"","family":"Groenigen","given":"Kees Jan","non-dropping-particle":"van","parse-names":false,"suffix":""},{"dropping-particle":"","family":"Fonte","given":"Steven J","non-dropping-particle":"","parse-names":false,"suffix":""},{"dropping-particle":"","family":"Six","given":"Johan","non-dropping-particle":"","parse-names":false,"suffix":""},{"dropping-particle":"","family":"Brussaard","given":"Lijbert","non-dropping-particle":"","parse-names":false,"suffix":""},{"dropping-particle":"","family":"Groenigen","given":"Jan Willem","non-dropping-particle":"van","parse-names":false,"suffix":""}],"container-title":"Nature Climate Change","id":"ITEM-1","issue":"3","issued":{"date-parts":[["2013"]]},"page":"187-194","title":"Greenhouse-gas emissions from soils increased by earthworms","type":"article-journal","volume":"3"},"suppress-author":1,"uris":["http://www.mendeley.com/documents/?uuid=66330b96-d2f5-4f86-9b29-a88935655272"]}],"mendeley":{"formattedCitation":"(2013)","plainTextFormattedCitation":"(2013)","previouslyFormattedCitation":"(2013)"},"properties":{"noteIndex":0},"schema":"https://github.com/citation-style-language/schema/raw/master/csl-citation.json"}</w:instrText>
      </w:r>
      <w:r w:rsidR="006B3A61">
        <w:rPr>
          <w:rFonts w:cs="Times New Roman"/>
          <w:szCs w:val="24"/>
        </w:rPr>
        <w:fldChar w:fldCharType="separate"/>
      </w:r>
      <w:r w:rsidR="006B3A61" w:rsidRPr="006B3A61">
        <w:rPr>
          <w:rFonts w:cs="Times New Roman"/>
          <w:noProof/>
          <w:szCs w:val="24"/>
        </w:rPr>
        <w:t>(2013)</w:t>
      </w:r>
      <w:r w:rsidR="006B3A61">
        <w:rPr>
          <w:rFonts w:cs="Times New Roman"/>
          <w:szCs w:val="24"/>
        </w:rPr>
        <w:fldChar w:fldCharType="end"/>
      </w:r>
      <w:r w:rsidR="006B3A61">
        <w:rPr>
          <w:rFonts w:cs="Times New Roman"/>
          <w:szCs w:val="24"/>
        </w:rPr>
        <w:t xml:space="preserve">; </w:t>
      </w:r>
      <w:r w:rsidR="006B3A61">
        <w:rPr>
          <w:rFonts w:cs="Times New Roman"/>
          <w:noProof/>
          <w:szCs w:val="24"/>
        </w:rPr>
        <w:t xml:space="preserve">Zhang et al. </w:t>
      </w:r>
      <w:r w:rsidR="006B3A61">
        <w:rPr>
          <w:rFonts w:cs="Times New Roman"/>
          <w:szCs w:val="24"/>
        </w:rPr>
        <w:fldChar w:fldCharType="begin" w:fldLock="1"/>
      </w:r>
      <w:r w:rsidR="006B3A61">
        <w:rPr>
          <w:rFonts w:cs="Times New Roman"/>
          <w:szCs w:val="24"/>
        </w:rPr>
        <w:instrText>ADDIN CSL_CITATION {"citationItems":[{"id":"ITEM-1","itemData":{"DOI":"10.1038/ncomms3576\rhttps://www.nature.com/articles/ncomms3576#supplementary-information","author":[{"dropping-particle":"","family":"Zhang","given":"Weixin","non-dropping-particle":"","parse-names":false,"suffix":""},{"dropping-particle":"","family":"Hendrix","given":"Paul F","non-dropping-particle":"","parse-names":false,"suffix":""},{"dropping-particle":"","family":"Dame","given":"Lauren E","non-dropping-particle":"","parse-names":false,"suffix":""},{"dropping-particle":"","family":"Burke","given":"Roger A","non-dropping-particle":"","parse-names":false,"suffix":""},{"dropping-particle":"","family":"Wu","given":"Jianping","non-dropping-particle":"","parse-names":false,"suffix":""},{"dropping-particle":"","family":"Neher","given":"Deborah A","non-dropping-particle":"","parse-names":false,"suffix":""},{"dropping-particle":"","family":"Li","given":"Jianxiong","non-dropping-particle":"","parse-names":false,"suffix":""},{"dropping-particle":"","family":"Shao","given":"Yuanhu","non-dropping-particle":"","parse-names":false,"suffix":""},{"dropping-particle":"","family":"Fu","given":"Shenglei","non-dropping-particle":"","parse-names":false,"suffix":""}],"container-title":"Nature Communications","id":"ITEM-1","issued":{"date-parts":[["2013"]]},"page":"2576","publisher":"Nature Publishing Group, a division of Macmillan Publishers Limited. All Rights Reserved.","title":"Earthworms facilitate carbon sequestration through unequal amplification of carbon stabilization compared with mineralization","type":"article-journal","volume":"4"},"suppress-author":1,"uris":["http://www.mendeley.com/documents/?uuid=3976641b-d216-4524-9c6d-4a689690c464"]}],"mendeley":{"formattedCitation":"(2013)","plainTextFormattedCitation":"(2013)","previouslyFormattedCitation":"(2013)"},"properties":{"noteIndex":0},"schema":"https://github.com/citation-style-language/schema/raw/master/csl-citation.json"}</w:instrText>
      </w:r>
      <w:r w:rsidR="006B3A61">
        <w:rPr>
          <w:rFonts w:cs="Times New Roman"/>
          <w:szCs w:val="24"/>
        </w:rPr>
        <w:fldChar w:fldCharType="separate"/>
      </w:r>
      <w:r w:rsidR="006B3A61" w:rsidRPr="006B3A61">
        <w:rPr>
          <w:rFonts w:cs="Times New Roman"/>
          <w:noProof/>
          <w:szCs w:val="24"/>
        </w:rPr>
        <w:t>(2013)</w:t>
      </w:r>
      <w:r w:rsidR="006B3A61">
        <w:rPr>
          <w:rFonts w:cs="Times New Roman"/>
          <w:szCs w:val="24"/>
        </w:rPr>
        <w:fldChar w:fldCharType="end"/>
      </w:r>
      <w:r w:rsidR="006B3A61">
        <w:rPr>
          <w:rFonts w:cs="Times New Roman"/>
          <w:szCs w:val="24"/>
        </w:rPr>
        <w:t>)</w:t>
      </w:r>
      <w:r>
        <w:rPr>
          <w:rFonts w:cs="Times New Roman"/>
          <w:szCs w:val="24"/>
        </w:rPr>
        <w:t>. However, in our experiments, which represent a long-term field trial in the presence of plants, there was an increase in %OM in the DeF+E treatment relative to the DeF treatment. Earthworms play an important role in aggregate formation (e.g.</w:t>
      </w:r>
      <w:r w:rsidR="006B3A61">
        <w:rPr>
          <w:rFonts w:cs="Times New Roman"/>
          <w:szCs w:val="24"/>
        </w:rPr>
        <w:t xml:space="preserve"> </w:t>
      </w:r>
      <w:r w:rsidR="006B3A61">
        <w:rPr>
          <w:rFonts w:cs="Times New Roman"/>
          <w:noProof/>
          <w:szCs w:val="24"/>
        </w:rPr>
        <w:t xml:space="preserve">Six et al. </w:t>
      </w:r>
      <w:r w:rsidR="006B3A61">
        <w:rPr>
          <w:rFonts w:cs="Times New Roman"/>
          <w:szCs w:val="24"/>
        </w:rPr>
        <w:fldChar w:fldCharType="begin" w:fldLock="1"/>
      </w:r>
      <w:r w:rsidR="006B3A61">
        <w:rPr>
          <w:rFonts w:cs="Times New Roman"/>
          <w:szCs w:val="24"/>
        </w:rPr>
        <w:instrText>ADDIN CSL_CITATION {"citationItems":[{"id":"ITEM-1","itemData":{"DOI":"https://doi.org/10.1016/j.still.2004.03.008","ISBN":"0167-1987","abstract":"Since the 1900s, the link between soil biotic activity, soil organic matter (SOM) decomposition and stabilization, and soil aggregate dynamics has been recognized and intensively been studied. By 1950, many studies had, mostly qualitatively, investigated the influence of the five major factors (i.e. soil fauna, microorganisms, roots, inorganics and physical processes) on this link. After 1950, four theoretical mile-stones related to this subject were realized. The first one was when Emerson [Nature 183 (1959) 538] proposed a model of a soil crumb consisting of domains of oriented clay and quartz particles. Next, Edwards and Bremner [J. Soil Sci. 18 (1967) 64] formulated a theory in which the solid-phase reaction between clay minerals, polyvalent cations and SOM is the main process leading to microaggregate formation. Based on this concept, Tisdall and Oades [J. Soil Sci. 62 (1982) 141] coined the aggregate hierarchy concept describing a spatial scale dependence of mechanisms involved in micro- and macroaggregate formation. Oades [Plant Soil 76 (1984) 319] suggested a small, but very important, modification to the aggregate hierarchy concept by theorizing the formation of microaggregates within macroaggregates. Recent research on aggregate formation and SOM stabilization extensively corroborate this modification and use it as the base for furthering the understanding of SOM dynamics. The major outcomes of adopting this modification are: (1) microaggregates, rather than macroaggregates protect SOM in the long term; and (2) macroaggregate turnover is a crucial process influencing the stabilization of SOM. Reviewing the progress made over the last 50 years in this area of research reveals that still very few studies are quantitative and/or consider interactive effects between the five factors. The quantification of these relationships is clearly needed to improve our ability to predict changes in soil ecosystems due to management and global change. This quantification can greatly benefit from viewing aggregates as dynamic rather than static entities and relating aggregate measurements with 2D and 3D quantitative spatial information.","author":[{"dropping-particle":"","family":"Six","given":"J","non-dropping-particle":"","parse-names":false,"suffix":""},{"dropping-particle":"","family":"Bossuyt","given":"H","non-dropping-particle":"","parse-names":false,"suffix":""},{"dropping-particle":"","family":"Degryze","given":"S","non-dropping-particle":"","parse-names":false,"suffix":""},{"dropping-particle":"","family":"Denef","given":"K","non-dropping-particle":"","parse-names":false,"suffix":""}],"container-title":"Soil and Tillage Research","id":"ITEM-1","issue":"1","issued":{"date-parts":[["2004"]]},"page":"7-31","title":"A history of research on the link between (micro)aggregates, soil biota, and soil organic matter dynamics","type":"article-journal","volume":"79"},"suppress-author":1,"uris":["http://www.mendeley.com/documents/?uuid=93589d84-506f-45d5-98a6-409700ac7c08"]}],"mendeley":{"formattedCitation":"(2004)","plainTextFormattedCitation":"(2004)","previouslyFormattedCitation":"(2004)"},"properties":{"noteIndex":0},"schema":"https://github.com/citation-style-language/schema/raw/master/csl-citation.json"}</w:instrText>
      </w:r>
      <w:r w:rsidR="006B3A61">
        <w:rPr>
          <w:rFonts w:cs="Times New Roman"/>
          <w:szCs w:val="24"/>
        </w:rPr>
        <w:fldChar w:fldCharType="separate"/>
      </w:r>
      <w:r w:rsidR="006B3A61" w:rsidRPr="006B3A61">
        <w:rPr>
          <w:rFonts w:cs="Times New Roman"/>
          <w:noProof/>
          <w:szCs w:val="24"/>
        </w:rPr>
        <w:t>(2004)</w:t>
      </w:r>
      <w:r w:rsidR="006B3A61">
        <w:rPr>
          <w:rFonts w:cs="Times New Roman"/>
          <w:szCs w:val="24"/>
        </w:rPr>
        <w:fldChar w:fldCharType="end"/>
      </w:r>
      <w:r w:rsidR="006B3A61">
        <w:rPr>
          <w:rFonts w:cs="Times New Roman"/>
          <w:szCs w:val="24"/>
        </w:rPr>
        <w:t>)</w:t>
      </w:r>
      <w:r>
        <w:rPr>
          <w:rFonts w:cs="Times New Roman"/>
          <w:szCs w:val="24"/>
        </w:rPr>
        <w:t xml:space="preserve"> and %WSA were significantly greater in the DeF+E treatments than in the DeF treatments. Aggregates are thought to protect soil C (e.g.</w:t>
      </w:r>
      <w:r w:rsidR="006B3A61">
        <w:rPr>
          <w:rFonts w:cs="Times New Roman"/>
          <w:szCs w:val="24"/>
        </w:rPr>
        <w:t xml:space="preserve"> </w:t>
      </w:r>
      <w:r w:rsidR="006B3A61">
        <w:rPr>
          <w:rFonts w:cs="Times New Roman"/>
          <w:noProof/>
          <w:szCs w:val="24"/>
        </w:rPr>
        <w:t xml:space="preserve">Six et al. </w:t>
      </w:r>
      <w:r w:rsidR="006B3A61">
        <w:rPr>
          <w:rFonts w:cs="Times New Roman"/>
          <w:szCs w:val="24"/>
        </w:rPr>
        <w:fldChar w:fldCharType="begin" w:fldLock="1"/>
      </w:r>
      <w:r w:rsidR="00AE1267">
        <w:rPr>
          <w:rFonts w:cs="Times New Roman"/>
          <w:szCs w:val="24"/>
        </w:rPr>
        <w:instrText>ADDIN CSL_CITATION {"citationItems":[{"id":"ITEM-1","itemData":{"DOI":"https://doi.org/10.1016/j.still.2004.03.008","ISBN":"0167-1987","abstract":"Since the 1900s, the link between soil biotic activity, soil organic matter (SOM) decomposition and stabilization, and soil aggregate dynamics has been recognized and intensively been studied. By 1950, many studies had, mostly qualitatively, investigated the influence of the five major factors (i.e. soil fauna, microorganisms, roots, inorganics and physical processes) on this link. After 1950, four theoretical mile-stones related to this subject were realized. The first one was when Emerson [Nature 183 (1959) 538] proposed a model of a soil crumb consisting of domains of oriented clay and quartz particles. Next, Edwards and Bremner [J. Soil Sci. 18 (1967) 64] formulated a theory in which the solid-phase reaction between clay minerals, polyvalent cations and SOM is the main process leading to microaggregate formation. Based on this concept, Tisdall and Oades [J. Soil Sci. 62 (1982) 141] coined the aggregate hierarchy concept describing a spatial scale dependence of mechanisms involved in micro- and macroaggregate formation. Oades [Plant Soil 76 (1984) 319] suggested a small, but very important, modification to the aggregate hierarchy concept by theorizing the formation of microaggregates within macroaggregates. Recent research on aggregate formation and SOM stabilization extensively corroborate this modification and use it as the base for furthering the understanding of SOM dynamics. The major outcomes of adopting this modification are: (1) microaggregates, rather than macroaggregates protect SOM in the long term; and (2) macroaggregate turnover is a crucial process influencing the stabilization of SOM. Reviewing the progress made over the last 50 years in this area of research reveals that still very few studies are quantitative and/or consider interactive effects between the five factors. The quantification of these relationships is clearly needed to improve our ability to predict changes in soil ecosystems due to management and global change. This quantification can greatly benefit from viewing aggregates as dynamic rather than static entities and relating aggregate measurements with 2D and 3D quantitative spatial information.","author":[{"dropping-particle":"","family":"Six","given":"J","non-dropping-particle":"","parse-names":false,"suffix":""},{"dropping-particle":"","family":"Bossuyt","given":"H","non-dropping-particle":"","parse-names":false,"suffix":""},{"dropping-particle":"","family":"Degryze","given":"S","non-dropping-particle":"","parse-names":false,"suffix":""},{"dropping-particle":"","family":"Denef","given":"K","non-dropping-particle":"","parse-names":false,"suffix":""}],"container-title":"Soil and Tillage Research","id":"ITEM-1","issue":"1","issued":{"date-parts":[["2004"]]},"page":"7-31","title":"A history of research on the link between (micro)aggregates, soil biota, and soil organic matter dynamics","type":"article-journal","volume":"79"},"suppress-author":1,"uris":["http://www.mendeley.com/documents/?uuid=93589d84-506f-45d5-98a6-409700ac7c08"]}],"mendeley":{"formattedCitation":"(2004)","plainTextFormattedCitation":"(2004)","previouslyFormattedCitation":"(2004)"},"properties":{"noteIndex":0},"schema":"https://github.com/citation-style-language/schema/raw/master/csl-citation.json"}</w:instrText>
      </w:r>
      <w:r w:rsidR="006B3A61">
        <w:rPr>
          <w:rFonts w:cs="Times New Roman"/>
          <w:szCs w:val="24"/>
        </w:rPr>
        <w:fldChar w:fldCharType="separate"/>
      </w:r>
      <w:r w:rsidR="006B3A61" w:rsidRPr="006B3A61">
        <w:rPr>
          <w:rFonts w:cs="Times New Roman"/>
          <w:noProof/>
          <w:szCs w:val="24"/>
        </w:rPr>
        <w:t>(2004)</w:t>
      </w:r>
      <w:r w:rsidR="006B3A61">
        <w:rPr>
          <w:rFonts w:cs="Times New Roman"/>
          <w:szCs w:val="24"/>
        </w:rPr>
        <w:fldChar w:fldCharType="end"/>
      </w:r>
      <w:r w:rsidR="006B3A61">
        <w:rPr>
          <w:rFonts w:cs="Times New Roman"/>
          <w:szCs w:val="24"/>
        </w:rPr>
        <w:t>)</w:t>
      </w:r>
      <w:r>
        <w:rPr>
          <w:rFonts w:cs="Times New Roman"/>
          <w:szCs w:val="24"/>
        </w:rPr>
        <w:t xml:space="preserve"> . Thus, whilst our experiments do not allow us to comment on the contribution of earthworms to greenhouse gas fluxes from </w:t>
      </w:r>
      <w:proofErr w:type="gramStart"/>
      <w:r>
        <w:rPr>
          <w:rFonts w:cs="Times New Roman"/>
          <w:szCs w:val="24"/>
        </w:rPr>
        <w:t>soils</w:t>
      </w:r>
      <w:proofErr w:type="gramEnd"/>
      <w:r>
        <w:rPr>
          <w:rFonts w:cs="Times New Roman"/>
          <w:szCs w:val="24"/>
        </w:rPr>
        <w:t xml:space="preserve"> they do indicate that earthworm activity increases carbon storage in soils.</w:t>
      </w:r>
    </w:p>
    <w:p w14:paraId="6A252D6C" w14:textId="77777777" w:rsidR="0038409E" w:rsidRDefault="0038409E" w:rsidP="001448A4">
      <w:pPr>
        <w:spacing w:after="120" w:line="480" w:lineRule="auto"/>
        <w:jc w:val="both"/>
        <w:rPr>
          <w:rFonts w:cs="Times New Roman"/>
          <w:szCs w:val="24"/>
        </w:rPr>
        <w:sectPr w:rsidR="0038409E" w:rsidSect="001448A4">
          <w:headerReference w:type="default" r:id="rId15"/>
          <w:pgSz w:w="12240" w:h="15840"/>
          <w:pgMar w:top="1440" w:right="1440" w:bottom="1440" w:left="1440" w:header="720" w:footer="720" w:gutter="0"/>
          <w:lnNumType w:countBy="1" w:restart="continuous"/>
          <w:cols w:space="720"/>
          <w:docGrid w:linePitch="360"/>
        </w:sectPr>
      </w:pPr>
      <w:r>
        <w:rPr>
          <w:rFonts w:cs="Times New Roman"/>
          <w:szCs w:val="24"/>
        </w:rPr>
        <w:t xml:space="preserve"> </w:t>
      </w:r>
    </w:p>
    <w:p w14:paraId="2F4C8A3C" w14:textId="77777777" w:rsidR="0038409E" w:rsidRPr="00C72DC4" w:rsidRDefault="0038409E" w:rsidP="001448A4">
      <w:pPr>
        <w:pStyle w:val="Heading3"/>
        <w:numPr>
          <w:ilvl w:val="1"/>
          <w:numId w:val="14"/>
        </w:numPr>
        <w:spacing w:before="360" w:after="200" w:line="480" w:lineRule="auto"/>
      </w:pPr>
      <w:bookmarkStart w:id="35" w:name="_Toc4323591"/>
      <w:r w:rsidRPr="00C72DC4">
        <w:t>Research limitations</w:t>
      </w:r>
      <w:bookmarkEnd w:id="35"/>
    </w:p>
    <w:p w14:paraId="265FFF42" w14:textId="77777777" w:rsidR="0038409E" w:rsidRDefault="0038409E" w:rsidP="001448A4">
      <w:pPr>
        <w:spacing w:after="160" w:line="480" w:lineRule="auto"/>
        <w:jc w:val="both"/>
        <w:rPr>
          <w:rFonts w:cs="Times New Roman"/>
          <w:color w:val="auto"/>
          <w:szCs w:val="24"/>
          <w:lang w:val="en-GB"/>
        </w:rPr>
      </w:pPr>
      <w:r>
        <w:rPr>
          <w:rFonts w:cs="Times New Roman"/>
          <w:color w:val="auto"/>
          <w:szCs w:val="24"/>
          <w:lang w:val="en-GB"/>
        </w:rPr>
        <w:t>Despite studies that show that freezing has</w:t>
      </w:r>
      <w:r w:rsidRPr="000D5109">
        <w:rPr>
          <w:rFonts w:cs="Times New Roman"/>
          <w:color w:val="auto"/>
          <w:szCs w:val="24"/>
          <w:lang w:val="en-GB"/>
        </w:rPr>
        <w:t xml:space="preserve"> an impact on soil structure (e.g.</w:t>
      </w:r>
      <w:r w:rsidR="00AE1267">
        <w:rPr>
          <w:rFonts w:cs="Times New Roman"/>
          <w:color w:val="auto"/>
          <w:szCs w:val="24"/>
          <w:lang w:val="en-GB"/>
        </w:rPr>
        <w:t xml:space="preserve"> </w:t>
      </w:r>
      <w:r w:rsidR="00AE1267">
        <w:rPr>
          <w:rFonts w:cs="Times New Roman"/>
          <w:noProof/>
          <w:color w:val="auto"/>
          <w:szCs w:val="24"/>
          <w:lang w:val="en-GB"/>
        </w:rPr>
        <w:t>Hinman and Bisal</w:t>
      </w:r>
      <w:r w:rsidR="00AE1267">
        <w:rPr>
          <w:rFonts w:cs="Times New Roman"/>
          <w:color w:val="auto"/>
          <w:szCs w:val="24"/>
          <w:lang w:val="en-GB"/>
        </w:rPr>
        <w:t xml:space="preserve"> </w:t>
      </w:r>
      <w:r w:rsidR="00AE1267">
        <w:rPr>
          <w:rFonts w:cs="Times New Roman"/>
          <w:color w:val="auto"/>
          <w:szCs w:val="24"/>
          <w:lang w:val="en-GB"/>
        </w:rPr>
        <w:fldChar w:fldCharType="begin" w:fldLock="1"/>
      </w:r>
      <w:r w:rsidR="00AE1267">
        <w:rPr>
          <w:rFonts w:cs="Times New Roman"/>
          <w:color w:val="auto"/>
          <w:szCs w:val="24"/>
          <w:lang w:val="en-GB"/>
        </w:rPr>
        <w:instrText>ADDIN CSL_CITATION {"citationItems":[{"id":"ITEM-1","itemData":{"DOI":"10.4141/cjss68-023","ISBN":"0008-4271","author":[{"dropping-particle":"","family":"Hinman","given":"W C","non-dropping-particle":"","parse-names":false,"suffix":""},{"dropping-particle":"","family":"Bisal","given":"Frederick","non-dropping-particle":"","parse-names":false,"suffix":""}],"container-title":"Canadian Journal of Soil Science","id":"ITEM-1","issue":"2","issued":{"date-parts":[["1968"]]},"page":"193-197","publisher":"NRC Research Press","title":"ALTERATIONS OF SOIL STRUCTURE UPON FREEZING AND THAWING AND SUBSEQUENT DRYING","type":"article-journal","volume":"48"},"suppress-author":1,"uris":["http://www.mendeley.com/documents/?uuid=58578410-fd32-44ab-8c82-5ff923be3727"]}],"mendeley":{"formattedCitation":"(1968)","plainTextFormattedCitation":"(1968)","previouslyFormattedCitation":"(1968)"},"properties":{"noteIndex":0},"schema":"https://github.com/citation-style-language/schema/raw/master/csl-citation.json"}</w:instrText>
      </w:r>
      <w:r w:rsidR="00AE1267">
        <w:rPr>
          <w:rFonts w:cs="Times New Roman"/>
          <w:color w:val="auto"/>
          <w:szCs w:val="24"/>
          <w:lang w:val="en-GB"/>
        </w:rPr>
        <w:fldChar w:fldCharType="separate"/>
      </w:r>
      <w:r w:rsidR="00AE1267" w:rsidRPr="00AE1267">
        <w:rPr>
          <w:rFonts w:cs="Times New Roman"/>
          <w:noProof/>
          <w:color w:val="auto"/>
          <w:szCs w:val="24"/>
          <w:lang w:val="en-GB"/>
        </w:rPr>
        <w:t>(1968)</w:t>
      </w:r>
      <w:r w:rsidR="00AE1267">
        <w:rPr>
          <w:rFonts w:cs="Times New Roman"/>
          <w:color w:val="auto"/>
          <w:szCs w:val="24"/>
          <w:lang w:val="en-GB"/>
        </w:rPr>
        <w:fldChar w:fldCharType="end"/>
      </w:r>
      <w:r w:rsidR="00AE1267">
        <w:rPr>
          <w:rFonts w:cs="Times New Roman"/>
          <w:color w:val="auto"/>
          <w:szCs w:val="24"/>
          <w:lang w:val="en-GB"/>
        </w:rPr>
        <w:t>;</w:t>
      </w:r>
      <w:r>
        <w:rPr>
          <w:rFonts w:cs="Times New Roman"/>
          <w:color w:val="auto"/>
          <w:szCs w:val="24"/>
          <w:lang w:val="en-GB"/>
        </w:rPr>
        <w:t xml:space="preserve"> </w:t>
      </w:r>
      <w:r>
        <w:rPr>
          <w:rFonts w:cs="Times New Roman"/>
          <w:noProof/>
          <w:color w:val="auto"/>
          <w:szCs w:val="24"/>
          <w:lang w:val="en-GB"/>
        </w:rPr>
        <w:t xml:space="preserve">Chamberlain and Gow </w:t>
      </w:r>
      <w:r w:rsidR="00AE1267">
        <w:rPr>
          <w:rFonts w:cs="Times New Roman"/>
          <w:noProof/>
          <w:color w:val="auto"/>
          <w:szCs w:val="24"/>
          <w:lang w:val="en-GB"/>
        </w:rPr>
        <w:fldChar w:fldCharType="begin" w:fldLock="1"/>
      </w:r>
      <w:r w:rsidR="00AE1267">
        <w:rPr>
          <w:rFonts w:cs="Times New Roman"/>
          <w:noProof/>
          <w:color w:val="auto"/>
          <w:szCs w:val="24"/>
          <w:lang w:val="en-GB"/>
        </w:rPr>
        <w:instrText>ADDIN CSL_CITATION {"citationItems":[{"id":"ITEM-1","itemData":{"DOI":"https://doi.org/10.1016/0013-7952(79)90022-X","ISBN":"0013-7952","abstract":"The permeability and structure of four fine-grained soils were observed to be changed by freezing and thawing. In all cases freezing and thawing caused a reduction in void ratio and an increase in vertical permeability. The increase in permeability is attributed to the formation of polygonal shrinkage cracks and/or to the reduction of the volume of fines in the pores of the coarse fraction, the mechanism controlling the process depending on material type. No definite relationships are established; however, it appears that the largest increase in permeability occurs for the soil of highest plasticity.","author":[{"dropping-particle":"","family":"Chamberlain","given":"Edwin J","non-dropping-particle":"","parse-names":false,"suffix":""},{"dropping-particle":"","family":"Gow","given":"Anthony J","non-dropping-particle":"","parse-names":false,"suffix":""}],"container-title":"Engineering Geology","id":"ITEM-1","issue":"1","issued":{"date-parts":[["1979"]]},"page":"73-92","title":"Effect of freezing and thawing on the permeability and structure of soils","type":"article-journal","volume":"13"},"suppress-author":1,"uris":["http://www.mendeley.com/documents/?uuid=0ca10cd8-2da8-4fee-a493-1549d4e07ad8"]}],"mendeley":{"formattedCitation":"(1979)","plainTextFormattedCitation":"(1979)","previouslyFormattedCitation":"(1979)"},"properties":{"noteIndex":0},"schema":"https://github.com/citation-style-language/schema/raw/master/csl-citation.json"}</w:instrText>
      </w:r>
      <w:r w:rsidR="00AE1267">
        <w:rPr>
          <w:rFonts w:cs="Times New Roman"/>
          <w:noProof/>
          <w:color w:val="auto"/>
          <w:szCs w:val="24"/>
          <w:lang w:val="en-GB"/>
        </w:rPr>
        <w:fldChar w:fldCharType="separate"/>
      </w:r>
      <w:r w:rsidR="00AE1267" w:rsidRPr="00AE1267">
        <w:rPr>
          <w:rFonts w:cs="Times New Roman"/>
          <w:noProof/>
          <w:color w:val="auto"/>
          <w:szCs w:val="24"/>
          <w:lang w:val="en-GB"/>
        </w:rPr>
        <w:t>(1979)</w:t>
      </w:r>
      <w:r w:rsidR="00AE1267">
        <w:rPr>
          <w:rFonts w:cs="Times New Roman"/>
          <w:noProof/>
          <w:color w:val="auto"/>
          <w:szCs w:val="24"/>
          <w:lang w:val="en-GB"/>
        </w:rPr>
        <w:fldChar w:fldCharType="end"/>
      </w:r>
      <w:r w:rsidR="00AE1267">
        <w:rPr>
          <w:rFonts w:cs="Times New Roman"/>
          <w:noProof/>
          <w:color w:val="auto"/>
          <w:szCs w:val="24"/>
          <w:lang w:val="en-GB"/>
        </w:rPr>
        <w:t>)</w:t>
      </w:r>
      <w:r w:rsidR="00AE1267">
        <w:rPr>
          <w:rFonts w:cs="Times New Roman"/>
          <w:color w:val="auto"/>
          <w:szCs w:val="24"/>
          <w:lang w:val="en-GB"/>
        </w:rPr>
        <w:t xml:space="preserve"> </w:t>
      </w:r>
      <w:r>
        <w:rPr>
          <w:rFonts w:cs="Times New Roman"/>
          <w:color w:val="auto"/>
          <w:szCs w:val="24"/>
          <w:lang w:val="en-GB"/>
        </w:rPr>
        <w:t xml:space="preserve">there were no significant differences between the control (unfrozen) and DeF monoliths in terms of hydraulic conductivity, SWRC, WHC, %WSA, BD, %OM, %N and plant biomass at the end of the experiment. Prior to repopulating with earthworms our DeF and DeF+E treatments were treated identically. This gives us confidence that freezing our monoliths to </w:t>
      </w:r>
      <w:proofErr w:type="spellStart"/>
      <w:r>
        <w:rPr>
          <w:rFonts w:cs="Times New Roman"/>
          <w:color w:val="auto"/>
          <w:szCs w:val="24"/>
          <w:lang w:val="en-GB"/>
        </w:rPr>
        <w:t>defaunate</w:t>
      </w:r>
      <w:proofErr w:type="spellEnd"/>
      <w:r>
        <w:rPr>
          <w:rFonts w:cs="Times New Roman"/>
          <w:color w:val="auto"/>
          <w:szCs w:val="24"/>
          <w:lang w:val="en-GB"/>
        </w:rPr>
        <w:t xml:space="preserve"> them did not significantly impact on the physical soil properties that we measured or the conclusions we reached regarding the mechanisms behind the differences in these measurements between the DeF and DeF+E monoliths. However, f</w:t>
      </w:r>
      <w:r w:rsidRPr="000D5109">
        <w:rPr>
          <w:rFonts w:cs="Times New Roman"/>
          <w:color w:val="auto"/>
          <w:szCs w:val="24"/>
          <w:lang w:val="en-GB"/>
        </w:rPr>
        <w:t xml:space="preserve">reezing also removes other soil macro- and meso-invertebrates </w:t>
      </w:r>
      <w:r>
        <w:rPr>
          <w:rFonts w:cs="Times New Roman"/>
          <w:color w:val="auto"/>
          <w:szCs w:val="24"/>
          <w:lang w:val="en-GB"/>
        </w:rPr>
        <w:t xml:space="preserve">whilst having </w:t>
      </w:r>
      <w:r w:rsidRPr="000D5109">
        <w:rPr>
          <w:rFonts w:cs="Times New Roman"/>
          <w:color w:val="auto"/>
          <w:szCs w:val="24"/>
          <w:lang w:val="en-GB"/>
        </w:rPr>
        <w:t xml:space="preserve">little impact on soil micro-invertebrates </w:t>
      </w:r>
      <w:r>
        <w:rPr>
          <w:rFonts w:cs="Times New Roman"/>
          <w:color w:val="auto"/>
          <w:szCs w:val="24"/>
          <w:lang w:val="en-GB"/>
        </w:rPr>
        <w:t>and the micro-biota</w:t>
      </w:r>
      <w:r w:rsidR="00AE1267">
        <w:rPr>
          <w:rFonts w:cs="Times New Roman"/>
          <w:color w:val="auto"/>
          <w:szCs w:val="24"/>
          <w:lang w:val="en-GB"/>
        </w:rPr>
        <w:t xml:space="preserve"> </w:t>
      </w:r>
      <w:r w:rsidR="00AE1267">
        <w:rPr>
          <w:rFonts w:cs="Times New Roman"/>
          <w:color w:val="auto"/>
          <w:szCs w:val="24"/>
          <w:lang w:val="en-GB"/>
        </w:rPr>
        <w:fldChar w:fldCharType="begin" w:fldLock="1"/>
      </w:r>
      <w:r w:rsidR="00B91170">
        <w:rPr>
          <w:rFonts w:cs="Times New Roman"/>
          <w:color w:val="auto"/>
          <w:szCs w:val="24"/>
          <w:lang w:val="en-GB"/>
        </w:rPr>
        <w:instrText xml:space="preserve">ADDIN CSL_CITATION {"citationItems":[{"id":"ITEM-1","itemData":{"DOI":"https://doi.org/10.1016/S0065-2113(08)60961-X","ISBN":"0065-2113","author":[{"dropping-particle":"","family":"Barley","given":"K P","non-dropping-particle":"","parse-names":false,"suffix":""}],"container-title":"Advances in Agronomy","editor":[{"dropping-particle":"","family":"Norman","given":"A G","non-dropping-particle":"","parse-names":false,"suffix":""}],"id":"ITEM-1","issued":{"date-parts":[["1961"]]},"page":"249-268","publisher":"Academic Press","title":"The Abundance of Earthworms in Agricultural Land and Their Possible Significance in Agriculture","type":"chapter","volume":"13"},"uris":["http://www.mendeley.com/documents/?uuid=4b221da8-ddaa-4bf4-a74e-80b7e9acd8f7"]},{"id":"ITEM-2","itemData":{"DOI":"10.1007/bf00336169","ISBN":"1432-0789","abstract":"Equipment and handling methods for the preparation of soil mesocosms were developed. The mesocosms were used to investigate the interrelationships between mesofauna and microflora in a coniferous forest soil. Soil monoliths were taken from the ground, defaunated by deep-freezing, wrapped in nets to control reimmigration of different faunal size-classes, and replanted in the field for 8 months. in a practical test the technique described here proved to be an inexpensive field method for producing a replicated series of mesocosm in a short time. Deep-freezing is appropriate for defaunating soil monoliths. The fine nets effectively exluded meso-and macrofauna. No significant differences were found in the abundance of Enchytraeids and Collembola between recolonized mesocosms and the undisturbed control at the end of the study period. In contrast, oribatid mite abundace was still greatly reduced in the recolonized esocosms. Dominance structure and species composition of the more dominant oribatid species in the different treatments were apparently similar. To compensate for the low colonization ability of oribatids, a reintroduction of selected animal size-classes to defaunated monoliths is recommended.","author":[{"dropping-particle":"","family":"Bruckner","given":"Alexander","non-dropping-particle":"","parse-names":false,"suffix":""},{"dropping-particle":"","family":"Wright","given":"John","non-dropping-particle":"","parse-names":false,"suffix":""},{"dropping-particle":"","family":"Kampichler","given":"Christian","non-dropping-particle":"","parse-names":false,"suffix":""},{"dropping-particle":"","family":"Bauer","given":"Roswitha","non-dropping-particle":"","parse-names":false,"suffix":""},{"dropping-particle":"","family":"Kandeler","given":"Ellen","non-dropping-particle":"","parse-names":false,"suffix":""}],"container-title":"Biology and Fertility of Soils","id":"ITEM-2","issue":"2","issued":{"date-parts":[["1995"]]},"page":"257-262","title":"A method of preparing mesocosms for assessing complex biotic processes in soils","type":"article-journal","volume":"19"},"uris":["http://www.mendeley.com/documents/?uuid=87230d4c-6fab-4a68-9b5d-202306dda2d9"]},{"id":"ITEM-3","itemData":{"DOI":"https://doi.org/10.1016/S1164-5563(00)00113-8","ISBN":"1164-5563","abstract":"Field mesocosms can overcome the simplicity and deficiencies of laboratory based experimental designs. This study deals with a number of possible side effects of a mesocosm technique that involves deep-freezing of soil monoliths to eliminate soil fauna, wrapping in nets of various mesh-size to control faunal immigration and replanting in the field. We used Berlese-Tullgren sets in the field to directly inoculate mesocosms with microarthropods. After 6 months of exposure, the number of collembolans equalled control level whereas immigration and inoculation of oribatids accounted for only 30% of the control. The number of ciliates, their distribution into feeding groups, and the numbers of nematodes, tardigrades and rotifers were not significantly affected by the elimination of mesofauna. We also did not detect significant treatment specific effects on microclimatic conditions within the litter layer of the mesocosms. Furthermore, we compared the monolith approach with a technique using sieved soil as a time-saving alternative. Water capacity and infiltration rate of mesocosms made of sieved soil did not differ from mesocosms made of monoliths, but NH4+ losses were significantly higher in sieved soil when defaunated by deep-freezing. We conclude that the investigated mesocosm technique has little side effects and recommend the use of monoliths in mesocosm studies. Résumé La mise en œuvre de mésocosmes au champ peut être une alternative pour pallier la simplicité et aux imperfections des expérimentations en laboratoire. Cette étude aborde les différents effets secondaires potentiellement générés par une approche en mésocosmes, impliquant successivement i) une défaunation des monolithes de sol par congélation intense, ii) leur enrobage au moyen d'une toile de vide de mailles dans le but de contrôler l'immigration de la faune, iii) leur replacement au champ. À l'aide d'appareils de Berlèse-Tullgren utilisés sur place, les mésocosmes ont été ensuite directement </w:instrText>
      </w:r>
      <w:r w:rsidR="00B91170">
        <w:rPr>
          <w:rFonts w:ascii="Cambria Math" w:hAnsi="Cambria Math" w:cs="Cambria Math"/>
          <w:color w:val="auto"/>
          <w:szCs w:val="24"/>
          <w:lang w:val="en-GB"/>
        </w:rPr>
        <w:instrText>≪</w:instrText>
      </w:r>
      <w:r w:rsidR="00B91170">
        <w:rPr>
          <w:rFonts w:cs="Times New Roman"/>
          <w:color w:val="auto"/>
          <w:szCs w:val="24"/>
          <w:lang w:val="en-GB"/>
        </w:rPr>
        <w:instrText xml:space="preserve"> inoculés </w:instrText>
      </w:r>
      <w:r w:rsidR="00B91170">
        <w:rPr>
          <w:rFonts w:ascii="Cambria Math" w:hAnsi="Cambria Math" w:cs="Cambria Math"/>
          <w:color w:val="auto"/>
          <w:szCs w:val="24"/>
          <w:lang w:val="en-GB"/>
        </w:rPr>
        <w:instrText>≫</w:instrText>
      </w:r>
      <w:r w:rsidR="00B91170">
        <w:rPr>
          <w:rFonts w:cs="Times New Roman"/>
          <w:color w:val="auto"/>
          <w:szCs w:val="24"/>
          <w:lang w:val="en-GB"/>
        </w:rPr>
        <w:instrText xml:space="preserve"> avec les micro-arthropodes extraits. Après 6 mois d'incubation, l'abondance des collemboles est similaire à celle observée initialement dans le sol témoin alors que l'abondance des oribates, par immigration et inoculation, atteint seulement 30% de l'abondance observée dans le sol témoin. L'élimination de la mésofaune n'a pas affecté le nombre de ciliés et leur distribution dans les différents groupes trophiques, ni le nombre de nématodes, de tardigrades et de rotifères. De même, nous n'avo…","author":[{"dropping-particle":"","family":"Kampichler","given":"Christian","non-dropping-particle":"","parse-names":false,"suffix":""},{"dropping-particle":"","family":"Bruckner","given":"Alexander","non-dropping-particle":"","parse-names":false,"suffix":""},{"dropping-particle":"","family":"Baumgarten","given":"Andreas","non-dropping-particle":"","parse-names":false,"suffix":""},{"dropping-particle":"","family":"Berthold","given":"Aline","non-dropping-particle":"","parse-names":false,"suffix":""},{"dropping-particle":"","family":"Zechmeister-Boltenstern","given":"Sophie","non-dropping-particle":"","parse-names":false,"suffix":""}],"container-title":"European Journal of Soil Biology","id":"ITEM-3","issue":"3","issued":{"date-parts":[["1999"]]},"page":"135-143","title":"Field mesocosms for assessing biotic processes in soils: How to avoid side effects","type":"article-journal","volume":"35"},"uris":["http://www.mendeley.com/documents/?uuid=2e3fe3d7-cb3f-45cd-9318-a44ba4ede54b"]}],"mendeley":{"formattedCitation":"(Barley, 1961; Bruckner et al., 1995; Kampichler et al., 1999)","plainTextFormattedCitation":"(Barley, 1961; Bruckner et al., 1995; Kampichler et al., 1999)","previouslyFormattedCitation":"(Barley, 1961; Bruckner et al., 1995; Kampichler et al., 1999)"},"properties":{"noteIndex":0},"schema":"https://github.com/citation-style-language/schema/raw/master/csl-citation.json"}</w:instrText>
      </w:r>
      <w:r w:rsidR="00AE1267">
        <w:rPr>
          <w:rFonts w:cs="Times New Roman"/>
          <w:color w:val="auto"/>
          <w:szCs w:val="24"/>
          <w:lang w:val="en-GB"/>
        </w:rPr>
        <w:fldChar w:fldCharType="separate"/>
      </w:r>
      <w:r w:rsidR="00AE1267" w:rsidRPr="00AE1267">
        <w:rPr>
          <w:rFonts w:cs="Times New Roman"/>
          <w:noProof/>
          <w:color w:val="auto"/>
          <w:szCs w:val="24"/>
          <w:lang w:val="en-GB"/>
        </w:rPr>
        <w:t>(Barley, 1961; Bruckner et al., 1995; Kampichler et al., 1999)</w:t>
      </w:r>
      <w:r w:rsidR="00AE1267">
        <w:rPr>
          <w:rFonts w:cs="Times New Roman"/>
          <w:color w:val="auto"/>
          <w:szCs w:val="24"/>
          <w:lang w:val="en-GB"/>
        </w:rPr>
        <w:fldChar w:fldCharType="end"/>
      </w:r>
      <w:r w:rsidR="00AE1267">
        <w:rPr>
          <w:rFonts w:cs="Times New Roman"/>
          <w:color w:val="auto"/>
          <w:szCs w:val="24"/>
          <w:lang w:val="en-GB"/>
        </w:rPr>
        <w:t>.</w:t>
      </w:r>
      <w:r w:rsidRPr="00AE1267">
        <w:rPr>
          <w:rFonts w:cs="Times New Roman"/>
          <w:noProof/>
          <w:szCs w:val="24"/>
          <w:lang w:val="en-GB"/>
        </w:rPr>
        <w:t xml:space="preserve"> </w:t>
      </w:r>
      <w:r>
        <w:rPr>
          <w:rFonts w:cs="Times New Roman"/>
          <w:noProof/>
          <w:szCs w:val="24"/>
        </w:rPr>
        <w:t xml:space="preserve">We did not compare the inverbrate populations of the monoliths other than the earthworms. Whilst it remains unlikely that these populations would respond differently between the DeF and DeF+E monoliths we can not strictly rule out such differences and consequent impacts on soil properties. Perhaps more significantly, </w:t>
      </w:r>
      <w:r>
        <w:rPr>
          <w:rFonts w:cs="Times New Roman"/>
          <w:color w:val="auto"/>
          <w:szCs w:val="24"/>
          <w:lang w:val="en-GB"/>
        </w:rPr>
        <w:t>allyl isocyanate has negative effects on at least some types of fungi (e.g.</w:t>
      </w:r>
      <w:r w:rsidR="00B91170">
        <w:rPr>
          <w:rFonts w:cs="Times New Roman"/>
          <w:color w:val="auto"/>
          <w:szCs w:val="24"/>
          <w:lang w:val="en-GB"/>
        </w:rPr>
        <w:t xml:space="preserve"> </w:t>
      </w:r>
      <w:r w:rsidR="00B91170">
        <w:rPr>
          <w:rFonts w:cs="Times New Roman"/>
          <w:noProof/>
          <w:color w:val="auto"/>
          <w:szCs w:val="24"/>
          <w:lang w:val="en-GB"/>
        </w:rPr>
        <w:t>Nazareth et al.</w:t>
      </w:r>
      <w:r>
        <w:rPr>
          <w:rFonts w:cs="Times New Roman"/>
          <w:color w:val="auto"/>
          <w:szCs w:val="24"/>
          <w:lang w:val="en-GB"/>
        </w:rPr>
        <w:t xml:space="preserve"> </w:t>
      </w:r>
      <w:r w:rsidR="00B91170">
        <w:rPr>
          <w:rFonts w:cs="Times New Roman"/>
          <w:color w:val="auto"/>
          <w:szCs w:val="24"/>
          <w:lang w:val="en-GB"/>
        </w:rPr>
        <w:fldChar w:fldCharType="begin" w:fldLock="1"/>
      </w:r>
      <w:r w:rsidR="00B91170">
        <w:rPr>
          <w:rFonts w:cs="Times New Roman"/>
          <w:color w:val="auto"/>
          <w:szCs w:val="24"/>
          <w:lang w:val="en-GB"/>
        </w:rPr>
        <w:instrText>ADDIN CSL_CITATION {"citationItems":[{"id":"ITEM-1","itemData":{"DOI":"https://doi.org/10.1016/j.foodres.2019.108786","ISBN":"0963-9969","abstract":"The goals of this study were to determine the efficacy of allyl isothiocyanate (AITC) against the growth of A. flavus and Aflatoxin B1 (AFB1) production as well as to evaluate changes in the transcriptome profile when colonizing maize. A. flavus was inoculated in potato dextrose agar (PDA), the plates were placed inside glass jars and the mycelial growth (MG) was monitored for 7 d. Likewise, maize grains were contaminated with A. flavus in glass jars of 1 L and treated with 0.125, 0.25, 0.5, 1 and 5 µL of AITC. The moisture content (MC) of grains was 15 and 21%. After 7 days of storage, the MG was significantly reduced in doses higher than 0.125 µL/L of AITC. All doses of AITC reduced significantly the fungal growth and AFB1 production in maize after 30 d, regardless of MC. The transcriptional changes caused by AITC treatment showed significant overexpression for environmental and global transcription factors. These results suggest that AITC could be used as a fumigant to avoid the growth of A. flavus and the production of AFB1, moreover, confirm transcriptional alteration of genes involved in AFB1 and other processes key for normal fungal growth and development.","author":[{"dropping-particle":"","family":"Nazareth","given":"Tiago de Melo","non-dropping-particle":"","parse-names":false,"suffix":""},{"dropping-particle":"","family":"Alonso-Garrido","given":"Manuel","non-dropping-particle":"","parse-names":false,"suffix":""},{"dropping-particle":"","family":"Stanciu","given":"Oana","non-dropping-particle":"","parse-names":false,"suffix":""},{"dropping-particle":"","family":"Mañes","given":"Jordi","non-dropping-particle":"","parse-names":false,"suffix":""},{"dropping-particle":"","family":"Manyes","given":"Lara","non-dropping-particle":"","parse-names":false,"suffix":""},{"dropping-particle":"","family":"Meca","given":"Giuseppe","non-dropping-particle":"","parse-names":false,"suffix":""}],"container-title":"Food Research International","id":"ITEM-1","issued":{"date-parts":[["2020"]]},"page":"108786","title":"Effect of allyl isothiocyanate on transcriptional profile, aflatoxin synthesis, and Aspergillus flavus growth","type":"article-journal","volume":"128"},"suppress-author":1,"uris":["http://www.mendeley.com/documents/?uuid=ad5d5a4e-3d0d-4348-904a-2cf74357f8f1"]}],"mendeley":{"formattedCitation":"(2020)","plainTextFormattedCitation":"(2020)","previouslyFormattedCitation":"(2020)"},"properties":{"noteIndex":0},"schema":"https://github.com/citation-style-language/schema/raw/master/csl-citation.json"}</w:instrText>
      </w:r>
      <w:r w:rsidR="00B91170">
        <w:rPr>
          <w:rFonts w:cs="Times New Roman"/>
          <w:color w:val="auto"/>
          <w:szCs w:val="24"/>
          <w:lang w:val="en-GB"/>
        </w:rPr>
        <w:fldChar w:fldCharType="separate"/>
      </w:r>
      <w:r w:rsidR="00B91170" w:rsidRPr="00B91170">
        <w:rPr>
          <w:rFonts w:cs="Times New Roman"/>
          <w:noProof/>
          <w:color w:val="auto"/>
          <w:szCs w:val="24"/>
          <w:lang w:val="en-GB"/>
        </w:rPr>
        <w:t>(2020)</w:t>
      </w:r>
      <w:r w:rsidR="00B91170">
        <w:rPr>
          <w:rFonts w:cs="Times New Roman"/>
          <w:color w:val="auto"/>
          <w:szCs w:val="24"/>
          <w:lang w:val="en-GB"/>
        </w:rPr>
        <w:fldChar w:fldCharType="end"/>
      </w:r>
      <w:r w:rsidR="00B91170">
        <w:rPr>
          <w:rFonts w:cs="Times New Roman"/>
          <w:color w:val="auto"/>
          <w:szCs w:val="24"/>
          <w:lang w:val="en-GB"/>
        </w:rPr>
        <w:t xml:space="preserve">; </w:t>
      </w:r>
      <w:r w:rsidR="00B91170">
        <w:rPr>
          <w:rFonts w:cs="Times New Roman"/>
          <w:noProof/>
          <w:color w:val="auto"/>
          <w:szCs w:val="24"/>
          <w:lang w:val="en-GB"/>
        </w:rPr>
        <w:t>Nazareth et al.</w:t>
      </w:r>
      <w:r w:rsidR="00B91170">
        <w:rPr>
          <w:rFonts w:cs="Times New Roman"/>
          <w:color w:val="auto"/>
          <w:szCs w:val="24"/>
          <w:lang w:val="en-GB"/>
        </w:rPr>
        <w:fldChar w:fldCharType="begin" w:fldLock="1"/>
      </w:r>
      <w:r w:rsidR="00B91170">
        <w:rPr>
          <w:rFonts w:cs="Times New Roman"/>
          <w:color w:val="auto"/>
          <w:szCs w:val="24"/>
          <w:lang w:val="en-GB"/>
        </w:rPr>
        <w:instrText>ADDIN CSL_CITATION {"citationItems":[{"id":"ITEM-1","itemData":{"DOI":"10.1002/jsfa.9061","ISBN":"0022-5142","PMID":"29652439","abstract":"BACKGROUND: Brazil produces approximately 63 million tons of corn kernels annually, which is commonly contaminated with fungi and mycotoxins. The objective of this study was to evaluate the efficacy of gaseous allyl isothiocyanate (AITC) to inhibit the growth of Aspergillus parasiticus and Fusarium verticillioides, and mycotoxin production (aflatoxins B1 , B2 , G1 and G2 , fumonisins B1 and B2 ) in corn during 180 days of storage. RESULTS: AITC at 50 microL L(-1) resulted in a significant reduction of the fungal population (P &lt; 0.05) after 180 days, decreasing 3.17 log(CFU g(-1) ) and 3.9 log(CFU g(-1) ) of A. parasiticus and F. verticillioides respectively in comparison with the control. In addition, 10 and 50 microL L(-1) treatments prevented the production of fumonisin B1 for the whole period. Aflatoxins were not detected in either control or treated groups. Residual levels of AITC in corn treated with 10 microL L(-1) and 50 microL L(-1) were detected up to 14 days and 30 days respectively. CONCLUSION: Prophylactic treatment with AITC reduced the fungal population and inhibited fumonisin B1 production in stored corn, exhibiting great potential to be applied in corn silos to prevent fungi contamination and minimize mycotoxin levels. (c) 2018 Society of Chemical Industry.","author":[{"dropping-particle":"","family":"Nazareth","given":"T M","non-dropping-particle":"","parse-names":false,"suffix":""},{"dropping-particle":"","family":"Correa","given":"J A F","non-dropping-particle":"","parse-names":false,"suffix":""},{"dropping-particle":"","family":"Pinto","given":"Acsm","non-dropping-particle":"","parse-names":false,"suffix":""},{"dropping-particle":"","family":"Palma","given":"J B","non-dropping-particle":"","parse-names":false,"suffix":""},{"dropping-particle":"","family":"Meca","given":"G","non-dropping-particle":"","parse-names":false,"suffix":""},{"dropping-particle":"","family":"Bordin","given":"K","non-dropping-particle":"","parse-names":false,"suffix":""},{"dropping-particle":"","family":"Luciano","given":"F B","non-dropping-particle":"","parse-names":false,"suffix":""}],"container-title":"J Sci Food Agric","edition":"2018/04/14","id":"ITEM-1","issue":"14","issued":{"date-parts":[["2018"]]},"language":"eng","note":"1097-0010\nNazareth, Tiago M\nCorrea, Jessica A F\nPinto, Anne C S M\nPalma, Juliano B\nMeca, Giuseppe\nORCID: http://orcid.org/0000-0001-6467-7908\nBordin, Keliani\nLuciano, Fernando B\nORCID: http://orcid.org/0000-0003-0816-2111\nBrazilian National Council of Research\n400896/2014-1/capes\n304299/2015-4/CNPq\nJournal Article\nEngland\nJ Sci Food Agric. 2018 Nov;98(14):5235-5241. doi: 10.1002/jsfa.9061. Epub 2018 Jun 9.","page":"5235-5241","title":"Evaluation of gaseous allyl isothiocyanate against the growth of mycotoxigenic fungi and mycotoxin production in corn stored for 6 months","type":"article-journal","volume":"98"},"suppress-author":1,"uris":["http://www.mendeley.com/documents/?uuid=ebaa950a-6f07-478b-8f9f-28a5030f4ae9"]}],"mendeley":{"formattedCitation":"(2018)","plainTextFormattedCitation":"(2018)","previouslyFormattedCitation":"(2018)"},"properties":{"noteIndex":0},"schema":"https://github.com/citation-style-language/schema/raw/master/csl-citation.json"}</w:instrText>
      </w:r>
      <w:r w:rsidR="00B91170">
        <w:rPr>
          <w:rFonts w:cs="Times New Roman"/>
          <w:color w:val="auto"/>
          <w:szCs w:val="24"/>
          <w:lang w:val="en-GB"/>
        </w:rPr>
        <w:fldChar w:fldCharType="separate"/>
      </w:r>
      <w:r w:rsidR="00B91170" w:rsidRPr="00B91170">
        <w:rPr>
          <w:rFonts w:cs="Times New Roman"/>
          <w:noProof/>
          <w:color w:val="auto"/>
          <w:szCs w:val="24"/>
          <w:lang w:val="en-GB"/>
        </w:rPr>
        <w:t>(2018)</w:t>
      </w:r>
      <w:r w:rsidR="00B91170">
        <w:rPr>
          <w:rFonts w:cs="Times New Roman"/>
          <w:color w:val="auto"/>
          <w:szCs w:val="24"/>
          <w:lang w:val="en-GB"/>
        </w:rPr>
        <w:fldChar w:fldCharType="end"/>
      </w:r>
      <w:r w:rsidR="00B91170">
        <w:rPr>
          <w:rFonts w:cs="Times New Roman"/>
          <w:color w:val="auto"/>
          <w:szCs w:val="24"/>
          <w:lang w:val="en-GB"/>
        </w:rPr>
        <w:t>)</w:t>
      </w:r>
      <w:r>
        <w:rPr>
          <w:rFonts w:cs="Times New Roman"/>
          <w:color w:val="auto"/>
          <w:szCs w:val="24"/>
          <w:lang w:val="en-GB"/>
        </w:rPr>
        <w:t xml:space="preserve"> but was only applied to the DeF+E monoliths. Fungi in particular play an important role in aggregate formation (e.g.</w:t>
      </w:r>
      <w:r w:rsidR="00B91170">
        <w:rPr>
          <w:rFonts w:cs="Times New Roman"/>
          <w:color w:val="auto"/>
          <w:szCs w:val="24"/>
          <w:lang w:val="en-GB"/>
        </w:rPr>
        <w:t xml:space="preserve"> </w:t>
      </w:r>
      <w:r w:rsidR="00B91170">
        <w:rPr>
          <w:rFonts w:cs="Times New Roman"/>
          <w:noProof/>
          <w:color w:val="auto"/>
          <w:szCs w:val="24"/>
          <w:lang w:val="en-GB"/>
        </w:rPr>
        <w:t xml:space="preserve">Six et al. </w:t>
      </w:r>
      <w:r w:rsidR="00B91170">
        <w:rPr>
          <w:rFonts w:cs="Times New Roman"/>
          <w:color w:val="auto"/>
          <w:szCs w:val="24"/>
          <w:lang w:val="en-GB"/>
        </w:rPr>
        <w:fldChar w:fldCharType="begin" w:fldLock="1"/>
      </w:r>
      <w:r w:rsidR="006E60D7">
        <w:rPr>
          <w:rFonts w:cs="Times New Roman"/>
          <w:color w:val="auto"/>
          <w:szCs w:val="24"/>
          <w:lang w:val="en-GB"/>
        </w:rPr>
        <w:instrText>ADDIN CSL_CITATION {"citationItems":[{"id":"ITEM-1","itemData":{"DOI":"https://doi.org/10.1016/j.still.2004.03.008","ISBN":"0167-1987","abstract":"Since the 1900s, the link between soil biotic activity, soil organic matter (SOM) decomposition and stabilization, and soil aggregate dynamics has been recognized and intensively been studied. By 1950, many studies had, mostly qualitatively, investigated the influence of the five major factors (i.e. soil fauna, microorganisms, roots, inorganics and physical processes) on this link. After 1950, four theoretical mile-stones related to this subject were realized. The first one was when Emerson [Nature 183 (1959) 538] proposed a model of a soil crumb consisting of domains of oriented clay and quartz particles. Next, Edwards and Bremner [J. Soil Sci. 18 (1967) 64] formulated a theory in which the solid-phase reaction between clay minerals, polyvalent cations and SOM is the main process leading to microaggregate formation. Based on this concept, Tisdall and Oades [J. Soil Sci. 62 (1982) 141] coined the aggregate hierarchy concept describing a spatial scale dependence of mechanisms involved in micro- and macroaggregate formation. Oades [Plant Soil 76 (1984) 319] suggested a small, but very important, modification to the aggregate hierarchy concept by theorizing the formation of microaggregates within macroaggregates. Recent research on aggregate formation and SOM stabilization extensively corroborate this modification and use it as the base for furthering the understanding of SOM dynamics. The major outcomes of adopting this modification are: (1) microaggregates, rather than macroaggregates protect SOM in the long term; and (2) macroaggregate turnover is a crucial process influencing the stabilization of SOM. Reviewing the progress made over the last 50 years in this area of research reveals that still very few studies are quantitative and/or consider interactive effects between the five factors. The quantification of these relationships is clearly needed to improve our ability to predict changes in soil ecosystems due to management and global change. This quantification can greatly benefit from viewing aggregates as dynamic rather than static entities and relating aggregate measurements with 2D and 3D quantitative spatial information.","author":[{"dropping-particle":"","family":"Six","given":"J","non-dropping-particle":"","parse-names":false,"suffix":""},{"dropping-particle":"","family":"Bossuyt","given":"H","non-dropping-particle":"","parse-names":false,"suffix":""},{"dropping-particle":"","family":"Degryze","given":"S","non-dropping-particle":"","parse-names":false,"suffix":""},{"dropping-particle":"","family":"Denef","given":"K","non-dropping-particle":"","parse-names":false,"suffix":""}],"container-title":"Soil and Tillage Research","id":"ITEM-1","issue":"1","issued":{"date-parts":[["2004"]]},"page":"7-31","title":"A history of research on the link between (micro)aggregates, soil biota, and soil organic matter dynamics","type":"article-journal","volume":"79"},"suppress-author":1,"uris":["http://www.mendeley.com/documents/?uuid=93589d84-506f-45d5-98a6-409700ac7c08"]}],"mendeley":{"formattedCitation":"(2004)","plainTextFormattedCitation":"(2004)","previouslyFormattedCitation":"(2004)"},"properties":{"noteIndex":0},"schema":"https://github.com/citation-style-language/schema/raw/master/csl-citation.json"}</w:instrText>
      </w:r>
      <w:r w:rsidR="00B91170">
        <w:rPr>
          <w:rFonts w:cs="Times New Roman"/>
          <w:color w:val="auto"/>
          <w:szCs w:val="24"/>
          <w:lang w:val="en-GB"/>
        </w:rPr>
        <w:fldChar w:fldCharType="separate"/>
      </w:r>
      <w:r w:rsidR="00B91170" w:rsidRPr="00B91170">
        <w:rPr>
          <w:rFonts w:cs="Times New Roman"/>
          <w:noProof/>
          <w:color w:val="auto"/>
          <w:szCs w:val="24"/>
          <w:lang w:val="en-GB"/>
        </w:rPr>
        <w:t>(2004)</w:t>
      </w:r>
      <w:r w:rsidR="00B91170">
        <w:rPr>
          <w:rFonts w:cs="Times New Roman"/>
          <w:color w:val="auto"/>
          <w:szCs w:val="24"/>
          <w:lang w:val="en-GB"/>
        </w:rPr>
        <w:fldChar w:fldCharType="end"/>
      </w:r>
      <w:r w:rsidR="00B91170">
        <w:rPr>
          <w:rFonts w:cs="Times New Roman"/>
          <w:color w:val="auto"/>
          <w:szCs w:val="24"/>
          <w:lang w:val="en-GB"/>
        </w:rPr>
        <w:t>)</w:t>
      </w:r>
      <w:r>
        <w:rPr>
          <w:rFonts w:cs="Times New Roman"/>
          <w:color w:val="auto"/>
          <w:szCs w:val="24"/>
          <w:lang w:val="en-GB"/>
        </w:rPr>
        <w:t xml:space="preserve">. As an assessment of microbial diversity was beyond the scope of this </w:t>
      </w:r>
      <w:proofErr w:type="gramStart"/>
      <w:r>
        <w:rPr>
          <w:rFonts w:cs="Times New Roman"/>
          <w:color w:val="auto"/>
          <w:szCs w:val="24"/>
          <w:lang w:val="en-GB"/>
        </w:rPr>
        <w:t>study</w:t>
      </w:r>
      <w:proofErr w:type="gramEnd"/>
      <w:r>
        <w:rPr>
          <w:rFonts w:cs="Times New Roman"/>
          <w:color w:val="auto"/>
          <w:szCs w:val="24"/>
          <w:lang w:val="en-GB"/>
        </w:rPr>
        <w:t xml:space="preserve"> we </w:t>
      </w:r>
      <w:proofErr w:type="spellStart"/>
      <w:r>
        <w:rPr>
          <w:rFonts w:cs="Times New Roman"/>
          <w:color w:val="auto"/>
          <w:szCs w:val="24"/>
          <w:lang w:val="en-GB"/>
        </w:rPr>
        <w:t>can not</w:t>
      </w:r>
      <w:proofErr w:type="spellEnd"/>
      <w:r>
        <w:rPr>
          <w:rFonts w:cs="Times New Roman"/>
          <w:color w:val="auto"/>
          <w:szCs w:val="24"/>
          <w:lang w:val="en-GB"/>
        </w:rPr>
        <w:t xml:space="preserve"> rule out differences between the DeF and DeF+E monolith soil properties being due, at least in part, to microbial differences rather than the direct actions of earthworms. </w:t>
      </w:r>
    </w:p>
    <w:p w14:paraId="4BD04A30" w14:textId="77777777" w:rsidR="0038409E" w:rsidRDefault="0038409E" w:rsidP="001448A4">
      <w:pPr>
        <w:spacing w:after="160" w:line="480" w:lineRule="auto"/>
        <w:jc w:val="both"/>
        <w:rPr>
          <w:rFonts w:cs="Times New Roman"/>
          <w:color w:val="auto"/>
          <w:szCs w:val="24"/>
          <w:lang w:val="en-GB"/>
        </w:rPr>
      </w:pPr>
      <w:r>
        <w:rPr>
          <w:rFonts w:cs="Times New Roman"/>
          <w:color w:val="auto"/>
          <w:szCs w:val="24"/>
          <w:lang w:val="en-GB"/>
        </w:rPr>
        <w:t xml:space="preserve">At the start of our experiment we introduced an earthworm population equivalent to that found in adjacent pasture fields. Therefore, it could be argued that the changes we saw in soil properties over c. 1 year between the DeF and DeF+E treatments would not be observed to occur so rapidly in a natural system as earthworm populations would recover more gradually. However observations in our main experiments indicate that earthworm populations recover very rapidly to pasture levels in our ley strips (within two years, </w:t>
      </w:r>
      <w:r w:rsidR="00316EC4">
        <w:rPr>
          <w:rFonts w:cs="Times New Roman"/>
          <w:color w:val="auto"/>
          <w:szCs w:val="24"/>
          <w:lang w:val="en-GB"/>
        </w:rPr>
        <w:t>unpublished</w:t>
      </w:r>
      <w:r>
        <w:rPr>
          <w:rFonts w:cs="Times New Roman"/>
          <w:color w:val="auto"/>
          <w:szCs w:val="24"/>
          <w:lang w:val="en-GB"/>
        </w:rPr>
        <w:t xml:space="preserve"> data) and our experiment does serve to isolate out the important contribution that earthworms, as opposed to changes in vegetation or land management methods, make to soil properties in ley / pasture systems. Further, the data also demonstrate the benefits that could be achieved in a short period of time if arable soils are moved to either pasture or minimum / no till cultivation and are inoculated with earthworms.</w:t>
      </w:r>
    </w:p>
    <w:p w14:paraId="10BAEAA8" w14:textId="77777777" w:rsidR="0038409E" w:rsidRDefault="0038409E" w:rsidP="001448A4">
      <w:pPr>
        <w:spacing w:after="160" w:line="480" w:lineRule="auto"/>
        <w:jc w:val="both"/>
        <w:rPr>
          <w:rFonts w:cs="Times New Roman"/>
          <w:color w:val="auto"/>
          <w:szCs w:val="24"/>
          <w:lang w:val="en-GB"/>
        </w:rPr>
      </w:pPr>
      <w:r w:rsidRPr="0042453E">
        <w:rPr>
          <w:rFonts w:cs="Times New Roman"/>
          <w:color w:val="auto"/>
          <w:szCs w:val="24"/>
          <w:lang w:val="en-GB"/>
        </w:rPr>
        <w:t>For logistic</w:t>
      </w:r>
      <w:r>
        <w:rPr>
          <w:rFonts w:cs="Times New Roman"/>
          <w:color w:val="auto"/>
          <w:szCs w:val="24"/>
          <w:lang w:val="en-GB"/>
        </w:rPr>
        <w:t>al</w:t>
      </w:r>
      <w:r w:rsidRPr="0042453E">
        <w:rPr>
          <w:rFonts w:cs="Times New Roman"/>
          <w:color w:val="auto"/>
          <w:szCs w:val="24"/>
          <w:lang w:val="en-GB"/>
        </w:rPr>
        <w:t xml:space="preserve"> reasons our experimental design was unbalanced with only one </w:t>
      </w:r>
      <w:r>
        <w:rPr>
          <w:rFonts w:cs="Times New Roman"/>
          <w:color w:val="auto"/>
          <w:szCs w:val="24"/>
          <w:lang w:val="en-GB"/>
        </w:rPr>
        <w:t xml:space="preserve">unfrozen </w:t>
      </w:r>
      <w:r w:rsidRPr="0042453E">
        <w:rPr>
          <w:rFonts w:cs="Times New Roman"/>
          <w:color w:val="auto"/>
          <w:szCs w:val="24"/>
          <w:lang w:val="en-GB"/>
        </w:rPr>
        <w:t xml:space="preserve">control </w:t>
      </w:r>
      <w:r>
        <w:rPr>
          <w:rFonts w:cs="Times New Roman"/>
          <w:color w:val="auto"/>
          <w:szCs w:val="24"/>
          <w:lang w:val="en-GB"/>
        </w:rPr>
        <w:t xml:space="preserve">monolith </w:t>
      </w:r>
      <w:r w:rsidRPr="0042453E">
        <w:rPr>
          <w:rFonts w:cs="Times New Roman"/>
          <w:color w:val="auto"/>
          <w:szCs w:val="24"/>
          <w:lang w:val="en-GB"/>
        </w:rPr>
        <w:t>used for</w:t>
      </w:r>
      <w:r>
        <w:rPr>
          <w:rFonts w:cs="Times New Roman"/>
          <w:color w:val="auto"/>
          <w:szCs w:val="24"/>
          <w:lang w:val="en-GB"/>
        </w:rPr>
        <w:t xml:space="preserve"> </w:t>
      </w:r>
      <w:r w:rsidRPr="0042453E">
        <w:rPr>
          <w:rFonts w:cs="Times New Roman"/>
          <w:color w:val="auto"/>
          <w:szCs w:val="24"/>
          <w:lang w:val="en-GB"/>
        </w:rPr>
        <w:t>each field</w:t>
      </w:r>
      <w:r w:rsidRPr="00C07E1E">
        <w:rPr>
          <w:rFonts w:cs="Times New Roman"/>
          <w:color w:val="auto"/>
          <w:szCs w:val="24"/>
          <w:lang w:val="en-GB"/>
        </w:rPr>
        <w:t xml:space="preserve">. </w:t>
      </w:r>
      <w:r>
        <w:rPr>
          <w:rFonts w:cs="Times New Roman"/>
          <w:color w:val="auto"/>
          <w:szCs w:val="24"/>
          <w:lang w:val="en-GB"/>
        </w:rPr>
        <w:t>The</w:t>
      </w:r>
      <w:r w:rsidRPr="00C07E1E">
        <w:rPr>
          <w:rFonts w:cs="Times New Roman"/>
          <w:color w:val="auto"/>
          <w:szCs w:val="24"/>
          <w:lang w:val="en-GB"/>
        </w:rPr>
        <w:t xml:space="preserve"> </w:t>
      </w:r>
      <w:r>
        <w:rPr>
          <w:rFonts w:cs="Times New Roman"/>
          <w:color w:val="auto"/>
          <w:szCs w:val="24"/>
          <w:lang w:val="en-GB"/>
        </w:rPr>
        <w:t xml:space="preserve">lack of within-field replication of these </w:t>
      </w:r>
      <w:r w:rsidRPr="00C07E1E">
        <w:rPr>
          <w:rFonts w:cs="Times New Roman"/>
          <w:color w:val="auto"/>
          <w:szCs w:val="24"/>
          <w:lang w:val="en-GB"/>
        </w:rPr>
        <w:t xml:space="preserve">controls is not a severely unbalanced design </w:t>
      </w:r>
      <w:r>
        <w:rPr>
          <w:rFonts w:cs="Times New Roman"/>
          <w:color w:val="auto"/>
          <w:szCs w:val="24"/>
          <w:lang w:val="en-GB"/>
        </w:rPr>
        <w:t>for ANOVA since the experiment is replicated across 4 fields</w:t>
      </w:r>
      <w:r w:rsidRPr="00C07E1E">
        <w:rPr>
          <w:rFonts w:cs="Times New Roman"/>
          <w:color w:val="auto"/>
          <w:szCs w:val="24"/>
          <w:lang w:val="en-GB"/>
        </w:rPr>
        <w:t xml:space="preserve">. However, one </w:t>
      </w:r>
      <w:r>
        <w:rPr>
          <w:rFonts w:cs="Times New Roman"/>
          <w:color w:val="auto"/>
          <w:szCs w:val="24"/>
          <w:lang w:val="en-GB"/>
        </w:rPr>
        <w:t>could</w:t>
      </w:r>
      <w:r w:rsidRPr="00C07E1E">
        <w:rPr>
          <w:rFonts w:cs="Times New Roman"/>
          <w:color w:val="auto"/>
          <w:szCs w:val="24"/>
          <w:lang w:val="en-GB"/>
        </w:rPr>
        <w:t xml:space="preserve"> be </w:t>
      </w:r>
      <w:r>
        <w:rPr>
          <w:rFonts w:cs="Times New Roman"/>
          <w:color w:val="auto"/>
          <w:szCs w:val="24"/>
          <w:lang w:val="en-GB"/>
        </w:rPr>
        <w:t xml:space="preserve">more </w:t>
      </w:r>
      <w:r w:rsidRPr="00C07E1E">
        <w:rPr>
          <w:rFonts w:cs="Times New Roman"/>
          <w:color w:val="auto"/>
          <w:szCs w:val="24"/>
          <w:lang w:val="en-GB"/>
        </w:rPr>
        <w:t xml:space="preserve">cautious </w:t>
      </w:r>
      <w:r>
        <w:rPr>
          <w:rFonts w:cs="Times New Roman"/>
          <w:color w:val="auto"/>
          <w:szCs w:val="24"/>
          <w:lang w:val="en-GB"/>
        </w:rPr>
        <w:t xml:space="preserve">in interpreting significant differences </w:t>
      </w:r>
      <w:r w:rsidRPr="00C07E1E">
        <w:rPr>
          <w:rFonts w:cs="Times New Roman"/>
          <w:color w:val="auto"/>
          <w:szCs w:val="24"/>
          <w:lang w:val="en-GB"/>
        </w:rPr>
        <w:t xml:space="preserve">if </w:t>
      </w:r>
      <w:r w:rsidRPr="001557CC">
        <w:rPr>
          <w:rFonts w:cs="Times New Roman"/>
          <w:i/>
          <w:iCs/>
          <w:color w:val="auto"/>
          <w:szCs w:val="24"/>
          <w:lang w:val="en-GB"/>
        </w:rPr>
        <w:t>p</w:t>
      </w:r>
      <w:r w:rsidRPr="00C07E1E">
        <w:rPr>
          <w:rFonts w:cs="Times New Roman"/>
          <w:color w:val="auto"/>
          <w:szCs w:val="24"/>
          <w:lang w:val="en-GB"/>
        </w:rPr>
        <w:t xml:space="preserve">-values are anywhere near the threshold for significance of 0.05. ANOVA analysis was performed to </w:t>
      </w:r>
      <w:r>
        <w:rPr>
          <w:rFonts w:cs="Times New Roman"/>
          <w:color w:val="auto"/>
          <w:szCs w:val="24"/>
          <w:lang w:val="en-GB"/>
        </w:rPr>
        <w:t>examine</w:t>
      </w:r>
      <w:r w:rsidRPr="00C07E1E">
        <w:rPr>
          <w:rFonts w:cs="Times New Roman"/>
          <w:color w:val="auto"/>
          <w:szCs w:val="24"/>
          <w:lang w:val="en-GB"/>
        </w:rPr>
        <w:t xml:space="preserve"> the main effects of each factor level (consistent with </w:t>
      </w:r>
      <w:r>
        <w:rPr>
          <w:rFonts w:cs="Times New Roman"/>
          <w:color w:val="auto"/>
          <w:szCs w:val="24"/>
          <w:lang w:val="en-GB"/>
        </w:rPr>
        <w:t>the experimental design of</w:t>
      </w:r>
      <w:r w:rsidRPr="00C07E1E">
        <w:rPr>
          <w:rFonts w:cs="Times New Roman"/>
          <w:color w:val="auto"/>
          <w:szCs w:val="24"/>
          <w:lang w:val="en-GB"/>
        </w:rPr>
        <w:t xml:space="preserve"> </w:t>
      </w:r>
      <w:r>
        <w:rPr>
          <w:rFonts w:cs="Times New Roman"/>
          <w:color w:val="auto"/>
          <w:szCs w:val="24"/>
          <w:lang w:val="en-GB"/>
        </w:rPr>
        <w:t>the</w:t>
      </w:r>
      <w:r w:rsidRPr="00C07E1E">
        <w:rPr>
          <w:rFonts w:cs="Times New Roman"/>
          <w:color w:val="auto"/>
          <w:szCs w:val="24"/>
          <w:lang w:val="en-GB"/>
        </w:rPr>
        <w:t xml:space="preserve"> field</w:t>
      </w:r>
      <w:r>
        <w:rPr>
          <w:rFonts w:cs="Times New Roman"/>
          <w:color w:val="auto"/>
          <w:szCs w:val="24"/>
          <w:lang w:val="en-GB"/>
        </w:rPr>
        <w:t>s</w:t>
      </w:r>
      <w:r w:rsidRPr="00C07E1E">
        <w:rPr>
          <w:rFonts w:cs="Times New Roman"/>
          <w:color w:val="auto"/>
          <w:szCs w:val="24"/>
          <w:lang w:val="en-GB"/>
        </w:rPr>
        <w:t xml:space="preserve"> being the </w:t>
      </w:r>
      <w:r>
        <w:rPr>
          <w:rFonts w:cs="Times New Roman"/>
          <w:color w:val="auto"/>
          <w:szCs w:val="24"/>
          <w:lang w:val="en-GB"/>
        </w:rPr>
        <w:t xml:space="preserve">main </w:t>
      </w:r>
      <w:r w:rsidRPr="00C07E1E">
        <w:rPr>
          <w:rFonts w:cs="Times New Roman"/>
          <w:color w:val="auto"/>
          <w:szCs w:val="24"/>
          <w:lang w:val="en-GB"/>
        </w:rPr>
        <w:t xml:space="preserve">unit of replication) but not their interactions (which consider observations per field per treatment). </w:t>
      </w:r>
      <w:r>
        <w:rPr>
          <w:rFonts w:cs="Times New Roman"/>
          <w:color w:val="auto"/>
          <w:szCs w:val="24"/>
          <w:lang w:val="en-GB"/>
        </w:rPr>
        <w:t>W</w:t>
      </w:r>
      <w:r w:rsidRPr="00C07E1E">
        <w:rPr>
          <w:rFonts w:cs="Times New Roman"/>
          <w:color w:val="auto"/>
          <w:szCs w:val="24"/>
          <w:lang w:val="en-GB"/>
        </w:rPr>
        <w:t xml:space="preserve">e repeated the ANOVA tests excluding </w:t>
      </w:r>
      <w:r>
        <w:rPr>
          <w:rFonts w:cs="Times New Roman"/>
          <w:color w:val="auto"/>
          <w:szCs w:val="24"/>
          <w:lang w:val="en-GB"/>
        </w:rPr>
        <w:t xml:space="preserve">the </w:t>
      </w:r>
      <w:r w:rsidRPr="00C07E1E">
        <w:rPr>
          <w:rFonts w:cs="Times New Roman"/>
          <w:color w:val="auto"/>
          <w:szCs w:val="24"/>
          <w:lang w:val="en-GB"/>
        </w:rPr>
        <w:t xml:space="preserve">unfrozen control monoliths and the </w:t>
      </w:r>
      <w:r>
        <w:rPr>
          <w:rFonts w:cs="Times New Roman"/>
          <w:color w:val="auto"/>
          <w:szCs w:val="24"/>
          <w:lang w:val="en-GB"/>
        </w:rPr>
        <w:t xml:space="preserve">variables with statistical differences between </w:t>
      </w:r>
      <w:r w:rsidRPr="00C07E1E">
        <w:rPr>
          <w:rFonts w:cs="Times New Roman"/>
          <w:color w:val="auto"/>
          <w:szCs w:val="24"/>
          <w:lang w:val="en-GB"/>
        </w:rPr>
        <w:t>DeF</w:t>
      </w:r>
      <w:r>
        <w:rPr>
          <w:rFonts w:cs="Times New Roman"/>
          <w:color w:val="auto"/>
          <w:szCs w:val="24"/>
          <w:lang w:val="en-GB"/>
        </w:rPr>
        <w:t xml:space="preserve"> and </w:t>
      </w:r>
      <w:r w:rsidRPr="00C07E1E">
        <w:rPr>
          <w:rFonts w:cs="Times New Roman"/>
          <w:color w:val="auto"/>
          <w:szCs w:val="24"/>
          <w:lang w:val="en-GB"/>
        </w:rPr>
        <w:t>DeF+E</w:t>
      </w:r>
      <w:r>
        <w:rPr>
          <w:rFonts w:cs="Times New Roman"/>
          <w:color w:val="auto"/>
          <w:szCs w:val="24"/>
          <w:lang w:val="en-GB"/>
        </w:rPr>
        <w:t xml:space="preserve"> treatments </w:t>
      </w:r>
      <w:r w:rsidRPr="00C07E1E">
        <w:rPr>
          <w:rFonts w:cs="Times New Roman"/>
          <w:color w:val="auto"/>
          <w:szCs w:val="24"/>
          <w:lang w:val="en-GB"/>
        </w:rPr>
        <w:t>were the same</w:t>
      </w:r>
      <w:r>
        <w:rPr>
          <w:rFonts w:cs="Times New Roman"/>
          <w:color w:val="auto"/>
          <w:szCs w:val="24"/>
          <w:lang w:val="en-GB"/>
        </w:rPr>
        <w:t xml:space="preserve">, giving confidence in our statistical analyses that included the controls. </w:t>
      </w:r>
    </w:p>
    <w:p w14:paraId="6DC8F2FD" w14:textId="77777777" w:rsidR="0038409E" w:rsidRDefault="0038409E" w:rsidP="001448A4">
      <w:pPr>
        <w:spacing w:after="120" w:line="480" w:lineRule="auto"/>
        <w:jc w:val="both"/>
        <w:rPr>
          <w:rFonts w:cs="Times New Roman"/>
          <w:szCs w:val="24"/>
        </w:rPr>
      </w:pPr>
      <w:r>
        <w:rPr>
          <w:rFonts w:cs="Times New Roman"/>
          <w:color w:val="auto"/>
          <w:szCs w:val="24"/>
          <w:lang w:val="en-GB"/>
        </w:rPr>
        <w:t>Finally, our experiment ran for only one year and we saw improvements in soil properties relative to the arable soil even in our control monoliths. It would be instructive to run earthworm exclusion experiments for longer periods of time to see whether the levels of improvements obtained in the presence of earthworms are greater than those achievable in their absence or whether the achievement of such improvements is simply accelerated.</w:t>
      </w:r>
    </w:p>
    <w:p w14:paraId="511ECA72" w14:textId="77777777" w:rsidR="0038409E" w:rsidRDefault="0038409E" w:rsidP="001448A4">
      <w:pPr>
        <w:spacing w:after="120" w:line="480" w:lineRule="auto"/>
        <w:jc w:val="both"/>
        <w:rPr>
          <w:rFonts w:cs="Times New Roman"/>
          <w:szCs w:val="24"/>
        </w:rPr>
        <w:sectPr w:rsidR="0038409E" w:rsidSect="001448A4">
          <w:pgSz w:w="12240" w:h="15840"/>
          <w:pgMar w:top="1440" w:right="1440" w:bottom="1440" w:left="1440" w:header="720" w:footer="720" w:gutter="0"/>
          <w:lnNumType w:countBy="1" w:restart="continuous"/>
          <w:cols w:space="720"/>
          <w:docGrid w:linePitch="360"/>
        </w:sectPr>
      </w:pPr>
    </w:p>
    <w:p w14:paraId="25495F0B" w14:textId="77777777" w:rsidR="0038409E" w:rsidRPr="00F73F73" w:rsidRDefault="0038409E" w:rsidP="001448A4">
      <w:pPr>
        <w:pStyle w:val="Heading2"/>
        <w:numPr>
          <w:ilvl w:val="0"/>
          <w:numId w:val="14"/>
        </w:numPr>
        <w:spacing w:before="240" w:after="200" w:line="480" w:lineRule="auto"/>
      </w:pPr>
      <w:r w:rsidRPr="00C05100">
        <w:t>Conclusion</w:t>
      </w:r>
    </w:p>
    <w:p w14:paraId="0ACFE47E" w14:textId="77777777" w:rsidR="0038409E" w:rsidRDefault="0038409E" w:rsidP="001448A4">
      <w:pPr>
        <w:spacing w:line="480" w:lineRule="auto"/>
        <w:jc w:val="both"/>
        <w:rPr>
          <w:rFonts w:cs="Times New Roman"/>
          <w:szCs w:val="24"/>
        </w:rPr>
      </w:pPr>
      <w:r>
        <w:rPr>
          <w:rFonts w:cs="Times New Roman"/>
          <w:szCs w:val="24"/>
        </w:rPr>
        <w:t xml:space="preserve">This experiment examined how the soil properties of long-term arable fields develop when converted into ley and in </w:t>
      </w:r>
      <w:r w:rsidRPr="00B43F00">
        <w:rPr>
          <w:rFonts w:cs="Times New Roman"/>
          <w:szCs w:val="24"/>
        </w:rPr>
        <w:t>response to enrichment and depletion of earthworm populations</w:t>
      </w:r>
      <w:r>
        <w:rPr>
          <w:rFonts w:cs="Times New Roman"/>
          <w:szCs w:val="24"/>
        </w:rPr>
        <w:t>. Within one-year, t</w:t>
      </w:r>
      <w:r w:rsidRPr="00E72E63">
        <w:rPr>
          <w:rFonts w:cs="Times New Roman"/>
          <w:szCs w:val="24"/>
        </w:rPr>
        <w:t xml:space="preserve">he conversion </w:t>
      </w:r>
      <w:r>
        <w:rPr>
          <w:rFonts w:cs="Times New Roman"/>
          <w:szCs w:val="24"/>
        </w:rPr>
        <w:t xml:space="preserve">led to significant </w:t>
      </w:r>
      <w:r w:rsidRPr="001029EC">
        <w:rPr>
          <w:rFonts w:cs="Times New Roman"/>
          <w:szCs w:val="24"/>
        </w:rPr>
        <w:t>improvements in soil qualities and functions that are widely degraded by intensive cultivation</w:t>
      </w:r>
      <w:r>
        <w:rPr>
          <w:rFonts w:cs="Times New Roman"/>
          <w:szCs w:val="24"/>
        </w:rPr>
        <w:t>,</w:t>
      </w:r>
      <w:r w:rsidRPr="001029EC">
        <w:rPr>
          <w:rFonts w:cs="Times New Roman"/>
          <w:szCs w:val="24"/>
        </w:rPr>
        <w:t xml:space="preserve"> </w:t>
      </w:r>
      <w:r>
        <w:rPr>
          <w:rFonts w:cs="Times New Roman"/>
          <w:szCs w:val="24"/>
        </w:rPr>
        <w:t xml:space="preserve">including </w:t>
      </w:r>
      <w:r w:rsidRPr="001029EC">
        <w:rPr>
          <w:rFonts w:cs="Times New Roman"/>
          <w:szCs w:val="24"/>
        </w:rPr>
        <w:t>reducing compaction (</w:t>
      </w:r>
      <w:r>
        <w:rPr>
          <w:rFonts w:cs="Times New Roman"/>
          <w:szCs w:val="24"/>
        </w:rPr>
        <w:t>6% decrease</w:t>
      </w:r>
      <w:r w:rsidRPr="001029EC">
        <w:rPr>
          <w:rFonts w:cs="Times New Roman"/>
          <w:szCs w:val="24"/>
        </w:rPr>
        <w:t xml:space="preserve"> </w:t>
      </w:r>
      <w:r>
        <w:rPr>
          <w:rFonts w:cs="Times New Roman"/>
          <w:szCs w:val="24"/>
        </w:rPr>
        <w:t xml:space="preserve">in </w:t>
      </w:r>
      <w:r w:rsidRPr="001029EC">
        <w:rPr>
          <w:rFonts w:cs="Times New Roman"/>
          <w:szCs w:val="24"/>
        </w:rPr>
        <w:t>bulk density)</w:t>
      </w:r>
      <w:r>
        <w:rPr>
          <w:rFonts w:cs="Times New Roman"/>
          <w:szCs w:val="24"/>
        </w:rPr>
        <w:t xml:space="preserve"> and </w:t>
      </w:r>
      <w:r w:rsidRPr="00B60992">
        <w:rPr>
          <w:rFonts w:cs="Times New Roman"/>
          <w:szCs w:val="24"/>
        </w:rPr>
        <w:t xml:space="preserve">increasing soil organic </w:t>
      </w:r>
      <w:r>
        <w:rPr>
          <w:rFonts w:cs="Times New Roman"/>
          <w:szCs w:val="24"/>
        </w:rPr>
        <w:t>matter</w:t>
      </w:r>
      <w:r w:rsidRPr="00B60992">
        <w:rPr>
          <w:rFonts w:cs="Times New Roman"/>
          <w:szCs w:val="24"/>
        </w:rPr>
        <w:t xml:space="preserve"> </w:t>
      </w:r>
      <w:r w:rsidRPr="00AB4CBE">
        <w:rPr>
          <w:rFonts w:cs="Times New Roman"/>
          <w:szCs w:val="24"/>
        </w:rPr>
        <w:t>(by 29%)</w:t>
      </w:r>
      <w:r>
        <w:rPr>
          <w:rFonts w:cs="Times New Roman"/>
          <w:szCs w:val="24"/>
        </w:rPr>
        <w:t xml:space="preserve">. </w:t>
      </w:r>
      <w:r w:rsidRPr="00B60992">
        <w:rPr>
          <w:rFonts w:cs="Times New Roman"/>
          <w:szCs w:val="24"/>
        </w:rPr>
        <w:t xml:space="preserve">The effects of soil freezing and earthworm enrichment compared to freezing without enrichment, demonstrated significant beneficial effects of earthworms in respect of WHC (9% increase), </w:t>
      </w:r>
      <w:r>
        <w:rPr>
          <w:rFonts w:cs="Times New Roman"/>
          <w:szCs w:val="24"/>
        </w:rPr>
        <w:t xml:space="preserve">PAW (21% increase), </w:t>
      </w:r>
      <w:r w:rsidRPr="00B60992">
        <w:rPr>
          <w:rFonts w:cs="Times New Roman"/>
          <w:szCs w:val="24"/>
        </w:rPr>
        <w:t xml:space="preserve">soil organic </w:t>
      </w:r>
      <w:r>
        <w:rPr>
          <w:rFonts w:cs="Times New Roman"/>
          <w:szCs w:val="24"/>
        </w:rPr>
        <w:t>matter</w:t>
      </w:r>
      <w:r w:rsidRPr="00B60992">
        <w:rPr>
          <w:rFonts w:cs="Times New Roman"/>
          <w:szCs w:val="24"/>
        </w:rPr>
        <w:t xml:space="preserve"> (9% increase)</w:t>
      </w:r>
      <w:r>
        <w:rPr>
          <w:rFonts w:cs="Times New Roman"/>
          <w:szCs w:val="24"/>
        </w:rPr>
        <w:t>,</w:t>
      </w:r>
      <w:r w:rsidRPr="00B60992">
        <w:rPr>
          <w:rFonts w:cs="Times New Roman"/>
          <w:szCs w:val="24"/>
        </w:rPr>
        <w:t xml:space="preserve"> %WSA </w:t>
      </w:r>
      <w:r>
        <w:rPr>
          <w:rFonts w:cs="Times New Roman"/>
          <w:szCs w:val="24"/>
        </w:rPr>
        <w:t xml:space="preserve">&gt; </w:t>
      </w:r>
      <w:r w:rsidRPr="000730E5">
        <w:rPr>
          <w:rFonts w:cs="Times New Roman"/>
          <w:szCs w:val="24"/>
        </w:rPr>
        <w:t>250 µm</w:t>
      </w:r>
      <w:r w:rsidRPr="00B60992">
        <w:rPr>
          <w:rFonts w:cs="Times New Roman"/>
          <w:szCs w:val="24"/>
        </w:rPr>
        <w:t xml:space="preserve"> </w:t>
      </w:r>
      <w:r>
        <w:rPr>
          <w:rFonts w:cs="Times New Roman"/>
          <w:szCs w:val="24"/>
        </w:rPr>
        <w:t>(</w:t>
      </w:r>
      <w:r w:rsidRPr="00AB4CBE">
        <w:rPr>
          <w:rFonts w:cs="Times New Roman"/>
          <w:szCs w:val="24"/>
          <w:lang w:val="en-GB"/>
        </w:rPr>
        <w:t>by 15%)</w:t>
      </w:r>
      <w:r>
        <w:rPr>
          <w:rFonts w:cs="Times New Roman"/>
          <w:szCs w:val="24"/>
          <w:lang w:val="en-GB"/>
        </w:rPr>
        <w:t>,</w:t>
      </w:r>
      <w:r w:rsidRPr="00AB4CBE">
        <w:rPr>
          <w:rFonts w:cs="Times New Roman"/>
          <w:szCs w:val="24"/>
          <w:lang w:val="en-GB"/>
        </w:rPr>
        <w:t xml:space="preserve"> and total N (by 3.5%)</w:t>
      </w:r>
      <w:r>
        <w:rPr>
          <w:rFonts w:cs="Times New Roman"/>
          <w:szCs w:val="24"/>
        </w:rPr>
        <w:t>,</w:t>
      </w:r>
      <w:r w:rsidRPr="00B60992">
        <w:rPr>
          <w:rFonts w:cs="Times New Roman"/>
          <w:szCs w:val="24"/>
        </w:rPr>
        <w:t xml:space="preserve"> but</w:t>
      </w:r>
      <w:r>
        <w:rPr>
          <w:rFonts w:cs="Times New Roman"/>
          <w:szCs w:val="24"/>
        </w:rPr>
        <w:t xml:space="preserve"> </w:t>
      </w:r>
      <w:r w:rsidRPr="00B60992">
        <w:rPr>
          <w:rFonts w:cs="Times New Roman"/>
          <w:szCs w:val="24"/>
        </w:rPr>
        <w:t>no significant effects on bulk density, even though the leys reduced BD.</w:t>
      </w:r>
      <w:r>
        <w:rPr>
          <w:rFonts w:cs="Times New Roman"/>
          <w:szCs w:val="24"/>
        </w:rPr>
        <w:t xml:space="preserve"> </w:t>
      </w:r>
      <w:r w:rsidRPr="008B184B">
        <w:rPr>
          <w:rFonts w:cs="Times New Roman"/>
          <w:szCs w:val="24"/>
        </w:rPr>
        <w:t>Overall, our study indicates that increases in earthworm populations previously seen in arable land converted to grassland</w:t>
      </w:r>
      <w:r w:rsidR="006E60D7">
        <w:rPr>
          <w:rFonts w:cs="Times New Roman"/>
          <w:szCs w:val="24"/>
        </w:rPr>
        <w:t xml:space="preserve"> </w:t>
      </w:r>
      <w:r w:rsidR="006E60D7">
        <w:rPr>
          <w:rFonts w:cs="Times New Roman"/>
          <w:szCs w:val="24"/>
        </w:rPr>
        <w:fldChar w:fldCharType="begin" w:fldLock="1"/>
      </w:r>
      <w:r w:rsidR="006E60D7">
        <w:rPr>
          <w:rFonts w:cs="Times New Roman"/>
          <w:szCs w:val="24"/>
        </w:rPr>
        <w:instrText>ADDIN CSL_CITATION {"citationItems":[{"id":"ITEM-1","itemData":{"DOI":"https://doi.org/10.1016/j.agee.2013.02.011","ISBN":"0167-8809","abstract":"The maintenance of uncultivated field margins and the creation of new field margin strips are standard agri-environmental measures aimed at enhancing above-ground biodiversity, but their effects on below-ground biodiversity (in margins and also in-field) are insufficiently known. This study compared earthworm communities in permanent (grassy) margins, newly created field margin strips (unsown) and in-field in five arable fields in Ireland over a 3-year period. Permanent field margins initially supported highest earthworm abundance, biomass and species richness compared to the newly created margin strips and in-field at three conventional and two minimum (conservation) tillage sites. However, after three years, mean earthworm populations in the newly created margin strips (371±181individualsm−2 and 91.9±41.7gbiomassm−2) approached those observed in the permanent margins (470±47individualsm−2 and 126.5±14.7gbiomassm−2) in the three conventional tillage field sites. By contrast, overall mean population sizes inside conventionally tilled fields were 155±46individualsm−2 and 38.3±12.5gbiomassm−2. Similar trends were observed at the two minimum tillage sites. Permanent field margins supported somewhat larger mean species numbers compared to in-field at conventional and minimum tillage field sites, but most species still occurred, at significantly lower abundances, inside fields. Spatially defined transect sampling (at 1, 3, 10 and 50m in-field) at all study sites did not provide evidence for increased populations nearer to the margins or margin strips, even under reduced cultivation. It is concluded that permanent and newly created margin strips in arable systems support larger earthworm populations than are found in-field, but field margins did not appear to enhance in-field populations through colonisation or spill-over effects documented for more mobile, above-ground invertebrate taxa.","author":[{"dropping-particle":"","family":"Roarty","given":"Shaun","non-dropping-particle":"","parse-names":false,"suffix":""},{"dropping-particle":"","family":"Schmidt","given":"Olaf","non-dropping-particle":"","parse-names":false,"suffix":""}],"container-title":"Agriculture, Ecosystems &amp; Environment","id":"ITEM-1","issued":{"date-parts":[["2013"]]},"page":"45-55","title":"Permanent and new arable field margins support large earthworm communities but do not increase in-field populations","type":"article-journal","volume":"170"},"uris":["http://www.mendeley.com/documents/?uuid=0b9f9265-aa4b-4df7-a7c4-1f81bd3766be"]}],"mendeley":{"formattedCitation":"(Roarty and Schmidt, 2013)","plainTextFormattedCitation":"(Roarty and Schmidt, 2013)","previouslyFormattedCitation":"(Roarty and Schmidt, 2013)"},"properties":{"noteIndex":0},"schema":"https://github.com/citation-style-language/schema/raw/master/csl-citation.json"}</w:instrText>
      </w:r>
      <w:r w:rsidR="006E60D7">
        <w:rPr>
          <w:rFonts w:cs="Times New Roman"/>
          <w:szCs w:val="24"/>
        </w:rPr>
        <w:fldChar w:fldCharType="separate"/>
      </w:r>
      <w:r w:rsidR="006E60D7" w:rsidRPr="006E60D7">
        <w:rPr>
          <w:rFonts w:cs="Times New Roman"/>
          <w:noProof/>
          <w:szCs w:val="24"/>
        </w:rPr>
        <w:t>(Roarty and Schmidt, 2013)</w:t>
      </w:r>
      <w:r w:rsidR="006E60D7">
        <w:rPr>
          <w:rFonts w:cs="Times New Roman"/>
          <w:szCs w:val="24"/>
        </w:rPr>
        <w:fldChar w:fldCharType="end"/>
      </w:r>
      <w:r w:rsidR="006E60D7">
        <w:rPr>
          <w:rFonts w:cs="Times New Roman"/>
          <w:szCs w:val="24"/>
        </w:rPr>
        <w:t xml:space="preserve"> </w:t>
      </w:r>
      <w:r w:rsidRPr="008B184B">
        <w:rPr>
          <w:rFonts w:cs="Times New Roman"/>
          <w:szCs w:val="24"/>
        </w:rPr>
        <w:t>and in arable rotations that include leys, will make important contributions to the improvements in soil qualities and functions seen in leys</w:t>
      </w:r>
      <w:r>
        <w:rPr>
          <w:rFonts w:cs="Times New Roman"/>
          <w:szCs w:val="24"/>
        </w:rPr>
        <w:t>. We found</w:t>
      </w:r>
      <w:r w:rsidRPr="008B184B">
        <w:rPr>
          <w:rFonts w:cs="Times New Roman"/>
          <w:szCs w:val="24"/>
        </w:rPr>
        <w:t xml:space="preserve"> organic carbon sequestration</w:t>
      </w:r>
      <w:r>
        <w:rPr>
          <w:rFonts w:cs="Times New Roman"/>
          <w:szCs w:val="24"/>
        </w:rPr>
        <w:t xml:space="preserve">, </w:t>
      </w:r>
      <w:r w:rsidRPr="008B184B">
        <w:rPr>
          <w:rFonts w:cs="Times New Roman"/>
          <w:szCs w:val="24"/>
        </w:rPr>
        <w:t>improved soil structure</w:t>
      </w:r>
      <w:r w:rsidR="006E60D7">
        <w:rPr>
          <w:rFonts w:cs="Times New Roman"/>
          <w:szCs w:val="24"/>
        </w:rPr>
        <w:t xml:space="preserve"> </w:t>
      </w:r>
      <w:r w:rsidR="006E60D7">
        <w:rPr>
          <w:rFonts w:cs="Times New Roman"/>
          <w:szCs w:val="24"/>
        </w:rPr>
        <w:fldChar w:fldCharType="begin" w:fldLock="1"/>
      </w:r>
      <w:r w:rsidR="00B13605">
        <w:rPr>
          <w:rFonts w:cs="Times New Roman"/>
          <w:szCs w:val="24"/>
        </w:rPr>
        <w:instrText>ADDIN CSL_CITATION {"citationItems":[{"id":"ITEM-1","itemData":{"DOI":"https://doi.org/10.1016/j.agee.2017.06.042","ISBN":"0167-8809","author":[{"dropping-particle":"","family":"Jarvis","given":"Nicholas","non-dropping-particle":"","parse-names":false,"suffix":""},{"dropping-particle":"","family":"Forkman","given":"Johannes","non-dropping-particle":"","parse-names":false,"suffix":""},{"dropping-particle":"","family":"Koestel","given":"John","non-dropping-particle":"","parse-names":false,"suffix":""},{"dropping-particle":"","family":"Kätterer","given":"Thomas","non-dropping-particle":"","parse-names":false,"suffix":""},{"dropping-particle":"","family":"Larsbo","given":"Mats","non-dropping-particle":"","parse-names":false,"suffix":""},{"dropping-particle":"","family":"Taylor","given":"Astrid","non-dropping-particle":"","parse-names":false,"suffix":""}],"container-title":"Agriculture, Ecosystems &amp; Environment","id":"ITEM-1","issued":{"date-parts":[["2017"]]},"page":"319-328","title":"Long-term effects of grass-clover leys on the structure of a silt loam soil in a cold climate","type":"article-journal","volume":"247"},"uris":["http://www.mendeley.com/documents/?uuid=05c622bc-58a0-4a35-ba53-216c0f9a3a19"]},{"id":"ITEM-2","itemData":{"DOI":"10.1111/ejss.12415","ISBN":"1351-0754","abstract":"The sequestration in soil of organic carbon (SOC) derived from atmospheric carbon dioxide (CO2) by replacing arable crops with leys, has been measured over 70 years on a sandy loam soil. The experiment was designed initially to test the effect of leys on the yields of arable crops. A 3-year grazed grass with clover (grass + clover) ley in a 5-year rotation with arable crops increased percentage organic carbon (%OC) in the top 25 cm of the soil from 0.98 to 1.23 in 28 years, but with little further increase during the next 40 years with all-grass leys given fertilizer nitrogen (N). In this second period, OC inputs were balanced by losses, suggesting that about 1.3% OC might be near the equilibrium content for this rotation. Including 3-year lucerne (Medicago sativa) leys had little effect on %OC over 28 years, but after changing to grass + clover leys, %OC increased to 1.24 during the next 40 years. Eight-year leys (all grass with N or grass + clover) in 10-year rotations with arable crops were started in the 1970s, and after three rotations %OC had increased to ca. 1.40 in 2000–2009. Over 70 years, %OC declined from 0.98 to 0.94 in an all-arable rotation with mainly cereals and to 0.82 with more root crops. Applications of 38 t ha−1 farmyard manure (FYM) every fifth year increased %OC by 0.13% by the mid-1960s when applications ceased. Soil treated with FYM still contained 0.10% more OC in 2000–2009. Changes in the amount of OC have been modelled with RothC-26.3 and estimated inputs of C for selected rotations. Little of the OC input during the 70 years has been retained; most was retained in the grazed ley rotation, but 9 t ha−1 only of a total input of 189 t ha−1. In other rotations more than 98% of the total OC input was lost. Despite large losses of C, annual increases in OC of 4‰ are possible on this soil type with the inclusion of grass or grass + clover leys or the application of FYM, but only for a limited period. Such increases in SOC might help to limit increases in atmospheric CO2. Highlights Can leys sequester significant amounts of atmospheric CO2 in SOM and contribute to the 4‰ initiative? Changes in the percentage and amount of OC were measured and modelled over 70 years and OC losses estimated. Three-year grass or grass + clover leys increased %OC, but only to an equilibrium level that was then maintained. Despite large losses, sequestering CO2-C at 4‰ year−1 by growing grass or grass + clover leys is possible.","author":[{"dropping-particle":"","family":"Johnston","given":"A E","non-dropping-particle":"","parse-names":false,"suffix":""},{"dropping-particle":"","family":"Poulton","given":"P R","non-dropping-particle":"","parse-names":false,"suffix":""},{"dropping-particle":"","family":"Coleman","given":"K","non-dropping-particle":"","parse-names":false,"suffix":""},{"dropping-particle":"","family":"Macdonald","given":"A J","non-dropping-particle":"","parse-names":false,"suffix":""},{"dropping-particle":"","family":"White","given":"R P","non-dropping-particle":"","parse-names":false,"suffix":""}],"container-title":"European Journal of Soil Science","id":"ITEM-2","issue":"3","issued":{"date-parts":[["2017"]]},"page":"305-316","title":"Changes in soil organic matter over 70 years in continuous arable and ley–arable rotations on a sandy loam soil in England","type":"article-journal","volume":"68"},"uris":["http://www.mendeley.com/documents/?uuid=43637074-fc89-4a4d-a0f1-c8294ac47114"]}],"mendeley":{"formattedCitation":"(Jarvis et al., 2017; Johnston et al., 2017)","plainTextFormattedCitation":"(Jarvis et al., 2017; Johnston et al., 2017)","previouslyFormattedCitation":"(Jarvis et al., 2017; Johnston et al., 2017)"},"properties":{"noteIndex":0},"schema":"https://github.com/citation-style-language/schema/raw/master/csl-citation.json"}</w:instrText>
      </w:r>
      <w:r w:rsidR="006E60D7">
        <w:rPr>
          <w:rFonts w:cs="Times New Roman"/>
          <w:szCs w:val="24"/>
        </w:rPr>
        <w:fldChar w:fldCharType="separate"/>
      </w:r>
      <w:r w:rsidR="006E60D7" w:rsidRPr="006E60D7">
        <w:rPr>
          <w:rFonts w:cs="Times New Roman"/>
          <w:noProof/>
          <w:szCs w:val="24"/>
        </w:rPr>
        <w:t>(Jarvis et al., 2017; Johnston et al., 2017)</w:t>
      </w:r>
      <w:r w:rsidR="006E60D7">
        <w:rPr>
          <w:rFonts w:cs="Times New Roman"/>
          <w:szCs w:val="24"/>
        </w:rPr>
        <w:fldChar w:fldCharType="end"/>
      </w:r>
      <w:r w:rsidR="006E60D7">
        <w:rPr>
          <w:rFonts w:cs="Times New Roman"/>
          <w:szCs w:val="24"/>
        </w:rPr>
        <w:t xml:space="preserve"> </w:t>
      </w:r>
      <w:r w:rsidRPr="008B184B">
        <w:rPr>
          <w:rFonts w:cs="Times New Roman"/>
          <w:szCs w:val="24"/>
        </w:rPr>
        <w:t>improved herbage (58% increase) and wheat growth (20% increase)</w:t>
      </w:r>
      <w:r>
        <w:rPr>
          <w:rFonts w:cs="Times New Roman"/>
          <w:szCs w:val="24"/>
        </w:rPr>
        <w:t xml:space="preserve"> all attributable to earthworms</w:t>
      </w:r>
      <w:r w:rsidRPr="008B184B">
        <w:rPr>
          <w:rFonts w:cs="Times New Roman"/>
          <w:szCs w:val="24"/>
        </w:rPr>
        <w:t xml:space="preserve">. </w:t>
      </w:r>
    </w:p>
    <w:p w14:paraId="647D71CA" w14:textId="77777777" w:rsidR="0038409E" w:rsidRDefault="0038409E" w:rsidP="001448A4">
      <w:pPr>
        <w:spacing w:line="480" w:lineRule="auto"/>
        <w:jc w:val="both"/>
        <w:rPr>
          <w:rFonts w:cs="Times New Roman"/>
          <w:szCs w:val="24"/>
        </w:rPr>
      </w:pPr>
      <w:r>
        <w:rPr>
          <w:rFonts w:cs="Times New Roman"/>
          <w:szCs w:val="24"/>
        </w:rPr>
        <w:t xml:space="preserve">Although earthworms increased </w:t>
      </w:r>
      <w:r w:rsidRPr="00FD1257">
        <w:rPr>
          <w:rFonts w:cs="Times New Roman"/>
          <w:i/>
          <w:szCs w:val="24"/>
        </w:rPr>
        <w:t>K</w:t>
      </w:r>
      <w:r w:rsidRPr="002F317F">
        <w:rPr>
          <w:rFonts w:cs="Times New Roman"/>
          <w:szCs w:val="24"/>
        </w:rPr>
        <w:t xml:space="preserve"> </w:t>
      </w:r>
      <w:r>
        <w:rPr>
          <w:rFonts w:cs="Times New Roman"/>
          <w:szCs w:val="24"/>
        </w:rPr>
        <w:t xml:space="preserve">(47% increase in </w:t>
      </w:r>
      <w:r w:rsidRPr="000E5AA4">
        <w:rPr>
          <w:rFonts w:cs="Times New Roman"/>
          <w:i/>
          <w:szCs w:val="24"/>
        </w:rPr>
        <w:t>K</w:t>
      </w:r>
      <w:r w:rsidRPr="000E5AA4">
        <w:rPr>
          <w:rFonts w:cs="Times New Roman"/>
          <w:i/>
          <w:szCs w:val="24"/>
          <w:vertAlign w:val="subscript"/>
        </w:rPr>
        <w:t>0.5</w:t>
      </w:r>
      <w:r>
        <w:rPr>
          <w:rFonts w:cs="Times New Roman"/>
          <w:szCs w:val="24"/>
        </w:rPr>
        <w:t xml:space="preserve">), their impact changed in magnitude through the seasons. This suggests that when modelling the impact of earthworms on water drainage, for example </w:t>
      </w:r>
      <w:r w:rsidRPr="00617516">
        <w:rPr>
          <w:rFonts w:cs="Times New Roman"/>
          <w:szCs w:val="24"/>
        </w:rPr>
        <w:t>for</w:t>
      </w:r>
      <w:r>
        <w:rPr>
          <w:rFonts w:cs="Times New Roman"/>
          <w:szCs w:val="24"/>
        </w:rPr>
        <w:t xml:space="preserve"> flood runoff</w:t>
      </w:r>
      <w:r w:rsidRPr="00617516">
        <w:rPr>
          <w:rFonts w:cs="Times New Roman"/>
          <w:szCs w:val="24"/>
        </w:rPr>
        <w:t xml:space="preserve"> modelling</w:t>
      </w:r>
      <w:r>
        <w:rPr>
          <w:rFonts w:cs="Times New Roman"/>
          <w:szCs w:val="24"/>
        </w:rPr>
        <w:t xml:space="preserve">, large estimation errors could occur if the wrong hydraulic conductivity values are used for the wrong season. Seasonal weather conditions influence soil properties and biological activity which in turn impact </w:t>
      </w:r>
      <w:r w:rsidRPr="00FD1257">
        <w:rPr>
          <w:rFonts w:cs="Times New Roman"/>
          <w:i/>
          <w:szCs w:val="24"/>
        </w:rPr>
        <w:t>K</w:t>
      </w:r>
      <w:r>
        <w:rPr>
          <w:rFonts w:cs="Times New Roman"/>
          <w:szCs w:val="24"/>
        </w:rPr>
        <w:t xml:space="preserve">, but the presence of earthworms </w:t>
      </w:r>
      <w:r w:rsidRPr="0071109D">
        <w:rPr>
          <w:rFonts w:cs="Times New Roman"/>
          <w:szCs w:val="24"/>
        </w:rPr>
        <w:t>led to an increase in hydraulic conductivity</w:t>
      </w:r>
      <w:r>
        <w:rPr>
          <w:rFonts w:cs="Times New Roman"/>
          <w:szCs w:val="24"/>
        </w:rPr>
        <w:t>. Given the effect of earthworms, there is a need to better understand whether those effects are only temporary and how they change in the long term. The changed soil proprieties of a converted ley due to the presence of earthworms may be more resilient than the smaller improvements that occur in their absence when exposed to extreme drought or flooding events.</w:t>
      </w:r>
    </w:p>
    <w:p w14:paraId="3B833F2E" w14:textId="77777777" w:rsidR="0038409E" w:rsidRPr="00873BFA" w:rsidRDefault="0038409E" w:rsidP="001448A4">
      <w:pPr>
        <w:pStyle w:val="Heading2"/>
        <w:spacing w:before="240" w:after="200" w:line="480" w:lineRule="auto"/>
        <w:rPr>
          <w:b w:val="0"/>
          <w:szCs w:val="24"/>
        </w:rPr>
      </w:pPr>
      <w:r w:rsidRPr="00BB2655">
        <w:t>Acknowledgements</w:t>
      </w:r>
    </w:p>
    <w:p w14:paraId="351B97A9" w14:textId="77777777" w:rsidR="0038409E" w:rsidRPr="00F104CB" w:rsidRDefault="0038409E" w:rsidP="001448A4">
      <w:pPr>
        <w:spacing w:line="480" w:lineRule="auto"/>
        <w:jc w:val="both"/>
        <w:rPr>
          <w:rFonts w:cs="Times New Roman"/>
          <w:szCs w:val="24"/>
        </w:rPr>
      </w:pPr>
      <w:bookmarkStart w:id="36" w:name="_Hlk526681484"/>
      <w:r w:rsidRPr="00A94B40">
        <w:rPr>
          <w:szCs w:val="24"/>
        </w:rPr>
        <w:t xml:space="preserve">This study </w:t>
      </w:r>
      <w:r>
        <w:rPr>
          <w:szCs w:val="24"/>
        </w:rPr>
        <w:t>wa</w:t>
      </w:r>
      <w:r w:rsidRPr="00A94B40">
        <w:rPr>
          <w:szCs w:val="24"/>
        </w:rPr>
        <w:t xml:space="preserve">s </w:t>
      </w:r>
      <w:r w:rsidRPr="00597984">
        <w:rPr>
          <w:rFonts w:cs="Times New Roman"/>
          <w:szCs w:val="24"/>
        </w:rPr>
        <w:t xml:space="preserve">part of the NERC Soil Security </w:t>
      </w:r>
      <w:proofErr w:type="spellStart"/>
      <w:r w:rsidRPr="00597984">
        <w:rPr>
          <w:rFonts w:cs="Times New Roman"/>
          <w:szCs w:val="24"/>
        </w:rPr>
        <w:t>Programme</w:t>
      </w:r>
      <w:proofErr w:type="spellEnd"/>
      <w:r w:rsidRPr="00597984">
        <w:rPr>
          <w:rFonts w:cs="Times New Roman"/>
          <w:szCs w:val="24"/>
        </w:rPr>
        <w:t xml:space="preserve"> funded project SoilBioHedge (</w:t>
      </w:r>
      <w:r w:rsidRPr="00D15672">
        <w:rPr>
          <w:rFonts w:cs="Times New Roman"/>
        </w:rPr>
        <w:t>NE/M017044/1, NE/M017095/1) carried out by the White Rose Sustainable Agriculture consortium</w:t>
      </w:r>
      <w:r>
        <w:rPr>
          <w:rFonts w:cs="Times New Roman"/>
        </w:rPr>
        <w:t>.</w:t>
      </w:r>
      <w:r w:rsidRPr="00D15672">
        <w:rPr>
          <w:rFonts w:cs="Times New Roman"/>
        </w:rPr>
        <w:t xml:space="preserve"> Jamal Hallam’s PhD was funded </w:t>
      </w:r>
      <w:r w:rsidRPr="00597984">
        <w:rPr>
          <w:rFonts w:cs="Times New Roman"/>
          <w:szCs w:val="24"/>
        </w:rPr>
        <w:t>by the Islamic Development Bank and National Institute of Agricultural Research of</w:t>
      </w:r>
      <w:r w:rsidRPr="00A94B40">
        <w:rPr>
          <w:szCs w:val="24"/>
        </w:rPr>
        <w:t xml:space="preserve"> Morocco. We gratefully acknowledge Tamsyn Kiss, Kirsty Elliott</w:t>
      </w:r>
      <w:r>
        <w:rPr>
          <w:szCs w:val="24"/>
        </w:rPr>
        <w:t xml:space="preserve">, </w:t>
      </w:r>
      <w:r w:rsidRPr="0086469F">
        <w:rPr>
          <w:szCs w:val="24"/>
        </w:rPr>
        <w:t xml:space="preserve">Susannah Bird </w:t>
      </w:r>
      <w:r>
        <w:rPr>
          <w:szCs w:val="24"/>
        </w:rPr>
        <w:t xml:space="preserve">and </w:t>
      </w:r>
      <w:r w:rsidRPr="0086469F">
        <w:rPr>
          <w:szCs w:val="24"/>
        </w:rPr>
        <w:t xml:space="preserve">Philip </w:t>
      </w:r>
      <w:proofErr w:type="spellStart"/>
      <w:r w:rsidRPr="0086469F">
        <w:rPr>
          <w:szCs w:val="24"/>
        </w:rPr>
        <w:t>Brailey</w:t>
      </w:r>
      <w:proofErr w:type="spellEnd"/>
      <w:r>
        <w:rPr>
          <w:szCs w:val="24"/>
        </w:rPr>
        <w:t xml:space="preserve"> </w:t>
      </w:r>
      <w:r w:rsidRPr="00A94B40">
        <w:rPr>
          <w:szCs w:val="24"/>
        </w:rPr>
        <w:t xml:space="preserve">for their help with field work. </w:t>
      </w:r>
      <w:r>
        <w:rPr>
          <w:szCs w:val="24"/>
        </w:rPr>
        <w:t>We</w:t>
      </w:r>
      <w:r w:rsidRPr="00A94B40">
        <w:rPr>
          <w:szCs w:val="24"/>
        </w:rPr>
        <w:t xml:space="preserve"> thank Dr. </w:t>
      </w:r>
      <w:proofErr w:type="spellStart"/>
      <w:r w:rsidRPr="00A94B40">
        <w:rPr>
          <w:szCs w:val="24"/>
        </w:rPr>
        <w:t>Inma</w:t>
      </w:r>
      <w:proofErr w:type="spellEnd"/>
      <w:r w:rsidRPr="00A94B40">
        <w:rPr>
          <w:szCs w:val="24"/>
        </w:rPr>
        <w:t xml:space="preserve"> Robinson and Rebecca Sutton for their assistance in the laboratory</w:t>
      </w:r>
      <w:bookmarkEnd w:id="36"/>
      <w:r w:rsidRPr="00A94B40">
        <w:rPr>
          <w:szCs w:val="24"/>
        </w:rPr>
        <w:t>.</w:t>
      </w:r>
      <w:r>
        <w:rPr>
          <w:szCs w:val="24"/>
        </w:rPr>
        <w:t xml:space="preserve"> We acknowledge helpful comments from two anonymous reviewers that helped us clarify the manuscript and the assistance of the Co-Editor in Chief, </w:t>
      </w:r>
      <w:proofErr w:type="spellStart"/>
      <w:r>
        <w:rPr>
          <w:szCs w:val="24"/>
        </w:rPr>
        <w:t>Dami</w:t>
      </w:r>
      <w:r>
        <w:rPr>
          <w:rFonts w:cs="Times New Roman"/>
          <w:szCs w:val="24"/>
        </w:rPr>
        <w:t>à</w:t>
      </w:r>
      <w:proofErr w:type="spellEnd"/>
      <w:r>
        <w:rPr>
          <w:szCs w:val="24"/>
        </w:rPr>
        <w:t xml:space="preserve"> Barcel</w:t>
      </w:r>
      <w:r>
        <w:rPr>
          <w:rFonts w:cs="Times New Roman"/>
          <w:szCs w:val="24"/>
        </w:rPr>
        <w:t>ó</w:t>
      </w:r>
      <w:r w:rsidR="008B6E50">
        <w:rPr>
          <w:rFonts w:cs="Times New Roman"/>
          <w:szCs w:val="24"/>
        </w:rPr>
        <w:t>.</w:t>
      </w:r>
    </w:p>
    <w:p w14:paraId="7E9600F6" w14:textId="77777777" w:rsidR="0038409E" w:rsidRDefault="0038409E" w:rsidP="001448A4">
      <w:pPr>
        <w:spacing w:line="360" w:lineRule="auto"/>
        <w:rPr>
          <w:rFonts w:cs="Times New Roman"/>
          <w:szCs w:val="24"/>
        </w:rPr>
      </w:pPr>
    </w:p>
    <w:p w14:paraId="5BAFE403" w14:textId="77777777" w:rsidR="0038409E" w:rsidRDefault="0038409E" w:rsidP="001448A4">
      <w:pPr>
        <w:spacing w:line="360" w:lineRule="auto"/>
        <w:rPr>
          <w:rFonts w:cs="Times New Roman"/>
          <w:szCs w:val="24"/>
        </w:rPr>
        <w:sectPr w:rsidR="0038409E" w:rsidSect="001448A4">
          <w:pgSz w:w="12240" w:h="15840"/>
          <w:pgMar w:top="1440" w:right="1440" w:bottom="1440" w:left="1440" w:header="720" w:footer="720" w:gutter="0"/>
          <w:lnNumType w:countBy="1" w:restart="continuous"/>
          <w:cols w:space="720"/>
          <w:docGrid w:linePitch="360"/>
        </w:sectPr>
      </w:pPr>
    </w:p>
    <w:p w14:paraId="05CB30AB" w14:textId="77777777" w:rsidR="00A84731" w:rsidRDefault="0038409E" w:rsidP="00A84731">
      <w:pPr>
        <w:pStyle w:val="Heading2"/>
        <w:spacing w:before="240" w:after="200" w:line="360" w:lineRule="auto"/>
        <w:ind w:left="360"/>
      </w:pPr>
      <w:r w:rsidRPr="00D94C2A">
        <w:t>Ref</w:t>
      </w:r>
      <w:r>
        <w:t>erences</w:t>
      </w:r>
    </w:p>
    <w:p w14:paraId="5F16C0F9"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fldChar w:fldCharType="begin" w:fldLock="1"/>
      </w:r>
      <w:r w:rsidRPr="008D68D6">
        <w:rPr>
          <w:lang w:val="en-GB"/>
        </w:rPr>
        <w:instrText xml:space="preserve">ADDIN Mendeley Bibliography CSL_BIBLIOGRAPHY </w:instrText>
      </w:r>
      <w:r>
        <w:fldChar w:fldCharType="separate"/>
      </w:r>
      <w:r w:rsidRPr="008D68D6">
        <w:rPr>
          <w:rFonts w:cs="Times New Roman"/>
          <w:noProof/>
          <w:szCs w:val="24"/>
          <w:lang w:val="en-GB"/>
        </w:rPr>
        <w:t xml:space="preserve">Albrecht, B.A., Benson, C.H., 2001. </w:t>
      </w:r>
      <w:r w:rsidRPr="00B13605">
        <w:rPr>
          <w:rFonts w:cs="Times New Roman"/>
          <w:noProof/>
          <w:szCs w:val="24"/>
        </w:rPr>
        <w:t>Effect of Desiccation on Compacted Natural Clays. J. Geotech. Geoenvironmental Eng. 127, 67–75. https://doi.org/doi:10.1061/(ASCE)1090-0241(2001)127:1(67)</w:t>
      </w:r>
    </w:p>
    <w:p w14:paraId="06F5FAC9"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Aleksandrov, A.A., Trakhtengerts, M.S., 1974. Viscosity of water at temperatures of −20 to 150°C. J. Eng. Phys. 27, 1235–1239. https://doi.org/10.1007/bf00864022</w:t>
      </w:r>
    </w:p>
    <w:p w14:paraId="25A29AD5"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Allaire, S.A., Bochove, E. van, 2006. Collecting large soil monoliths. Can. J. Soil Sci. 86, 885–896. https://doi.org/10.4141/s05-062</w:t>
      </w:r>
    </w:p>
    <w:p w14:paraId="6A1A9E7D"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Alletto, L., Coquet, Y., 2009. Temporal and spatial variability of soil bulk density and near-saturated hydraulic conductivity under two contrasted tillage management systems. Geoderma 152, 85–94. https://doi.org/https://doi.org/10.1016/j.geoderma.2009.05.023</w:t>
      </w:r>
    </w:p>
    <w:p w14:paraId="1A3F1BB2"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Amer, A.M., 2012. Water flow and conductivity into capillary and non-capillary pores of soils. J. soil Sci. plant Nutr. 12, 99–112. https://doi.org/10.4067/s0718-95162012000100009</w:t>
      </w:r>
    </w:p>
    <w:p w14:paraId="02163FEE"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Amer, A.M., Suarez, C., Valverde, F., Carranza, R., Matute, L., Delfini, G., 2014. Saturated Hydraulic Conductivity Changes with Time and Its Prediction at SAR and Salinity in Quevedo Region Soils. J. Water Resour. Prot. Vol.06No.1, 13. https://doi.org/10.4236/jwarp.2014.617143</w:t>
      </w:r>
    </w:p>
    <w:p w14:paraId="2A9F2CC8"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8D68D6">
        <w:rPr>
          <w:rFonts w:cs="Times New Roman"/>
          <w:noProof/>
          <w:szCs w:val="24"/>
          <w:lang w:val="fr-FR"/>
        </w:rPr>
        <w:t xml:space="preserve">Angers, D.A., Caron, J., 1998. </w:t>
      </w:r>
      <w:r w:rsidRPr="00B13605">
        <w:rPr>
          <w:rFonts w:cs="Times New Roman"/>
          <w:noProof/>
          <w:szCs w:val="24"/>
        </w:rPr>
        <w:t>Plant-induced Changes in Soil Structure: Processes and Feedbacks. Biogeochemistry 42, 55–72. https://doi.org/10.1023/a:1005944025343</w:t>
      </w:r>
    </w:p>
    <w:p w14:paraId="3785CBA7"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Asmelash, F., Bekele, T., Birhane, E., 2016. The Potential Role of Arbuscular Mycorrhizal Fungi in the Restoration of Degraded Lands. Front. Microbiol. 7, 15. https://doi.org/10.3389/fmicb.2016.01095</w:t>
      </w:r>
    </w:p>
    <w:p w14:paraId="22E28BBA"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Avery, B.W., Bullock, P., 1977. Mineralogy of clayey soils in relation to soil classification. Soil Survey, Technical Monograph No. 10, Soil Survey of England and Wales. Harpenden, Rothamsted.</w:t>
      </w:r>
    </w:p>
    <w:p w14:paraId="6817320A"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Ayub, M., Boyd, C.E., 1994. Comparison of different methods for measuring organic carbon concentrations in pond bottom soils. J. World Aquac. Soc. 25, 322–325. https://doi.org/10.1111/j.1749-7345.1994.tb00198.x</w:t>
      </w:r>
    </w:p>
    <w:p w14:paraId="5CE790CF"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Baird, A.J., 1997. Field estimation of macropore functioning and surface hydraulic conductivity in a fen peat. Hydrol. Process. 11, 287–295. https://doi.org/10.1002/(sici)1099-1085(19970315)11:3&lt;287::aid-hyp443&gt;3.0.co;2-l</w:t>
      </w:r>
    </w:p>
    <w:p w14:paraId="3AAB339C"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Barley, K.P., 1961. The Abundance of Earthworms in Agricultural Land and Their Possible Significance in Agriculture, in: Norman, A.G. (Ed.), Advances in Agronomy. Academic Press, pp. 249–268. https://doi.org/https://doi.org/10.1016/S0065-2113(08)60961-X</w:t>
      </w:r>
    </w:p>
    <w:p w14:paraId="54E7BC6A"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8D68D6">
        <w:rPr>
          <w:rFonts w:cs="Times New Roman"/>
          <w:noProof/>
          <w:szCs w:val="24"/>
          <w:lang w:val="fr-FR"/>
        </w:rPr>
        <w:t xml:space="preserve">Bastardie, F., Capowiez, Y., Cluzeau, D., 2005. </w:t>
      </w:r>
      <w:r w:rsidRPr="00B13605">
        <w:rPr>
          <w:rFonts w:cs="Times New Roman"/>
          <w:noProof/>
          <w:szCs w:val="24"/>
        </w:rPr>
        <w:t>3D characterisation of earthworm burrow systems in natural soil cores collected from a 12-year-old pasture. Appl. Soil Ecol. 30, 34–46. https://doi.org/10.1016/j.apsoil.2005.01.001</w:t>
      </w:r>
    </w:p>
    <w:p w14:paraId="5934190E" w14:textId="77777777" w:rsidR="00B13605" w:rsidRPr="008D68D6" w:rsidRDefault="00B13605" w:rsidP="00B13605">
      <w:pPr>
        <w:widowControl w:val="0"/>
        <w:autoSpaceDE w:val="0"/>
        <w:autoSpaceDN w:val="0"/>
        <w:adjustRightInd w:val="0"/>
        <w:spacing w:line="240" w:lineRule="auto"/>
        <w:ind w:left="480" w:hanging="480"/>
        <w:rPr>
          <w:rFonts w:cs="Times New Roman"/>
          <w:noProof/>
          <w:szCs w:val="24"/>
          <w:lang w:val="fr-FR"/>
        </w:rPr>
      </w:pPr>
      <w:r w:rsidRPr="00B13605">
        <w:rPr>
          <w:rFonts w:cs="Times New Roman"/>
          <w:noProof/>
          <w:szCs w:val="24"/>
        </w:rPr>
        <w:t xml:space="preserve">Birkas, M., Bottlik, L., Stingli, A., Gyuricza, C., Jol, #225, nkai, M., #225, rton, 2010. Effect of Soil Physical State on the Earthworms in Hungary. </w:t>
      </w:r>
      <w:r w:rsidRPr="008D68D6">
        <w:rPr>
          <w:rFonts w:cs="Times New Roman"/>
          <w:noProof/>
          <w:szCs w:val="24"/>
          <w:lang w:val="fr-FR"/>
        </w:rPr>
        <w:t>Appl. Environ. Soil Sci. 2010. https://doi.org/10.1155/2010/830853</w:t>
      </w:r>
    </w:p>
    <w:p w14:paraId="3EB2132A"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8D68D6">
        <w:rPr>
          <w:rFonts w:cs="Times New Roman"/>
          <w:noProof/>
          <w:szCs w:val="24"/>
          <w:lang w:val="fr-FR"/>
        </w:rPr>
        <w:t xml:space="preserve">Blanco-Canqui, H., Lal, R., 2008. </w:t>
      </w:r>
      <w:r w:rsidRPr="00B13605">
        <w:rPr>
          <w:rFonts w:cs="Times New Roman"/>
          <w:noProof/>
          <w:szCs w:val="24"/>
        </w:rPr>
        <w:t>Restoration of Eroded and Degraded Soils, in: Blanco-Canqui, H., Lal, R. (Eds.), Principles of Soil Conservation and Management. Springer Netherlands, Dordrecht, pp. 399–423. https://doi.org/10.1007/978-1-4020-8709-7_15</w:t>
      </w:r>
    </w:p>
    <w:p w14:paraId="50960D5F"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Blouin, M., Hodson, M.E., Delgado, E.A., Baker, G., Brussaard, L., Butt, K.R., Dai, J., Dendooven, L., Peres, G., Tondoh, J.E., Cluzeau, D., Brun, J.J., 2013. A review of earthworm impact on soil function and ecosystem services. Eur. J. Soil Sci. 64, 161–182. https://doi.org/10.1111/ejss.12025</w:t>
      </w:r>
    </w:p>
    <w:p w14:paraId="278BCA8F"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Bodner, G., Leitner, D., Kaul, H.-P., 2014. Coarse and fine root plants affect pore size distributions differently. Plant Soil 380, 133–151. https://doi.org/10.1007/s11104-014-2079-8</w:t>
      </w:r>
    </w:p>
    <w:p w14:paraId="38E689A5"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Bouché, M.B., 1977. Strategies lombriciennes, in: Lohm, U., Persson, T. (Eds.),  Soil Organisms as Components of Ecosystems. Ecol. Bul, Stockholm, Sweden, pp. 122–133.</w:t>
      </w:r>
    </w:p>
    <w:p w14:paraId="7F3B5388"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Bouché, M.B., AlAddan, F., 1997. Earthworms, water infiltration and soil stability: Some new assessments. Soil Biol. Biochem. 29, 441–452. https://doi.org/Doi 10.1016/S0038-0717(96)00272-6</w:t>
      </w:r>
    </w:p>
    <w:p w14:paraId="22008B62"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Bruckner, A., Wright, J., Kampichler, C., Bauer, R., Kandeler, E., 1995. A method of preparing mesocosms for assessing complex biotic processes in soils. Biol. Fertil. Soils 19, 257–262. https://doi.org/10.1007/bf00336169</w:t>
      </w:r>
    </w:p>
    <w:p w14:paraId="09EFF590"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Butt, K.R., 2008. Earthworms in Soil Restoration: Lessons Learned from United Kingdom Case Studies of Land Reclamation. Restor. Ecol. 16, 637–641. https://doi.org/doi:10.1111/j.1526-100X.2008.00483.x</w:t>
      </w:r>
    </w:p>
    <w:p w14:paraId="55AC4950"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Butt, K.R., 1991. The effects of temperature on the intensive production of lumbricus-terrestris (Oligochaeta, Lumbricidae). Pedobiologia (Jena). 35, 257–264.</w:t>
      </w:r>
    </w:p>
    <w:p w14:paraId="4D855E26" w14:textId="77777777" w:rsidR="00B13605" w:rsidRPr="008D68D6" w:rsidRDefault="00B13605" w:rsidP="00B13605">
      <w:pPr>
        <w:widowControl w:val="0"/>
        <w:autoSpaceDE w:val="0"/>
        <w:autoSpaceDN w:val="0"/>
        <w:adjustRightInd w:val="0"/>
        <w:spacing w:line="240" w:lineRule="auto"/>
        <w:ind w:left="480" w:hanging="480"/>
        <w:rPr>
          <w:rFonts w:cs="Times New Roman"/>
          <w:noProof/>
          <w:szCs w:val="24"/>
          <w:lang w:val="fr-FR"/>
        </w:rPr>
      </w:pPr>
      <w:r w:rsidRPr="00B13605">
        <w:rPr>
          <w:rFonts w:cs="Times New Roman"/>
          <w:noProof/>
          <w:szCs w:val="24"/>
        </w:rPr>
        <w:t xml:space="preserve">Butt, K.R., Lowe, C.N., 2011. Controlled cultivation of endogeic and anecic earthworms, in: Karaca, A. (Ed.), Biology of Earthworms. </w:t>
      </w:r>
      <w:r w:rsidRPr="008D68D6">
        <w:rPr>
          <w:rFonts w:cs="Times New Roman"/>
          <w:noProof/>
          <w:szCs w:val="24"/>
          <w:lang w:val="fr-FR"/>
        </w:rPr>
        <w:t>Springer Berlin Heidelberg, Berlin, pp. 107–121. https://doi.org/10.1007/978-3-642-14636-7_7</w:t>
      </w:r>
    </w:p>
    <w:p w14:paraId="1079BAB7" w14:textId="77777777" w:rsidR="00B13605" w:rsidRPr="008D68D6" w:rsidRDefault="00B13605" w:rsidP="00B13605">
      <w:pPr>
        <w:widowControl w:val="0"/>
        <w:autoSpaceDE w:val="0"/>
        <w:autoSpaceDN w:val="0"/>
        <w:adjustRightInd w:val="0"/>
        <w:spacing w:line="240" w:lineRule="auto"/>
        <w:ind w:left="480" w:hanging="480"/>
        <w:rPr>
          <w:rFonts w:cs="Times New Roman"/>
          <w:noProof/>
          <w:szCs w:val="24"/>
          <w:lang w:val="fr-FR"/>
        </w:rPr>
      </w:pPr>
      <w:r w:rsidRPr="008D68D6">
        <w:rPr>
          <w:rFonts w:cs="Times New Roman"/>
          <w:noProof/>
          <w:szCs w:val="24"/>
          <w:lang w:val="fr-FR"/>
        </w:rPr>
        <w:t>CEAE, 2003. Determination de la matiere organique par incineration: Methode de perte de feu (PAF). Centre d’expertise en analyse environnementale du Québec, Quebec, Canada.</w:t>
      </w:r>
    </w:p>
    <w:p w14:paraId="28FCA8F7"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8D68D6">
        <w:rPr>
          <w:rFonts w:cs="Times New Roman"/>
          <w:noProof/>
          <w:szCs w:val="24"/>
          <w:lang w:val="fr-FR"/>
        </w:rPr>
        <w:t xml:space="preserve">Chamberlain, E.J., Gow, A.J., 1979. </w:t>
      </w:r>
      <w:r w:rsidRPr="00B13605">
        <w:rPr>
          <w:rFonts w:cs="Times New Roman"/>
          <w:noProof/>
          <w:szCs w:val="24"/>
        </w:rPr>
        <w:t>Effect of freezing and thawing on the permeability and structure of soils. Eng. Geol. 13, 73–92. https://doi.org/https://doi.org/10.1016/0013-7952(79)90022-X</w:t>
      </w:r>
    </w:p>
    <w:p w14:paraId="7FEAE531" w14:textId="77777777" w:rsidR="00B13605" w:rsidRPr="008D68D6" w:rsidRDefault="00B13605" w:rsidP="00B13605">
      <w:pPr>
        <w:widowControl w:val="0"/>
        <w:autoSpaceDE w:val="0"/>
        <w:autoSpaceDN w:val="0"/>
        <w:adjustRightInd w:val="0"/>
        <w:spacing w:line="240" w:lineRule="auto"/>
        <w:ind w:left="480" w:hanging="480"/>
        <w:rPr>
          <w:rFonts w:cs="Times New Roman"/>
          <w:noProof/>
          <w:szCs w:val="24"/>
          <w:lang w:val="fr-FR"/>
        </w:rPr>
      </w:pPr>
      <w:r w:rsidRPr="00B13605">
        <w:rPr>
          <w:rFonts w:cs="Times New Roman"/>
          <w:noProof/>
          <w:szCs w:val="24"/>
        </w:rPr>
        <w:t xml:space="preserve">Chan, K.Y., 2001. An overview of some tillage impacts on earthworm population abundance and diversity - implications for functioning in soils. </w:t>
      </w:r>
      <w:r w:rsidRPr="008D68D6">
        <w:rPr>
          <w:rFonts w:cs="Times New Roman"/>
          <w:noProof/>
          <w:szCs w:val="24"/>
          <w:lang w:val="fr-FR"/>
        </w:rPr>
        <w:t>Soil Tillage Res. 57, 179–191. https://doi.org/Doi 10.1016/S0167-1987(00)00173-2</w:t>
      </w:r>
    </w:p>
    <w:p w14:paraId="7167845B"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8D68D6">
        <w:rPr>
          <w:rFonts w:cs="Times New Roman"/>
          <w:noProof/>
          <w:szCs w:val="24"/>
          <w:lang w:val="fr-FR"/>
        </w:rPr>
        <w:t xml:space="preserve">Chatelain, M., Mathieu, J., 2017. </w:t>
      </w:r>
      <w:r w:rsidRPr="00B13605">
        <w:rPr>
          <w:rFonts w:cs="Times New Roman"/>
          <w:noProof/>
          <w:szCs w:val="24"/>
        </w:rPr>
        <w:t>How good are epigeic earthworms at dispersing? An investigation to compare epigeic to endogeic and anecic groups. Soil Biol. Biochem. 111, 115–123. https://doi.org/https://doi.org/10.1016/j.soilbio.2017.04.004</w:t>
      </w:r>
    </w:p>
    <w:p w14:paraId="2B4D8521"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Clause, J., Barot, S., Richard, B., Decaens, T., Forey, E., 2014. The interactions between soil type and earthworm species determine the properties of earthworm casts. Appl. Soil Ecol. 83, 149–158. https://doi.org/10.1016/j.apsoil.2013.12.006</w:t>
      </w:r>
    </w:p>
    <w:p w14:paraId="57F91662"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Cranfield University, 2019. The Soils Guide [WWW Document]. URL http://www.landis.org.uk</w:t>
      </w:r>
    </w:p>
    <w:p w14:paraId="09DC8DD0"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Currie, M., Hodson, M.E., Arnold, R.E., Langdon, C.J., 2005. Single versus multiple occupancy—effects on toxcityp parameters measured on Eisenia fetida in lead nitrate–treated soil. Environ. Toxicol. Chem. 24, 110–116. https://doi.org/10.1897/03-686.1</w:t>
      </w:r>
    </w:p>
    <w:p w14:paraId="6D3920BA"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Dar, xed, o, J.D., xed, az, C., Mar, xed, a Pilar, R., Marta, R., xf, nica, G., xe, rrez, 2006. Is the aestivation of the earthworm hormogaster elisae a paradiapause? Invertebr. Biol. 125, 250–255.</w:t>
      </w:r>
    </w:p>
    <w:p w14:paraId="43A97A4E" w14:textId="77777777" w:rsidR="00B13605" w:rsidRPr="008D68D6" w:rsidRDefault="00B13605" w:rsidP="00B13605">
      <w:pPr>
        <w:widowControl w:val="0"/>
        <w:autoSpaceDE w:val="0"/>
        <w:autoSpaceDN w:val="0"/>
        <w:adjustRightInd w:val="0"/>
        <w:spacing w:line="240" w:lineRule="auto"/>
        <w:ind w:left="480" w:hanging="480"/>
        <w:rPr>
          <w:rFonts w:cs="Times New Roman"/>
          <w:noProof/>
          <w:szCs w:val="24"/>
          <w:lang w:val="fr-FR"/>
        </w:rPr>
      </w:pPr>
      <w:r w:rsidRPr="00B13605">
        <w:rPr>
          <w:rFonts w:cs="Times New Roman"/>
          <w:noProof/>
          <w:szCs w:val="24"/>
        </w:rPr>
        <w:t xml:space="preserve">Deb, S.K., Shukla, M.K., 2012. Variability of hydraulic conductivity due to multiple factors. </w:t>
      </w:r>
      <w:r w:rsidRPr="008D68D6">
        <w:rPr>
          <w:rFonts w:cs="Times New Roman"/>
          <w:noProof/>
          <w:szCs w:val="24"/>
          <w:lang w:val="fr-FR"/>
        </w:rPr>
        <w:t>Am. J. Environ. Sci. 8, 489–502. https://doi.org/10.3844/ajessp.2012.489.502</w:t>
      </w:r>
    </w:p>
    <w:p w14:paraId="57C5CA31"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8D68D6">
        <w:rPr>
          <w:rFonts w:cs="Times New Roman"/>
          <w:noProof/>
          <w:szCs w:val="24"/>
          <w:lang w:val="fr-FR"/>
        </w:rPr>
        <w:t xml:space="preserve">Decagon Devices Inc, 2016. </w:t>
      </w:r>
      <w:r w:rsidRPr="00B13605">
        <w:rPr>
          <w:rFonts w:cs="Times New Roman"/>
          <w:noProof/>
          <w:szCs w:val="24"/>
        </w:rPr>
        <w:t>Decagon biophysical instruments: Minidisk infiltrometers.</w:t>
      </w:r>
    </w:p>
    <w:p w14:paraId="59EA9B0E"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DeJaco, C.E., Batzli, G.O., 2013. Palatability of plants to small mammals in nonnative grasslands of east-central Illinois. J. Mammal. 94, 427–435. https://doi.org/10.1644/12-MAMM-A-157.1</w:t>
      </w:r>
    </w:p>
    <w:p w14:paraId="184B5F73"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Denmead, O.T., Shaw, R.H., 1962. Availability of Soil Water to Plants as Affected by Soil Moisture Content and Meteorological Conditions1. Agron. J. 54, 385–390. https://doi.org/10.2134/agronj1962.00021962005400050005x</w:t>
      </w:r>
    </w:p>
    <w:p w14:paraId="1E997FD1"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Deru, J., Schilder, H., Van der Schoot, J.R., Van Eekeren, N., Roldán-Ruiz, I., Baert, J., Reheul, D., 2016. No Trade-off Between Root Biomass and Aboveground Production in Lolium perenne. Springer International Publishing, Cham, pp. 289–292.</w:t>
      </w:r>
    </w:p>
    <w:p w14:paraId="01C941E2"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Dexter, A.R., 1988. Advances in characterization of soil structure. Soil Tillage Res. 11, 199–238. https://doi.org/https://doi.org/10.1016/0167-1987(88)90002-5</w:t>
      </w:r>
    </w:p>
    <w:p w14:paraId="20F11D1F"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Durán Zuazo, V.H., Rodríguez Pleguezuelo, C.R., 2008. Soil-erosion and runoff prevention by plant covers. A review. Agron. Sustain. Dev. 28, 65–86. https://doi.org/10.1051/agro:2007062</w:t>
      </w:r>
    </w:p>
    <w:p w14:paraId="5CF6F392"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Durner, W., 1994. Hydraulic conductivity estimation for soils with heterogeneous pore structure. Water Resour. Res. 30, 211–223. https://doi.org/doi:10.1029/93WR02676</w:t>
      </w:r>
    </w:p>
    <w:p w14:paraId="08EB198F"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Edwards, C.A., Bohlen, P.J., 1996. Biology and Ecology of Earthworms. Springer.</w:t>
      </w:r>
    </w:p>
    <w:p w14:paraId="3E403D8B"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Edwards, C.A., Lofty, J.R., 1982. The effect of direct drilling and minimal cultivation on earthworm populations. J. Appl. Ecol. 19, 723–734. https://doi.org/10.2307/2403277</w:t>
      </w:r>
    </w:p>
    <w:p w14:paraId="4185D8FC"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Eisenhauer, N., Straube, D., Scheu, S., 2008. Efficiency of two widespread non-destructive extraction methods under dry soil conditions for different ecological earthworm groups. Eur. J. Soil Biol. 44, 141–145. https://doi.org/https://doi.org/10.1016/j.ejsobi.2007.10.002</w:t>
      </w:r>
    </w:p>
    <w:p w14:paraId="46E20D12"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Elhakeem, M., Papanicolaou, A.N.T., Wilson, C.G., Chang, Y.-J., Burras, L., Abban, B., Wysocki, D.A., Wills, S., 2018. Understanding saturated hydraulic conductivity under seasonal changes in climate and land use. Geoderma 315, 75–87. https://doi.org/https://doi.org/10.1016/j.geoderma.2017.11.011</w:t>
      </w:r>
    </w:p>
    <w:p w14:paraId="691C36FD"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Fahey, T.J., Yavitt, J.B., Sherman, R.E., Maerz, J.C., Groffman, P.M., Fisk, M.C., Bohlen, P.J., 2013. Earthworm effects on the incorporation of litter C and N into soil organic matter in a sugar maple forest. Ecol. Appl. 23, 1185–1201. https://doi.org/10.1890/12-1760.1</w:t>
      </w:r>
    </w:p>
    <w:p w14:paraId="7A7684BD"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FAO, ITPS, 2015. Status of the World’s Soil Resources (SWSR) – Main Report. Rome, Italy.</w:t>
      </w:r>
    </w:p>
    <w:p w14:paraId="2FCF3807"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Fonte, S.J., Kong, A.Y.Y., van Kessel, C., Hendrix, P.F., Six, J., 2007. Influence of earthworm activity on aggregate-associated carbon and nitrogen dynamics differs with agroecosystem management. Soil Biol. Biochem. 39, 1014–1022. https://doi.org/10.1016/j.soilbio.2006.11.011</w:t>
      </w:r>
    </w:p>
    <w:p w14:paraId="3BA537A4"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Francis, G.S., Fraser, P.M., 1998. The effects of three earthworm species on soil macroporosity and hydraulic conductivity. Appl. Soil Ecol. 10, 11–19. https://doi.org/Doi 10.1016/S0929-1393(98)00045-6</w:t>
      </w:r>
    </w:p>
    <w:p w14:paraId="4C5452EA"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Friederike, E.L.O., Karin van der, W., Geert Jan van, O., Sjoukje, P., Sarah, F.K., Peter, U., Heidi, C., 2018. Climate change increases the probability of heavy rains in Northern England/Southern Scotland like those of storm Desmond—a real-time event attribution revisited. Environ. Res. Lett. 13, 24006.</w:t>
      </w:r>
    </w:p>
    <w:p w14:paraId="59FDA7A8"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Graves, A.R., Morris, J., Deeks, L.K., Rickson, R.J., Kibblewhite, M.G., Harris, J.A., Farewell, T.S., Truckle, I., 2015. The total costs of soil degradation in England and Wales. Ecol. Econ. 119, 399–413. https://doi.org/https://doi.org/10.1016/j.ecolecon.2015.07.026</w:t>
      </w:r>
    </w:p>
    <w:p w14:paraId="7315D143"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Hallam, J., 2018. Soil hydraulic function: Earthworm-plant root interactions. Unpublished PhD Thesis. Environ. Geogr. University of York, York, UK.</w:t>
      </w:r>
    </w:p>
    <w:p w14:paraId="2709F37F"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Haridasan, M., Jensen, R.D., 1972. Effect of temperature on pressure head-water content relationship and conductivity of two soils1. Soil Sci. Soc. Am. J. 36, 703–708. https://doi.org/10.2136/sssaj1972.03615995003600050011x</w:t>
      </w:r>
    </w:p>
    <w:p w14:paraId="43CF283A"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Hedde, M., Bureau, F., Delporte, P., Cécillon, L., Decaëns, T., 2013. The effects of earthworm species on soil behaviour depend on land use. Soil Biol. Biochem. 65, 264–273. https://doi.org/https://doi.org/10.1016/j.soilbio.2013.06.005</w:t>
      </w:r>
    </w:p>
    <w:p w14:paraId="7D4711C8"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Hesseltine, J., 2016. Change in Hydraulic Conductivity of Expansive Soils. Oregon State University. https://doi.org/http://localhost/files/h702q8180</w:t>
      </w:r>
    </w:p>
    <w:p w14:paraId="2A822842"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Hillel, D., 2008. 7. - SOIL-WATER DYNAMICS, in: Hillel, D. (Ed.), Soil in the Environment. Academic Press, San Diego, pp. 91–101. https://doi.org/https://doi.org/10.1016/B978-0-12-348536-6.50012-5</w:t>
      </w:r>
    </w:p>
    <w:p w14:paraId="5E4F3687"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Hillel, D., 1980. 7 - Soil Water: Content and Potential, in: Hillel, D. (Ed.), Fundamentals of Soil Physics. Academic Press, San Diego, pp. 123–165. https://doi.org/https://doi.org/10.1016/B978-0-08-091870-9.50012-1</w:t>
      </w:r>
    </w:p>
    <w:p w14:paraId="1FEBCEFB"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Hinman, W.C., Bisal, F., 1968. ALTERATIONS OF SOIL STRUCTURE UPON FREEZING AND THAWING AND SUBSEQUENT DRYING. Can. J. Soil Sci. 48, 193–197. https://doi.org/10.4141/cjss68-023</w:t>
      </w:r>
    </w:p>
    <w:p w14:paraId="34704947" w14:textId="77777777" w:rsidR="00B13605" w:rsidRPr="008D68D6" w:rsidRDefault="00B13605" w:rsidP="00B13605">
      <w:pPr>
        <w:widowControl w:val="0"/>
        <w:autoSpaceDE w:val="0"/>
        <w:autoSpaceDN w:val="0"/>
        <w:adjustRightInd w:val="0"/>
        <w:spacing w:line="240" w:lineRule="auto"/>
        <w:ind w:left="480" w:hanging="480"/>
        <w:rPr>
          <w:rFonts w:cs="Times New Roman"/>
          <w:noProof/>
          <w:szCs w:val="24"/>
          <w:lang w:val="fr-FR"/>
        </w:rPr>
      </w:pPr>
      <w:r w:rsidRPr="00B13605">
        <w:rPr>
          <w:rFonts w:cs="Times New Roman"/>
          <w:noProof/>
          <w:szCs w:val="24"/>
        </w:rPr>
        <w:t xml:space="preserve">Holden, J., Grayson, R.P., Berdeni, D., Bird, S., Chapman, P.J., Edmondson, J.L., Firbank, L.G., Helgason, T., Hodson, M.E., Hunt, S.F.P., Jones, D.T., Lappage, M.G., Marshall-Harries, E., Nelson, M., Prendergast-Miller, M., Shaw, H., Wade, R.N., Leake, J.R., 2019. The role of hedgerows in soil functioning within agricultural landscapes. </w:t>
      </w:r>
      <w:r w:rsidRPr="008D68D6">
        <w:rPr>
          <w:rFonts w:cs="Times New Roman"/>
          <w:noProof/>
          <w:szCs w:val="24"/>
          <w:lang w:val="fr-FR"/>
        </w:rPr>
        <w:t>Agric. Ecosyst. Environ. 273, 1–12. https://doi.org/https://doi.org/10.1016/j.agee.2018.11.027</w:t>
      </w:r>
    </w:p>
    <w:p w14:paraId="52B7F751"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House of Commons, 2018. The Government’s 25 Year Plan for the Environment, Eighth Report of Session 2017–19.</w:t>
      </w:r>
    </w:p>
    <w:p w14:paraId="7697C60C"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House of Commons, 2016. Soil health, First Report of Session 2016–17.</w:t>
      </w:r>
    </w:p>
    <w:p w14:paraId="3795C294"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Hu, W., Shao, M., Wang, Q., Fan, J., Horton, R., 2009. Temporal changes of soil hydraulic properties under different land uses. Geoderma 149, 355–366. https://doi.org/https://doi.org/10.1016/j.geoderma.2008.12.016</w:t>
      </w:r>
    </w:p>
    <w:p w14:paraId="07568A4D" w14:textId="77777777" w:rsidR="00B13605" w:rsidRPr="008D68D6" w:rsidRDefault="00B13605" w:rsidP="00B13605">
      <w:pPr>
        <w:widowControl w:val="0"/>
        <w:autoSpaceDE w:val="0"/>
        <w:autoSpaceDN w:val="0"/>
        <w:adjustRightInd w:val="0"/>
        <w:spacing w:line="240" w:lineRule="auto"/>
        <w:ind w:left="480" w:hanging="480"/>
        <w:rPr>
          <w:rFonts w:cs="Times New Roman"/>
          <w:noProof/>
          <w:szCs w:val="24"/>
          <w:lang w:val="fr-FR"/>
        </w:rPr>
      </w:pPr>
      <w:r w:rsidRPr="00B13605">
        <w:rPr>
          <w:rFonts w:cs="Times New Roman"/>
          <w:noProof/>
          <w:szCs w:val="24"/>
        </w:rPr>
        <w:t xml:space="preserve">Hu, W., Shao, M.A., Si, B.C., 2012. Seasonal changes in surface bulk density and saturated hydraulic conductivity of natural landscapes. </w:t>
      </w:r>
      <w:r w:rsidRPr="008D68D6">
        <w:rPr>
          <w:rFonts w:cs="Times New Roman"/>
          <w:noProof/>
          <w:szCs w:val="24"/>
          <w:lang w:val="fr-FR"/>
        </w:rPr>
        <w:t>Eur. J. Soil Sci. 63, 820–830. https://doi.org/doi:10.1111/j.1365-2389.2012.01479.x</w:t>
      </w:r>
    </w:p>
    <w:p w14:paraId="1E0459FB"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8D68D6">
        <w:rPr>
          <w:rFonts w:cs="Times New Roman"/>
          <w:noProof/>
          <w:szCs w:val="24"/>
          <w:lang w:val="fr-FR"/>
        </w:rPr>
        <w:t xml:space="preserve">Huntington, T.G., 2006. </w:t>
      </w:r>
      <w:r w:rsidRPr="00B13605">
        <w:rPr>
          <w:rFonts w:cs="Times New Roman"/>
          <w:noProof/>
          <w:szCs w:val="24"/>
        </w:rPr>
        <w:t>Available water capacity and soil organic matter, in: Encyclopedia of Soil Science. Taylor and Francis,  New York, pp. 139–143. https://doi.org/http://dx.doi.org/10.1081/E-ESS-120018496</w:t>
      </w:r>
    </w:p>
    <w:p w14:paraId="27FCB9E4"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Jabro, J.D., 1996. Variability of field-saturated hydraulic conductivity in Hagerstown soil as affected by initial water content. Soil Sci. 161, 735–739.</w:t>
      </w:r>
    </w:p>
    <w:p w14:paraId="25743326" w14:textId="77777777" w:rsidR="00B13605" w:rsidRPr="008D68D6" w:rsidRDefault="00B13605" w:rsidP="00B13605">
      <w:pPr>
        <w:widowControl w:val="0"/>
        <w:autoSpaceDE w:val="0"/>
        <w:autoSpaceDN w:val="0"/>
        <w:adjustRightInd w:val="0"/>
        <w:spacing w:line="240" w:lineRule="auto"/>
        <w:ind w:left="480" w:hanging="480"/>
        <w:rPr>
          <w:rFonts w:cs="Times New Roman"/>
          <w:noProof/>
          <w:szCs w:val="24"/>
          <w:lang w:val="fr-FR"/>
        </w:rPr>
      </w:pPr>
      <w:r w:rsidRPr="00B13605">
        <w:rPr>
          <w:rFonts w:cs="Times New Roman"/>
          <w:noProof/>
          <w:szCs w:val="24"/>
        </w:rPr>
        <w:t xml:space="preserve">Jarvis, N., Forkman, J., Koestel, J., Kätterer, T., Larsbo, M., Taylor, A., 2017. Long-term effects of grass-clover leys on the structure of a silt loam soil in a cold climate. </w:t>
      </w:r>
      <w:r w:rsidRPr="008D68D6">
        <w:rPr>
          <w:rFonts w:cs="Times New Roman"/>
          <w:noProof/>
          <w:szCs w:val="24"/>
          <w:lang w:val="fr-FR"/>
        </w:rPr>
        <w:t>Agric. Ecosyst. Environ. 247, 319–328. https://doi.org/https://doi.org/10.1016/j.agee.2017.06.042</w:t>
      </w:r>
    </w:p>
    <w:p w14:paraId="75DB120B"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Johnston, A.E., Poulton, P.R., Coleman, K., Macdonald, A.J., White, R.P., 2017. Changes in soil organic matter over 70 years in continuous arable and ley–arable rotations on a sandy loam soil in England. Eur. J. Soil Sci. 68, 305–316. https://doi.org/10.1111/ejss.12415</w:t>
      </w:r>
    </w:p>
    <w:p w14:paraId="705016A5"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Johnston, A.S.A., Holmstrup, M., Hodson, M.E., Thorbek, P., Alvarez, T., Sibly, R.M., 2014. Earthworm distribution and abundance predicted by a process-based model. Appl. Soil Ecol. 84, 112–123. https://doi.org/10.1016/j.apsoil.2014.06.001</w:t>
      </w:r>
    </w:p>
    <w:p w14:paraId="4B81B273"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Jones, D.T., Lowe, C.N., 2009. Key to common british earthworms.</w:t>
      </w:r>
    </w:p>
    <w:p w14:paraId="49A7BF04"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8D68D6">
        <w:rPr>
          <w:rFonts w:cs="Times New Roman"/>
          <w:noProof/>
          <w:szCs w:val="24"/>
          <w:lang w:val="fr-FR"/>
        </w:rPr>
        <w:t xml:space="preserve">Jouquet, P., Janeau, J.L., Pisano, A., Sy, H.T., Orange, D., Luu, T.N.M., Valentin, C., 2012. </w:t>
      </w:r>
      <w:r w:rsidRPr="00B13605">
        <w:rPr>
          <w:rFonts w:cs="Times New Roman"/>
          <w:noProof/>
          <w:szCs w:val="24"/>
        </w:rPr>
        <w:t>Influence of earthworms and termites on runoff and erosion in a tropical steep slope fallow in Vietnam: A rainfall simulation experiment. Appl. Soil Ecol. 61, 161–168. https://doi.org/10.1016/j.apsoil.2012.04.004</w:t>
      </w:r>
    </w:p>
    <w:p w14:paraId="4357E31B"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Kampichler, C., Bruckner, A., Baumgarten, A., Berthold, A., Zechmeister-Boltenstern, S., 1999. Field mesocosms for assessing biotic processes in soils: How to avoid side effects. Eur. J. Soil Biol. 35, 135–143. https://doi.org/https://doi.org/10.1016/S1164-5563(00)00113-8</w:t>
      </w:r>
    </w:p>
    <w:p w14:paraId="1DB056CE"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Kandeler, E., Winter, B., Kampichler, C., Bruckner, A., 1994. Effects of mesofaunal exclusion on microbial biomass and enzymatic activities in field mesocosms, in: Ritz, K., Dighton, J., Giller, K.E. (Eds.), Beyond the Biomass: Compositional and Functional Analysis of Soil Microbial Communities. John Wiley &amp; Sons, Chichester, pp. 181 – 189.</w:t>
      </w:r>
    </w:p>
    <w:p w14:paraId="10FEE811"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Kirkham, M.B., 2005. 8 - Field capacity, wilting point, available water, and the non-limiting water range, in: Kirkham, M.B. (Ed.), Principles of Soil and Plant Water Relations. Academic Press, Burlington, pp. 101–115. https://doi.org/https://doi.org/10.1016/B978-012409751-3/50008-6</w:t>
      </w:r>
    </w:p>
    <w:p w14:paraId="1E1995BE"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Kodešová, R., Vignozzi, N., Rohošková, M., Hájková, T., Kočárek, M., Pagliai, M., Kozák, J., Šimůnek, J., 2009. Impact of varying soil structure on transport processes in different diagnostic horizons of three soil types. J. Contam. Hydrol. 104, 107–125. https://doi.org/https://doi.org/10.1016/j.jconhyd.2008.10.008</w:t>
      </w:r>
    </w:p>
    <w:p w14:paraId="56924B07"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Köhne, J.M., Alves Júnior, J., Köhne, S., Tiemeyer, B., Lennartz, B., Kruse, J., 2011. Double-ring and tension infiltrometer measurements of hydraulic conductivity and mobile soil regions. Pesqui. Agropecuária Trop. 41, 336–347.</w:t>
      </w:r>
    </w:p>
    <w:p w14:paraId="45551D71" w14:textId="77777777" w:rsidR="00B13605" w:rsidRPr="008D68D6" w:rsidRDefault="00B13605" w:rsidP="00B13605">
      <w:pPr>
        <w:widowControl w:val="0"/>
        <w:autoSpaceDE w:val="0"/>
        <w:autoSpaceDN w:val="0"/>
        <w:adjustRightInd w:val="0"/>
        <w:spacing w:line="240" w:lineRule="auto"/>
        <w:ind w:left="480" w:hanging="480"/>
        <w:rPr>
          <w:rFonts w:cs="Times New Roman"/>
          <w:noProof/>
          <w:szCs w:val="24"/>
          <w:lang w:val="fr-FR"/>
        </w:rPr>
      </w:pPr>
      <w:r w:rsidRPr="00B13605">
        <w:rPr>
          <w:rFonts w:cs="Times New Roman"/>
          <w:noProof/>
          <w:szCs w:val="24"/>
        </w:rPr>
        <w:t xml:space="preserve">Kooch, Y., Jalilvand, H., 2008. Earthworms as ecosystem engineers and the most important detritivors in forest soils. </w:t>
      </w:r>
      <w:r w:rsidRPr="008D68D6">
        <w:rPr>
          <w:rFonts w:cs="Times New Roman"/>
          <w:noProof/>
          <w:szCs w:val="24"/>
          <w:lang w:val="fr-FR"/>
        </w:rPr>
        <w:t>Pak J Biol Sci 11, 819–825.</w:t>
      </w:r>
    </w:p>
    <w:p w14:paraId="6D573FFB" w14:textId="77777777" w:rsidR="00B13605" w:rsidRPr="008D68D6" w:rsidRDefault="00B13605" w:rsidP="00B13605">
      <w:pPr>
        <w:widowControl w:val="0"/>
        <w:autoSpaceDE w:val="0"/>
        <w:autoSpaceDN w:val="0"/>
        <w:adjustRightInd w:val="0"/>
        <w:spacing w:line="240" w:lineRule="auto"/>
        <w:ind w:left="480" w:hanging="480"/>
        <w:rPr>
          <w:rFonts w:cs="Times New Roman"/>
          <w:noProof/>
          <w:szCs w:val="24"/>
          <w:lang w:val="fr-FR"/>
        </w:rPr>
      </w:pPr>
      <w:r w:rsidRPr="008D68D6">
        <w:rPr>
          <w:rFonts w:cs="Times New Roman"/>
          <w:noProof/>
          <w:szCs w:val="24"/>
          <w:lang w:val="fr-FR"/>
        </w:rPr>
        <w:t xml:space="preserve">Lamandé, M., Hallaire, V., Curmi, P., Pérès, G., Cluzeau, D., 2003. </w:t>
      </w:r>
      <w:r w:rsidRPr="00B13605">
        <w:rPr>
          <w:rFonts w:cs="Times New Roman"/>
          <w:noProof/>
          <w:szCs w:val="24"/>
        </w:rPr>
        <w:t xml:space="preserve">Changes of pore morphology, infiltration and earthworm community in a loamy soil under different agricultural managements. </w:t>
      </w:r>
      <w:r w:rsidRPr="008D68D6">
        <w:rPr>
          <w:rFonts w:cs="Times New Roman"/>
          <w:noProof/>
          <w:szCs w:val="24"/>
          <w:lang w:val="fr-FR"/>
        </w:rPr>
        <w:t>Catena 54, 637–649. https://doi.org/https://doi.org/10.1016/S0341-8162(03)00114-0</w:t>
      </w:r>
    </w:p>
    <w:p w14:paraId="473E6869"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8D68D6">
        <w:rPr>
          <w:rFonts w:cs="Times New Roman"/>
          <w:noProof/>
          <w:szCs w:val="24"/>
          <w:lang w:val="fr-FR"/>
        </w:rPr>
        <w:t xml:space="preserve">Lavelle, P., Pashanasi, B., Charpentier, F., Gilot, C., Rossi, J.-P., Derouard, L., André, J., Ponge, J.-F., Bernier, N., 1998. </w:t>
      </w:r>
      <w:r w:rsidRPr="00B13605">
        <w:rPr>
          <w:rFonts w:cs="Times New Roman"/>
          <w:noProof/>
          <w:szCs w:val="24"/>
        </w:rPr>
        <w:t>Large-scale effects of earthworms on soil organic matter and nutrient dynamics, in: Edwards, C.A. (Ed.), Earthworm Ecology. St. Lucie Press, pp. 103–122.</w:t>
      </w:r>
    </w:p>
    <w:p w14:paraId="40385119"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Lowe, C.N., Butt, K.R., 2005. Culture techniques for soil dwelling earthworms: A review. Pedobiologia (Jena). 49, 401–413. https://doi.org/10.1016/j.pedobi.2005.04.005</w:t>
      </w:r>
    </w:p>
    <w:p w14:paraId="4B8BF476"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Lubbers, I.M., van Groenigen, K.J., Fonte, S.J., Six, J., Brussaard, L., van Groenigen, J.W., 2013. Greenhouse-gas emissions from soils increased by earthworms. Nat. Clim. Chang. 3, 187–194. https://doi.org/10.1038/nclimate1692</w:t>
      </w:r>
    </w:p>
    <w:p w14:paraId="532E3E8A"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Margerie, P., Decaëns, T., Bureau, F., Alard, D., 2001. Spatial distribution of earthworm species assemblages in a chalky slope of the Seine Valley (Normandy, France). Eur. J. Soil Biol. 37, 291–296. https://doi.org/10.1016/S1164-5563(01)01100-1</w:t>
      </w:r>
    </w:p>
    <w:p w14:paraId="30220EA6"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Massa, G.D., Kim, H.-H., Wheeler, R.M., Mitchell, C.A., 2008. Plant productivity in response to LED lighting. HortScience 43, 1951–1956.</w:t>
      </w:r>
    </w:p>
    <w:p w14:paraId="2598B9F8"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Meshcheryakova, E.N., Berman, D.I., 2014. Cold hardiness and geographic distribution of earthworms (Oligochaeta, Lumbricidae, Moniligastridae). Entomol. Rev. 94, 486–497. https://doi.org/10.1134/s0013873814040046</w:t>
      </w:r>
    </w:p>
    <w:p w14:paraId="6F231364"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Messing, I., Jarvis, N.J., 1990. Seasonal variation in field-saturated hydraulic conductivity in two swelling clay soils in Sweden. J. Soil Sci. 41, 229–237. https://doi.org/doi:10.1111/j.1365-2389.1990.tb00059.x</w:t>
      </w:r>
    </w:p>
    <w:p w14:paraId="2FABDB4A"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Michiels, N.K., Hohner, A., Vorndran, I.C., 2001. Precopulatory mate assessment in relation to body size in the earthworm Lumbricus terrestris: avoidance of dangerous liaisons? Behav. Ecol. 12, 612–618. https://doi.org/10.1093/beheco/12.5.612</w:t>
      </w:r>
    </w:p>
    <w:p w14:paraId="6F087860"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Migge-Kleian, S., McLean, M.A., Maerz, J.C., Heneghan, L., 2006. The influence of invasive earthworms on indigenous fauna in ecosystems previously uninhabited by earthworms. Biol. Invasions 8, 1275–1285. https://doi.org/10.1007/s10530-006-9021-9</w:t>
      </w:r>
    </w:p>
    <w:p w14:paraId="32FEFA8E"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Milleret, R., Le Bayon, R.-C., Gobat, J.-M., 2009. Root, mycorrhiza and earthworm interactions: their effects on soil structuring processes, plant and soil nutrient concentration and plant biomass. Plant Soil 316, 1–12. https://doi.org/10.1007/s11104-008-9753-7</w:t>
      </w:r>
    </w:p>
    <w:p w14:paraId="7ADEE0D7"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Nazareth, T. de M., Alonso-Garrido, M., Stanciu, O., Mañes, J., Manyes, L., Meca, G., 2020. Effect of allyl isothiocyanate on transcriptional profile, aflatoxin synthesis, and Aspergillus flavus growth. Food Res. Int. 128, 108786. https://doi.org/https://doi.org/10.1016/j.foodres.2019.108786</w:t>
      </w:r>
    </w:p>
    <w:p w14:paraId="53648E57"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Nazareth, T.M., Correa, J.A.F., Pinto, A., Palma, J.B., Meca, G., Bordin, K., Luciano, F.B., 2018. Evaluation of gaseous allyl isothiocyanate against the growth of mycotoxigenic fungi and mycotoxin production in corn stored for 6 months. J Sci Food Agric 98, 5235–5241. https://doi.org/10.1002/jsfa.9061</w:t>
      </w:r>
    </w:p>
    <w:p w14:paraId="53B591B8"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Nkonya, E., Anderson, W., Kato, E., Koo, J., Mirzabaev, A., von Braun, J., Meyer, S., 2016. Global Cost of Land Degradation, in: Nkonya, E., Mirzabaev, A., von Braun, J. (Eds.), Economics of Land Degradation and Improvement – A Global Assessment for Sustainable Development. Springer International Publishing, Cham, pp. 117–165. https://doi.org/10.1007/978-3-319-19168-3_6</w:t>
      </w:r>
    </w:p>
    <w:p w14:paraId="77A4322E"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Pérès, G., Cluzeau, D., Curmi, P., Hallaire, V., 1998. Earthworm activity and soil structure changes due to organic enrichments in vineyard systems. Biol. Fertil. Soils 27, 417–424. https://doi.org/10.1007/s003740050452</w:t>
      </w:r>
    </w:p>
    <w:p w14:paraId="712615F4"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Peters, A., Iden, S.C., Durner, W., 2015. Revisiting the simplified evaporation method: Identification of hydraulic functions considering vapor, film and corner flow. J. Hydrol. 527, 531–542. https://doi.org/http://dx.doi.org/10.1016/j.jhydrol.2015.05.020</w:t>
      </w:r>
    </w:p>
    <w:p w14:paraId="5D252C99"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Potvin, L.R., Lilleskov, E.A., 2017. Introduced earthworm species exhibited unique patterns of seasonal activity and vertical distribution, and Lumbricus terrestris burrows remained usable for at least 7 years in hardwood and pine stands. Biol. Fertil. Soils 53, 187–198. https://doi.org/10.1007/s00374-016-1173-x</w:t>
      </w:r>
    </w:p>
    <w:p w14:paraId="762CC644"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Reynolds, W.D., Elrick, D.E., 1991. Determination of hydraulic conductivity using a tension infiltrometer. Soil Sci. Soc. Am. J. 55, 633–639.</w:t>
      </w:r>
    </w:p>
    <w:p w14:paraId="2EBF12FE" w14:textId="77777777" w:rsidR="00B13605" w:rsidRPr="008D68D6" w:rsidRDefault="00B13605" w:rsidP="00B13605">
      <w:pPr>
        <w:widowControl w:val="0"/>
        <w:autoSpaceDE w:val="0"/>
        <w:autoSpaceDN w:val="0"/>
        <w:adjustRightInd w:val="0"/>
        <w:spacing w:line="240" w:lineRule="auto"/>
        <w:ind w:left="480" w:hanging="480"/>
        <w:rPr>
          <w:rFonts w:cs="Times New Roman"/>
          <w:noProof/>
          <w:szCs w:val="24"/>
          <w:lang w:val="fr-FR"/>
        </w:rPr>
      </w:pPr>
      <w:r w:rsidRPr="00B13605">
        <w:rPr>
          <w:rFonts w:cs="Times New Roman"/>
          <w:noProof/>
          <w:szCs w:val="24"/>
        </w:rPr>
        <w:t xml:space="preserve">Roarty, S., Schmidt, O., 2013. Permanent and new arable field margins support large earthworm communities but do not increase in-field populations. </w:t>
      </w:r>
      <w:r w:rsidRPr="008D68D6">
        <w:rPr>
          <w:rFonts w:cs="Times New Roman"/>
          <w:noProof/>
          <w:szCs w:val="24"/>
          <w:lang w:val="fr-FR"/>
        </w:rPr>
        <w:t>Agric. Ecosyst. Environ. 170, 45–55. https://doi.org/https://doi.org/10.1016/j.agee.2013.02.011</w:t>
      </w:r>
    </w:p>
    <w:p w14:paraId="73487083"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Roots, B.I., 1956. The water relations of earthworms: II. Resistance to desiccation and immersion, and behaviour when submerged and when allowed a choice of environment. J. Exp. Biol. 33, 29–44.</w:t>
      </w:r>
    </w:p>
    <w:p w14:paraId="3D11546A"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Scheu, S., 2003. Effects of earthworms on plant growth: patterns and perspectives: The 7th international symposium on earthworm ecology Cardiff Wales 2002. Pedobiologia (Jena). 47, 846–856. https://doi.org/https://doi.org/10.1078/0031-4056-00270</w:t>
      </w:r>
    </w:p>
    <w:p w14:paraId="5CE0460A"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Schindler, U., Durner, W., von Unold, G., Mueller, L., Wieland, R., 2010. The evaporation method: Extending the measurement range of soil hydraulic properties using the air-entry pressure of the ceramic cup. J. Plant Nutr. Soil Sci. 173, 563–572. https://doi.org/10.1002/jpln.200900201</w:t>
      </w:r>
    </w:p>
    <w:p w14:paraId="22EBDE2D"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Schroer, S., Hölker, F., 2016. Impact of lighting on flora and fauna, in: Karlicek, R., Sun, C.-C., Zissis, G., Ma, R. (Eds.), Handbook of Advanced Lighting Technology. Springer International Publishing, Cham, pp. 1–33. https://doi.org/10.1007/978-3-319-00295-8_42-1</w:t>
      </w:r>
    </w:p>
    <w:p w14:paraId="4DB73771"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Sharma, D.K., Tomar, S., Chakraborty, D., 2017. Role of earthworm in improving soil structure and functioning. Curr. Sci. 113, 1064–1071. https://doi.org/10.18520/cs/v113/i06/1064-1071</w:t>
      </w:r>
    </w:p>
    <w:p w14:paraId="08D6D4C1" w14:textId="77777777" w:rsidR="00B13605" w:rsidRPr="008D68D6" w:rsidRDefault="00B13605" w:rsidP="00B13605">
      <w:pPr>
        <w:widowControl w:val="0"/>
        <w:autoSpaceDE w:val="0"/>
        <w:autoSpaceDN w:val="0"/>
        <w:adjustRightInd w:val="0"/>
        <w:spacing w:line="240" w:lineRule="auto"/>
        <w:ind w:left="480" w:hanging="480"/>
        <w:rPr>
          <w:rFonts w:cs="Times New Roman"/>
          <w:noProof/>
          <w:szCs w:val="24"/>
          <w:lang w:val="fr-FR"/>
        </w:rPr>
      </w:pPr>
      <w:r w:rsidRPr="00B13605">
        <w:rPr>
          <w:rFonts w:cs="Times New Roman"/>
          <w:noProof/>
          <w:szCs w:val="24"/>
        </w:rPr>
        <w:t xml:space="preserve">Sinha, R.K., 2009. Earthworms: the miracle of nature (Charles Darwin’s ‘unheralded soldiers of mankind &amp; farmer’s friends’). </w:t>
      </w:r>
      <w:r w:rsidRPr="008D68D6">
        <w:rPr>
          <w:rFonts w:cs="Times New Roman"/>
          <w:noProof/>
          <w:szCs w:val="24"/>
          <w:lang w:val="fr-FR"/>
        </w:rPr>
        <w:t>Environmentalist 29, 339. https://doi.org/10.1007/s10669-009-9242-4</w:t>
      </w:r>
    </w:p>
    <w:p w14:paraId="34AC9667"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8D68D6">
        <w:rPr>
          <w:rFonts w:cs="Times New Roman"/>
          <w:noProof/>
          <w:szCs w:val="24"/>
          <w:lang w:val="fr-FR"/>
        </w:rPr>
        <w:t xml:space="preserve">Sinha, R.K., Agarwal, S., Chauhan, K., Chandran, V., Soni, B.K., 2010. </w:t>
      </w:r>
      <w:r w:rsidRPr="00B13605">
        <w:rPr>
          <w:rFonts w:cs="Times New Roman"/>
          <w:noProof/>
          <w:szCs w:val="24"/>
        </w:rPr>
        <w:t>Vermiculture Technology: Reviving the Dreams of Sir Charles Darwin for Scientific Use of Earthworms in Sustainable Development Programs. Technol. Invest. Vol.01No.0, 19. https://doi.org/10.4236/ti.2010.13019</w:t>
      </w:r>
    </w:p>
    <w:p w14:paraId="5C12C04A"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Six, J., Bossuyt, H., Degryze, S., Denef, K., 2004. A history of research on the link between (micro)aggregates, soil biota, and soil organic matter dynamics. Soil Tillage Res. 79, 7–31. https://doi.org/https://doi.org/10.1016/j.still.2004.03.008</w:t>
      </w:r>
    </w:p>
    <w:p w14:paraId="5667ACAD"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Smagin, A. V, Prusak, A. V, 2008. The effect of earthworm coprolites on the soil water retention curve. Eurasian Soil Sci. 41, 618–622. https://doi.org/10.1134/S1064229308060069</w:t>
      </w:r>
    </w:p>
    <w:p w14:paraId="625841DC"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Spurgeon, D.J., Hopkin, S.P., 1999. Seasonal variation in the abundance, biomass and biodiversity of earthworms in soils contaminated with metal emissions from a primary smelting works. J. Appl. Ecol. 36, 173–183. https://doi.org/doi:10.1046/j.1365-2664.1999.00389.x</w:t>
      </w:r>
    </w:p>
    <w:p w14:paraId="6EE38D08"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Strudley, M.W., Green, T.R., Ascough, J.C., 2008. Tillage effects on soil hydraulic properties in space and time: State of the science. Soil Tillage Res. 99, 4–48. https://doi.org/https://doi.org/10.1016/j.still.2008.01.007</w:t>
      </w:r>
    </w:p>
    <w:p w14:paraId="2AA64C44"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Tang, C.-S., Cui, Y.-J., Shi, B., Tang, A.-M., An, N., 2016. Effect of wetting-drying cycles on soil desiccation cracking behaviour. E3S Web Conf. 9, 12003.</w:t>
      </w:r>
    </w:p>
    <w:p w14:paraId="48C896F5"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The Economics of Land Degradation, 2015. The Value of Land:  Prosperous lands and positive rewards through sustainable land management. www.eld-initiative.org.</w:t>
      </w:r>
    </w:p>
    <w:p w14:paraId="52540F11"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Tisdall, J.M., Oades, J.M., 1982. Organic matter and water-stable aggregates in soils. J. Soil Sci. 33, 141–163. https://doi.org/10.1111/j.1365-2389.1982.tb01755.x</w:t>
      </w:r>
    </w:p>
    <w:p w14:paraId="7DD2E5C0"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Townsend, T.J., Ramsden, S.J., Wilson, P., 2016. How do we cultivate in England? Tillage practices in crop production systems. Soil Use Manag. 32, 106–117. https://doi.org/10.1111/sum.12241</w:t>
      </w:r>
    </w:p>
    <w:p w14:paraId="1EC4EA24"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Turner, B.L., Fuhrer, J., Wuellner, M., Menendez, H.M., Dunn, B.H., Gates, R., 2018. Scientific case studies in land-use driven soil erosion in the central United States: Why soil potential and risk concepts should be included in the principles of soil health. Int. Soil Water Conserv. Res. 6, 63–78. https://doi.org/https://doi.org/10.1016/j.iswcr.2017.12.004</w:t>
      </w:r>
    </w:p>
    <w:p w14:paraId="0357366E"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United Nations Convention to Combat Desertification, 2017. Global Land Outlook. Bonn, Germany.</w:t>
      </w:r>
    </w:p>
    <w:p w14:paraId="43CFDB26"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van Capelle, C., Schrader, S., Brunotte, J., 2012. Tillage-induced changes in the functional diversity of soil biota – A review with a focus on German data. Eur. J. Soil Biol. 50, 165–181. https://doi.org/https://doi.org/10.1016/j.ejsobi.2012.02.005</w:t>
      </w:r>
    </w:p>
    <w:p w14:paraId="18171BB2"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van Eekeren, N., Bommelé, L., Bloem, J., Schouten, T., Rutgers, M., de Goede, R., Reheul, D., Brussaard, L., 2008. Soil biological quality after 36 years of ley-arable cropping, permanent grassland and permanent arable cropping. Appl. Soil Ecol. 40, 432–446. https://doi.org/https://doi.org/10.1016/j.apsoil.2008.06.010</w:t>
      </w:r>
    </w:p>
    <w:p w14:paraId="498E3BCD"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Van Genuchten, M.T., 1980. A closed-form equation for predicting the hydraulic conductivity of unsaturated soils. Soil Sci. Soc. Am. J. 44, 892–898.</w:t>
      </w:r>
    </w:p>
    <w:p w14:paraId="709913E4"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van Groenigen, J.W., Lubbers, I.M., Vos, H.M.J., Brown, G.G., De Deyn, G.B., van Groenigen, K.J., 2014. Earthworms increase plant production: a meta-analysis. Sci. Rep. 4, 6365. https://doi.org/10.1038/srep06365</w:t>
      </w:r>
    </w:p>
    <w:p w14:paraId="3B9D0BAA"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Veihmeyer, F.J., Hendrickson, A.H., 1950. Soil Moisture in Relation to Plant Growth. Annu. Rev. Plant Physiol. 1, 285–304. https://doi.org/10.1146/annurev.pp.01.060150.001441</w:t>
      </w:r>
    </w:p>
    <w:p w14:paraId="12D539B9"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Watson, K.W., Luxmoore, R.J., 1986. Estimating macroporosity in a forest watershed by use of a tension infiltrometer1. Soil Sci. Soc. Am. J. 50, 578–582. https://doi.org/10.2136/sssaj1986.03615995005000030007x</w:t>
      </w:r>
    </w:p>
    <w:p w14:paraId="19143431"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Wiesmeier, M., Urbanski, L., Hobley, E., Lang, B., von Lützow, M., Marin-Spiotta, E., van Wesemael, B., Rabot, E., Ließ, M., Garcia-Franco, N., Wollschläger, U., Vogel, H.-J., Kögel-Knabner, I., 2019. Soil organic carbon storage as a key function of soils - A review of drivers and indicators at various scales. Geoderma 333, 149–162. https://doi.org/https://doi.org/10.1016/j.geoderma.2018.07.026</w:t>
      </w:r>
    </w:p>
    <w:p w14:paraId="3723084E"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Wilson, G.W.T., Rice, C.W., Rillig, M.C., Springer, A., Hartnett, D.C., 2009. Soil aggregation and carbon sequestration are tightly correlated with the abundance of arbuscular mycorrhizal fungi: results from long-term field experiments. Ecol. Lett. 12, 452–461. https://doi.org/doi:10.1111/j.1461-0248.2009.01303.x</w:t>
      </w:r>
    </w:p>
    <w:p w14:paraId="56025D45"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World Health Organisation, 2012. Spending on health: A global overview [WWW Document].</w:t>
      </w:r>
    </w:p>
    <w:p w14:paraId="33C0FE1A"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WRB, 2006. World reference base for soil resources, 2nd ed. ISRIC-FAO, Rome.</w:t>
      </w:r>
    </w:p>
    <w:p w14:paraId="0DE103B7"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Wyngaarden, S., Gaudin, A., Deen, W., Martin, R., 2015. Expanding Red Clover (Trifolium pratense) Usage in the Corn–Soy–Wheat Rotation. Sustainability 7, 15487.</w:t>
      </w:r>
    </w:p>
    <w:p w14:paraId="0C5835E9"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Yolcubal, I., Brusseau, M L, Artiola, J F, Wierenga, P., Wilson, L.G., 2004. 12 - ENVIRONMENTAL PHYSICAL PROPERTIES AND PROCESSES, in: Artiola, Janick F, Pepper, I.L., Brusseau, Mark L (Eds.), Environmental Monitoring and Characterization. Academic Press, Burlington, pp. 207–239. https://doi.org/https://doi.org/10.1016/B978-012064477-3/50014-X</w:t>
      </w:r>
    </w:p>
    <w:p w14:paraId="2F18E87D"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Zaborski, E.R., 2003. Allyl isothiocyanate: an alternative chemical expellant for sampling earthworms. Appl. Soil Ecol. 22, 87–95. https://doi.org/https://doi.org/10.1016/S0929-1393(02)00106-3</w:t>
      </w:r>
    </w:p>
    <w:p w14:paraId="699BC9C4"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Zaller, J.G., Wechselberger, K.F., Gorfer, M., Hann, P., Frank, T., Wanek, W., Drapela, T., 2013. Subsurface earthworm casts can be important soil microsites specifically influencing the growth of grassland plants. Biol. Fertil. Soils 4</w:t>
      </w:r>
      <w:bookmarkStart w:id="37" w:name="_GoBack"/>
      <w:bookmarkEnd w:id="37"/>
      <w:r w:rsidRPr="00B13605">
        <w:rPr>
          <w:rFonts w:cs="Times New Roman"/>
          <w:noProof/>
          <w:szCs w:val="24"/>
        </w:rPr>
        <w:t>9, 1097–1107. https://doi.org/10.1007/s00374-013-0808-4</w:t>
      </w:r>
    </w:p>
    <w:p w14:paraId="1898538D"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Zangiabadi, M., Gorji, M., Shorafa, M., Khavari Khorasani, S., Saadat, S., 2017. Effects of Soil Pore Size Distribution on Plant Available Water and Least Limiting Water Range as Soil Physical Quality Indicators. Pedosphere. https://doi.org/https://doi.org/10.1016/S1002-0160(17)60473-9</w:t>
      </w:r>
    </w:p>
    <w:p w14:paraId="26C9F88E" w14:textId="77777777" w:rsidR="00B13605" w:rsidRPr="00B13605" w:rsidRDefault="00B13605" w:rsidP="00B13605">
      <w:pPr>
        <w:widowControl w:val="0"/>
        <w:autoSpaceDE w:val="0"/>
        <w:autoSpaceDN w:val="0"/>
        <w:adjustRightInd w:val="0"/>
        <w:spacing w:line="240" w:lineRule="auto"/>
        <w:ind w:left="480" w:hanging="480"/>
        <w:rPr>
          <w:rFonts w:cs="Times New Roman"/>
          <w:noProof/>
          <w:szCs w:val="24"/>
        </w:rPr>
      </w:pPr>
      <w:r w:rsidRPr="00B13605">
        <w:rPr>
          <w:rFonts w:cs="Times New Roman"/>
          <w:noProof/>
          <w:szCs w:val="24"/>
        </w:rPr>
        <w:t>Zhang, R., 1997. Determination of soil sorptivity and hydraulic conductivity from the disk infiltrometer. Soil Sci. Soc. Am. J. 61, 1024–1030. https://doi.org/10.2136/sssaj1997.03615995006100040005x</w:t>
      </w:r>
    </w:p>
    <w:p w14:paraId="2D511922" w14:textId="77777777" w:rsidR="00B13605" w:rsidRPr="008D68D6" w:rsidRDefault="00B13605" w:rsidP="00B13605">
      <w:pPr>
        <w:widowControl w:val="0"/>
        <w:autoSpaceDE w:val="0"/>
        <w:autoSpaceDN w:val="0"/>
        <w:adjustRightInd w:val="0"/>
        <w:spacing w:line="240" w:lineRule="auto"/>
        <w:ind w:left="480" w:hanging="480"/>
        <w:rPr>
          <w:rFonts w:cs="Times New Roman"/>
          <w:noProof/>
          <w:lang w:val="fr-FR"/>
        </w:rPr>
      </w:pPr>
      <w:r w:rsidRPr="00B13605">
        <w:rPr>
          <w:rFonts w:cs="Times New Roman"/>
          <w:noProof/>
          <w:szCs w:val="24"/>
        </w:rPr>
        <w:t xml:space="preserve">Zhang, W., Hendrix, P.F., Dame, L.E., Burke, R.A., Wu, J., Neher, D.A., Li, J., Shao, Y., Fu, S., 2013. Earthworms facilitate carbon sequestration through unequal amplification of carbon stabilization compared with mineralization. </w:t>
      </w:r>
      <w:r w:rsidRPr="008D68D6">
        <w:rPr>
          <w:rFonts w:cs="Times New Roman"/>
          <w:noProof/>
          <w:szCs w:val="24"/>
          <w:lang w:val="fr-FR"/>
        </w:rPr>
        <w:t>Nat. Commun. 4, 2576. https://doi.org/10.1038/ncomms3576https://www.nature.com/articles/ncomms3576#supplementary-information</w:t>
      </w:r>
    </w:p>
    <w:p w14:paraId="1B3DF403" w14:textId="77777777" w:rsidR="00A84731" w:rsidRPr="00A84731" w:rsidRDefault="00B13605" w:rsidP="00A84731">
      <w:r>
        <w:fldChar w:fldCharType="end"/>
      </w:r>
    </w:p>
    <w:sectPr w:rsidR="00A84731" w:rsidRPr="00A84731" w:rsidSect="001448A4">
      <w:headerReference w:type="default" r:id="rId16"/>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D26DB8" w14:textId="77777777" w:rsidR="0096511F" w:rsidRDefault="0096511F">
      <w:pPr>
        <w:spacing w:after="0" w:line="240" w:lineRule="auto"/>
      </w:pPr>
      <w:r>
        <w:separator/>
      </w:r>
    </w:p>
  </w:endnote>
  <w:endnote w:type="continuationSeparator" w:id="0">
    <w:p w14:paraId="1E7B3FAF" w14:textId="77777777" w:rsidR="0096511F" w:rsidRDefault="00965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embo">
    <w:charset w:val="00"/>
    <w:family w:val="roman"/>
    <w:pitch w:val="variable"/>
    <w:sig w:usb0="8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18912" w14:textId="77777777" w:rsidR="001448A4" w:rsidRDefault="001448A4">
    <w:pPr>
      <w:pStyle w:val="Footer"/>
      <w:jc w:val="right"/>
    </w:pPr>
    <w:r>
      <w:rPr>
        <w:noProof/>
        <w:lang w:val="fr-FR"/>
      </w:rPr>
      <w:fldChar w:fldCharType="begin"/>
    </w:r>
    <w:r>
      <w:rPr>
        <w:noProof/>
        <w:lang w:val="fr-FR"/>
      </w:rPr>
      <w:instrText>PAGE   \* MERGEFORMAT</w:instrText>
    </w:r>
    <w:r>
      <w:rPr>
        <w:noProof/>
        <w:lang w:val="fr-FR"/>
      </w:rPr>
      <w:fldChar w:fldCharType="separate"/>
    </w:r>
    <w:r>
      <w:rPr>
        <w:noProof/>
        <w:lang w:val="fr-FR"/>
      </w:rPr>
      <w:t>41</w:t>
    </w:r>
    <w:r>
      <w:rPr>
        <w:noProof/>
        <w:lang w:val="fr-FR"/>
      </w:rPr>
      <w:fldChar w:fldCharType="end"/>
    </w:r>
  </w:p>
  <w:p w14:paraId="6F347079" w14:textId="77777777" w:rsidR="001448A4" w:rsidRDefault="001448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567158" w14:textId="77777777" w:rsidR="0096511F" w:rsidRDefault="0096511F">
      <w:pPr>
        <w:spacing w:after="0" w:line="240" w:lineRule="auto"/>
      </w:pPr>
      <w:r>
        <w:separator/>
      </w:r>
    </w:p>
  </w:footnote>
  <w:footnote w:type="continuationSeparator" w:id="0">
    <w:p w14:paraId="3AEFA422" w14:textId="77777777" w:rsidR="0096511F" w:rsidRDefault="009651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1B7BC" w14:textId="77777777" w:rsidR="001448A4" w:rsidRDefault="001448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C51EA" w14:textId="77777777" w:rsidR="001448A4" w:rsidRDefault="001448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72230" w14:textId="77777777" w:rsidR="001448A4" w:rsidRDefault="001448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21C04"/>
    <w:multiLevelType w:val="hybridMultilevel"/>
    <w:tmpl w:val="037ADB3A"/>
    <w:lvl w:ilvl="0" w:tplc="C80E441C">
      <w:start w:val="1"/>
      <w:numFmt w:val="lowerLetter"/>
      <w:lvlText w:val="(%1)"/>
      <w:lvlJc w:val="left"/>
      <w:pPr>
        <w:ind w:left="720" w:hanging="360"/>
      </w:pPr>
      <w:rPr>
        <w:rFonts w:cs="Times New Roman" w:hint="default"/>
        <w:color w:val="00000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34C35970"/>
    <w:multiLevelType w:val="hybridMultilevel"/>
    <w:tmpl w:val="E6C22D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117294"/>
    <w:multiLevelType w:val="hybridMultilevel"/>
    <w:tmpl w:val="2CE2652E"/>
    <w:lvl w:ilvl="0" w:tplc="B85E7F40">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6435B0D"/>
    <w:multiLevelType w:val="hybridMultilevel"/>
    <w:tmpl w:val="85128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C84C9B"/>
    <w:multiLevelType w:val="multilevel"/>
    <w:tmpl w:val="CF4072F4"/>
    <w:lvl w:ilvl="0">
      <w:start w:val="6"/>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 w15:restartNumberingAfterBreak="0">
    <w:nsid w:val="434D1CAA"/>
    <w:multiLevelType w:val="hybridMultilevel"/>
    <w:tmpl w:val="EE5E0E5A"/>
    <w:lvl w:ilvl="0" w:tplc="F1FE213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48A8098E"/>
    <w:multiLevelType w:val="hybridMultilevel"/>
    <w:tmpl w:val="1BF4E074"/>
    <w:lvl w:ilvl="0" w:tplc="04F8E9AC">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49FD2B25"/>
    <w:multiLevelType w:val="hybridMultilevel"/>
    <w:tmpl w:val="E9144108"/>
    <w:lvl w:ilvl="0" w:tplc="C658B16C">
      <w:start w:val="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5F038A"/>
    <w:multiLevelType w:val="hybridMultilevel"/>
    <w:tmpl w:val="9C003CF8"/>
    <w:lvl w:ilvl="0" w:tplc="F1FE213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5D125827"/>
    <w:multiLevelType w:val="hybridMultilevel"/>
    <w:tmpl w:val="3C145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63207A"/>
    <w:multiLevelType w:val="hybridMultilevel"/>
    <w:tmpl w:val="BC4089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9CA4B20"/>
    <w:multiLevelType w:val="hybridMultilevel"/>
    <w:tmpl w:val="0766235A"/>
    <w:lvl w:ilvl="0" w:tplc="0D2A49A0">
      <w:start w:val="13"/>
      <w:numFmt w:val="bullet"/>
      <w:lvlText w:val="-"/>
      <w:lvlJc w:val="left"/>
      <w:pPr>
        <w:ind w:left="720" w:hanging="360"/>
      </w:pPr>
      <w:rPr>
        <w:rFonts w:ascii="Calibri" w:eastAsia="Times New Roman" w:hAnsi="Calibri" w:hint="default"/>
      </w:rPr>
    </w:lvl>
    <w:lvl w:ilvl="1" w:tplc="0409000B">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812A10"/>
    <w:multiLevelType w:val="hybridMultilevel"/>
    <w:tmpl w:val="174ABF00"/>
    <w:lvl w:ilvl="0" w:tplc="A38EE992">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3C498E"/>
    <w:multiLevelType w:val="hybridMultilevel"/>
    <w:tmpl w:val="4386E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6226B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5"/>
  </w:num>
  <w:num w:numId="3">
    <w:abstractNumId w:val="8"/>
  </w:num>
  <w:num w:numId="4">
    <w:abstractNumId w:val="13"/>
  </w:num>
  <w:num w:numId="5">
    <w:abstractNumId w:val="11"/>
  </w:num>
  <w:num w:numId="6">
    <w:abstractNumId w:val="1"/>
  </w:num>
  <w:num w:numId="7">
    <w:abstractNumId w:val="12"/>
  </w:num>
  <w:num w:numId="8">
    <w:abstractNumId w:val="6"/>
  </w:num>
  <w:num w:numId="9">
    <w:abstractNumId w:val="0"/>
  </w:num>
  <w:num w:numId="10">
    <w:abstractNumId w:val="4"/>
  </w:num>
  <w:num w:numId="11">
    <w:abstractNumId w:val="9"/>
  </w:num>
  <w:num w:numId="12">
    <w:abstractNumId w:val="2"/>
  </w:num>
  <w:num w:numId="13">
    <w:abstractNumId w:val="7"/>
  </w:num>
  <w:num w:numId="14">
    <w:abstractNumId w:val="1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38409E"/>
    <w:rsid w:val="000013B0"/>
    <w:rsid w:val="00004FB0"/>
    <w:rsid w:val="0004105B"/>
    <w:rsid w:val="00077D61"/>
    <w:rsid w:val="00086BFA"/>
    <w:rsid w:val="00115387"/>
    <w:rsid w:val="001448A4"/>
    <w:rsid w:val="00172EDC"/>
    <w:rsid w:val="00172FE2"/>
    <w:rsid w:val="00174D47"/>
    <w:rsid w:val="0018070D"/>
    <w:rsid w:val="00217116"/>
    <w:rsid w:val="00231909"/>
    <w:rsid w:val="00264C9E"/>
    <w:rsid w:val="00264E07"/>
    <w:rsid w:val="00310034"/>
    <w:rsid w:val="00316EC4"/>
    <w:rsid w:val="00320DE0"/>
    <w:rsid w:val="00347894"/>
    <w:rsid w:val="00366989"/>
    <w:rsid w:val="003673E4"/>
    <w:rsid w:val="0038409E"/>
    <w:rsid w:val="00392F86"/>
    <w:rsid w:val="003A582B"/>
    <w:rsid w:val="003D4A59"/>
    <w:rsid w:val="003E1AFE"/>
    <w:rsid w:val="00416224"/>
    <w:rsid w:val="004551B9"/>
    <w:rsid w:val="004605CE"/>
    <w:rsid w:val="004A3DF8"/>
    <w:rsid w:val="004B0471"/>
    <w:rsid w:val="004B27B1"/>
    <w:rsid w:val="004B3EFE"/>
    <w:rsid w:val="004F1B9B"/>
    <w:rsid w:val="005037BC"/>
    <w:rsid w:val="00503F4F"/>
    <w:rsid w:val="00546952"/>
    <w:rsid w:val="005633D2"/>
    <w:rsid w:val="00563F3C"/>
    <w:rsid w:val="00567EBD"/>
    <w:rsid w:val="005706DF"/>
    <w:rsid w:val="00583124"/>
    <w:rsid w:val="00585BEB"/>
    <w:rsid w:val="0058668A"/>
    <w:rsid w:val="005B098A"/>
    <w:rsid w:val="005D2D30"/>
    <w:rsid w:val="005D4026"/>
    <w:rsid w:val="005E27ED"/>
    <w:rsid w:val="005F110D"/>
    <w:rsid w:val="0062393E"/>
    <w:rsid w:val="00631337"/>
    <w:rsid w:val="00650FF6"/>
    <w:rsid w:val="0066340A"/>
    <w:rsid w:val="00677D72"/>
    <w:rsid w:val="006B3A61"/>
    <w:rsid w:val="006E60D7"/>
    <w:rsid w:val="00756363"/>
    <w:rsid w:val="007660E4"/>
    <w:rsid w:val="00781416"/>
    <w:rsid w:val="00797772"/>
    <w:rsid w:val="007B2547"/>
    <w:rsid w:val="007F2ABE"/>
    <w:rsid w:val="00805A4A"/>
    <w:rsid w:val="008214EB"/>
    <w:rsid w:val="00861A9F"/>
    <w:rsid w:val="00866FDA"/>
    <w:rsid w:val="00884799"/>
    <w:rsid w:val="008A79C6"/>
    <w:rsid w:val="008B6E50"/>
    <w:rsid w:val="008C4828"/>
    <w:rsid w:val="008D68D6"/>
    <w:rsid w:val="0092308F"/>
    <w:rsid w:val="00926359"/>
    <w:rsid w:val="00941D69"/>
    <w:rsid w:val="00964366"/>
    <w:rsid w:val="0096511F"/>
    <w:rsid w:val="009F2CC2"/>
    <w:rsid w:val="009F56C1"/>
    <w:rsid w:val="00A1452E"/>
    <w:rsid w:val="00A15D17"/>
    <w:rsid w:val="00A24324"/>
    <w:rsid w:val="00A40964"/>
    <w:rsid w:val="00A543DD"/>
    <w:rsid w:val="00A75999"/>
    <w:rsid w:val="00A84731"/>
    <w:rsid w:val="00A87FB4"/>
    <w:rsid w:val="00A87FE5"/>
    <w:rsid w:val="00A95650"/>
    <w:rsid w:val="00AA410A"/>
    <w:rsid w:val="00AA55FA"/>
    <w:rsid w:val="00AB331F"/>
    <w:rsid w:val="00AB40AE"/>
    <w:rsid w:val="00AE1267"/>
    <w:rsid w:val="00AF664A"/>
    <w:rsid w:val="00B07F86"/>
    <w:rsid w:val="00B11C7B"/>
    <w:rsid w:val="00B13605"/>
    <w:rsid w:val="00B70161"/>
    <w:rsid w:val="00B751CC"/>
    <w:rsid w:val="00B8757D"/>
    <w:rsid w:val="00B91170"/>
    <w:rsid w:val="00B9318C"/>
    <w:rsid w:val="00CC3C82"/>
    <w:rsid w:val="00CC438B"/>
    <w:rsid w:val="00D002A8"/>
    <w:rsid w:val="00D226FD"/>
    <w:rsid w:val="00D320D5"/>
    <w:rsid w:val="00D35CC2"/>
    <w:rsid w:val="00D44477"/>
    <w:rsid w:val="00D52DB8"/>
    <w:rsid w:val="00D84CA2"/>
    <w:rsid w:val="00DE23A9"/>
    <w:rsid w:val="00E14CE6"/>
    <w:rsid w:val="00E60BCE"/>
    <w:rsid w:val="00E62A6F"/>
    <w:rsid w:val="00E7441F"/>
    <w:rsid w:val="00ED1756"/>
    <w:rsid w:val="00F56D1F"/>
    <w:rsid w:val="00FC04C3"/>
    <w:rsid w:val="00FD4B64"/>
    <w:rsid w:val="00FE48F3"/>
    <w:rsid w:val="00FE4F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DD536B"/>
  <w15:chartTrackingRefBased/>
  <w15:docId w15:val="{0DD2F64F-D36D-488E-BDF2-6844D1682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09E"/>
    <w:pPr>
      <w:spacing w:after="200" w:line="276" w:lineRule="auto"/>
    </w:pPr>
    <w:rPr>
      <w:rFonts w:ascii="Times New Roman" w:eastAsia="Calibri" w:hAnsi="Times New Roman" w:cs="Arial"/>
      <w:color w:val="000000"/>
      <w:sz w:val="24"/>
      <w:lang w:val="en-US"/>
    </w:rPr>
  </w:style>
  <w:style w:type="paragraph" w:styleId="Heading1">
    <w:name w:val="heading 1"/>
    <w:basedOn w:val="Normal"/>
    <w:next w:val="Normal"/>
    <w:link w:val="Heading1Char"/>
    <w:uiPriority w:val="99"/>
    <w:qFormat/>
    <w:rsid w:val="0038409E"/>
    <w:pPr>
      <w:keepNext/>
      <w:keepLines/>
      <w:spacing w:before="240" w:after="0" w:line="360" w:lineRule="auto"/>
      <w:jc w:val="center"/>
      <w:outlineLvl w:val="0"/>
    </w:pPr>
    <w:rPr>
      <w:rFonts w:eastAsia="Times New Roman" w:cs="Times New Roman"/>
      <w:b/>
      <w:sz w:val="28"/>
      <w:szCs w:val="32"/>
    </w:rPr>
  </w:style>
  <w:style w:type="paragraph" w:styleId="Heading2">
    <w:name w:val="heading 2"/>
    <w:basedOn w:val="Normal"/>
    <w:next w:val="Normal"/>
    <w:link w:val="Heading2Char"/>
    <w:uiPriority w:val="99"/>
    <w:qFormat/>
    <w:rsid w:val="0038409E"/>
    <w:pPr>
      <w:keepNext/>
      <w:keepLines/>
      <w:spacing w:before="40" w:after="0"/>
      <w:outlineLvl w:val="1"/>
    </w:pPr>
    <w:rPr>
      <w:rFonts w:eastAsia="Times New Roman" w:cs="Times New Roman"/>
      <w:b/>
      <w:sz w:val="26"/>
      <w:szCs w:val="26"/>
    </w:rPr>
  </w:style>
  <w:style w:type="paragraph" w:styleId="Heading3">
    <w:name w:val="heading 3"/>
    <w:basedOn w:val="Normal"/>
    <w:next w:val="Normal"/>
    <w:link w:val="Heading3Char"/>
    <w:uiPriority w:val="99"/>
    <w:qFormat/>
    <w:rsid w:val="0038409E"/>
    <w:pPr>
      <w:keepNext/>
      <w:keepLines/>
      <w:spacing w:before="120" w:after="120"/>
      <w:outlineLvl w:val="2"/>
    </w:pPr>
    <w:rPr>
      <w:rFonts w:eastAsia="Times New Roman" w:cs="Times New Roman"/>
      <w:b/>
      <w:bCs/>
      <w:i/>
      <w:iCs/>
      <w:szCs w:val="24"/>
    </w:rPr>
  </w:style>
  <w:style w:type="paragraph" w:styleId="Heading4">
    <w:name w:val="heading 4"/>
    <w:basedOn w:val="Normal"/>
    <w:next w:val="Normal"/>
    <w:link w:val="Heading4Char"/>
    <w:uiPriority w:val="99"/>
    <w:qFormat/>
    <w:rsid w:val="0038409E"/>
    <w:pPr>
      <w:keepNext/>
      <w:keepLines/>
      <w:spacing w:before="120" w:after="120"/>
      <w:outlineLvl w:val="3"/>
    </w:pPr>
    <w:rPr>
      <w:rFonts w:eastAsia="Times New Roman" w:cs="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38409E"/>
    <w:rPr>
      <w:rFonts w:ascii="Times New Roman" w:eastAsia="Times New Roman" w:hAnsi="Times New Roman" w:cs="Times New Roman"/>
      <w:b/>
      <w:color w:val="000000"/>
      <w:sz w:val="28"/>
      <w:szCs w:val="32"/>
      <w:lang w:val="en-US"/>
    </w:rPr>
  </w:style>
  <w:style w:type="character" w:customStyle="1" w:styleId="Heading2Char">
    <w:name w:val="Heading 2 Char"/>
    <w:link w:val="Heading2"/>
    <w:uiPriority w:val="99"/>
    <w:rsid w:val="0038409E"/>
    <w:rPr>
      <w:rFonts w:ascii="Times New Roman" w:eastAsia="Times New Roman" w:hAnsi="Times New Roman" w:cs="Times New Roman"/>
      <w:b/>
      <w:color w:val="000000"/>
      <w:sz w:val="26"/>
      <w:szCs w:val="26"/>
      <w:lang w:val="en-US"/>
    </w:rPr>
  </w:style>
  <w:style w:type="character" w:customStyle="1" w:styleId="Heading3Char">
    <w:name w:val="Heading 3 Char"/>
    <w:link w:val="Heading3"/>
    <w:uiPriority w:val="99"/>
    <w:rsid w:val="0038409E"/>
    <w:rPr>
      <w:rFonts w:ascii="Times New Roman" w:eastAsia="Times New Roman" w:hAnsi="Times New Roman" w:cs="Times New Roman"/>
      <w:b/>
      <w:bCs/>
      <w:i/>
      <w:iCs/>
      <w:color w:val="000000"/>
      <w:sz w:val="24"/>
      <w:szCs w:val="24"/>
      <w:lang w:val="en-US"/>
    </w:rPr>
  </w:style>
  <w:style w:type="character" w:customStyle="1" w:styleId="Heading4Char">
    <w:name w:val="Heading 4 Char"/>
    <w:link w:val="Heading4"/>
    <w:uiPriority w:val="99"/>
    <w:rsid w:val="0038409E"/>
    <w:rPr>
      <w:rFonts w:ascii="Times New Roman" w:eastAsia="Times New Roman" w:hAnsi="Times New Roman" w:cs="Times New Roman"/>
      <w:i/>
      <w:iCs/>
      <w:color w:val="000000"/>
      <w:sz w:val="24"/>
      <w:lang w:val="en-US"/>
    </w:rPr>
  </w:style>
  <w:style w:type="paragraph" w:styleId="ListParagraph">
    <w:name w:val="List Paragraph"/>
    <w:basedOn w:val="Normal"/>
    <w:uiPriority w:val="99"/>
    <w:qFormat/>
    <w:rsid w:val="0038409E"/>
    <w:pPr>
      <w:ind w:left="720"/>
      <w:contextualSpacing/>
    </w:pPr>
  </w:style>
  <w:style w:type="paragraph" w:styleId="Header">
    <w:name w:val="header"/>
    <w:basedOn w:val="Normal"/>
    <w:link w:val="HeaderChar"/>
    <w:uiPriority w:val="99"/>
    <w:rsid w:val="0038409E"/>
    <w:pPr>
      <w:tabs>
        <w:tab w:val="center" w:pos="4680"/>
        <w:tab w:val="right" w:pos="9360"/>
      </w:tabs>
      <w:spacing w:after="0" w:line="240" w:lineRule="auto"/>
    </w:pPr>
  </w:style>
  <w:style w:type="character" w:customStyle="1" w:styleId="HeaderChar">
    <w:name w:val="Header Char"/>
    <w:link w:val="Header"/>
    <w:uiPriority w:val="99"/>
    <w:rsid w:val="0038409E"/>
    <w:rPr>
      <w:rFonts w:ascii="Times New Roman" w:eastAsia="Calibri" w:hAnsi="Times New Roman" w:cs="Arial"/>
      <w:color w:val="000000"/>
      <w:sz w:val="24"/>
      <w:lang w:val="en-US"/>
    </w:rPr>
  </w:style>
  <w:style w:type="paragraph" w:styleId="Footer">
    <w:name w:val="footer"/>
    <w:basedOn w:val="Normal"/>
    <w:link w:val="FooterChar"/>
    <w:uiPriority w:val="99"/>
    <w:rsid w:val="0038409E"/>
    <w:pPr>
      <w:tabs>
        <w:tab w:val="center" w:pos="4680"/>
        <w:tab w:val="right" w:pos="9360"/>
      </w:tabs>
      <w:spacing w:after="0" w:line="240" w:lineRule="auto"/>
    </w:pPr>
  </w:style>
  <w:style w:type="character" w:customStyle="1" w:styleId="FooterChar">
    <w:name w:val="Footer Char"/>
    <w:link w:val="Footer"/>
    <w:uiPriority w:val="99"/>
    <w:rsid w:val="0038409E"/>
    <w:rPr>
      <w:rFonts w:ascii="Times New Roman" w:eastAsia="Calibri" w:hAnsi="Times New Roman" w:cs="Arial"/>
      <w:color w:val="000000"/>
      <w:sz w:val="24"/>
      <w:lang w:val="en-US"/>
    </w:rPr>
  </w:style>
  <w:style w:type="paragraph" w:customStyle="1" w:styleId="EndNoteBibliographyTitle">
    <w:name w:val="EndNote Bibliography Title"/>
    <w:basedOn w:val="Normal"/>
    <w:link w:val="EndNoteBibliographyTitleCar"/>
    <w:uiPriority w:val="99"/>
    <w:rsid w:val="0038409E"/>
    <w:pPr>
      <w:spacing w:after="0"/>
      <w:jc w:val="center"/>
    </w:pPr>
    <w:rPr>
      <w:rFonts w:ascii="Calibri" w:hAnsi="Calibri" w:cs="Calibri"/>
      <w:noProof/>
      <w:sz w:val="22"/>
    </w:rPr>
  </w:style>
  <w:style w:type="character" w:customStyle="1" w:styleId="EndNoteBibliographyTitleCar">
    <w:name w:val="EndNote Bibliography Title Car"/>
    <w:link w:val="EndNoteBibliographyTitle"/>
    <w:uiPriority w:val="99"/>
    <w:locked/>
    <w:rsid w:val="0038409E"/>
    <w:rPr>
      <w:rFonts w:ascii="Calibri" w:eastAsia="Calibri" w:hAnsi="Calibri" w:cs="Calibri"/>
      <w:noProof/>
      <w:color w:val="000000"/>
      <w:lang w:val="en-US"/>
    </w:rPr>
  </w:style>
  <w:style w:type="paragraph" w:customStyle="1" w:styleId="EndNoteBibliography">
    <w:name w:val="EndNote Bibliography"/>
    <w:basedOn w:val="Normal"/>
    <w:link w:val="EndNoteBibliographyCar"/>
    <w:uiPriority w:val="99"/>
    <w:rsid w:val="0038409E"/>
    <w:pPr>
      <w:spacing w:line="240" w:lineRule="auto"/>
    </w:pPr>
    <w:rPr>
      <w:rFonts w:ascii="Calibri" w:hAnsi="Calibri" w:cs="Calibri"/>
      <w:noProof/>
      <w:sz w:val="22"/>
    </w:rPr>
  </w:style>
  <w:style w:type="character" w:customStyle="1" w:styleId="EndNoteBibliographyCar">
    <w:name w:val="EndNote Bibliography Car"/>
    <w:link w:val="EndNoteBibliography"/>
    <w:uiPriority w:val="99"/>
    <w:locked/>
    <w:rsid w:val="0038409E"/>
    <w:rPr>
      <w:rFonts w:ascii="Calibri" w:eastAsia="Calibri" w:hAnsi="Calibri" w:cs="Calibri"/>
      <w:noProof/>
      <w:color w:val="000000"/>
      <w:lang w:val="en-US"/>
    </w:rPr>
  </w:style>
  <w:style w:type="character" w:styleId="Hyperlink">
    <w:name w:val="Hyperlink"/>
    <w:uiPriority w:val="99"/>
    <w:rsid w:val="0038409E"/>
    <w:rPr>
      <w:rFonts w:cs="Times New Roman"/>
      <w:color w:val="0000FF"/>
      <w:u w:val="single"/>
    </w:rPr>
  </w:style>
  <w:style w:type="table" w:styleId="TableGrid">
    <w:name w:val="Table Grid"/>
    <w:basedOn w:val="TableNormal"/>
    <w:uiPriority w:val="39"/>
    <w:rsid w:val="0038409E"/>
    <w:pPr>
      <w:spacing w:after="0" w:line="240" w:lineRule="auto"/>
    </w:pPr>
    <w:rPr>
      <w:rFonts w:ascii="Calibri" w:eastAsia="Calibri" w:hAnsi="Calibri" w:cs="Arial"/>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uiPriority w:val="99"/>
    <w:rsid w:val="0038409E"/>
    <w:pPr>
      <w:spacing w:after="0" w:line="240" w:lineRule="auto"/>
    </w:pPr>
    <w:rPr>
      <w:rFonts w:ascii="Calibri" w:eastAsia="Calibri" w:hAnsi="Calibri" w:cs="Arial"/>
      <w:sz w:val="20"/>
      <w:szCs w:val="20"/>
      <w:lang w:eastAsia="en-GB"/>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style>
  <w:style w:type="paragraph" w:customStyle="1" w:styleId="Default">
    <w:name w:val="Default"/>
    <w:uiPriority w:val="99"/>
    <w:rsid w:val="0038409E"/>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styleId="PlaceholderText">
    <w:name w:val="Placeholder Text"/>
    <w:uiPriority w:val="99"/>
    <w:semiHidden/>
    <w:rsid w:val="0038409E"/>
    <w:rPr>
      <w:rFonts w:cs="Times New Roman"/>
      <w:color w:val="808080"/>
    </w:rPr>
  </w:style>
  <w:style w:type="paragraph" w:styleId="Caption">
    <w:name w:val="caption"/>
    <w:basedOn w:val="Normal"/>
    <w:next w:val="Normal"/>
    <w:uiPriority w:val="99"/>
    <w:qFormat/>
    <w:rsid w:val="0038409E"/>
    <w:pPr>
      <w:spacing w:before="240" w:after="240" w:line="240" w:lineRule="auto"/>
      <w:jc w:val="both"/>
    </w:pPr>
    <w:rPr>
      <w:iCs/>
      <w:sz w:val="22"/>
      <w:szCs w:val="18"/>
    </w:rPr>
  </w:style>
  <w:style w:type="character" w:customStyle="1" w:styleId="apple-converted-space">
    <w:name w:val="apple-converted-space"/>
    <w:uiPriority w:val="99"/>
    <w:rsid w:val="0038409E"/>
    <w:rPr>
      <w:rFonts w:cs="Times New Roman"/>
    </w:rPr>
  </w:style>
  <w:style w:type="character" w:styleId="Emphasis">
    <w:name w:val="Emphasis"/>
    <w:uiPriority w:val="20"/>
    <w:qFormat/>
    <w:rsid w:val="0038409E"/>
    <w:rPr>
      <w:rFonts w:cs="Times New Roman"/>
      <w:i/>
      <w:iCs/>
    </w:rPr>
  </w:style>
  <w:style w:type="character" w:styleId="FollowedHyperlink">
    <w:name w:val="FollowedHyperlink"/>
    <w:uiPriority w:val="99"/>
    <w:semiHidden/>
    <w:rsid w:val="0038409E"/>
    <w:rPr>
      <w:rFonts w:cs="Times New Roman"/>
      <w:color w:val="800080"/>
      <w:u w:val="single"/>
    </w:rPr>
  </w:style>
  <w:style w:type="paragraph" w:styleId="TOCHeading">
    <w:name w:val="TOC Heading"/>
    <w:basedOn w:val="Heading1"/>
    <w:next w:val="Normal"/>
    <w:uiPriority w:val="99"/>
    <w:qFormat/>
    <w:rsid w:val="0038409E"/>
    <w:pPr>
      <w:spacing w:line="259" w:lineRule="auto"/>
      <w:outlineLvl w:val="9"/>
    </w:pPr>
  </w:style>
  <w:style w:type="paragraph" w:customStyle="1" w:styleId="Pa6">
    <w:name w:val="Pa6"/>
    <w:basedOn w:val="Default"/>
    <w:next w:val="Default"/>
    <w:uiPriority w:val="99"/>
    <w:rsid w:val="0038409E"/>
    <w:pPr>
      <w:spacing w:line="191" w:lineRule="atLeast"/>
    </w:pPr>
    <w:rPr>
      <w:rFonts w:ascii="Bembo" w:hAnsi="Bembo" w:cs="Arial"/>
      <w:color w:val="auto"/>
    </w:rPr>
  </w:style>
  <w:style w:type="paragraph" w:styleId="BalloonText">
    <w:name w:val="Balloon Text"/>
    <w:basedOn w:val="Normal"/>
    <w:link w:val="BalloonTextChar"/>
    <w:uiPriority w:val="99"/>
    <w:semiHidden/>
    <w:rsid w:val="0038409E"/>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8409E"/>
    <w:rPr>
      <w:rFonts w:ascii="Segoe UI" w:eastAsia="Calibri" w:hAnsi="Segoe UI" w:cs="Segoe UI"/>
      <w:color w:val="000000"/>
      <w:sz w:val="18"/>
      <w:szCs w:val="18"/>
      <w:lang w:val="en-US"/>
    </w:rPr>
  </w:style>
  <w:style w:type="character" w:customStyle="1" w:styleId="Mention1">
    <w:name w:val="Mention1"/>
    <w:uiPriority w:val="99"/>
    <w:semiHidden/>
    <w:rsid w:val="0038409E"/>
    <w:rPr>
      <w:rFonts w:cs="Times New Roman"/>
      <w:color w:val="2B579A"/>
      <w:shd w:val="clear" w:color="auto" w:fill="E6E6E6"/>
    </w:rPr>
  </w:style>
  <w:style w:type="character" w:customStyle="1" w:styleId="author">
    <w:name w:val="author"/>
    <w:uiPriority w:val="99"/>
    <w:rsid w:val="0038409E"/>
    <w:rPr>
      <w:rFonts w:cs="Times New Roman"/>
    </w:rPr>
  </w:style>
  <w:style w:type="character" w:customStyle="1" w:styleId="author-name">
    <w:name w:val="author-name"/>
    <w:uiPriority w:val="99"/>
    <w:rsid w:val="0038409E"/>
    <w:rPr>
      <w:rFonts w:cs="Times New Roman"/>
    </w:rPr>
  </w:style>
  <w:style w:type="character" w:customStyle="1" w:styleId="sr-only">
    <w:name w:val="sr-only"/>
    <w:uiPriority w:val="99"/>
    <w:rsid w:val="0038409E"/>
    <w:rPr>
      <w:rFonts w:cs="Times New Roman"/>
    </w:rPr>
  </w:style>
  <w:style w:type="character" w:customStyle="1" w:styleId="UnresolvedMention1">
    <w:name w:val="Unresolved Mention1"/>
    <w:uiPriority w:val="99"/>
    <w:semiHidden/>
    <w:rsid w:val="0038409E"/>
    <w:rPr>
      <w:rFonts w:cs="Times New Roman"/>
      <w:color w:val="808080"/>
      <w:shd w:val="clear" w:color="auto" w:fill="E6E6E6"/>
    </w:rPr>
  </w:style>
  <w:style w:type="character" w:customStyle="1" w:styleId="other-ref2">
    <w:name w:val="other-ref2"/>
    <w:uiPriority w:val="99"/>
    <w:rsid w:val="0038409E"/>
    <w:rPr>
      <w:rFonts w:cs="Times New Roman"/>
    </w:rPr>
  </w:style>
  <w:style w:type="table" w:customStyle="1" w:styleId="ListTable1Light1">
    <w:name w:val="List Table 1 Light1"/>
    <w:uiPriority w:val="99"/>
    <w:rsid w:val="0038409E"/>
    <w:pPr>
      <w:spacing w:after="0" w:line="240" w:lineRule="auto"/>
    </w:pPr>
    <w:rPr>
      <w:rFonts w:ascii="Calibri" w:eastAsia="Calibri" w:hAnsi="Calibri" w:cs="Arial"/>
      <w:sz w:val="20"/>
      <w:szCs w:val="20"/>
      <w:lang w:eastAsia="en-GB"/>
    </w:rPr>
    <w:tblPr>
      <w:tblStyleRowBandSize w:val="1"/>
      <w:tblStyleColBandSize w:val="1"/>
      <w:tblInd w:w="0" w:type="dxa"/>
      <w:tblCellMar>
        <w:top w:w="0" w:type="dxa"/>
        <w:left w:w="108" w:type="dxa"/>
        <w:bottom w:w="0" w:type="dxa"/>
        <w:right w:w="108" w:type="dxa"/>
      </w:tblCellMar>
    </w:tblPr>
  </w:style>
  <w:style w:type="table" w:customStyle="1" w:styleId="ListTable21">
    <w:name w:val="List Table 21"/>
    <w:uiPriority w:val="99"/>
    <w:rsid w:val="0038409E"/>
    <w:pPr>
      <w:spacing w:after="0" w:line="240" w:lineRule="auto"/>
    </w:pPr>
    <w:rPr>
      <w:rFonts w:ascii="Calibri" w:eastAsia="Calibri" w:hAnsi="Calibri" w:cs="Arial"/>
      <w:sz w:val="20"/>
      <w:szCs w:val="20"/>
      <w:lang w:eastAsia="en-GB"/>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style>
  <w:style w:type="character" w:customStyle="1" w:styleId="shorttext">
    <w:name w:val="short_text"/>
    <w:uiPriority w:val="99"/>
    <w:rsid w:val="0038409E"/>
    <w:rPr>
      <w:rFonts w:cs="Times New Roman"/>
    </w:rPr>
  </w:style>
  <w:style w:type="table" w:customStyle="1" w:styleId="PlainTable211">
    <w:name w:val="Plain Table 211"/>
    <w:uiPriority w:val="99"/>
    <w:rsid w:val="0038409E"/>
    <w:pPr>
      <w:spacing w:after="0" w:line="240" w:lineRule="auto"/>
    </w:pPr>
    <w:rPr>
      <w:rFonts w:ascii="Calibri" w:eastAsia="Calibri" w:hAnsi="Calibri" w:cs="Arial"/>
      <w:sz w:val="20"/>
      <w:szCs w:val="20"/>
      <w:lang w:eastAsia="en-GB"/>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style>
  <w:style w:type="table" w:customStyle="1" w:styleId="PlainTable22">
    <w:name w:val="Plain Table 22"/>
    <w:uiPriority w:val="99"/>
    <w:rsid w:val="0038409E"/>
    <w:pPr>
      <w:spacing w:after="0" w:line="240" w:lineRule="auto"/>
    </w:pPr>
    <w:rPr>
      <w:rFonts w:ascii="Calibri" w:eastAsia="Calibri" w:hAnsi="Calibri" w:cs="Arial"/>
      <w:sz w:val="20"/>
      <w:szCs w:val="20"/>
      <w:lang w:eastAsia="en-GB"/>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style>
  <w:style w:type="character" w:styleId="CommentReference">
    <w:name w:val="annotation reference"/>
    <w:uiPriority w:val="99"/>
    <w:semiHidden/>
    <w:rsid w:val="0038409E"/>
    <w:rPr>
      <w:rFonts w:cs="Times New Roman"/>
      <w:sz w:val="16"/>
      <w:szCs w:val="16"/>
    </w:rPr>
  </w:style>
  <w:style w:type="paragraph" w:styleId="CommentText">
    <w:name w:val="annotation text"/>
    <w:basedOn w:val="Normal"/>
    <w:link w:val="CommentTextChar"/>
    <w:uiPriority w:val="99"/>
    <w:rsid w:val="0038409E"/>
    <w:pPr>
      <w:spacing w:line="240" w:lineRule="auto"/>
    </w:pPr>
    <w:rPr>
      <w:sz w:val="20"/>
      <w:szCs w:val="20"/>
    </w:rPr>
  </w:style>
  <w:style w:type="character" w:customStyle="1" w:styleId="CommentTextChar">
    <w:name w:val="Comment Text Char"/>
    <w:link w:val="CommentText"/>
    <w:uiPriority w:val="99"/>
    <w:rsid w:val="0038409E"/>
    <w:rPr>
      <w:rFonts w:ascii="Times New Roman" w:eastAsia="Calibri" w:hAnsi="Times New Roman" w:cs="Arial"/>
      <w:color w:val="000000"/>
      <w:sz w:val="20"/>
      <w:szCs w:val="20"/>
      <w:lang w:val="en-US"/>
    </w:rPr>
  </w:style>
  <w:style w:type="paragraph" w:styleId="CommentSubject">
    <w:name w:val="annotation subject"/>
    <w:basedOn w:val="CommentText"/>
    <w:next w:val="CommentText"/>
    <w:link w:val="CommentSubjectChar"/>
    <w:uiPriority w:val="99"/>
    <w:semiHidden/>
    <w:rsid w:val="0038409E"/>
    <w:rPr>
      <w:b/>
      <w:bCs/>
    </w:rPr>
  </w:style>
  <w:style w:type="character" w:customStyle="1" w:styleId="CommentSubjectChar">
    <w:name w:val="Comment Subject Char"/>
    <w:link w:val="CommentSubject"/>
    <w:uiPriority w:val="99"/>
    <w:semiHidden/>
    <w:rsid w:val="0038409E"/>
    <w:rPr>
      <w:rFonts w:ascii="Times New Roman" w:eastAsia="Calibri" w:hAnsi="Times New Roman" w:cs="Arial"/>
      <w:b/>
      <w:bCs/>
      <w:color w:val="000000"/>
      <w:sz w:val="20"/>
      <w:szCs w:val="20"/>
      <w:lang w:val="en-US"/>
    </w:rPr>
  </w:style>
  <w:style w:type="table" w:customStyle="1" w:styleId="TableGridLight1">
    <w:name w:val="Table Grid Light1"/>
    <w:uiPriority w:val="99"/>
    <w:rsid w:val="0038409E"/>
    <w:pPr>
      <w:spacing w:after="0" w:line="240" w:lineRule="auto"/>
    </w:pPr>
    <w:rPr>
      <w:rFonts w:ascii="Calibri" w:eastAsia="Calibri" w:hAnsi="Calibri" w:cs="Arial"/>
      <w:sz w:val="20"/>
      <w:szCs w:val="20"/>
      <w:lang w:eastAsia="en-GB"/>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NormalWeb">
    <w:name w:val="Normal (Web)"/>
    <w:basedOn w:val="Normal"/>
    <w:uiPriority w:val="99"/>
    <w:semiHidden/>
    <w:rsid w:val="0038409E"/>
    <w:pPr>
      <w:spacing w:before="100" w:beforeAutospacing="1" w:after="100" w:afterAutospacing="1" w:line="240" w:lineRule="auto"/>
    </w:pPr>
    <w:rPr>
      <w:rFonts w:eastAsia="Times New Roman" w:cs="Times New Roman"/>
      <w:szCs w:val="24"/>
      <w:lang w:val="en-GB" w:eastAsia="en-GB"/>
    </w:rPr>
  </w:style>
  <w:style w:type="paragraph" w:styleId="NoSpacing">
    <w:name w:val="No Spacing"/>
    <w:uiPriority w:val="99"/>
    <w:qFormat/>
    <w:rsid w:val="0038409E"/>
    <w:pPr>
      <w:spacing w:after="0" w:line="240" w:lineRule="auto"/>
    </w:pPr>
    <w:rPr>
      <w:rFonts w:ascii="Times New Roman" w:eastAsia="Calibri" w:hAnsi="Times New Roman" w:cs="Arial"/>
      <w:color w:val="000000"/>
      <w:sz w:val="24"/>
      <w:lang w:val="en-US"/>
    </w:rPr>
  </w:style>
  <w:style w:type="paragraph" w:styleId="Revision">
    <w:name w:val="Revision"/>
    <w:hidden/>
    <w:uiPriority w:val="99"/>
    <w:semiHidden/>
    <w:rsid w:val="0038409E"/>
    <w:pPr>
      <w:spacing w:after="0" w:line="240" w:lineRule="auto"/>
    </w:pPr>
    <w:rPr>
      <w:rFonts w:ascii="Times New Roman" w:eastAsia="Calibri" w:hAnsi="Times New Roman" w:cs="Arial"/>
      <w:color w:val="000000"/>
      <w:sz w:val="24"/>
      <w:lang w:val="en-US"/>
    </w:rPr>
  </w:style>
  <w:style w:type="character" w:customStyle="1" w:styleId="title-text">
    <w:name w:val="title-text"/>
    <w:uiPriority w:val="99"/>
    <w:rsid w:val="0038409E"/>
    <w:rPr>
      <w:rFonts w:cs="Times New Roman"/>
    </w:rPr>
  </w:style>
  <w:style w:type="character" w:customStyle="1" w:styleId="UnresolvedMention2">
    <w:name w:val="Unresolved Mention2"/>
    <w:uiPriority w:val="99"/>
    <w:semiHidden/>
    <w:rsid w:val="0038409E"/>
    <w:rPr>
      <w:rFonts w:cs="Times New Roman"/>
      <w:color w:val="605E5C"/>
      <w:shd w:val="clear" w:color="auto" w:fill="E1DFDD"/>
    </w:rPr>
  </w:style>
  <w:style w:type="character" w:customStyle="1" w:styleId="m-6250480566839421162st1">
    <w:name w:val="m_-6250480566839421162st1"/>
    <w:uiPriority w:val="99"/>
    <w:rsid w:val="0038409E"/>
    <w:rPr>
      <w:rFonts w:cs="Times New Roman"/>
    </w:rPr>
  </w:style>
  <w:style w:type="character" w:styleId="LineNumber">
    <w:name w:val="line number"/>
    <w:uiPriority w:val="99"/>
    <w:semiHidden/>
    <w:rsid w:val="0038409E"/>
    <w:rPr>
      <w:rFonts w:cs="Times New Roman"/>
    </w:rPr>
  </w:style>
  <w:style w:type="character" w:customStyle="1" w:styleId="UnresolvedMention3">
    <w:name w:val="Unresolved Mention3"/>
    <w:uiPriority w:val="99"/>
    <w:semiHidden/>
    <w:rsid w:val="0038409E"/>
    <w:rPr>
      <w:rFonts w:cs="Times New Roman"/>
      <w:color w:val="605E5C"/>
      <w:shd w:val="clear" w:color="auto" w:fill="E1DFDD"/>
    </w:rPr>
  </w:style>
  <w:style w:type="character" w:customStyle="1" w:styleId="UnresolvedMention4">
    <w:name w:val="Unresolved Mention4"/>
    <w:uiPriority w:val="99"/>
    <w:semiHidden/>
    <w:rsid w:val="0038409E"/>
    <w:rPr>
      <w:rFonts w:cs="Times New Roman"/>
      <w:color w:val="605E5C"/>
      <w:shd w:val="clear" w:color="auto" w:fill="E1DFDD"/>
    </w:rPr>
  </w:style>
  <w:style w:type="character" w:customStyle="1" w:styleId="UnresolvedMention5">
    <w:name w:val="Unresolved Mention5"/>
    <w:uiPriority w:val="99"/>
    <w:semiHidden/>
    <w:rsid w:val="0038409E"/>
    <w:rPr>
      <w:rFonts w:cs="Times New Roman"/>
      <w:color w:val="605E5C"/>
      <w:shd w:val="clear" w:color="auto" w:fill="E1DFDD"/>
    </w:rPr>
  </w:style>
  <w:style w:type="character" w:customStyle="1" w:styleId="UnresolvedMention6">
    <w:name w:val="Unresolved Mention6"/>
    <w:uiPriority w:val="99"/>
    <w:semiHidden/>
    <w:unhideWhenUsed/>
    <w:rsid w:val="0038409E"/>
    <w:rPr>
      <w:color w:val="605E5C"/>
      <w:shd w:val="clear" w:color="auto" w:fill="E1DFDD"/>
    </w:rPr>
  </w:style>
  <w:style w:type="character" w:customStyle="1" w:styleId="UnresolvedMention7">
    <w:name w:val="Unresolved Mention7"/>
    <w:uiPriority w:val="99"/>
    <w:semiHidden/>
    <w:unhideWhenUsed/>
    <w:rsid w:val="0038409E"/>
    <w:rPr>
      <w:color w:val="605E5C"/>
      <w:shd w:val="clear" w:color="auto" w:fill="E1DFDD"/>
    </w:rPr>
  </w:style>
  <w:style w:type="character" w:customStyle="1" w:styleId="UnresolvedMention8">
    <w:name w:val="Unresolved Mention8"/>
    <w:basedOn w:val="DefaultParagraphFont"/>
    <w:uiPriority w:val="99"/>
    <w:semiHidden/>
    <w:unhideWhenUsed/>
    <w:rsid w:val="0038409E"/>
    <w:rPr>
      <w:color w:val="605E5C"/>
      <w:shd w:val="clear" w:color="auto" w:fill="E1DFDD"/>
    </w:rPr>
  </w:style>
  <w:style w:type="character" w:customStyle="1" w:styleId="UnresolvedMention9">
    <w:name w:val="Unresolved Mention9"/>
    <w:basedOn w:val="DefaultParagraphFont"/>
    <w:uiPriority w:val="99"/>
    <w:semiHidden/>
    <w:unhideWhenUsed/>
    <w:rsid w:val="0038409E"/>
    <w:rPr>
      <w:color w:val="605E5C"/>
      <w:shd w:val="clear" w:color="auto" w:fill="E1DFDD"/>
    </w:rPr>
  </w:style>
  <w:style w:type="character" w:customStyle="1" w:styleId="UnresolvedMention10">
    <w:name w:val="Unresolved Mention10"/>
    <w:basedOn w:val="DefaultParagraphFont"/>
    <w:uiPriority w:val="99"/>
    <w:semiHidden/>
    <w:unhideWhenUsed/>
    <w:rsid w:val="0038409E"/>
    <w:rPr>
      <w:color w:val="605E5C"/>
      <w:shd w:val="clear" w:color="auto" w:fill="E1DFDD"/>
    </w:rPr>
  </w:style>
  <w:style w:type="character" w:customStyle="1" w:styleId="UnresolvedMention11">
    <w:name w:val="Unresolved Mention11"/>
    <w:basedOn w:val="DefaultParagraphFont"/>
    <w:uiPriority w:val="99"/>
    <w:semiHidden/>
    <w:unhideWhenUsed/>
    <w:rsid w:val="003840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279</TotalTime>
  <Pages>51</Pages>
  <Words>58991</Words>
  <Characters>336252</Characters>
  <Application>Microsoft Office Word</Application>
  <DocSecurity>0</DocSecurity>
  <Lines>2802</Lines>
  <Paragraphs>788</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Abstract </vt:lpstr>
      <vt:lpstr>    Introduction</vt:lpstr>
    </vt:vector>
  </TitlesOfParts>
  <Company/>
  <LinksUpToDate>false</LinksUpToDate>
  <CharactersWithSpaces>394455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Jamal Hallam</dc:creator>
  <cp:keywords/>
  <dc:description/>
  <cp:lastModifiedBy>Jamal Hallam</cp:lastModifiedBy>
  <cp:revision>80</cp:revision>
  <cp:lastPrinted>2019-12-29T19:54:00Z</cp:lastPrinted>
  <dcterms:created xsi:type="dcterms:W3CDTF">2019-12-29T12:15:00Z</dcterms:created>
  <dcterms:modified xsi:type="dcterms:W3CDTF">2019-12-29T19:55:00Z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4244bb9d-76a5-35eb-abce-89869a867d1d</vt:lpwstr>
  </property>
  <property fmtid="{D5CDD505-2E9C-101B-9397-08002B2CF9AE}" pid="4" name="Mendeley Citation Style_1">
    <vt:lpwstr>http://www.zotero.org/styles/science-of-the-total-environment</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http://www.zotero.org/styles/biology-and-fertility-of-soils</vt:lpwstr>
  </property>
  <property fmtid="{D5CDD505-2E9C-101B-9397-08002B2CF9AE}" pid="12" name="Mendeley Recent Style Name 3_1">
    <vt:lpwstr>Biology and Fertility of Soils</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http://csl.mendeley.com/styles/22817841/convert-to-endnote</vt:lpwstr>
  </property>
  <property fmtid="{D5CDD505-2E9C-101B-9397-08002B2CF9AE}" pid="18" name="Mendeley Recent Style Name 6_1">
    <vt:lpwstr>Convert to EndNote</vt:lpwstr>
  </property>
  <property fmtid="{D5CDD505-2E9C-101B-9397-08002B2CF9AE}" pid="19" name="Mendeley Recent Style Id 7_1">
    <vt:lpwstr>http://www.zotero.org/styles/food-and-agriculture-organization-of-the-united-nations</vt:lpwstr>
  </property>
  <property fmtid="{D5CDD505-2E9C-101B-9397-08002B2CF9AE}" pid="20" name="Mendeley Recent Style Name 7_1">
    <vt:lpwstr>Food and Agriculture Organization of the United Nations</vt:lpwstr>
  </property>
  <property fmtid="{D5CDD505-2E9C-101B-9397-08002B2CF9AE}" pid="21" name="Mendeley Recent Style Id 8_1">
    <vt:lpwstr>http://www.zotero.org/styles/ieee</vt:lpwstr>
  </property>
  <property fmtid="{D5CDD505-2E9C-101B-9397-08002B2CF9AE}" pid="22" name="Mendeley Recent Style Name 8_1">
    <vt:lpwstr>IEEE</vt:lpwstr>
  </property>
  <property fmtid="{D5CDD505-2E9C-101B-9397-08002B2CF9AE}" pid="23" name="Mendeley Recent Style Id 9_1">
    <vt:lpwstr>http://www.zotero.org/styles/science-of-the-total-environment</vt:lpwstr>
  </property>
  <property fmtid="{D5CDD505-2E9C-101B-9397-08002B2CF9AE}" pid="24" name="Mendeley Recent Style Name 9_1">
    <vt:lpwstr>Science of the Total Environment</vt:lpwstr>
  </property>
</Properties>
</file>