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42789" w14:textId="77777777" w:rsidR="001C5747" w:rsidRDefault="001C5747" w:rsidP="001C5747">
      <w:pPr>
        <w:pStyle w:val="Heading2"/>
        <w:rPr>
          <w:lang w:val="en-US"/>
        </w:rPr>
      </w:pPr>
      <w:bookmarkStart w:id="0" w:name="_GoBack"/>
      <w:bookmarkEnd w:id="0"/>
      <w:r>
        <w:rPr>
          <w:lang w:val="en-US"/>
        </w:rPr>
        <w:t>Abstract</w:t>
      </w:r>
    </w:p>
    <w:p w14:paraId="0BBDA484" w14:textId="77777777" w:rsidR="001C5747" w:rsidRDefault="001C5747" w:rsidP="001C5747">
      <w:r w:rsidRPr="006A25E6">
        <w:rPr>
          <w:b/>
          <w:bCs/>
          <w:lang w:val="en-US"/>
        </w:rPr>
        <w:t>Purpose:</w:t>
      </w:r>
      <w:r>
        <w:rPr>
          <w:lang w:val="en-US"/>
        </w:rPr>
        <w:t xml:space="preserve"> </w:t>
      </w:r>
      <w:r>
        <w:t xml:space="preserve">Evaluating whether or not a new health technology provides good value for money requires an assessment of its opportunity cost.  If the opportunity cost of the new health technology exceeds the benefits, however measured, then a net loss is produced. </w:t>
      </w:r>
      <w:r>
        <w:rPr>
          <w:lang w:val="en-US"/>
        </w:rPr>
        <w:t>V</w:t>
      </w:r>
      <w:r>
        <w:t xml:space="preserve">alue frameworks employing economic evaluation methods have been developed to guide the assessment of the value of new technologies within health care in response to </w:t>
      </w:r>
      <w:r w:rsidRPr="00540612">
        <w:t>rising spending</w:t>
      </w:r>
      <w:r>
        <w:t>.  However,</w:t>
      </w:r>
      <w:r w:rsidRPr="00451903">
        <w:t xml:space="preserve"> few explicitly consider health opportunity costs and fewer still base health opportunity costs on empirical estimates</w:t>
      </w:r>
      <w:r>
        <w:t xml:space="preserve">. This may, in part, be due to the dearth of estimates available, with only a handful of countries having estimates based on within-country data. To fill this gap, this paper provides estimates of cost per DALY averted for </w:t>
      </w:r>
      <w:r w:rsidRPr="00632E40">
        <w:t>33 high-income countries and the remaining OECD and BRIICS countries</w:t>
      </w:r>
      <w:r>
        <w:t xml:space="preserve">.  </w:t>
      </w:r>
    </w:p>
    <w:p w14:paraId="055D0518" w14:textId="77777777" w:rsidR="001C5747" w:rsidRDefault="001C5747" w:rsidP="001C5747">
      <w:r w:rsidRPr="006A25E6">
        <w:rPr>
          <w:b/>
          <w:bCs/>
          <w:lang w:val="en-US"/>
        </w:rPr>
        <w:t>Methods:</w:t>
      </w:r>
      <w:r w:rsidRPr="0087251F">
        <w:t xml:space="preserve"> </w:t>
      </w:r>
      <w:r>
        <w:t>We calculate cost per DALY averted for each country based on estimated elasticities of the health effects of changes in expenditure on health outcomes from applying: 1) an existing published econometric model that employs cross-country data to an expanded dataset; and 2) other existing elasticities drawn from selected UK within-country studies; to country-level data on health expenditure, demography and burden of ill health.  In order to provide a comprehensive picture of the state of research around empirical estimates of health opportunity costs for these countries, the cost per DALY averted estimates from this paper are reported against previously published estimates of cost per QALY gained for the same countries.</w:t>
      </w:r>
    </w:p>
    <w:p w14:paraId="5C99127A" w14:textId="77777777" w:rsidR="001C5747" w:rsidRDefault="001C5747" w:rsidP="001C5747">
      <w:pPr>
        <w:rPr>
          <w:bCs/>
          <w:lang w:val="en-US"/>
        </w:rPr>
      </w:pPr>
      <w:r w:rsidRPr="006A25E6">
        <w:rPr>
          <w:b/>
          <w:bCs/>
          <w:lang w:val="en-US"/>
        </w:rPr>
        <w:t>Findings:</w:t>
      </w:r>
      <w:r>
        <w:rPr>
          <w:b/>
          <w:bCs/>
          <w:lang w:val="en-US"/>
        </w:rPr>
        <w:t xml:space="preserve"> </w:t>
      </w:r>
      <w:r w:rsidRPr="004974CC">
        <w:rPr>
          <w:bCs/>
          <w:lang w:val="en-US"/>
        </w:rPr>
        <w:t>All but one of the ranges</w:t>
      </w:r>
      <w:r>
        <w:rPr>
          <w:bCs/>
          <w:lang w:val="en-US"/>
        </w:rPr>
        <w:t xml:space="preserve"> estimated </w:t>
      </w:r>
      <w:r w:rsidRPr="004974CC">
        <w:rPr>
          <w:bCs/>
          <w:lang w:val="en-US"/>
        </w:rPr>
        <w:t>fall below 3x GDP per capita,</w:t>
      </w:r>
      <w:r>
        <w:rPr>
          <w:bCs/>
          <w:lang w:val="en-US"/>
        </w:rPr>
        <w:t xml:space="preserve"> the upper end of the widely applied range of 1-3x GDP per capita.  The range of estimates based on applying 1) </w:t>
      </w:r>
      <w:r>
        <w:t>an existing published econometric model that employs cross-country data to an expanded dataset</w:t>
      </w:r>
      <w:r>
        <w:rPr>
          <w:bCs/>
          <w:lang w:val="en-US"/>
        </w:rPr>
        <w:t xml:space="preserve"> are higher than 2) when cost per DALY averted is calculated from </w:t>
      </w:r>
      <w:r>
        <w:t>other existing elasticities of the health effects of changes in expenditure drawn from selected UK within-country studies.  They also tend to be higher</w:t>
      </w:r>
      <w:r>
        <w:rPr>
          <w:bCs/>
          <w:lang w:val="en-US"/>
        </w:rPr>
        <w:t xml:space="preserve"> than </w:t>
      </w:r>
      <w:r>
        <w:t>published estimates of cost per QALY gained.</w:t>
      </w:r>
    </w:p>
    <w:p w14:paraId="7766CB54" w14:textId="77777777" w:rsidR="001C5747" w:rsidRDefault="001C5747" w:rsidP="001C5747">
      <w:r w:rsidRPr="006A25E6">
        <w:rPr>
          <w:b/>
          <w:bCs/>
          <w:lang w:val="en-US"/>
        </w:rPr>
        <w:t>Implications:</w:t>
      </w:r>
      <w:r>
        <w:rPr>
          <w:lang w:val="en-US"/>
        </w:rPr>
        <w:t xml:space="preserve"> </w:t>
      </w:r>
      <w:r w:rsidRPr="00632E40">
        <w:t xml:space="preserve">This paper provides placeholder </w:t>
      </w:r>
      <w:r>
        <w:t xml:space="preserve">cost per DALY averted </w:t>
      </w:r>
      <w:r w:rsidRPr="00632E40">
        <w:t>estimates</w:t>
      </w:r>
      <w:r>
        <w:t xml:space="preserve"> that reflect health opportunity costs</w:t>
      </w:r>
      <w:r w:rsidRPr="00632E40">
        <w:t xml:space="preserve"> for 33 high-income countries and the remaining OECD and BRIICS countries</w:t>
      </w:r>
      <w:r>
        <w:t>.  These estimates</w:t>
      </w:r>
      <w:r w:rsidRPr="00632E40">
        <w:t xml:space="preserve"> can be used to estimate the health opportunity costs of government health care expenditure until more robust estimates of country-specific health opportunity cost are estimated using within country data. </w:t>
      </w:r>
    </w:p>
    <w:p w14:paraId="548F10BB" w14:textId="77777777" w:rsidR="001C5747" w:rsidRDefault="001C5747" w:rsidP="00D351C4">
      <w:pPr>
        <w:pStyle w:val="Heading2"/>
      </w:pPr>
    </w:p>
    <w:p w14:paraId="4DEE40A3" w14:textId="3D933CC4" w:rsidR="00D351C4" w:rsidRDefault="00D351C4" w:rsidP="00D351C4">
      <w:pPr>
        <w:pStyle w:val="Heading2"/>
      </w:pPr>
      <w:r>
        <w:t>Introduction</w:t>
      </w:r>
    </w:p>
    <w:p w14:paraId="593FADCE" w14:textId="404ABA8F" w:rsidR="00A45E25" w:rsidRDefault="00A4354F" w:rsidP="00430F90">
      <w:r>
        <w:t xml:space="preserve">Value frameworks have been developed </w:t>
      </w:r>
      <w:r w:rsidR="0038017C">
        <w:t>to guide the assessment of</w:t>
      </w:r>
      <w:r>
        <w:t xml:space="preserve"> the value of new technologies</w:t>
      </w:r>
      <w:r w:rsidR="0095445C">
        <w:t xml:space="preserve"> across disease areas</w:t>
      </w:r>
      <w:r>
        <w:t xml:space="preserve"> within health care in response to </w:t>
      </w:r>
      <w:r w:rsidRPr="00540612">
        <w:t>rising spending</w:t>
      </w:r>
      <w:r>
        <w:t xml:space="preserve"> (on, for example,</w:t>
      </w:r>
      <w:r w:rsidRPr="00540612">
        <w:t xml:space="preserve"> </w:t>
      </w:r>
      <w:r>
        <w:t>prescription drugs).</w:t>
      </w:r>
      <w:r w:rsidR="003B656C">
        <w:fldChar w:fldCharType="begin" w:fldLock="1"/>
      </w:r>
      <w:r w:rsidR="008D0493">
        <w:instrText>ADDIN CSL_CITATION {"citationItems":[{"id":"ITEM-1","itemData":{"DOI":"10.1016/j.jval.2017.12.012","ISSN":"1524-4733","PMID":"29477388","abstract":"Concerns about rising spending on prescription drugs and other areas of health care have led to multiple initiatives in the United States designed to measure and communicate the value of pharmaceuticals and other technologies for decision making. In this section we introduce the work of the International Society for Pharmacoeconomics and Outcomes Research Special Task Force on US Value Assessment Frameworks formed to review relevant perspectives and appropriate approaches and methods to support the definition and use of high-quality value frameworks. The Special Task Force was part of the International Society for Pharmacoeconomics and Outcomes Research Initiative on US Value Assessment Frameworks, which enlisted the expertise of leading health economists, concentrating on what the field of health economics can provide to help inform the development and use of value assessment frameworks. We focus on five value framework initiatives: the American College of Cardiology/American Heart Association, the American Society of Clinical Oncology, the Institute for Clinical and Economic Review, the Memorial Sloan Kettering Cancer Center, and the National Comprehensive Cancer Network. These entities differ in their missions, scope of activities, and methodological approaches. Because they are gaining visibility and some traction in the United States, it is essential to scrutinize whether the frameworks use approaches that are transparent as well as conceptually and methodologically sound. Our objectives were to describe the conceptual bases for value and its use in decision making, critically examine existing value frameworks, discuss the importance of sound conceptual underpinning, identify key elements of value relevant to specific decision contexts, and recommend good practice in value definition and implementation as well as areas for further research.","author":[{"dropping-particle":"","family":"Neumann","given":"Peter J","non-dropping-particle":"","parse-names":false,"suffix":""},{"dropping-particle":"","family":"Willke","given":"Richard J","non-dropping-particle":"","parse-names":false,"suffix":""},{"dropping-particle":"","family":"Garrison","given":"Louis P","non-dropping-particle":"","parse-names":false,"suffix":""}],"container-title":"Value in health : the journal of the International Society for Pharmacoeconomics and Outcomes Research","id":"ITEM-1","issue":"2","issued":{"date-parts":[["2018","2"]]},"page":"119-123","publisher":"Elsevier","title":"A Health Economics Approach to US Value Assessment Frameworks-Introduction: An ISPOR Special Task Force Report [1].","type":"article-journal","volume":"21"},"uris":["http://www.mendeley.com/documents/?uuid=ec240daf-0241-31f8-a8f7-1f308a90d7bc","http://www.mendeley.com/documents/?uuid=ee975229-c660-4a7e-b343-17315f736ba4","http://www.mendeley.com/documents/?uuid=ce70c8a7-5d89-40dc-9dda-e9f1981d054a"]}],"mendeley":{"formattedCitation":"&lt;sup&gt;1&lt;/sup&gt;","plainTextFormattedCitation":"1","previouslyFormattedCitation":"&lt;sup&gt;1&lt;/sup&gt;"},"properties":{"noteIndex":0},"schema":"https://github.com/citation-style-language/schema/raw/master/csl-citation.json"}</w:instrText>
      </w:r>
      <w:r w:rsidR="003B656C">
        <w:fldChar w:fldCharType="separate"/>
      </w:r>
      <w:r w:rsidR="0086594C" w:rsidRPr="0086594C">
        <w:rPr>
          <w:noProof/>
          <w:vertAlign w:val="superscript"/>
        </w:rPr>
        <w:t>1</w:t>
      </w:r>
      <w:r w:rsidR="003B656C">
        <w:fldChar w:fldCharType="end"/>
      </w:r>
      <w:r>
        <w:t xml:space="preserve"> However, within these frameworks too little effort has been placed on the consideration of </w:t>
      </w:r>
      <w:r w:rsidR="00430F90">
        <w:t xml:space="preserve">health </w:t>
      </w:r>
      <w:r>
        <w:t>opportunity costs</w:t>
      </w:r>
      <w:r w:rsidR="00BA21E4">
        <w:t>, potentially owing to a lack of available empirical estimates of health opportunity cost</w:t>
      </w:r>
      <w:r w:rsidR="00236FBD">
        <w:t>.</w:t>
      </w:r>
      <w:r w:rsidR="00236FBD">
        <w:fldChar w:fldCharType="begin" w:fldLock="1"/>
      </w:r>
      <w:r w:rsidR="008D0493">
        <w:instrText>ADDIN CSL_CITATION {"citationItems":[{"id":"ITEM-1","itemData":{"DOI":"10.1016/j.jval.2017.12.006","ISSN":"1524-4733","PMID":"29477389","abstract":"The second section of our Special Task Force builds on the discussion of value and perspective in the previous article of the report by 1) defining a health economics approach to the concept of value in health care systems; 2) discussing the relationship of value to perspective and decision context, that is, how recently proposed value frameworks vary by the types of decisions being made and by the stakeholders involved; 3) describing the patient perspective on value because the patient is a key stakeholder, but one also wearing the hat of a health insurance purchaser; and 4) discussing how value is relevant in the market-based US system of mixed private and public insurance, and differs from its use in single-payer systems. The five recent value frameworks that motivated this report vary in the types of decisions they intend to inform, ranging from coverage, access, and pricing decisions to those defining appropriate clinical pathways and to supporting provider-clinician shared decision making. Each of these value frameworks must be evaluated in its own decision context for its own objectives. Existing guidelines for cost-effectiveness analysis emphasize the importance of clearly specifying the perspective from which the analysis is undertaken. Relevant perspectives may include, among others, 1) the health plan enrollee, 2) the patient, 3) the health plan manager, 4) the provider, 5) the technology manufacturer, 6) the specialty society, 7) government regulators, or 8) society as a whole. A valid and informative cost-effectiveness analysis could be conducted from the perspective of any of these stakeholders, depending on the decision context.","author":[{"dropping-particle":"","family":"Garrison","given":"Louis P","non-dropping-particle":"","parse-names":false,"suffix":""},{"dropping-particle":"V","family":"Pauly","given":"Mark","non-dropping-particle":"","parse-names":false,"suffix":""},{"dropping-particle":"","family":"Willke","given":"Richard J","non-dropping-particle":"","parse-names":false,"suffix":""},{"dropping-particle":"","family":"Neumann","given":"Peter J","non-dropping-particle":"","parse-names":false,"suffix":""}],"container-title":"Value in health : the journal of the International Society for Pharmacoeconomics and Outcomes Research","id":"ITEM-1","issue":"2","issued":{"date-parts":[["2018","2"]]},"page":"124-130","publisher":"Elsevier","title":"An Overview of Value, Perspective, and Decision Context-A Health Economics Approach: An ISPOR Special Task Force Report [2].","type":"article-journal","volume":"21"},"uris":["http://www.mendeley.com/documents/?uuid=e00a58a7-b854-3fd9-a84c-2c283a8c82da","http://www.mendeley.com/documents/?uuid=52f99ced-fbc5-4314-b201-04d630713c3f","http://www.mendeley.com/documents/?uuid=b711bdfb-571e-4f36-93aa-98b736acf349"]},{"id":"ITEM-2","itemData":{"DOI":"10.1016/j.jval.2017.12.008","ISSN":"1524-4733","PMID":"29477391","abstract":"The fourth section of our Special Task Force report focuses on a health plan or payer's technology adoption or reimbursement decision, given the array of technologies, on the basis of their different values and costs. We discuss the role of budgets, thresholds, opportunity costs, and affordability in making decisions. First, we discuss the use of budgets and thresholds in private and public health plans, their interdependence, and connection to opportunity cost. Essentially, each payer should adopt a decision rule about what is good value for money given their budget; consistent use of a cost-per-quality-adjusted life-year threshold will ensure the maximum health gain for the budget. In the United States, different public and private insurance programs could use different thresholds, reflecting the differing generosity of their budgets and implying different levels of access to technologies. In addition, different insurance plans could consider different additional elements to the quality-adjusted life-year metric discussed elsewhere in our Special Task Force report. We then define affordability and discuss approaches to deal with it, including consideration of disinvestment and related adjustment costs, the impact of delaying new technologies, and comparative cost effectiveness of technologies. Over time, the availability of new technologies may increase the amount that populations want to spend on health care. We then discuss potential modifiers to thresholds, including uncertainty about the evidence used in the decision-making process. This article concludes by discussing the application of these concepts in the context of the pluralistic US health care system, as well as the \"excess burden\" of tax-financed public programs versus private programs.","author":[{"dropping-particle":"","family":"Danzon","given":"Patricia M","non-dropping-particle":"","parse-names":false,"suffix":""},{"dropping-particle":"","family":"Drummond","given":"Michael F","non-dropping-particle":"","parse-names":false,"suffix":""},{"dropping-particle":"","family":"Towse","given":"Adrian","non-dropping-particle":"","parse-names":false,"suffix":""},{"dropping-particle":"V","family":"Pauly","given":"Mark","non-dropping-particle":"","parse-names":false,"suffix":""}],"container-title":"Value in health : the journal of the International Society for Pharmacoeconomics and Outcomes Research","id":"ITEM-2","issue":"2","issued":{"date-parts":[["2018","2"]]},"page":"140-145","publisher":"Elsevier","title":"Objectives, Budgets, Thresholds, and Opportunity Costs-A Health Economics Approach: An ISPOR Special Task Force Report [4].","type":"article-journal","volume":"21"},"uris":["http://www.mendeley.com/documents/?uuid=3014a0a1-44b7-3ac9-918a-85011a40a5b8","http://www.mendeley.com/documents/?uuid=a57dde30-b16b-481c-980a-fd66090f4d33","http://www.mendeley.com/documents/?uuid=229b28c2-1290-48ed-a05f-396c2db9c4bb"]},{"id":"ITEM-3","itemData":{"DOI":"10.1016/j.jval.2016.11.021","ISSN":"10983015","PMID":"28237201","abstract":"A growing number of health care systems internationally use formal economic evaluation methods to support health care funding decisions. Recently, a range of organizations have been advocating forms of analysis that have been termed \"value frameworks.\" There has also been a push for analytical methods to reflect a fuller range of benefits of interventions through multicriteria decision analysis. A key principle that is invariably neglected in current and proposed frameworks is the need to reflect evidence on the opportunity costs that health systems face when making funding decisions. The mechanisms by which opportunity costs are realized vary depending on the system's financial arrangements, but they always mean that a decision to fund a specific intervention for a particular patient group has the potential to impose costs on others in terms of forgone benefits. These opportunity costs are rarely explicitly reflected in analysis to support decisions, but recent developments to quantify benefits forgone make more appropriate analyses feasible. Opportunity costs also need to be reflected in decisions if a broader range of attributes of benefit is considered, and opportunity costs are a key consideration in determining the appropriate level of total expenditure in a system. The principles by which opportunity costs can be reflected in analysis are illustrated in this article by using the example of the proposed methods for value-based pricing in the United Kingdom.","author":[{"dropping-particle":"","family":"Sculpher","given":"Mark","non-dropping-particle":"","parse-names":false,"suffix":""},{"dropping-particle":"","family":"Claxton","given":"Karl","non-dropping-particle":"","parse-names":false,"suffix":""},{"dropping-particle":"","family":"Pearson","given":"Steven D.","non-dropping-particle":"","parse-names":false,"suffix":""}],"container-title":"Value in Health","id":"ITEM-3","issue":"2","issued":{"date-parts":[["2017","2"]]},"page":"234-239","title":"Developing a Value Framework: The Need to Reflect the Opportunity Costs of Funding Decisions","type":"article-journal","volume":"20"},"uris":["http://www.mendeley.com/documents/?uuid=39844ed2-2f65-3ecb-ab48-a8708bf5286a","http://www.mendeley.com/documents/?uuid=f32ece87-dcd9-4c28-b681-683cdf32e1b2","http://www.mendeley.com/documents/?uuid=f34e49a1-9077-440a-862d-0a55ea0ab895"]},{"id":"ITEM-4","itemData":{"DOI":"10.1016/j.jval.2017.12.012","ISSN":"1524-4733","PMID":"29477388","abstract":"Concerns about rising spending on prescription drugs and other areas of health care have led to multiple initiatives in the United States designed to measure and communicate the value of pharmaceuticals and other technologies for decision making. In this section we introduce the work of the International Society for Pharmacoeconomics and Outcomes Research Special Task Force on US Value Assessment Frameworks formed to review relevant perspectives and appropriate approaches and methods to support the definition and use of high-quality value frameworks. The Special Task Force was part of the International Society for Pharmacoeconomics and Outcomes Research Initiative on US Value Assessment Frameworks, which enlisted the expertise of leading health economists, concentrating on what the field of health economics can provide to help inform the development and use of value assessment frameworks. We focus on five value framework initiatives: the American College of Cardiology/American Heart Association, the American Society of Clinical Oncology, the Institute for Clinical and Economic Review, the Memorial Sloan Kettering Cancer Center, and the National Comprehensive Cancer Network. These entities differ in their missions, scope of activities, and methodological approaches. Because they are gaining visibility and some traction in the United States, it is essential to scrutinize whether the frameworks use approaches that are transparent as well as conceptually and methodologically sound. Our objectives were to describe the conceptual bases for value and its use in decision making, critically examine existing value frameworks, discuss the importance of sound conceptual underpinning, identify key elements of value relevant to specific decision contexts, and recommend good practice in value definition and implementation as well as areas for further research.","author":[{"dropping-particle":"","family":"Neumann","given":"Peter J","non-dropping-particle":"","parse-names":false,"suffix":""},{"dropping-particle":"","family":"Willke","given":"Richard J","non-dropping-particle":"","parse-names":false,"suffix":""},{"dropping-particle":"","family":"Garrison","given":"Louis P","non-dropping-particle":"","parse-names":false,"suffix":""}],"container-title":"Value in health : the journal of the International Society for Pharmacoeconomics and Outcomes Research","id":"ITEM-4","issue":"2","issued":{"date-parts":[["2018","2"]]},"page":"119-123","publisher":"Elsevier","title":"A Health Economics Approach to US Value Assessment Frameworks-Introduction: An ISPOR Special Task Force Report [1].","type":"article-journal","volume":"21"},"uris":["http://www.mendeley.com/documents/?uuid=ce70c8a7-5d89-40dc-9dda-e9f1981d054a","http://www.mendeley.com/documents/?uuid=ee975229-c660-4a7e-b343-17315f736ba4","http://www.mendeley.com/documents/?uuid=ec240daf-0241-31f8-a8f7-1f308a90d7bc"]}],"mendeley":{"formattedCitation":"&lt;sup&gt;1–4&lt;/sup&gt;","plainTextFormattedCitation":"1–4","previouslyFormattedCitation":"&lt;sup&gt;1–4&lt;/sup&gt;"},"properties":{"noteIndex":0},"schema":"https://github.com/citation-style-language/schema/raw/master/csl-citation.json"}</w:instrText>
      </w:r>
      <w:r w:rsidR="00236FBD">
        <w:fldChar w:fldCharType="separate"/>
      </w:r>
      <w:r w:rsidR="0086594C" w:rsidRPr="0086594C">
        <w:rPr>
          <w:noProof/>
          <w:vertAlign w:val="superscript"/>
        </w:rPr>
        <w:t>1–4</w:t>
      </w:r>
      <w:r w:rsidR="00236FBD">
        <w:fldChar w:fldCharType="end"/>
      </w:r>
      <w:r w:rsidR="00430F90">
        <w:t xml:space="preserve"> Improving population h</w:t>
      </w:r>
      <w:r w:rsidR="00A852D1">
        <w:t xml:space="preserve">ealth is a key objective of health care </w:t>
      </w:r>
      <w:r w:rsidR="00430F90">
        <w:t>expendidure</w:t>
      </w:r>
      <w:r w:rsidR="00A852D1">
        <w:t>.</w:t>
      </w:r>
      <w:r w:rsidR="003B656C">
        <w:fldChar w:fldCharType="begin" w:fldLock="1"/>
      </w:r>
      <w:r w:rsidR="008D0493">
        <w:instrText>ADDIN CSL_CITATION {"citationItems":[{"id":"ITEM-1","itemData":{"ISSN":"0042-9686","PMID":"10916909","abstract":"Health systems vary widely in performance, and countries with similar levels of income, education and health expenditure differ in their ability to attain key health goals. This paper proposes a framework to advance the understanding of health system performance. A first step is to define the boundaries of the health system, based on the concept of health action. Health action is defined as any set of activities whose primary intent is to improve or maintain health. Within these boundaries, the concept of performance is centred around three fundamental goals: improving health, enhancing responsiveness to the expectations of the population, and assuring fairness of financial contribution. Improving health means both increasing the average health status and reducing health inequalities. Responsiveness includes two major components: (a) respect for persons (including dignity, confidentiality and autonomy of individuals and families to decide about their own health); and (b) client orientation (including prompt attention, access to social support networks during care, quality of basic amenities and choice of provider). Fairness of financial contribution means that every household pays a fair share of the total health bill for a country (which may mean that very poor households pay nothing at all). This implies that everyone is protected from financial risks due to health care. The measurement of performance relates goal attainment to the resources available. Variation in performance is a function of the way in which the health system organizes four key functions: stewardship (a broader concept than regulation); financing (including revenue collection, fund pooling and purchasing); service provision (for personal and non-personal health services); and resource generation (including personnel, facilities and knowledge). By investigating these four functions and how they combine, it is possible not only to understand the proximate determinants of health system performance, but also to contemplate major policy challenges.","author":[{"dropping-particle":"","family":"Murray","given":"C J","non-dropping-particle":"","parse-names":false,"suffix":""},{"dropping-particle":"","family":"Frenk","given":"J","non-dropping-particle":"","parse-names":false,"suffix":""}],"container-title":"Bulletin of the World Health Organization","id":"ITEM-1","issue":"6","issued":{"date-parts":[["2000"]]},"page":"717-31","title":"A framework for assessing the performance of health systems.","type":"article-journal","volume":"78"},"uris":["http://www.mendeley.com/documents/?uuid=76bd17cd-2abd-3605-b7f1-0bf0a03b38ba","http://www.mendeley.com/documents/?uuid=f1600a80-8e37-421b-a596-f58033d85a21","http://www.mendeley.com/documents/?uuid=e8bddba1-3ebe-4330-8668-ff847b1ea850"]}],"mendeley":{"formattedCitation":"&lt;sup&gt;5&lt;/sup&gt;","plainTextFormattedCitation":"5","previouslyFormattedCitation":"&lt;sup&gt;5&lt;/sup&gt;"},"properties":{"noteIndex":0},"schema":"https://github.com/citation-style-language/schema/raw/master/csl-citation.json"}</w:instrText>
      </w:r>
      <w:r w:rsidR="003B656C">
        <w:fldChar w:fldCharType="separate"/>
      </w:r>
      <w:r w:rsidR="0086594C" w:rsidRPr="0086594C">
        <w:rPr>
          <w:noProof/>
          <w:vertAlign w:val="superscript"/>
        </w:rPr>
        <w:t>5</w:t>
      </w:r>
      <w:r w:rsidR="003B656C">
        <w:fldChar w:fldCharType="end"/>
      </w:r>
      <w:r w:rsidR="00A852D1">
        <w:t xml:space="preserve"> A</w:t>
      </w:r>
      <w:r w:rsidR="005141C6">
        <w:t>ny new treatment under consideration for approval within the health care system (HCS) would undoubtedly</w:t>
      </w:r>
      <w:r w:rsidR="00C47B60">
        <w:t xml:space="preserve"> be expected to</w:t>
      </w:r>
      <w:r w:rsidR="005141C6">
        <w:t xml:space="preserve"> generate an improvement in health</w:t>
      </w:r>
      <w:r w:rsidR="00A852D1">
        <w:t xml:space="preserve"> among patients who directly benefit</w:t>
      </w:r>
      <w:r w:rsidR="003D594D">
        <w:t xml:space="preserve">, i.e. </w:t>
      </w:r>
      <w:r w:rsidR="00250EF3">
        <w:t>it</w:t>
      </w:r>
      <w:r w:rsidR="003D594D">
        <w:t xml:space="preserve"> </w:t>
      </w:r>
      <w:r w:rsidR="00250EF3">
        <w:t>is</w:t>
      </w:r>
      <w:r w:rsidR="003D594D">
        <w:t xml:space="preserve"> clinically effective</w:t>
      </w:r>
      <w:r w:rsidR="005141C6">
        <w:t xml:space="preserve">, but </w:t>
      </w:r>
      <w:r w:rsidR="00CC7B42">
        <w:t xml:space="preserve">a necessary </w:t>
      </w:r>
      <w:r w:rsidR="005141C6">
        <w:t xml:space="preserve">question is whether the money required to fund it would generate </w:t>
      </w:r>
      <w:r w:rsidR="005141C6" w:rsidRPr="006C2340">
        <w:rPr>
          <w:i/>
        </w:rPr>
        <w:t>more</w:t>
      </w:r>
      <w:r w:rsidR="005141C6">
        <w:t xml:space="preserve"> health if spent on something else.  This other potential way to spend the money is the “</w:t>
      </w:r>
      <w:r w:rsidR="00A852D1">
        <w:t xml:space="preserve">health </w:t>
      </w:r>
      <w:r w:rsidR="005141C6">
        <w:t xml:space="preserve">opportunity cost” of funding the new treatment. </w:t>
      </w:r>
    </w:p>
    <w:p w14:paraId="1A0E9E3A" w14:textId="77777777" w:rsidR="006E186B" w:rsidRDefault="006E186B" w:rsidP="00430F90">
      <w:r>
        <w:t xml:space="preserve">Consideration of health opportunity cost is essential to ensure that decisions improve health outcomes overall rather that reducing them. This is true regardless of whether the budget for health is fixed or flexible.  It if is fixed, the question is: </w:t>
      </w:r>
      <w:r w:rsidRPr="00A45E25">
        <w:rPr>
          <w:i/>
        </w:rPr>
        <w:t xml:space="preserve">What are the health effects of those things would </w:t>
      </w:r>
      <w:r w:rsidRPr="00A45E25">
        <w:rPr>
          <w:i/>
        </w:rPr>
        <w:lastRenderedPageBreak/>
        <w:t>need to be given up if we commit these resources to this new technology?</w:t>
      </w:r>
      <w:r>
        <w:t xml:space="preserve"> If it is flexible, the question is: </w:t>
      </w:r>
      <w:r w:rsidRPr="00A45E25">
        <w:rPr>
          <w:i/>
        </w:rPr>
        <w:t>What are the health effects of the other things that could be done with the money required to fund an intervention?</w:t>
      </w:r>
      <w:r>
        <w:rPr>
          <w:i/>
        </w:rPr>
        <w:t xml:space="preserve"> </w:t>
      </w:r>
      <w:r>
        <w:t xml:space="preserve">Few value frameworks explicitly account for health opportunity costs, although some governing bodies have tried to implicitly reflect health opportunity costs through the use of cost-effectiveness thresholds. </w:t>
      </w:r>
    </w:p>
    <w:p w14:paraId="1D906D85" w14:textId="128E9166" w:rsidR="00E85C20" w:rsidRDefault="00E85C20" w:rsidP="00BC4880">
      <w:r>
        <w:t>A cost-effectiveness threshold</w:t>
      </w:r>
      <w:r w:rsidR="00B12420">
        <w:t xml:space="preserve"> (often summarised as a cost per quality-adjusted life year, QALY, or disability-adjusted life year, DALY, threshold)</w:t>
      </w:r>
      <w:r>
        <w:t xml:space="preserve"> that reflects health opportunity </w:t>
      </w:r>
      <w:r w:rsidR="00B12420">
        <w:t xml:space="preserve">costs can be visually represented using </w:t>
      </w:r>
      <w:r w:rsidR="00462968">
        <w:t>a</w:t>
      </w:r>
      <w:r w:rsidR="00B12420">
        <w:t xml:space="preserve"> bookshelf</w:t>
      </w:r>
      <w:r w:rsidR="00462968">
        <w:t xml:space="preserve"> metaphor, where the width of each “book” (i.e., health technology) represents its budget impact (a function of the cost per patient and number of patients in need), the height </w:t>
      </w:r>
      <w:r w:rsidR="00640761">
        <w:t xml:space="preserve">shows </w:t>
      </w:r>
      <w:r w:rsidR="003D43CC">
        <w:t>the</w:t>
      </w:r>
      <w:r w:rsidR="00462968">
        <w:t xml:space="preserve"> </w:t>
      </w:r>
      <w:r w:rsidR="00640761">
        <w:t>health benefit (e.g., QALYs gained or DALYs</w:t>
      </w:r>
      <w:r w:rsidR="003D43CC">
        <w:t xml:space="preserve"> averted</w:t>
      </w:r>
      <w:r w:rsidR="00640761">
        <w:t>)</w:t>
      </w:r>
      <w:r w:rsidR="003D43CC">
        <w:t xml:space="preserve"> per $1,000 spent </w:t>
      </w:r>
      <w:r w:rsidR="00462968">
        <w:t>and books are ranked from left to right, most to least cost-effective.</w:t>
      </w:r>
      <w:r w:rsidR="00462968">
        <w:fldChar w:fldCharType="begin" w:fldLock="1"/>
      </w:r>
      <w:r w:rsidR="008D0493">
        <w:instrText>ADDIN CSL_CITATION {"citationItems":[{"id":"ITEM-1","itemData":{"DOI":"10.1017/S1744133116000049","ISSN":"1744-1331","abstract":"&lt;p&gt; There is misunderstanding about both the meaning and the role of cost-effectiveness thresholds in policy decision making. This article dissects the main issues by use of a bookshelf metaphor. Its main conclusions are as follows: it must be possible to compare interventions in terms of their impact on a common measure of health; mere effectiveness is not a persuasive case for inclusion in public insurance plans; public health advocates need to address issues of relative effectiveness; a ‘first best’ benchmark or threshold ratio of health gain to expenditure identifies the least effective intervention that should be included in a public insurance plan; the reciprocal of this ratio – the ‘first best’ cost-effectiveness threshold – will rise or fall as the health budget rises or falls ( &lt;italic&gt;ceteris paribus&lt;/italic&gt; ); setting thresholds too high or too low costs lives; failure to set any cost-effectiveness threshold at all also involves avertable deaths and morbidity; the threshold cannot be set independently of the health budget; the threshold can be approached from either the demand side or the supply side – the two are equivalent only in a health-maximising equilibrium; the supply-side approach generates an estimate of a ‘second best’ cost-effectiveness threshold that is higher than the ‘first best’; the second best threshold is the one generally to be preferred in decisions about adding or subtracting interventions in an established public insurance package; multiple thresholds are implied by systems having distinct and separable health budgets; disinvestment involves eliminating &lt;italic&gt;effective&lt;/italic&gt; technologies from the insured bundle; differential weighting of beneficiaries’ health gains may affect the threshold; anonymity and identity are factors that may affect the interpretation of the threshold; the true opportunity cost of health care in a community, where the effectiveness of interventions is determined by their impact on health, is not to be measured in money – but in health itself. &lt;/p&gt;","author":[{"dropping-particle":"","family":"Culyer","given":"Anthony J.","non-dropping-particle":"","parse-names":false,"suffix":""}],"container-title":"Health Economics, Policy and Law","id":"ITEM-1","issue":"04","issued":{"date-parts":[["2016","10","24"]]},"page":"415-432","publisher":"Cambridge University Press","title":"Cost-effectiveness thresholds in health care: a bookshelf guide to their meaning and use","type":"article-journal","volume":"11"},"uris":["http://www.mendeley.com/documents/?uuid=d2e86649-1ee1-3a92-b634-c6814bfb3045"]}],"mendeley":{"formattedCitation":"&lt;sup&gt;6&lt;/sup&gt;","plainTextFormattedCitation":"6","previouslyFormattedCitation":"&lt;sup&gt;6&lt;/sup&gt;"},"properties":{"noteIndex":0},"schema":"https://github.com/citation-style-language/schema/raw/master/csl-citation.json"}</w:instrText>
      </w:r>
      <w:r w:rsidR="00462968">
        <w:fldChar w:fldCharType="separate"/>
      </w:r>
      <w:r w:rsidR="0086594C" w:rsidRPr="0086594C">
        <w:rPr>
          <w:noProof/>
          <w:vertAlign w:val="superscript"/>
        </w:rPr>
        <w:t>6</w:t>
      </w:r>
      <w:r w:rsidR="00462968">
        <w:fldChar w:fldCharType="end"/>
      </w:r>
      <w:r w:rsidR="008434ED">
        <w:t xml:space="preserve">  (See Figure 1.) </w:t>
      </w:r>
      <w:r w:rsidR="00462968">
        <w:t xml:space="preserve"> </w:t>
      </w:r>
      <w:r w:rsidR="006E186B">
        <w:t>In the case of a fixed budget,</w:t>
      </w:r>
      <w:r w:rsidR="001C0278">
        <w:t xml:space="preserve"> </w:t>
      </w:r>
      <w:r w:rsidR="00462968">
        <w:t>a threshold that reflects health opportunity costs (i.e., marginal cost per QALY</w:t>
      </w:r>
      <w:r w:rsidR="00E01438">
        <w:t xml:space="preserve"> or </w:t>
      </w:r>
      <w:r w:rsidR="00462968">
        <w:t>DALY)</w:t>
      </w:r>
      <w:r w:rsidR="00B12420">
        <w:t xml:space="preserve"> is the reciprocal of the effectiveness-cost of the least cost-effective intervention that </w:t>
      </w:r>
      <w:r w:rsidR="006E186B">
        <w:t>is currently funded</w:t>
      </w:r>
      <w:r w:rsidR="004056CB">
        <w:t xml:space="preserve"> (i.e., HOC</w:t>
      </w:r>
      <w:r w:rsidR="004056CB">
        <w:rPr>
          <w:vertAlign w:val="subscript"/>
        </w:rPr>
        <w:t>fixed</w:t>
      </w:r>
      <w:r w:rsidR="004056CB">
        <w:t>)</w:t>
      </w:r>
      <w:r w:rsidR="00B12420">
        <w:t>.</w:t>
      </w:r>
      <w:r w:rsidR="006E186B">
        <w:t xml:space="preserve"> In the case of a flexible budget, it is the reciprocal of the effectiveness-cost of the most cost-effective intervention that is not currently funded</w:t>
      </w:r>
      <w:r w:rsidR="004056CB">
        <w:t xml:space="preserve"> (i.e., HOC</w:t>
      </w:r>
      <w:r w:rsidR="004056CB">
        <w:rPr>
          <w:vertAlign w:val="subscript"/>
        </w:rPr>
        <w:t>flexible</w:t>
      </w:r>
      <w:r w:rsidR="004056CB">
        <w:t>)</w:t>
      </w:r>
      <w:r w:rsidR="006E186B">
        <w:t>.</w:t>
      </w:r>
    </w:p>
    <w:p w14:paraId="5EEF678B" w14:textId="1E1D0740" w:rsidR="004056CB" w:rsidRPr="008D02B6" w:rsidRDefault="00376AA9" w:rsidP="00BC4880">
      <w:r>
        <w:rPr>
          <w:noProof/>
          <w:lang w:eastAsia="en-GB"/>
        </w:rPr>
        <w:t>[INSERT FIGURE 1]</w:t>
      </w:r>
    </w:p>
    <w:p w14:paraId="35058E21" w14:textId="15C6A206" w:rsidR="006F1A41" w:rsidRDefault="001C0278" w:rsidP="003C6ABE">
      <w:r>
        <w:t>While th</w:t>
      </w:r>
      <w:r w:rsidR="00570406">
        <w:t>is</w:t>
      </w:r>
      <w:r>
        <w:t xml:space="preserve"> bookshelf analogy provides a useful visual</w:t>
      </w:r>
      <w:r w:rsidR="008D02B6">
        <w:t xml:space="preserve"> aid</w:t>
      </w:r>
      <w:r>
        <w:t>, in practice</w:t>
      </w:r>
      <w:r w:rsidR="008D02B6">
        <w:t xml:space="preserve"> the effectiveness-cost of all available interventions is not known, cost-effectiveness is not the basis of all decisions made within healthcare and, in the context of a fixed budget,</w:t>
      </w:r>
      <w:r>
        <w:t xml:space="preserve"> it is not typically possible to </w:t>
      </w:r>
      <w:r w:rsidRPr="00F05BEA">
        <w:t>identify specific treatments that will be</w:t>
      </w:r>
      <w:r w:rsidR="008D02B6">
        <w:t xml:space="preserve"> displaced (nor are disinvestment choices</w:t>
      </w:r>
      <w:r w:rsidR="00570406">
        <w:t xml:space="preserve"> typically</w:t>
      </w:r>
      <w:r w:rsidR="008D02B6">
        <w:t xml:space="preserve"> within the control of the decision-maker evaluating the new </w:t>
      </w:r>
      <w:r w:rsidR="00570406">
        <w:t>technology)</w:t>
      </w:r>
      <w:r>
        <w:t>.</w:t>
      </w:r>
      <w:r w:rsidR="00F14166">
        <w:fldChar w:fldCharType="begin" w:fldLock="1"/>
      </w:r>
      <w:r w:rsidR="008D0493">
        <w:instrText>ADDIN CSL_CITATION {"citationItems":[{"id":"ITEM-1","itemData":{"DOI":"10.1017/S1744133116000049","ISSN":"1744-1331","abstract":"&lt;p&gt; There is misunderstanding about both the meaning and the role of cost-effectiveness thresholds in policy decision making. This article dissects the main issues by use of a bookshelf metaphor. Its main conclusions are as follows: it must be possible to compare interventions in terms of their impact on a common measure of health; mere effectiveness is not a persuasive case for inclusion in public insurance plans; public health advocates need to address issues of relative effectiveness; a ‘first best’ benchmark or threshold ratio of health gain to expenditure identifies the least effective intervention that should be included in a public insurance plan; the reciprocal of this ratio – the ‘first best’ cost-effectiveness threshold – will rise or fall as the health budget rises or falls ( &lt;italic&gt;ceteris paribus&lt;/italic&gt; ); setting thresholds too high or too low costs lives; failure to set any cost-effectiveness threshold at all also involves avertable deaths and morbidity; the threshold cannot be set independently of the health budget; the threshold can be approached from either the demand side or the supply side – the two are equivalent only in a health-maximising equilibrium; the supply-side approach generates an estimate of a ‘second best’ cost-effectiveness threshold that is higher than the ‘first best’; the second best threshold is the one generally to be preferred in decisions about adding or subtracting interventions in an established public insurance package; multiple thresholds are implied by systems having distinct and separable health budgets; disinvestment involves eliminating &lt;italic&gt;effective&lt;/italic&gt; technologies from the insured bundle; differential weighting of beneficiaries’ health gains may affect the threshold; anonymity and identity are factors that may affect the interpretation of the threshold; the true opportunity cost of health care in a community, where the effectiveness of interventions is determined by their impact on health, is not to be measured in money – but in health itself. &lt;/p&gt;","author":[{"dropping-particle":"","family":"Culyer","given":"Anthony J.","non-dropping-particle":"","parse-names":false,"suffix":""}],"container-title":"Health Economics, Policy and Law","id":"ITEM-1","issue":"04","issued":{"date-parts":[["2016","10","24"]]},"page":"415-432","publisher":"Cambridge University Press","title":"Cost-effectiveness thresholds in health care: a bookshelf guide to their meaning and use","type":"article-journal","volume":"11"},"uris":["http://www.mendeley.com/documents/?uuid=d2e86649-1ee1-3a92-b634-c6814bfb3045"]},{"id":"ITEM-2","itemData":{"DOI":"10.1017/S0266462318000612","ISSN":"14716348","abstract":"Objectives: This study is an attempt to demystify and clarify the idea of cost in health economics and health technology assessment (HTA).Methods: Its method draws on standard concepts in economics. Cost is a more elusive concept than is commonly thought and can be particularly elusive in multidisciplinary territory like HTA.Results: The article explains that cost is more completely defined as opportunity cost, why cost is necessarily associated with a decision, and that it will always vary according to the context of that decision: whether choice is about inputs or outputs, what the alternatives are, the timing of the consequences of the decision, the nature of the commitment to which a decision maker is committed, who the decision maker is, and the constraints and discretion limiting or liberating the decision maker. Distinctions between short and long runs and between fixed and variable inputs are matters of choice, not technology, and are similarly context-dependent. Harms or negative consequences are, in general, not costs. Whether so-called clinically unrelated future costs and benefits should be counted in current decisions again depends on context.Conclusions: The costs of entire health programs are context-dependent, relating to planned rates of activity, volumes, and timings. The implications for the methods of HTA are different in the contexts of low- and middle-income countries compared with high-income countries, and further differ contextually according to the budget constraints (fixed or variable) facing decision makers.","author":[{"dropping-particle":"","family":"Culyer","given":"Anthony J.","non-dropping-particle":"","parse-names":false,"suffix":""}],"container-title":"International Journal of Technology Assessment in Health Care","id":"ITEM-2","issue":"5","issued":{"date-parts":[["2018"]]},"page":"434-441","publisher":"Cambridge University Press","title":"Cost, context, and decisions in health economics and health technology assessment","type":"article","volume":"34"},"uris":["http://www.mendeley.com/documents/?uuid=c74d9db7-8f98-39ec-adab-f3d0d5d0a324"]},{"id":"ITEM-3","itemData":{"DOI":"10.1002/hec.3831","ISSN":"1099-1050","PMID":"30273967","abstract":"Traditionally, threshold levels of cost-effectiveness have been derived from willingness-to-pay studies, indicating the consumption value of health (v-thresholds). However, it has been argued that v-thresholds need to be supplemented by so-called k-thresholds, which are based on the marginal returns to health care. The objective of this research is to estimate a k-threshold based on the marginal returns to cardiovascular disease (CVD) hospital care in the Netherlands. To estimate a k-threshold for hospital care on CVD, we proceed in two steps: First, we estimate the impact of hospital spending on mortality using a Bayesian regression modelling framework, using data on CVD mortality and CVD hospital spending by age and gender for the period 1994-2010. Second, we use life tables in combination with quality of life data to convert these estimates into a k-threshold expressed in euros per quality-adjusted life year gained. Our base case estimate resulted in an estimate of 41,000 per quality-adjusted life year gained. In our sensitivity analyses, we illustrated how the incorporation of prior evidence into the estimation pushes estimates downwards. We conclude that our base case estimate of the k-threshold may serve as a benchmark value for decision making in the Netherlands as well as for future research regarding k-thresholds.","author":[{"dropping-particle":"","family":"Baal","given":"Pieter","non-dropping-particle":"van","parse-names":false,"suffix":""},{"dropping-particle":"","family":"Perry-Duxbury","given":"Meg","non-dropping-particle":"","parse-names":false,"suffix":""},{"dropping-particle":"","family":"Bakx","given":"Pieter","non-dropping-particle":"","parse-names":false,"suffix":""},{"dropping-particle":"","family":"Versteegh","given":"Matthijs","non-dropping-particle":"","parse-names":false,"suffix":""},{"dropping-particle":"","family":"Doorslaer","given":"Eddy","non-dropping-particle":"van","parse-names":false,"suffix":""},{"dropping-particle":"","family":"Brouwer","given":"Werner","non-dropping-particle":"","parse-names":false,"suffix":""}],"container-title":"Health economics","id":"ITEM-3","issue":"1","issued":{"date-parts":[["2019","1"]]},"page":"87-100","title":"A cost-effectiveness threshold based on the marginal returns of cardiovascular hospital spending.","type":"article-journal","volume":"28"},"uris":["http://www.mendeley.com/documents/?uuid=caa03421-bb21-3767-9803-a2489d0e436d"]}],"mendeley":{"formattedCitation":"&lt;sup&gt;6–8&lt;/sup&gt;","plainTextFormattedCitation":"6–8","previouslyFormattedCitation":"&lt;sup&gt;6–8&lt;/sup&gt;"},"properties":{"noteIndex":0},"schema":"https://github.com/citation-style-language/schema/raw/master/csl-citation.json"}</w:instrText>
      </w:r>
      <w:r w:rsidR="00F14166">
        <w:fldChar w:fldCharType="separate"/>
      </w:r>
      <w:r w:rsidR="0086594C" w:rsidRPr="0086594C">
        <w:rPr>
          <w:noProof/>
          <w:vertAlign w:val="superscript"/>
        </w:rPr>
        <w:t>6–8</w:t>
      </w:r>
      <w:r w:rsidR="00F14166">
        <w:fldChar w:fldCharType="end"/>
      </w:r>
      <w:r>
        <w:t xml:space="preserve">  </w:t>
      </w:r>
      <w:r w:rsidRPr="00F05BEA">
        <w:t>Instead</w:t>
      </w:r>
      <w:r>
        <w:t xml:space="preserve">, </w:t>
      </w:r>
      <w:r w:rsidR="00570406">
        <w:t>researchers have sought to</w:t>
      </w:r>
      <w:r w:rsidR="006F1A41">
        <w:t xml:space="preserve"> empirically</w:t>
      </w:r>
      <w:r>
        <w:t xml:space="preserve"> e</w:t>
      </w:r>
      <w:r w:rsidRPr="00F05BEA">
        <w:t>stimate</w:t>
      </w:r>
      <w:r w:rsidR="006F1A41">
        <w:t xml:space="preserve"> the</w:t>
      </w:r>
      <w:r w:rsidRPr="00F05BEA">
        <w:t xml:space="preserve"> health effects of i</w:t>
      </w:r>
      <w:r w:rsidR="006F1A41">
        <w:t>ncreasing/decreasing expenditure to determine the marginal cost per QALY or DALY.</w:t>
      </w:r>
      <w:r w:rsidR="004056CB">
        <w:fldChar w:fldCharType="begin" w:fldLock="1"/>
      </w:r>
      <w:r w:rsidR="008D0493">
        <w:instrText>ADDIN CSL_CITATION {"citationItems":[{"id":"ITEM-1","itemData":{"DOI":"10.1007/s40273-017-0606-1","ISSN":"1170-7690","author":[{"dropping-particle":"","family":"Thokala","given":"Praveen","non-dropping-particle":"","parse-names":false,"suffix":""},{"dropping-particle":"","family":"Ochalek","given":"Jessica","non-dropping-particle":"","parse-names":false,"suffix":""},{"dropping-particle":"","family":"Leech","given":"Ashley A.","non-dropping-particle":"","parse-names":false,"suffix":""},{"dropping-particle":"","family":"Tong","given":"Thaison","non-dropping-particle":"","parse-names":false,"suffix":""}],"container-title":"PharmacoEconomics","id":"ITEM-1","issued":{"date-parts":[["2018","2","9"]]},"title":"Cost-Effectiveness Thresholds: the Past, the Present and the Future","type":"article-journal"},"uris":["http://www.mendeley.com/documents/?uuid=b881ed1e-c959-31ee-8fdb-d37796883213"]}],"mendeley":{"formattedCitation":"&lt;sup&gt;9&lt;/sup&gt;","plainTextFormattedCitation":"9","previouslyFormattedCitation":"&lt;sup&gt;9&lt;/sup&gt;"},"properties":{"noteIndex":0},"schema":"https://github.com/citation-style-language/schema/raw/master/csl-citation.json"}</w:instrText>
      </w:r>
      <w:r w:rsidR="004056CB">
        <w:fldChar w:fldCharType="separate"/>
      </w:r>
      <w:r w:rsidR="0086594C" w:rsidRPr="0086594C">
        <w:rPr>
          <w:noProof/>
          <w:vertAlign w:val="superscript"/>
        </w:rPr>
        <w:t>9</w:t>
      </w:r>
      <w:r w:rsidR="004056CB">
        <w:fldChar w:fldCharType="end"/>
      </w:r>
      <w:r w:rsidR="006F1A41">
        <w:t xml:space="preserve">  </w:t>
      </w:r>
      <w:r w:rsidR="004B4459">
        <w:t>To date, empirical estimates of</w:t>
      </w:r>
      <w:r w:rsidR="001B2107">
        <w:t xml:space="preserve"> health</w:t>
      </w:r>
      <w:r w:rsidR="004B4459">
        <w:t xml:space="preserve"> opportunity cost</w:t>
      </w:r>
      <w:r w:rsidR="0000265F">
        <w:t>s of government expenditure</w:t>
      </w:r>
      <w:r w:rsidR="004B4459">
        <w:t xml:space="preserve"> </w:t>
      </w:r>
      <w:r w:rsidR="006C2340">
        <w:t xml:space="preserve">based on within </w:t>
      </w:r>
      <w:r w:rsidR="00292119">
        <w:t xml:space="preserve">country data </w:t>
      </w:r>
      <w:r w:rsidR="004B4459">
        <w:t xml:space="preserve">are available for </w:t>
      </w:r>
      <w:r w:rsidR="00292119">
        <w:t>only a handful</w:t>
      </w:r>
      <w:r w:rsidR="004B4459">
        <w:t xml:space="preserve"> </w:t>
      </w:r>
      <w:r w:rsidR="00292119">
        <w:t>of</w:t>
      </w:r>
      <w:r w:rsidR="004B4459">
        <w:t xml:space="preserve"> countries, including the UK, Spain,</w:t>
      </w:r>
      <w:r w:rsidR="008D02B6">
        <w:t xml:space="preserve"> Netherlands</w:t>
      </w:r>
      <w:r w:rsidR="004B4459">
        <w:t xml:space="preserve"> </w:t>
      </w:r>
      <w:r w:rsidR="00232B2A">
        <w:t xml:space="preserve">and </w:t>
      </w:r>
      <w:r w:rsidR="004B4459">
        <w:t>Australia.</w:t>
      </w:r>
      <w:r w:rsidR="00145258">
        <w:fldChar w:fldCharType="begin" w:fldLock="1"/>
      </w:r>
      <w:r w:rsidR="008D0493">
        <w:instrText>ADDIN CSL_CITATION {"citationItems":[{"id":"ITEM-1","itemData":{"DOI":"10.3310/hta19140","ISSN":"1366-5278","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Assessment","id":"ITEM-1","issue":"14","issued":{"date-parts":[["2015","2"]]},"page":"1-504","title":"Methods for the estimation of the National Institute for Health and Care Excellence cost-effectiveness threshold","type":"article-journal","volume":"19"},"uris":["http://www.mendeley.com/documents/?uuid=afa53c37-fce0-3692-b007-d166614a6e57"]},{"id":"ITEM-2","itemData":{"DOI":"10.1007/s40273-017-0585-2","ISSN":"1170-7690","PMID":"29273843","abstract":"BACKGROUND Spending on new healthcare technologies increases net population health when the benefits of a new technology are greater than their opportunity costs-the benefits of the best alternative use of the additional resources required to fund a new technology. OBJECTIVE The objective of this study was to estimate the expected incremental cost per quality-adjusted life-year (QALY) gained of increased government health expenditure as an empirical estimate of the average opportunity costs of decisions to fund new health technologies. The estimated incremental cost-effectiveness ratio (ICER) is proposed as a reference ICER to inform value-based decision making in Australia. METHODS Empirical top-down approaches were used to estimate the QALY effects of government health expenditure with respect to reduced mortality and morbidity. Instrumental variable two-stage least-squares regression was used to estimate the elasticity of mortality-related QALY losses to a marginal change in government health expenditure. Regression analysis of longitudinal survey data representative of the general population was used to isolate the effects of increased government health expenditure on morbidity-related, QALY gains. Clinical judgement informed the duration of health-related quality-of-life improvement from the annual increase in government health expenditure. RESULTS The base-case reference ICER was estimated at AUD28,033 per QALY gained. Parametric uncertainty associated with the estimation of mortality- and morbidity-related QALYs generated a 95% confidence interval AUD20,758-37,667. CONCLUSION Recent public summary documents suggest new technologies with ICERs above AUD40,000 per QALY gained are recommended for public funding. The empirical reference ICER reported in this article suggests more QALYs could be gained if resources were allocated to other forms of health spending.","author":[{"dropping-particle":"","family":"Edney","given":"Laura Catherine","non-dropping-particle":"","parse-names":false,"suffix":""},{"dropping-particle":"","family":"Haji Ali Afzali","given":"Hossein","non-dropping-particle":"","parse-names":false,"suffix":""},{"dropping-particle":"","family":"Cheng","given":"Terence Chai","non-dropping-particle":"","parse-names":false,"suffix":""},{"dropping-particle":"","family":"Karnon","given":"Jonathan","non-dropping-particle":"","parse-names":false,"suffix":""}],"container-title":"PharmacoEconomics","id":"ITEM-2","issued":{"date-parts":[["2017","12","22"]]},"title":"Estimating the Reference Incremental Cost-Effectiveness Ratio for the Australian Health System","type":"article-journal"},"uris":["http://www.mendeley.com/documents/?uuid=11e49002-4708-3f9c-893f-e428f6643da2"]},{"id":"ITEM-3","itemData":{"author":[{"dropping-particle":"","family":"Vallejo-Torres","given":"Laura","non-dropping-particle":"","parse-names":false,"suffix":""},{"dropping-particle":"","family":"García-Lorenzo","given":"Borja","non-dropping-particle":"","parse-names":false,"suffix":""},{"dropping-particle":"","family":"Serrano-Aguilar","given":"Pedro","non-dropping-particle":"","parse-names":false,"suffix":""}],"collection-title":"Estudios sobre la Economía Española - 2016/22 ","id":"ITEM-3","issued":{"date-parts":[["2016"]]},"number":"eee2016-22","publisher-place":"Madrid","title":"Estimating a cost-effectiveness threshold for the Spanish NHS","type":"report"},"uris":["http://www.mendeley.com/documents/?uuid=13a9ee09-3b0e-3115-92fd-8c996691895b"]},{"id":"ITEM-4","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Health","id":"ITEM-4","issue":"0","issued":{"date-parts":[["2019","6"]]},"publisher":"Elsevier","title":"Estimating the Marginal Productivity of the English National Health Service From 2003 to 2012","type":"article-journal","volume":"0"},"uris":["http://www.mendeley.com/documents/?uuid=88cdae42-33a7-429d-abba-8a2a41ceb8a3","http://www.mendeley.com/documents/?uuid=4addd83c-fba1-354b-994a-a1311bea7908","http://www.mendeley.com/documents/?uuid=313039e3-aa2a-4914-98e1-0de8dd0ff93e"]},{"id":"ITEM-5","itemData":{"DOI":"10.1002/hec.3946","ISSN":"1057-9230","author":[{"dropping-particle":"","family":"Stadhouders","given":"Niek","non-dropping-particle":"","parse-names":false,"suffix":""},{"dropping-particle":"","family":"Koolman","given":"Xander","non-dropping-particle":"","parse-names":false,"suffix":""},{"dropping-particle":"","family":"Dijk","given":"Christel","non-dropping-particle":"","parse-names":false,"suffix":""},{"dropping-particle":"","family":"Jeurissen","given":"Patrick","non-dropping-particle":"","parse-names":false,"suffix":""},{"dropping-particle":"","family":"Adang","given":"Eddy","non-dropping-particle":"","parse-names":false,"suffix":""}],"container-title":"Health Economics","id":"ITEM-5","issued":{"date-parts":[["2019","8","30"]]},"publisher":"Wiley","title":"The marginal benefits of healthcare spending in the Netherlands: Estimating cost‐effectiveness thresholds using a translog production function","type":"article-journal"},"uris":["http://www.mendeley.com/documents/?uuid=2a6914b6-3852-3602-9407-4162fec3f99a"]}],"mendeley":{"formattedCitation":"&lt;sup&gt;10–14&lt;/sup&gt;","plainTextFormattedCitation":"10–14","previouslyFormattedCitation":"&lt;sup&gt;10–14&lt;/sup&gt;"},"properties":{"noteIndex":0},"schema":"https://github.com/citation-style-language/schema/raw/master/csl-citation.json"}</w:instrText>
      </w:r>
      <w:r w:rsidR="00145258">
        <w:fldChar w:fldCharType="separate"/>
      </w:r>
      <w:r w:rsidR="0086594C" w:rsidRPr="0086594C">
        <w:rPr>
          <w:noProof/>
          <w:vertAlign w:val="superscript"/>
        </w:rPr>
        <w:t>10–14</w:t>
      </w:r>
      <w:r w:rsidR="00145258">
        <w:fldChar w:fldCharType="end"/>
      </w:r>
      <w:r w:rsidR="00F15749">
        <w:t xml:space="preserve"> </w:t>
      </w:r>
    </w:p>
    <w:p w14:paraId="0ABA2849" w14:textId="3AF9480A" w:rsidR="00036F08" w:rsidRDefault="004B4459" w:rsidP="003C6ABE">
      <w:r>
        <w:t>Placeholder estimates</w:t>
      </w:r>
      <w:r w:rsidR="00570406">
        <w:t xml:space="preserve"> of</w:t>
      </w:r>
      <w:r w:rsidR="00570406" w:rsidRPr="00570406">
        <w:t xml:space="preserve"> </w:t>
      </w:r>
      <w:r w:rsidR="00570406">
        <w:t>health opportunity costs of government expenditure</w:t>
      </w:r>
      <w:r>
        <w:t xml:space="preserve"> for a wider range of countries are available based on</w:t>
      </w:r>
      <w:r w:rsidR="00570406">
        <w:t xml:space="preserve"> either</w:t>
      </w:r>
      <w:r w:rsidR="00B73883">
        <w:t xml:space="preserve"> extrapolating</w:t>
      </w:r>
      <w:r w:rsidR="008250EA">
        <w:t xml:space="preserve"> </w:t>
      </w:r>
      <w:r w:rsidR="00F15749">
        <w:t>existing</w:t>
      </w:r>
      <w:r w:rsidR="00326FCA">
        <w:t xml:space="preserve"> </w:t>
      </w:r>
      <w:r w:rsidR="00B73883">
        <w:t>estimates or</w:t>
      </w:r>
      <w:r w:rsidR="00570406">
        <w:t xml:space="preserve"> using</w:t>
      </w:r>
      <w:r w:rsidR="00F15749">
        <w:t xml:space="preserve"> published</w:t>
      </w:r>
      <w:r w:rsidR="00B73883">
        <w:t xml:space="preserve"> </w:t>
      </w:r>
      <w:r w:rsidR="008250EA">
        <w:t>elasticities</w:t>
      </w:r>
      <w:r w:rsidR="00B73883">
        <w:t xml:space="preserve"> of the effect of expenditure on health.</w:t>
      </w:r>
      <w:r w:rsidR="00570406">
        <w:t xml:space="preserve"> Cost per QALY estimates are available from</w:t>
      </w:r>
      <w:r w:rsidR="008D0493">
        <w:t xml:space="preserve"> Woods et al</w:t>
      </w:r>
      <w:r w:rsidR="008709C2">
        <w:fldChar w:fldCharType="begin" w:fldLock="1"/>
      </w:r>
      <w:r w:rsidR="008D0493">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8709C2">
        <w:fldChar w:fldCharType="separate"/>
      </w:r>
      <w:r w:rsidR="0086594C" w:rsidRPr="0086594C">
        <w:rPr>
          <w:noProof/>
          <w:vertAlign w:val="superscript"/>
        </w:rPr>
        <w:t>15</w:t>
      </w:r>
      <w:r w:rsidR="008709C2">
        <w:fldChar w:fldCharType="end"/>
      </w:r>
      <w:r w:rsidR="00570406">
        <w:t>, who</w:t>
      </w:r>
      <w:r w:rsidR="00B73883">
        <w:t xml:space="preserve"> extrapolate </w:t>
      </w:r>
      <w:r w:rsidR="00443FBB">
        <w:t xml:space="preserve">the </w:t>
      </w:r>
      <w:r w:rsidR="00443FBB" w:rsidRPr="003B6A98">
        <w:t>UK estimate</w:t>
      </w:r>
      <w:r w:rsidR="00145258" w:rsidRPr="003B6A98">
        <w:fldChar w:fldCharType="begin" w:fldLock="1"/>
      </w:r>
      <w:r w:rsidR="008D0493">
        <w:instrText>ADDIN CSL_CITATION {"citationItems":[{"id":"ITEM-1","itemData":{"DOI":"10.3310/hta19140","ISSN":"1366-5278","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Assessment","id":"ITEM-1","issue":"14","issued":{"date-parts":[["2015","2"]]},"page":"1-504","title":"Methods for the estimation of the National Institute for Health and Care Excellence cost-effectiveness threshold","type":"article-journal","volume":"19"},"uris":["http://www.mendeley.com/documents/?uuid=afa53c37-fce0-3692-b007-d166614a6e57"]}],"mendeley":{"formattedCitation":"&lt;sup&gt;10&lt;/sup&gt;","plainTextFormattedCitation":"10","previouslyFormattedCitation":"&lt;sup&gt;10&lt;/sup&gt;"},"properties":{"noteIndex":0},"schema":"https://github.com/citation-style-language/schema/raw/master/csl-citation.json"}</w:instrText>
      </w:r>
      <w:r w:rsidR="00145258" w:rsidRPr="003B6A98">
        <w:fldChar w:fldCharType="separate"/>
      </w:r>
      <w:r w:rsidR="0086594C" w:rsidRPr="0086594C">
        <w:rPr>
          <w:noProof/>
          <w:vertAlign w:val="superscript"/>
        </w:rPr>
        <w:t>10</w:t>
      </w:r>
      <w:r w:rsidR="00145258" w:rsidRPr="003B6A98">
        <w:fldChar w:fldCharType="end"/>
      </w:r>
      <w:r w:rsidR="00443FBB">
        <w:t xml:space="preserve"> to other countries using information about the income elasticity of demand</w:t>
      </w:r>
      <w:r w:rsidR="008D0493">
        <w:t>. Ochalek et al</w:t>
      </w:r>
      <w:r w:rsidR="00117B03">
        <w:fldChar w:fldCharType="begin" w:fldLock="1"/>
      </w:r>
      <w:r w:rsidR="008D0493">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rsidR="00117B03">
        <w:fldChar w:fldCharType="separate"/>
      </w:r>
      <w:r w:rsidR="0086594C" w:rsidRPr="0086594C">
        <w:rPr>
          <w:noProof/>
          <w:vertAlign w:val="superscript"/>
        </w:rPr>
        <w:t>16</w:t>
      </w:r>
      <w:r w:rsidR="00117B03">
        <w:fldChar w:fldCharType="end"/>
      </w:r>
      <w:r w:rsidR="00C242E8">
        <w:t xml:space="preserve"> </w:t>
      </w:r>
      <w:r w:rsidR="002C42BA">
        <w:t>use</w:t>
      </w:r>
      <w:r w:rsidR="00C242E8">
        <w:t xml:space="preserve"> </w:t>
      </w:r>
      <w:r w:rsidR="00C242E8" w:rsidRPr="00C242E8">
        <w:t xml:space="preserve">published </w:t>
      </w:r>
      <w:r w:rsidR="00C242E8">
        <w:t>elasticities</w:t>
      </w:r>
      <w:r w:rsidR="00772948">
        <w:t xml:space="preserve"> of the</w:t>
      </w:r>
      <w:r w:rsidR="00C242E8" w:rsidRPr="00C242E8">
        <w:t xml:space="preserve"> effects of</w:t>
      </w:r>
      <w:r w:rsidR="00792B74">
        <w:t xml:space="preserve"> government health care</w:t>
      </w:r>
      <w:r w:rsidR="00C242E8" w:rsidRPr="00C242E8">
        <w:t xml:space="preserve"> expenditure on </w:t>
      </w:r>
      <w:r w:rsidR="00A50C60">
        <w:t xml:space="preserve">health outcomes </w:t>
      </w:r>
      <w:r w:rsidR="001D0D40">
        <w:t xml:space="preserve">(expenditure elasticity of </w:t>
      </w:r>
      <w:r w:rsidR="00A50C60">
        <w:t>health</w:t>
      </w:r>
      <w:r w:rsidR="001D0D40">
        <w:t>)</w:t>
      </w:r>
      <w:r w:rsidR="00326FCA">
        <w:t xml:space="preserve"> </w:t>
      </w:r>
      <w:r w:rsidR="002C42BA">
        <w:t>from</w:t>
      </w:r>
      <w:r w:rsidR="00CC7B42">
        <w:t xml:space="preserve"> Bokhari et al</w:t>
      </w:r>
      <w:r w:rsidR="00117B03">
        <w:fldChar w:fldCharType="begin" w:fldLock="1"/>
      </w:r>
      <w:r w:rsidR="008D0493">
        <w:instrText>ADDIN CSL_CITATION {"citationItems":[{"id":"ITEM-1","itemData":{"DOI":"10.1002/hec.1157","ISSN":"1057-9230","PMID":"17001737","abstract":"This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 S","non-dropping-particle":"","parse-names":false,"suffix":""},{"dropping-particle":"","family":"Gai","given":"Yunwei","non-dropping-particle":"","parse-names":false,"suffix":""},{"dropping-particle":"","family":"Gottret","given":"Pablo","non-dropping-particle":"","parse-names":false,"suffix":""}],"container-title":"Health economics","id":"ITEM-1","issue":"3","issued":{"date-parts":[["2007","3"]]},"page":"257-73","title":"Government health expenditures and health outcomes.","type":"article-journal","volume":"16"},"uris":["http://www.mendeley.com/documents/?uuid=eb7cee0e-c265-4c7d-8535-613bf3f3a214"]}],"mendeley":{"formattedCitation":"&lt;sup&gt;17&lt;/sup&gt;","plainTextFormattedCitation":"17","previouslyFormattedCitation":"&lt;sup&gt;17&lt;/sup&gt;"},"properties":{"noteIndex":0},"schema":"https://github.com/citation-style-language/schema/raw/master/csl-citation.json"}</w:instrText>
      </w:r>
      <w:r w:rsidR="00117B03">
        <w:fldChar w:fldCharType="separate"/>
      </w:r>
      <w:r w:rsidR="0086594C" w:rsidRPr="0086594C">
        <w:rPr>
          <w:noProof/>
          <w:vertAlign w:val="superscript"/>
        </w:rPr>
        <w:t>17</w:t>
      </w:r>
      <w:r w:rsidR="00117B03">
        <w:fldChar w:fldCharType="end"/>
      </w:r>
      <w:r w:rsidR="00C242E8" w:rsidRPr="00C242E8">
        <w:t xml:space="preserve"> </w:t>
      </w:r>
      <w:r w:rsidR="001F5C7E">
        <w:t>to estimate cost per</w:t>
      </w:r>
      <w:r w:rsidR="00C242E8" w:rsidRPr="00C242E8">
        <w:t xml:space="preserve"> DALY</w:t>
      </w:r>
      <w:r w:rsidR="000E30CC">
        <w:t xml:space="preserve"> averted</w:t>
      </w:r>
      <w:r w:rsidR="001F5C7E">
        <w:t xml:space="preserve"> for a range of low- and middle-income countries (LMICs)</w:t>
      </w:r>
      <w:r w:rsidR="00C242E8" w:rsidRPr="00C242E8">
        <w:t xml:space="preserve">.  </w:t>
      </w:r>
    </w:p>
    <w:p w14:paraId="6975D388" w14:textId="6A27FA29" w:rsidR="003F1631" w:rsidRDefault="00F8669A" w:rsidP="003F1631">
      <w:r>
        <w:t xml:space="preserve">This paper </w:t>
      </w:r>
      <w:r w:rsidR="00636743">
        <w:t>provid</w:t>
      </w:r>
      <w:r w:rsidR="00A01D01">
        <w:t>es</w:t>
      </w:r>
      <w:r w:rsidR="00636743">
        <w:t xml:space="preserve"> </w:t>
      </w:r>
      <w:r w:rsidR="004F40C1">
        <w:t xml:space="preserve">a range </w:t>
      </w:r>
      <w:r>
        <w:t xml:space="preserve">of plausible </w:t>
      </w:r>
      <w:r w:rsidR="00636743">
        <w:t xml:space="preserve">cost per DALY averted estimates that reflect </w:t>
      </w:r>
      <w:r>
        <w:t>health opportunity costs for high-income countries</w:t>
      </w:r>
      <w:r w:rsidRPr="00BE0442">
        <w:t>,</w:t>
      </w:r>
      <w:r>
        <w:t xml:space="preserve"> two additional</w:t>
      </w:r>
      <w:r w:rsidRPr="00BE0442">
        <w:t xml:space="preserve"> OECD countries and</w:t>
      </w:r>
      <w:r>
        <w:t xml:space="preserve"> the remaining</w:t>
      </w:r>
      <w:r w:rsidRPr="00BE0442">
        <w:t xml:space="preserve"> BRIICs</w:t>
      </w:r>
      <w:r>
        <w:t xml:space="preserve"> (Brazil, China, India, Indonesia and South Africa</w:t>
      </w:r>
      <w:r w:rsidR="00EB27B1">
        <w:t>)</w:t>
      </w:r>
      <w:r w:rsidR="00A01D01">
        <w:t xml:space="preserve"> that can be used as placeholders for value frameworks</w:t>
      </w:r>
      <w:r>
        <w:t>.</w:t>
      </w:r>
      <w:r w:rsidR="003F1631">
        <w:t xml:space="preserve">  </w:t>
      </w:r>
      <w:r w:rsidR="00EB27B1">
        <w:t>To do this, we</w:t>
      </w:r>
      <w:r w:rsidR="003F1631">
        <w:t xml:space="preserve"> </w:t>
      </w:r>
      <w:r w:rsidR="001F5C7E">
        <w:t>apply the methods employed by Ochalek et al</w:t>
      </w:r>
      <w:r w:rsidR="001F5C7E">
        <w:fldChar w:fldCharType="begin" w:fldLock="1"/>
      </w:r>
      <w:r w:rsidR="008D0493">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rsidR="001F5C7E">
        <w:fldChar w:fldCharType="separate"/>
      </w:r>
      <w:r w:rsidR="0086594C" w:rsidRPr="0086594C">
        <w:rPr>
          <w:noProof/>
          <w:vertAlign w:val="superscript"/>
        </w:rPr>
        <w:t>16</w:t>
      </w:r>
      <w:r w:rsidR="001F5C7E">
        <w:fldChar w:fldCharType="end"/>
      </w:r>
      <w:r w:rsidR="001F5C7E">
        <w:t xml:space="preserve"> to data for these countries using</w:t>
      </w:r>
      <w:r w:rsidR="000E30CC">
        <w:t xml:space="preserve"> 1)</w:t>
      </w:r>
      <w:r w:rsidR="003F1631">
        <w:t xml:space="preserve"> the health effects of changes in expenditure on health outcomes</w:t>
      </w:r>
      <w:r w:rsidR="00C062E0">
        <w:t xml:space="preserve"> (mortality, years of life lost - YLL, years of life disabled – YLD, and DALY</w:t>
      </w:r>
      <w:r w:rsidR="001F5C7E">
        <w:t>s</w:t>
      </w:r>
      <w:r w:rsidR="00C062E0">
        <w:t>)</w:t>
      </w:r>
      <w:r w:rsidR="001F5C7E">
        <w:t xml:space="preserve"> from the econometric</w:t>
      </w:r>
      <w:r w:rsidR="003F1631">
        <w:t xml:space="preserve"> </w:t>
      </w:r>
      <w:r w:rsidR="001F5C7E">
        <w:t>model developed</w:t>
      </w:r>
      <w:r w:rsidR="008D0493">
        <w:t xml:space="preserve"> in Bokhari et al</w:t>
      </w:r>
      <w:r w:rsidR="00A01D01">
        <w:fldChar w:fldCharType="begin" w:fldLock="1"/>
      </w:r>
      <w:r w:rsidR="008D0493">
        <w:instrText>ADDIN CSL_CITATION {"citationItems":[{"id":"ITEM-1","itemData":{"DOI":"10.1002/hec.1157","ISSN":"1057-9230","PMID":"17001737","abstract":"This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 S","non-dropping-particle":"","parse-names":false,"suffix":""},{"dropping-particle":"","family":"Gai","given":"Yunwei","non-dropping-particle":"","parse-names":false,"suffix":""},{"dropping-particle":"","family":"Gottret","given":"Pablo","non-dropping-particle":"","parse-names":false,"suffix":""}],"container-title":"Health economics","id":"ITEM-1","issue":"3","issued":{"date-parts":[["2007","3"]]},"page":"257-73","title":"Government health expenditures and health outcomes.","type":"article-journal","volume":"16"},"uris":["http://www.mendeley.com/documents/?uuid=eb7cee0e-c265-4c7d-8535-613bf3f3a214"]}],"mendeley":{"formattedCitation":"&lt;sup&gt;17&lt;/sup&gt;","plainTextFormattedCitation":"17","previouslyFormattedCitation":"&lt;sup&gt;17&lt;/sup&gt;"},"properties":{"noteIndex":0},"schema":"https://github.com/citation-style-language/schema/raw/master/csl-citation.json"}</w:instrText>
      </w:r>
      <w:r w:rsidR="00A01D01">
        <w:fldChar w:fldCharType="separate"/>
      </w:r>
      <w:r w:rsidR="0086594C" w:rsidRPr="0086594C">
        <w:rPr>
          <w:noProof/>
          <w:vertAlign w:val="superscript"/>
        </w:rPr>
        <w:t>17</w:t>
      </w:r>
      <w:r w:rsidR="00A01D01">
        <w:fldChar w:fldCharType="end"/>
      </w:r>
      <w:r w:rsidR="003F1631">
        <w:t>, and 2) other existing elasticities of the health effects of changes in expenditure</w:t>
      </w:r>
      <w:r w:rsidR="000E30CC">
        <w:t xml:space="preserve"> drawn from selected </w:t>
      </w:r>
      <w:r w:rsidR="0057136F">
        <w:t>UK within-country</w:t>
      </w:r>
      <w:r w:rsidR="000E30CC">
        <w:t xml:space="preserve"> studies</w:t>
      </w:r>
      <w:r w:rsidR="003F1631">
        <w:t>.</w:t>
      </w:r>
      <w:r w:rsidR="004056CB">
        <w:fldChar w:fldCharType="begin" w:fldLock="1"/>
      </w:r>
      <w:r w:rsidR="008D0493">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id":"ITEM-2","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Health","id":"ITEM-2","issue":"0","issued":{"date-parts":[["2019","6"]]},"publisher":"Elsevier","title":"Estimating the Marginal Productivity of the English National Health Service From 2003 to 2012","type":"article-journal","volume":"0"},"uris":["http://www.mendeley.com/documents/?uuid=88cdae42-33a7-429d-abba-8a2a41ceb8a3","http://www.mendeley.com/documents/?uuid=313039e3-aa2a-4914-98e1-0de8dd0ff93e"]}],"mendeley":{"formattedCitation":"&lt;sup&gt;13,18&lt;/sup&gt;","plainTextFormattedCitation":"13,18","previouslyFormattedCitation":"&lt;sup&gt;13,18&lt;/sup&gt;"},"properties":{"noteIndex":0},"schema":"https://github.com/citation-style-language/schema/raw/master/csl-citation.json"}</w:instrText>
      </w:r>
      <w:r w:rsidR="004056CB">
        <w:fldChar w:fldCharType="separate"/>
      </w:r>
      <w:r w:rsidR="0086594C" w:rsidRPr="0086594C">
        <w:rPr>
          <w:noProof/>
          <w:vertAlign w:val="superscript"/>
        </w:rPr>
        <w:t>13,18</w:t>
      </w:r>
      <w:r w:rsidR="004056CB">
        <w:fldChar w:fldCharType="end"/>
      </w:r>
      <w:r w:rsidR="00785759">
        <w:t xml:space="preserve">  In order to provide a comprehensive picture of the state of research around cost-effectiveness thresholds for these countries, the </w:t>
      </w:r>
      <w:r w:rsidR="00C062E0">
        <w:t>cost per DALY averted estimates</w:t>
      </w:r>
      <w:r w:rsidR="00785759">
        <w:t xml:space="preserve"> from this paper are reported against previously published estimates</w:t>
      </w:r>
      <w:r w:rsidR="001F5C7E">
        <w:t xml:space="preserve"> of cost per QALY gained</w:t>
      </w:r>
      <w:r w:rsidR="00785759">
        <w:t xml:space="preserve"> for the same countries (i.e., from Woods et al, and country-specific analyses using within-country data).</w:t>
      </w:r>
      <w:r w:rsidR="008D0493">
        <w:fldChar w:fldCharType="begin" w:fldLock="1"/>
      </w:r>
      <w:r w:rsidR="008D0493">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id":"ITEM-2","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Health","id":"ITEM-2","issue":"0","issued":{"date-parts":[["2019","6"]]},"publisher":"Elsevier","title":"Estimating the Marginal Productivity of the English National Health Service From 2003 to 2012","type":"article-journal","volume":"0"},"uris":["http://www.mendeley.com/documents/?uuid=88cdae42-33a7-429d-abba-8a2a41ceb8a3"]},{"id":"ITEM-3","itemData":{"DOI":"10.1080/07474938.2016.1114205","ISSN":"0747-4938","abstract":"ABSTRACTIn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Reviews","id":"ITEM-3","issue":"1-3","issued":{"date-parts":[["2017","3","16"]]},"page":"23-41","publisher":"Taylor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13,15,18&lt;/sup&gt;","plainTextFormattedCitation":"13,15,18","previouslyFormattedCitation":"&lt;sup&gt;13,15,18&lt;/sup&gt;"},"properties":{"noteIndex":0},"schema":"https://github.com/citation-style-language/schema/raw/master/csl-citation.json"}</w:instrText>
      </w:r>
      <w:r w:rsidR="008D0493">
        <w:fldChar w:fldCharType="separate"/>
      </w:r>
      <w:r w:rsidR="008D0493" w:rsidRPr="008D0493">
        <w:rPr>
          <w:noProof/>
          <w:vertAlign w:val="superscript"/>
        </w:rPr>
        <w:t>13,15,18</w:t>
      </w:r>
      <w:r w:rsidR="008D0493">
        <w:fldChar w:fldCharType="end"/>
      </w:r>
    </w:p>
    <w:p w14:paraId="3CF806B8" w14:textId="74B5D1DE" w:rsidR="00DD4BF9" w:rsidRDefault="00DD4BF9" w:rsidP="00DD4BF9"/>
    <w:p w14:paraId="7AA4FC00" w14:textId="41554744" w:rsidR="00395B46" w:rsidRPr="004B64A1" w:rsidRDefault="00395B46" w:rsidP="00395B46">
      <w:pPr>
        <w:pStyle w:val="Heading2"/>
      </w:pPr>
      <w:r w:rsidRPr="004B64A1">
        <w:t>Methods</w:t>
      </w:r>
      <w:r w:rsidR="009C0D75">
        <w:t xml:space="preserve"> </w:t>
      </w:r>
    </w:p>
    <w:p w14:paraId="351F0C17" w14:textId="4534CFA5" w:rsidR="003C7DBB" w:rsidRDefault="003C7DBB" w:rsidP="0038017C">
      <w:pPr>
        <w:pStyle w:val="Heading3"/>
      </w:pPr>
      <w:r>
        <w:t>Estimat</w:t>
      </w:r>
      <w:r w:rsidR="0057136F">
        <w:t>es for</w:t>
      </w:r>
      <w:r>
        <w:t xml:space="preserve"> the </w:t>
      </w:r>
      <w:r w:rsidR="009453B3">
        <w:t>expenditure elasticity of health</w:t>
      </w:r>
      <w:r>
        <w:t xml:space="preserve"> </w:t>
      </w:r>
    </w:p>
    <w:p w14:paraId="1C591A87" w14:textId="5A2BC5F6" w:rsidR="0057136F" w:rsidRDefault="0057136F" w:rsidP="0057136F">
      <w:pPr>
        <w:pStyle w:val="Heading4"/>
      </w:pPr>
      <w:r>
        <w:t xml:space="preserve">Extending </w:t>
      </w:r>
      <w:r w:rsidR="008D0493">
        <w:t>an existing</w:t>
      </w:r>
      <w:r>
        <w:t xml:space="preserve"> econometric model</w:t>
      </w:r>
    </w:p>
    <w:p w14:paraId="250BD417" w14:textId="7590604F" w:rsidR="00710C7D" w:rsidRDefault="00710C7D" w:rsidP="00710C7D">
      <w:r>
        <w:t>We apply the econometric specification of</w:t>
      </w:r>
      <w:r w:rsidR="008D0493">
        <w:t xml:space="preserve"> Bokhari et al</w:t>
      </w:r>
      <w:r w:rsidR="008D0493">
        <w:fldChar w:fldCharType="begin" w:fldLock="1"/>
      </w:r>
      <w:r w:rsidR="008D0493">
        <w:instrText>ADDIN CSL_CITATION {"citationItems":[{"id":"ITEM-1","itemData":{"DOI":"10.1002/hec.1157","ISSN":"1057-9230","PMID":"17001737","abstract":"This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 S","non-dropping-particle":"","parse-names":false,"suffix":""},{"dropping-particle":"","family":"Gai","given":"Yunwei","non-dropping-particle":"","parse-names":false,"suffix":""},{"dropping-particle":"","family":"Gottret","given":"Pablo","non-dropping-particle":"","parse-names":false,"suffix":""}],"container-title":"Health economics","id":"ITEM-1","issue":"3","issued":{"date-parts":[["2007","3"]]},"page":"257-73","title":"Government health expenditures and health outcomes.","type":"article-journal","volume":"16"},"uris":["http://www.mendeley.com/documents/?uuid=eb7cee0e-c265-4c7d-8535-613bf3f3a214"]}],"mendeley":{"formattedCitation":"&lt;sup&gt;17&lt;/sup&gt;","plainTextFormattedCitation":"17","previouslyFormattedCitation":"&lt;sup&gt;17&lt;/sup&gt;"},"properties":{"noteIndex":0},"schema":"https://github.com/citation-style-language/schema/raw/master/csl-citation.json"}</w:instrText>
      </w:r>
      <w:r w:rsidR="008D0493">
        <w:fldChar w:fldCharType="separate"/>
      </w:r>
      <w:r w:rsidR="008D0493" w:rsidRPr="008D0493">
        <w:rPr>
          <w:noProof/>
          <w:vertAlign w:val="superscript"/>
        </w:rPr>
        <w:t>17</w:t>
      </w:r>
      <w:r w:rsidR="008D0493">
        <w:fldChar w:fldCharType="end"/>
      </w:r>
      <w:r>
        <w:t>, and following</w:t>
      </w:r>
      <w:r w:rsidR="008D0493">
        <w:t xml:space="preserve"> Ochalek et al</w:t>
      </w:r>
      <w:r w:rsidR="008D0493">
        <w:fldChar w:fldCharType="begin" w:fldLock="1"/>
      </w:r>
      <w:r w:rsidR="00AC379A">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rsidR="008D0493">
        <w:fldChar w:fldCharType="separate"/>
      </w:r>
      <w:r w:rsidR="003D43CC" w:rsidRPr="003D43CC">
        <w:rPr>
          <w:noProof/>
          <w:vertAlign w:val="superscript"/>
        </w:rPr>
        <w:t>16</w:t>
      </w:r>
      <w:r w:rsidR="008D0493">
        <w:fldChar w:fldCharType="end"/>
      </w:r>
      <w:r>
        <w:t xml:space="preserve"> we expand their dataset to include additional outcome measures that enable us to assess the population-wide health effects of changes in expenditure.</w:t>
      </w:r>
    </w:p>
    <w:p w14:paraId="4E016D99" w14:textId="587010D7" w:rsidR="00756875" w:rsidRDefault="00CA0792" w:rsidP="00710C7D">
      <w:r>
        <w:t>Bokahar</w:t>
      </w:r>
      <w:r w:rsidR="00832A56">
        <w:t>i</w:t>
      </w:r>
      <w:r>
        <w:t xml:space="preserve"> et al</w:t>
      </w:r>
      <w:r w:rsidR="008D0493">
        <w:fldChar w:fldCharType="begin" w:fldLock="1"/>
      </w:r>
      <w:r w:rsidR="008D0493">
        <w:instrText>ADDIN CSL_CITATION {"citationItems":[{"id":"ITEM-1","itemData":{"DOI":"10.1002/hec.1157","ISSN":"1057-9230","PMID":"17001737","abstract":"This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 S","non-dropping-particle":"","parse-names":false,"suffix":""},{"dropping-particle":"","family":"Gai","given":"Yunwei","non-dropping-particle":"","parse-names":false,"suffix":""},{"dropping-particle":"","family":"Gottret","given":"Pablo","non-dropping-particle":"","parse-names":false,"suffix":""}],"container-title":"Health economics","id":"ITEM-1","issue":"3","issued":{"date-parts":[["2007","3"]]},"page":"257-73","title":"Government health expenditures and health outcomes.","type":"article-journal","volume":"16"},"uris":["http://www.mendeley.com/documents/?uuid=eb7cee0e-c265-4c7d-8535-613bf3f3a214"]}],"mendeley":{"formattedCitation":"&lt;sup&gt;17&lt;/sup&gt;","plainTextFormattedCitation":"17","previouslyFormattedCitation":"&lt;sup&gt;17&lt;/sup&gt;"},"properties":{"noteIndex":0},"schema":"https://github.com/citation-style-language/schema/raw/master/csl-citation.json"}</w:instrText>
      </w:r>
      <w:r w:rsidR="008D0493">
        <w:fldChar w:fldCharType="separate"/>
      </w:r>
      <w:r w:rsidR="008D0493" w:rsidRPr="008D0493">
        <w:rPr>
          <w:noProof/>
          <w:vertAlign w:val="superscript"/>
        </w:rPr>
        <w:t>17</w:t>
      </w:r>
      <w:r w:rsidR="008D0493">
        <w:fldChar w:fldCharType="end"/>
      </w:r>
      <w:r>
        <w:t xml:space="preserve"> estimate the effect of a change in health expenditure on under-5 and maternal mortality using cross-sectional data from the year 2000 for 127 countries</w:t>
      </w:r>
      <w:r w:rsidR="00BE429E">
        <w:t>.</w:t>
      </w:r>
      <w:r w:rsidR="00756875">
        <w:t xml:space="preserve"> To do this,</w:t>
      </w:r>
      <w:r w:rsidR="00C41E59">
        <w:t xml:space="preserve"> for each health outcome, </w:t>
      </w:r>
      <m:oMath>
        <m:r>
          <w:rPr>
            <w:rFonts w:ascii="Cambria Math" w:hAnsi="Cambria Math"/>
          </w:rPr>
          <m:t>H</m:t>
        </m:r>
      </m:oMath>
      <w:r w:rsidR="00C41E59">
        <w:rPr>
          <w:rFonts w:eastAsiaTheme="minorEastAsia"/>
        </w:rPr>
        <w:t>,</w:t>
      </w:r>
      <w:r w:rsidR="00756875">
        <w:t xml:space="preserve"> the following econometric model is estimated:</w:t>
      </w:r>
    </w:p>
    <w:p w14:paraId="477238E2" w14:textId="1026A4D9" w:rsidR="00C41E59" w:rsidRDefault="00C41E59" w:rsidP="00710C7D">
      <w:pPr>
        <w:rPr>
          <w:rFonts w:eastAsiaTheme="minorEastAsia"/>
        </w:rPr>
      </w:pPr>
      <w:r>
        <w:rPr>
          <w:rFonts w:eastAsiaTheme="minorEastAsia"/>
        </w:rPr>
        <w:t>(1)</w:t>
      </w:r>
      <w:r>
        <w:rPr>
          <w:rFonts w:eastAsiaTheme="minorEastAsia"/>
        </w:rPr>
        <w:tab/>
      </w:r>
      <m:oMath>
        <m:r>
          <m:rPr>
            <m:sty m:val="p"/>
          </m:rPr>
          <w:rPr>
            <w:rFonts w:ascii="Cambria Math" w:hAnsi="Cambria Math"/>
          </w:rPr>
          <m:t>ln⁡</m:t>
        </m:r>
        <m:r>
          <w:rPr>
            <w:rFonts w:ascii="Cambria Math" w:hAnsi="Cambria Math"/>
          </w:rPr>
          <m:t>(H)=</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E</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R</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S</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D</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I</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6</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Gh</m:t>
                </m:r>
              </m:e>
            </m:d>
            <m:r>
              <w:rPr>
                <w:rFonts w:ascii="Cambria Math" w:hAnsi="Cambria Math"/>
              </w:rPr>
              <m:t>+</m:t>
            </m:r>
          </m:e>
        </m:func>
      </m:oMath>
    </w:p>
    <w:p w14:paraId="6B2018EF" w14:textId="34F7F08B" w:rsidR="00C41E59" w:rsidRDefault="00C41E59" w:rsidP="00C41E59">
      <w:r>
        <w:tab/>
        <w:t xml:space="preserve">                 </w:t>
      </w:r>
      <m:oMath>
        <m:sSub>
          <m:sSubPr>
            <m:ctrlPr>
              <w:rPr>
                <w:rFonts w:ascii="Cambria Math" w:hAnsi="Cambria Math"/>
                <w:i/>
              </w:rPr>
            </m:ctrlPr>
          </m:sSubPr>
          <m:e>
            <m:r>
              <w:rPr>
                <w:rFonts w:ascii="Cambria Math" w:hAnsi="Cambria Math"/>
              </w:rPr>
              <m:t>β</m:t>
            </m:r>
          </m:e>
          <m:sub>
            <m:r>
              <w:rPr>
                <w:rFonts w:ascii="Cambria Math" w:hAnsi="Cambria Math"/>
              </w:rPr>
              <m:t>7</m:t>
            </m:r>
          </m:sub>
        </m:sSub>
        <m:d>
          <m:dPr>
            <m:ctrlPr>
              <w:rPr>
                <w:rFonts w:ascii="Cambria Math" w:hAnsi="Cambria Math"/>
              </w:rPr>
            </m:ctrlPr>
          </m:dPr>
          <m:e>
            <m:acc>
              <m:accPr>
                <m:chr m:val="̃"/>
                <m:ctrlPr>
                  <w:rPr>
                    <w:rFonts w:ascii="Cambria Math" w:hAnsi="Cambria Math"/>
                  </w:rPr>
                </m:ctrlPr>
              </m:accPr>
              <m:e>
                <m:r>
                  <m:rPr>
                    <m:sty m:val="p"/>
                  </m:rPr>
                  <w:rPr>
                    <w:rFonts w:ascii="Cambria Math" w:hAnsi="Cambria Math"/>
                  </w:rPr>
                  <m:t>D</m:t>
                </m:r>
              </m:e>
            </m:acc>
            <m:r>
              <m:rPr>
                <m:sty m:val="p"/>
              </m:rP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Gh</m:t>
                    </m:r>
                  </m:e>
                </m:d>
              </m:e>
            </m:func>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8</m:t>
            </m:r>
          </m:sub>
        </m:sSub>
        <m:d>
          <m:dPr>
            <m:ctrlPr>
              <w:rPr>
                <w:rFonts w:ascii="Cambria Math" w:hAnsi="Cambria Math"/>
              </w:rPr>
            </m:ctrlPr>
          </m:dPr>
          <m:e>
            <m:r>
              <m:rPr>
                <m:sty m:val="p"/>
              </m:rPr>
              <w:rPr>
                <w:rFonts w:ascii="Cambria Math" w:hAnsi="Cambria Math"/>
              </w:rPr>
              <m:t>R*</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Gh</m:t>
                    </m:r>
                  </m:e>
                </m:d>
              </m:e>
            </m:func>
            <m:ctrlPr>
              <w:rPr>
                <w:rFonts w:ascii="Cambria Math" w:hAnsi="Cambria Math"/>
                <w:i/>
              </w:rPr>
            </m:ctrlPr>
          </m:e>
        </m:d>
        <m:r>
          <w:rPr>
            <w:rFonts w:ascii="Cambria Math" w:hAnsi="Cambria Math"/>
          </w:rPr>
          <m:t>+ε</m:t>
        </m:r>
      </m:oMath>
    </w:p>
    <w:p w14:paraId="574C78C2" w14:textId="26174596" w:rsidR="00832A56" w:rsidRDefault="00A01AEA" w:rsidP="00360964">
      <m:oMath>
        <m:r>
          <w:rPr>
            <w:rFonts w:ascii="Cambria Math" w:hAnsi="Cambria Math"/>
          </w:rPr>
          <m:t>E</m:t>
        </m:r>
      </m:oMath>
      <w:r w:rsidR="00C41E59">
        <w:t xml:space="preserve"> denotes the level of education, </w:t>
      </w:r>
      <m:oMath>
        <m:r>
          <w:rPr>
            <w:rFonts w:ascii="Cambria Math" w:hAnsi="Cambria Math"/>
          </w:rPr>
          <m:t>R</m:t>
        </m:r>
      </m:oMath>
      <w:r w:rsidR="00C41E59">
        <w:t xml:space="preserve"> paved roads per unit area, </w:t>
      </w:r>
      <m:oMath>
        <m:r>
          <w:rPr>
            <w:rFonts w:ascii="Cambria Math" w:hAnsi="Cambria Math"/>
          </w:rPr>
          <m:t>S</m:t>
        </m:r>
      </m:oMath>
      <w:r w:rsidR="00C41E59">
        <w:t xml:space="preserve"> level of sanitation and improved water service, </w:t>
      </w:r>
      <m:oMath>
        <m:r>
          <w:rPr>
            <w:rFonts w:ascii="Cambria Math" w:hAnsi="Cambria Math"/>
          </w:rPr>
          <m:t>D</m:t>
        </m:r>
      </m:oMath>
      <w:r w:rsidR="00C41E59">
        <w:t xml:space="preserve"> level of donor funding, </w:t>
      </w:r>
      <m:oMath>
        <m:r>
          <w:rPr>
            <w:rFonts w:ascii="Cambria Math" w:hAnsi="Cambria Math"/>
          </w:rPr>
          <m:t>I</m:t>
        </m:r>
      </m:oMath>
      <w:r w:rsidR="00C41E59">
        <w:t xml:space="preserve"> income, </w:t>
      </w:r>
      <m:oMath>
        <m:r>
          <w:rPr>
            <w:rFonts w:ascii="Cambria Math" w:hAnsi="Cambria Math"/>
          </w:rPr>
          <m:t>Gh</m:t>
        </m:r>
      </m:oMath>
      <w:r w:rsidR="00C41E59">
        <w:t xml:space="preserve"> government expenditures on health, </w:t>
      </w:r>
      <m:oMath>
        <m:acc>
          <m:accPr>
            <m:chr m:val="̃"/>
            <m:ctrlPr>
              <w:rPr>
                <w:rFonts w:ascii="Cambria Math" w:hAnsi="Cambria Math"/>
              </w:rPr>
            </m:ctrlPr>
          </m:accPr>
          <m:e>
            <m:r>
              <m:rPr>
                <m:sty m:val="p"/>
              </m:rPr>
              <w:rPr>
                <w:rFonts w:ascii="Cambria Math" w:hAnsi="Cambria Math"/>
              </w:rPr>
              <m:t>D</m:t>
            </m:r>
          </m:e>
        </m:acc>
      </m:oMath>
      <w:r>
        <w:rPr>
          <w:rFonts w:eastAsiaTheme="minorEastAsia"/>
        </w:rPr>
        <w:t xml:space="preserve"> deviation in donor funding from its historic average and </w:t>
      </w:r>
      <m:oMath>
        <m:r>
          <w:rPr>
            <w:rFonts w:ascii="Cambria Math" w:hAnsi="Cambria Math"/>
          </w:rPr>
          <m:t>ε</m:t>
        </m:r>
      </m:oMath>
      <w:r>
        <w:rPr>
          <w:rFonts w:eastAsiaTheme="minorEastAsia"/>
        </w:rPr>
        <w:t xml:space="preserve"> an error term.</w:t>
      </w:r>
      <w:r w:rsidR="00360964">
        <w:rPr>
          <w:rFonts w:eastAsiaTheme="minorEastAsia"/>
        </w:rPr>
        <w:t xml:space="preserve"> As can be seen from (1), logarithmic transformation is undertaken for variables so that coefficients can be interpreted as elasticities.</w:t>
      </w:r>
      <w:r>
        <w:rPr>
          <w:rFonts w:eastAsiaTheme="minorEastAsia"/>
        </w:rPr>
        <w:t xml:space="preserve"> The model is estimated using an instrumental variable</w:t>
      </w:r>
      <w:r w:rsidR="00360964">
        <w:rPr>
          <w:rFonts w:eastAsiaTheme="minorEastAsia"/>
        </w:rPr>
        <w:t xml:space="preserve"> (IV)</w:t>
      </w:r>
      <w:r>
        <w:rPr>
          <w:rFonts w:eastAsiaTheme="minorEastAsia"/>
        </w:rPr>
        <w:t xml:space="preserve"> approach where </w:t>
      </w:r>
      <m:oMath>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I</m:t>
                </m:r>
              </m:e>
            </m:d>
          </m:e>
        </m:func>
      </m:oMath>
      <w:r>
        <w:rPr>
          <w:rFonts w:eastAsiaTheme="minorEastAsia"/>
        </w:rPr>
        <w:t xml:space="preserve">, </w:t>
      </w:r>
      <m:oMath>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Gh</m:t>
                </m:r>
              </m:e>
            </m:d>
          </m:e>
        </m:func>
      </m:oMath>
      <w:r>
        <w:rPr>
          <w:rFonts w:eastAsiaTheme="minorEastAsia"/>
        </w:rPr>
        <w:t xml:space="preserve"> and any interaction terms including these variables are considered endogenous.</w:t>
      </w:r>
      <w:r>
        <w:t xml:space="preserve"> </w:t>
      </w:r>
      <w:r w:rsidR="00BE429E">
        <w:t>The</w:t>
      </w:r>
      <w:r>
        <w:t xml:space="preserve"> authors</w:t>
      </w:r>
      <w:r w:rsidR="00BE429E">
        <w:t xml:space="preserve"> use</w:t>
      </w:r>
      <w:r w:rsidR="00360964">
        <w:t xml:space="preserve"> four IVs to address this:</w:t>
      </w:r>
      <w:r w:rsidR="00BE429E">
        <w:t xml:space="preserve"> </w:t>
      </w:r>
      <w:r w:rsidR="00CA0792">
        <w:t>military expenditure per capita of neighbouring countries</w:t>
      </w:r>
      <w:r w:rsidR="00360964">
        <w:t>, consumption-investment ratio</w:t>
      </w:r>
      <w:r w:rsidR="00CA0792">
        <w:t xml:space="preserve"> and </w:t>
      </w:r>
      <w:r w:rsidR="00360964">
        <w:t>two</w:t>
      </w:r>
      <w:r w:rsidR="00CA0792">
        <w:t xml:space="preserve"> measure</w:t>
      </w:r>
      <w:r w:rsidR="00360964">
        <w:t>s</w:t>
      </w:r>
      <w:r w:rsidR="00CA0792">
        <w:t xml:space="preserve"> of institutional quality</w:t>
      </w:r>
      <w:r w:rsidR="00360964">
        <w:t xml:space="preserve"> based on annual World Bank assessments</w:t>
      </w:r>
      <w:r w:rsidR="00CA0792">
        <w:t>.</w:t>
      </w:r>
      <w:r w:rsidR="00E8467D">
        <w:t xml:space="preserve"> It is required that these IVs are directly related to the leave of government expenditure on health, but are not directly related to health outcomes or any unobserved confounder between government expenditure on health and health outcomes.</w:t>
      </w:r>
      <w:r w:rsidR="00832A56">
        <w:t xml:space="preserve"> We add to their dataset additional outcome measures</w:t>
      </w:r>
      <w:r w:rsidR="0057136F">
        <w:t xml:space="preserve"> </w:t>
      </w:r>
      <w:r w:rsidR="004056CB">
        <w:t xml:space="preserve">obtained from the </w:t>
      </w:r>
      <w:r w:rsidR="004056CB" w:rsidRPr="004056CB">
        <w:t>Institute for Health Metrics and Evaluation</w:t>
      </w:r>
      <w:r w:rsidR="004056CB">
        <w:t xml:space="preserve"> </w:t>
      </w:r>
      <w:r w:rsidR="001C1C06">
        <w:t xml:space="preserve">(IHME) </w:t>
      </w:r>
      <w:r w:rsidR="004056CB">
        <w:t>Global Burden of Disease (GBD) project</w:t>
      </w:r>
      <w:r w:rsidR="00832A56">
        <w:t>: adult female mortality (AFM), adult male mortality (AMM), YLD, YLL, and DALYs.</w:t>
      </w:r>
      <w:r w:rsidR="00880F87">
        <w:fldChar w:fldCharType="begin" w:fldLock="1"/>
      </w:r>
      <w:r w:rsidR="00AC379A">
        <w:instrText>ADDIN CSL_CITATION {"citationItems":[{"id":"ITEM-1","itemData":{"URL":"http://ghdx.healthdata.org/gbd-2015","accessed":{"date-parts":[["2018","3","21"]]},"author":[{"dropping-particle":"","family":"Institute for Health Metrics and Evaluation","given":"","non-dropping-particle":"","parse-names":false,"suffix":""}],"id":"ITEM-1","issued":{"date-parts":[["2018"]]},"title":"Global Burden of Disease Study 2015 (GBD 2015) Data Resources | GHDx","type":"webpage"},"uris":["http://www.mendeley.com/documents/?uuid=b4dfec1b-dd5c-3259-8064-555569318443"]}],"mendeley":{"formattedCitation":"&lt;sup&gt;19&lt;/sup&gt;","plainTextFormattedCitation":"19","previouslyFormattedCitation":"&lt;sup&gt;19&lt;/sup&gt;"},"properties":{"noteIndex":0},"schema":"https://github.com/citation-style-language/schema/raw/master/csl-citation.json"}</w:instrText>
      </w:r>
      <w:r w:rsidR="00880F87">
        <w:fldChar w:fldCharType="separate"/>
      </w:r>
      <w:r w:rsidR="003D43CC" w:rsidRPr="003D43CC">
        <w:rPr>
          <w:noProof/>
          <w:vertAlign w:val="superscript"/>
        </w:rPr>
        <w:t>19</w:t>
      </w:r>
      <w:r w:rsidR="00880F87">
        <w:fldChar w:fldCharType="end"/>
      </w:r>
      <w:r w:rsidR="00832A56">
        <w:t xml:space="preserve">  O</w:t>
      </w:r>
      <w:r w:rsidR="00360964">
        <w:t xml:space="preserve">wing to the use of interaction terms, estimated expenditure </w:t>
      </w:r>
      <w:r w:rsidR="00832A56">
        <w:t>elasticities</w:t>
      </w:r>
      <w:r w:rsidR="00360964">
        <w:t xml:space="preserve"> of health</w:t>
      </w:r>
      <w:r w:rsidR="00832A56">
        <w:t xml:space="preserve"> vary by country with respect to expenditure by the level of infrastructure </w:t>
      </w:r>
      <w:r w:rsidR="00832A56" w:rsidRPr="0060571B">
        <w:t xml:space="preserve">(proxied by </w:t>
      </w:r>
      <m:oMath>
        <m:r>
          <w:rPr>
            <w:rFonts w:ascii="Cambria Math" w:hAnsi="Cambria Math"/>
          </w:rPr>
          <m:t>R</m:t>
        </m:r>
      </m:oMath>
      <w:r w:rsidR="00832A56" w:rsidRPr="0060571B">
        <w:t>)</w:t>
      </w:r>
      <w:r w:rsidR="00832A56">
        <w:t xml:space="preserve"> </w:t>
      </w:r>
      <w:r w:rsidR="00832A56" w:rsidRPr="0041192A">
        <w:t>and shock</w:t>
      </w:r>
      <w:r w:rsidR="00832A56">
        <w:t>s</w:t>
      </w:r>
      <w:r w:rsidR="00832A56" w:rsidRPr="0041192A">
        <w:t xml:space="preserve"> in donor funding (measured by </w:t>
      </w:r>
      <m:oMath>
        <m:acc>
          <m:accPr>
            <m:chr m:val="̃"/>
            <m:ctrlPr>
              <w:rPr>
                <w:rFonts w:ascii="Cambria Math" w:hAnsi="Cambria Math"/>
              </w:rPr>
            </m:ctrlPr>
          </m:accPr>
          <m:e>
            <m:r>
              <m:rPr>
                <m:sty m:val="p"/>
              </m:rPr>
              <w:rPr>
                <w:rFonts w:ascii="Cambria Math" w:hAnsi="Cambria Math"/>
              </w:rPr>
              <m:t>D</m:t>
            </m:r>
          </m:e>
        </m:acc>
      </m:oMath>
      <w:r w:rsidR="00832A56" w:rsidRPr="0041192A">
        <w:t>)</w:t>
      </w:r>
      <w:r w:rsidR="00832A56">
        <w:t>.</w:t>
      </w:r>
      <w:r w:rsidR="00471A3C">
        <w:t xml:space="preserve">  </w:t>
      </w:r>
      <w:r w:rsidR="00471A3C" w:rsidRPr="00824EE6">
        <w:t xml:space="preserve">The resulting elasticities </w:t>
      </w:r>
      <w:r w:rsidR="00640761">
        <w:t xml:space="preserve">on </w:t>
      </w:r>
      <m:oMath>
        <m:sSub>
          <m:sSubPr>
            <m:ctrlPr>
              <w:rPr>
                <w:rFonts w:ascii="Cambria Math" w:hAnsi="Cambria Math"/>
                <w:i/>
              </w:rPr>
            </m:ctrlPr>
          </m:sSubPr>
          <m:e>
            <m:r>
              <w:rPr>
                <w:rFonts w:ascii="Cambria Math" w:hAnsi="Cambria Math"/>
              </w:rPr>
              <m:t>β</m:t>
            </m:r>
          </m:e>
          <m:sub>
            <m:r>
              <w:rPr>
                <w:rFonts w:ascii="Cambria Math" w:hAnsi="Cambria Math"/>
              </w:rPr>
              <m:t>6</m:t>
            </m:r>
          </m:sub>
        </m:sSub>
      </m:oMath>
      <w:r w:rsidR="00640761">
        <w:rPr>
          <w:rFonts w:eastAsiaTheme="minorEastAsia"/>
        </w:rPr>
        <w:t xml:space="preserve"> are used to calculate cost per DALY averted and </w:t>
      </w:r>
      <w:r w:rsidR="00471A3C" w:rsidRPr="00824EE6">
        <w:t>are reported in Appendix</w:t>
      </w:r>
      <w:r w:rsidR="00824EE6" w:rsidRPr="00824EE6">
        <w:t xml:space="preserve"> A</w:t>
      </w:r>
      <w:r w:rsidR="00471A3C" w:rsidRPr="00824EE6">
        <w:t>.</w:t>
      </w:r>
    </w:p>
    <w:p w14:paraId="2E0ED77E" w14:textId="726D5EE9" w:rsidR="0057136F" w:rsidRDefault="0057136F" w:rsidP="0057136F">
      <w:pPr>
        <w:pStyle w:val="Heading4"/>
      </w:pPr>
      <w:r>
        <w:t>Existing elasticities drawn from selected within-country studies</w:t>
      </w:r>
    </w:p>
    <w:p w14:paraId="35F99495" w14:textId="2D4BC897" w:rsidR="007D7F11" w:rsidRDefault="00A127D5" w:rsidP="0057136F">
      <w:r>
        <w:t>Studies such as Bokhari et al using cross-country data face a number of significant econometric challenges.</w:t>
      </w:r>
      <w:r w:rsidR="00880F87">
        <w:fldChar w:fldCharType="begin" w:fldLock="1"/>
      </w:r>
      <w:r w:rsidR="00AC379A">
        <w:instrText>ADDIN CSL_CITATION {"citationItems":[{"id":"ITEM-1","itemData":{"DOI":"10.1016/0277-9536(87)90167-5","ISSN":"02779536","abstract":"An essential ingredient in the evaluation of policies concerning health services is knowledge of the impact of health services and other factors on the health of the population. One method of obtaining this information is from the regression analysis of international cross-section data on mortality rates, health service provision, income levels, consumption patterns, and other variables hypothesised to affect population health. The investigation of the determinants of population health is in many ways akin to the estimation of production functions which describe the relationship between the output of goods or services and the mix of inputs used in their production. The purpose of our paper is to use this analogy to discuss, and provide examples of, the problems which arise with the statistical investigation of mortality rates. Issues raised include simultaneous equation bias, multicollinearity, selection of explanatory variables, omitted variable bias, definition and measurement of variables, functional forms, lagged relationships and temporal stability. These problems are illustrated by replication and re-analysis, using new data, of the well known study by Cochrane, St Leger and Moore.","author":[{"dropping-particle":"","family":"Gravelle","given":"H.S.E.","non-dropping-particle":"","parse-names":false,"suffix":""},{"dropping-particle":"","family":"Backhouse","given":"M.E.","non-dropping-particle":"","parse-names":false,"suffix":""}],"container-title":"Social Science &amp; Medicine","id":"ITEM-1","issue":"5","issued":{"date-parts":[["1987","1"]]},"page":"427-441","title":"International cross-section analysis of the determination of mortality","type":"article-journal","volume":"25"},"uris":["http://www.mendeley.com/documents/?uuid=4fb71717-824f-449c-9515-b83bda77f1b8"]},{"id":"ITEM-2","itemData":{"author":[{"dropping-particle":"","family":"Nakamura","given":"Ryota","non-dropping-particle":"","parse-names":false,"suffix":""},{"dropping-particle":"","family":"Lomas","given":"James","non-dropping-particle":"","parse-names":false,"suffix":""},{"dropping-particle":"","family":"Claxton","given":"Karl","non-dropping-particle":"","parse-names":false,"suffix":""},{"dropping-particle":"","family":"Bokhari","given":"Farasat","non-dropping-particle":"","parse-names":false,"suffix":""},{"dropping-particle":"","family":"Serra","given":"Rodrigo Moreno","non-dropping-particle":"","parse-names":false,"suffix":""},{"dropping-particle":"","family":"Suhrcke","given":"Marc","non-dropping-particle":"","parse-names":false,"suffix":""}],"collection-title":"CHE Research Paper","id":"ITEM-2","issued":{"date-parts":[["2016"]]},"number":"128","publisher-place":"York","title":"Assessing the Impact of Health Care Expenditures on Mortality Using Cross-Country Data","type":"report"},"uris":["http://www.mendeley.com/documents/?uuid=3a951be0-a50c-30eb-94cb-48c8c2e1c951"]},{"id":"ITEM-3","itemData":{"DOI":"10.1002/hec.1157","ISSN":"1057-9230","PMID":"17001737","abstract":"This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 S","non-dropping-particle":"","parse-names":false,"suffix":""},{"dropping-particle":"","family":"Gai","given":"Yunwei","non-dropping-particle":"","parse-names":false,"suffix":""},{"dropping-particle":"","family":"Gottret","given":"Pablo","non-dropping-particle":"","parse-names":false,"suffix":""}],"container-title":"Health economics","id":"ITEM-3","issue":"3","issued":{"date-parts":[["2007","3"]]},"page":"257-73","title":"Government health expenditures and health outcomes.","type":"article-journal","volume":"16"},"uris":["http://www.mendeley.com/documents/?uuid=eb7cee0e-c265-4c7d-8535-613bf3f3a214"]}],"mendeley":{"formattedCitation":"&lt;sup&gt;17,20,21&lt;/sup&gt;","plainTextFormattedCitation":"17,20,21","previouslyFormattedCitation":"&lt;sup&gt;17,20,21&lt;/sup&gt;"},"properties":{"noteIndex":0},"schema":"https://github.com/citation-style-language/schema/raw/master/csl-citation.json"}</w:instrText>
      </w:r>
      <w:r w:rsidR="00880F87">
        <w:fldChar w:fldCharType="separate"/>
      </w:r>
      <w:r w:rsidR="003D43CC" w:rsidRPr="003D43CC">
        <w:rPr>
          <w:noProof/>
          <w:vertAlign w:val="superscript"/>
        </w:rPr>
        <w:t>17,20,21</w:t>
      </w:r>
      <w:r w:rsidR="00880F87">
        <w:fldChar w:fldCharType="end"/>
      </w:r>
      <w:r w:rsidR="004612B9">
        <w:t xml:space="preserve"> Studies based on within-country data may be better able to overcome these challenges for two key reasons: 1) data is no longer constrained by international comparability, which means that more variables may be available, 2) it may be easier to obtain plausible IVs or natural experiments to inform an identification strategy.</w:t>
      </w:r>
      <w:r w:rsidR="0089789F">
        <w:t xml:space="preserve"> We use two recent published expenditure elasticities of all-cause mortality from the UK. These studies use similar data, variables collected at the level of regional health authorities, but have different approaches to identification of the causal effect of NHS expenditure on mortality. </w:t>
      </w:r>
    </w:p>
    <w:p w14:paraId="3F05E716" w14:textId="54B973BB" w:rsidR="007D7F11" w:rsidRDefault="0089789F" w:rsidP="0057136F">
      <w:r>
        <w:t>Lomas et al</w:t>
      </w:r>
      <w:r w:rsidR="00880F87">
        <w:fldChar w:fldCharType="begin" w:fldLock="1"/>
      </w:r>
      <w:r w:rsidR="008D0493">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http://www.mendeley.com/documents/?uuid=313039e3-aa2a-4914-98e1-0de8dd0ff93e"]}],"mendeley":{"formattedCitation":"&lt;sup&gt;13&lt;/sup&gt;","plainTextFormattedCitation":"13","previouslyFormattedCitation":"&lt;sup&gt;13&lt;/sup&gt;"},"properties":{"noteIndex":0},"schema":"https://github.com/citation-style-language/schema/raw/master/csl-citation.json"}</w:instrText>
      </w:r>
      <w:r w:rsidR="00880F87">
        <w:fldChar w:fldCharType="separate"/>
      </w:r>
      <w:r w:rsidR="0086594C" w:rsidRPr="0086594C">
        <w:rPr>
          <w:noProof/>
          <w:vertAlign w:val="superscript"/>
        </w:rPr>
        <w:t>13</w:t>
      </w:r>
      <w:r w:rsidR="00880F87">
        <w:fldChar w:fldCharType="end"/>
      </w:r>
      <w:r>
        <w:t xml:space="preserve"> updates an earlier analysis by Claxton et al</w:t>
      </w:r>
      <w:r w:rsidR="00880F87">
        <w:fldChar w:fldCharType="begin" w:fldLock="1"/>
      </w:r>
      <w:r w:rsidR="008D0493">
        <w:instrText>ADDIN CSL_CITATION {"citationItems":[{"id":"ITEM-1","itemData":{"DOI":"10.3310/hta19140","ISSN":"1366-5278","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Assessment","id":"ITEM-1","issue":"14","issued":{"date-parts":[["2015","2"]]},"page":"1-504","title":"Methods for the estimation of the National Institute for Health and Care Excellence cost-effectiveness threshold","type":"article-journal","volume":"19"},"uris":["http://www.mendeley.com/documents/?uuid=afa53c37-fce0-3692-b007-d166614a6e57"]}],"mendeley":{"formattedCitation":"&lt;sup&gt;10&lt;/sup&gt;","plainTextFormattedCitation":"10","previouslyFormattedCitation":"&lt;sup&gt;10&lt;/sup&gt;"},"properties":{"noteIndex":0},"schema":"https://github.com/citation-style-language/schema/raw/master/csl-citation.json"}</w:instrText>
      </w:r>
      <w:r w:rsidR="00880F87">
        <w:fldChar w:fldCharType="separate"/>
      </w:r>
      <w:r w:rsidR="0086594C" w:rsidRPr="0086594C">
        <w:rPr>
          <w:noProof/>
          <w:vertAlign w:val="superscript"/>
        </w:rPr>
        <w:t>10</w:t>
      </w:r>
      <w:r w:rsidR="00880F87">
        <w:fldChar w:fldCharType="end"/>
      </w:r>
      <w:r>
        <w:t xml:space="preserve"> where disease-specific expenditure elasticities of </w:t>
      </w:r>
      <w:r w:rsidR="00B841B2">
        <w:t>mortality</w:t>
      </w:r>
      <w:r>
        <w:t xml:space="preserve"> are estimated</w:t>
      </w:r>
      <w:r w:rsidR="00B841B2">
        <w:t xml:space="preserve"> using</w:t>
      </w:r>
      <w:r w:rsidR="0033361A">
        <w:t xml:space="preserve"> census data to obtain </w:t>
      </w:r>
      <w:r w:rsidR="00B841B2">
        <w:t>candidate IVs</w:t>
      </w:r>
      <w:r w:rsidR="00E8467D">
        <w:t>, such as the proportion of households providing unpaid care (which is assumed to affect the level of disease-area spending, but not affect mortality except indirectly through effects on expenditure)</w:t>
      </w:r>
      <w:r>
        <w:t>.</w:t>
      </w:r>
      <w:r w:rsidR="00B841B2">
        <w:t xml:space="preserve"> These </w:t>
      </w:r>
      <w:r w:rsidR="00B841B2">
        <w:lastRenderedPageBreak/>
        <w:t>elasticities are combined using additional data and further estimates in order to provide an expenditure elasticity of all-cause mortality</w:t>
      </w:r>
      <w:r w:rsidR="007D7F11">
        <w:t xml:space="preserve"> of -1.0278</w:t>
      </w:r>
      <w:r w:rsidR="00B841B2">
        <w:t>.</w:t>
      </w:r>
      <w:r w:rsidR="007D7F11">
        <w:fldChar w:fldCharType="begin" w:fldLock="1"/>
      </w:r>
      <w:r w:rsidR="008D0493">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http://www.mendeley.com/documents/?uuid=313039e3-aa2a-4914-98e1-0de8dd0ff93e"]}],"mendeley":{"formattedCitation":"&lt;sup&gt;13&lt;/sup&gt;","plainTextFormattedCitation":"13","previouslyFormattedCitation":"&lt;sup&gt;13&lt;/sup&gt;"},"properties":{"noteIndex":0},"schema":"https://github.com/citation-style-language/schema/raw/master/csl-citation.json"}</w:instrText>
      </w:r>
      <w:r w:rsidR="007D7F11">
        <w:fldChar w:fldCharType="separate"/>
      </w:r>
      <w:r w:rsidR="0086594C" w:rsidRPr="0086594C">
        <w:rPr>
          <w:noProof/>
          <w:vertAlign w:val="superscript"/>
        </w:rPr>
        <w:t>13</w:t>
      </w:r>
      <w:r w:rsidR="007D7F11">
        <w:fldChar w:fldCharType="end"/>
      </w:r>
      <w:r w:rsidR="00B841B2">
        <w:t xml:space="preserve"> </w:t>
      </w:r>
      <w:r>
        <w:t xml:space="preserve"> </w:t>
      </w:r>
    </w:p>
    <w:p w14:paraId="19A1A3A2" w14:textId="2E358F61" w:rsidR="00202E01" w:rsidRPr="0057136F" w:rsidRDefault="00B841B2" w:rsidP="0057136F">
      <w:r>
        <w:t>In contrast, Andrews et al</w:t>
      </w:r>
      <w:r w:rsidR="00880F87">
        <w:fldChar w:fldCharType="begin" w:fldLock="1"/>
      </w:r>
      <w:r w:rsidR="008D0493">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880F87">
        <w:fldChar w:fldCharType="separate"/>
      </w:r>
      <w:r w:rsidR="0086594C" w:rsidRPr="0086594C">
        <w:rPr>
          <w:noProof/>
          <w:vertAlign w:val="superscript"/>
        </w:rPr>
        <w:t>18</w:t>
      </w:r>
      <w:r w:rsidR="00880F87">
        <w:fldChar w:fldCharType="end"/>
      </w:r>
      <w:r>
        <w:t xml:space="preserve"> directly estimate an expenditure elasticity of all-cause mortality using IVs comprising of exogenous components of the resource allocation formula used to distribute funding across regional health authorities</w:t>
      </w:r>
      <w:r w:rsidR="00E8467D">
        <w:t xml:space="preserve"> assuming adequate controls for healthcare need have been </w:t>
      </w:r>
      <w:r w:rsidR="004C5C25">
        <w:t>included</w:t>
      </w:r>
      <w:r>
        <w:t>.</w:t>
      </w:r>
      <w:r w:rsidR="007D7F11">
        <w:t xml:space="preserve">  The resulting all-cause mortality elasticity is </w:t>
      </w:r>
      <w:r w:rsidR="007D7F11" w:rsidRPr="00B35314">
        <w:rPr>
          <w:rFonts w:ascii="Calibri" w:hAnsi="Calibri" w:cs="Calibri"/>
        </w:rPr>
        <w:t>-0.705</w:t>
      </w:r>
      <w:r w:rsidR="007D7F11">
        <w:rPr>
          <w:rFonts w:ascii="Calibri" w:hAnsi="Calibri" w:cs="Calibri"/>
        </w:rPr>
        <w:t>.</w:t>
      </w:r>
      <w:r w:rsidR="007D7F11">
        <w:rPr>
          <w:rFonts w:ascii="Calibri" w:hAnsi="Calibri" w:cs="Calibri"/>
        </w:rPr>
        <w:fldChar w:fldCharType="begin" w:fldLock="1"/>
      </w:r>
      <w:r w:rsidR="008D0493">
        <w:rPr>
          <w:rFonts w:ascii="Calibri" w:hAnsi="Calibri" w:cs="Calibri"/>
        </w:rPr>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7D7F11">
        <w:rPr>
          <w:rFonts w:ascii="Calibri" w:hAnsi="Calibri" w:cs="Calibri"/>
        </w:rPr>
        <w:fldChar w:fldCharType="separate"/>
      </w:r>
      <w:r w:rsidR="0086594C" w:rsidRPr="0086594C">
        <w:rPr>
          <w:rFonts w:ascii="Calibri" w:hAnsi="Calibri" w:cs="Calibri"/>
          <w:noProof/>
          <w:vertAlign w:val="superscript"/>
        </w:rPr>
        <w:t>18</w:t>
      </w:r>
      <w:r w:rsidR="007D7F11">
        <w:rPr>
          <w:rFonts w:ascii="Calibri" w:hAnsi="Calibri" w:cs="Calibri"/>
        </w:rPr>
        <w:fldChar w:fldCharType="end"/>
      </w:r>
    </w:p>
    <w:p w14:paraId="7071E8F5" w14:textId="7E41330C" w:rsidR="003C7DBB" w:rsidRDefault="003C7DBB">
      <w:pPr>
        <w:pStyle w:val="Heading3"/>
      </w:pPr>
      <w:r>
        <w:t>Calculating cost per DALY averted from elasticities of the health effects of expenditure</w:t>
      </w:r>
    </w:p>
    <w:p w14:paraId="54D8DE3B" w14:textId="088837FE" w:rsidR="00A42A0D" w:rsidRDefault="00A42A0D" w:rsidP="003C7DBB">
      <w:r>
        <w:t>An estimate of the proportional effect of expenditure on health outcomes, such as an elasticity</w:t>
      </w:r>
      <w:r w:rsidR="00640761">
        <w:t xml:space="preserve"> (e.g., </w:t>
      </w:r>
      <m:oMath>
        <m:sSub>
          <m:sSubPr>
            <m:ctrlPr>
              <w:rPr>
                <w:rFonts w:ascii="Cambria Math" w:hAnsi="Cambria Math"/>
                <w:i/>
              </w:rPr>
            </m:ctrlPr>
          </m:sSubPr>
          <m:e>
            <m:r>
              <w:rPr>
                <w:rFonts w:ascii="Cambria Math" w:hAnsi="Cambria Math"/>
              </w:rPr>
              <m:t>β</m:t>
            </m:r>
          </m:e>
          <m:sub>
            <m:r>
              <w:rPr>
                <w:rFonts w:ascii="Cambria Math" w:hAnsi="Cambria Math"/>
              </w:rPr>
              <m:t>6</m:t>
            </m:r>
          </m:sub>
        </m:sSub>
      </m:oMath>
      <w:r w:rsidR="00640761">
        <w:rPr>
          <w:rFonts w:eastAsiaTheme="minorEastAsia"/>
        </w:rPr>
        <w:t xml:space="preserve"> from equation 1)</w:t>
      </w:r>
      <w:r>
        <w:t xml:space="preserve">, is interesting in its own right, but an estimate of the absolute effect is required to inform the policy question of interest: </w:t>
      </w:r>
      <w:r w:rsidRPr="00424349">
        <w:rPr>
          <w:i/>
          <w:iCs/>
        </w:rPr>
        <w:t>what are the health opportunity costs of a change in expenditure?</w:t>
      </w:r>
      <w:r>
        <w:t xml:space="preserve"> This is often summarised </w:t>
      </w:r>
      <w:r w:rsidR="00424349">
        <w:t xml:space="preserve">as a cost per DALY, which can be calculated for each country </w:t>
      </w:r>
      <w:r w:rsidR="00424349">
        <w:rPr>
          <w:i/>
          <w:iCs/>
        </w:rPr>
        <w:t xml:space="preserve">i </w:t>
      </w:r>
      <w:r w:rsidR="00424349">
        <w:t>as:</w:t>
      </w:r>
    </w:p>
    <w:p w14:paraId="715D0B40" w14:textId="5F412D42" w:rsidR="00424349" w:rsidRDefault="00424349" w:rsidP="00424349">
      <w:r w:rsidRPr="00934978">
        <w:rPr>
          <w:rFonts w:eastAsia="Garamond" w:cs="Garamond"/>
        </w:rPr>
        <w:t>(</w:t>
      </w:r>
      <w:r w:rsidR="00C50B86">
        <w:rPr>
          <w:rFonts w:eastAsia="Garamond" w:cs="Garamond"/>
        </w:rPr>
        <w:t>2</w:t>
      </w:r>
      <w:r w:rsidRPr="00934978">
        <w:rPr>
          <w:rFonts w:eastAsia="Garamond" w:cs="Garamond"/>
        </w:rPr>
        <w:t>)</w:t>
      </w:r>
      <w:r>
        <w:rPr>
          <w:rFonts w:ascii="Garamond" w:eastAsia="Garamond" w:hAnsi="Garamond" w:cs="Garamond"/>
          <w:sz w:val="24"/>
          <w:szCs w:val="24"/>
        </w:rPr>
        <w:tab/>
      </w:r>
      <m:oMath>
        <m:sSub>
          <m:sSubPr>
            <m:ctrlPr>
              <w:rPr>
                <w:rFonts w:ascii="Cambria Math" w:hAnsi="Cambria Math"/>
                <w:i/>
              </w:rPr>
            </m:ctrlPr>
          </m:sSubPr>
          <m:e>
            <m:r>
              <w:rPr>
                <w:rFonts w:ascii="Cambria Math" w:hAnsi="Cambria Math"/>
              </w:rPr>
              <m:t>cost per DALY averted</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government expenditure on health</m:t>
                </m:r>
              </m:e>
              <m:sub>
                <m:r>
                  <w:rPr>
                    <w:rFonts w:ascii="Cambria Math" w:hAnsi="Cambria Math"/>
                  </w:rPr>
                  <m:t>i</m:t>
                </m:r>
              </m:sub>
            </m:sSub>
          </m:num>
          <m:den>
            <m:sSub>
              <m:sSubPr>
                <m:ctrlPr>
                  <w:rPr>
                    <w:rFonts w:ascii="Cambria Math" w:hAnsi="Cambria Math"/>
                    <w:i/>
                  </w:rPr>
                </m:ctrlPr>
              </m:sSubPr>
              <m:e>
                <m:r>
                  <w:rPr>
                    <w:rFonts w:ascii="Cambria Math" w:hAnsi="Cambria Math"/>
                  </w:rPr>
                  <m:t>DALYs averted</m:t>
                </m:r>
              </m:e>
              <m:sub>
                <m:r>
                  <w:rPr>
                    <w:rFonts w:ascii="Cambria Math" w:hAnsi="Cambria Math"/>
                  </w:rPr>
                  <m:t>i</m:t>
                </m:r>
              </m:sub>
            </m:sSub>
          </m:den>
        </m:f>
      </m:oMath>
    </w:p>
    <w:p w14:paraId="4AC91BAD" w14:textId="026CAF14" w:rsidR="00FF2255" w:rsidRPr="00366A0B" w:rsidRDefault="00424349" w:rsidP="00395B46">
      <w:r>
        <w:t xml:space="preserve">The number of DALYs averted for each country </w:t>
      </w:r>
      <w:r w:rsidRPr="00424349">
        <w:rPr>
          <w:i/>
          <w:iCs/>
        </w:rPr>
        <w:t>i</w:t>
      </w:r>
      <w:r>
        <w:t xml:space="preserve"> </w:t>
      </w:r>
      <w:r w:rsidR="00CB30FC">
        <w:t>can</w:t>
      </w:r>
      <w:r>
        <w:t xml:space="preserve"> </w:t>
      </w:r>
      <w:r w:rsidR="00640160">
        <w:t xml:space="preserve">be </w:t>
      </w:r>
      <w:r>
        <w:t xml:space="preserve">calculated </w:t>
      </w:r>
      <w:r w:rsidR="00B32DA4">
        <w:t>from</w:t>
      </w:r>
      <w:r w:rsidR="00CB30FC">
        <w:t xml:space="preserve"> the estimated health outcome </w:t>
      </w:r>
      <w:r w:rsidR="00CB30FC" w:rsidRPr="00EB04AC">
        <w:t>elasticities</w:t>
      </w:r>
      <w:r w:rsidR="00FF2255" w:rsidRPr="00EB04AC">
        <w:t xml:space="preserve">.  Given the different possible health outcome measures, there are potentially four different ways to calculate DALYs, each with their own embedded assumptions.  Table 1 summarises which </w:t>
      </w:r>
      <w:r w:rsidR="004B19F1" w:rsidRPr="00EB04AC">
        <w:t xml:space="preserve">estimated </w:t>
      </w:r>
      <w:r w:rsidR="00EB04AC" w:rsidRPr="00EB04AC">
        <w:t xml:space="preserve">expenditure elasticities of health </w:t>
      </w:r>
      <w:r w:rsidR="00FF2255" w:rsidRPr="00EB04AC">
        <w:t xml:space="preserve">are </w:t>
      </w:r>
      <w:r w:rsidR="004B19F1" w:rsidRPr="00EB04AC">
        <w:t xml:space="preserve">available from this paper and two others: </w:t>
      </w:r>
      <w:r w:rsidR="004B19F1" w:rsidRPr="00366A0B">
        <w:t>Lomas et al</w:t>
      </w:r>
      <w:r w:rsidR="008D0493" w:rsidRPr="00366A0B">
        <w:fldChar w:fldCharType="begin" w:fldLock="1"/>
      </w:r>
      <w:r w:rsidR="008D0493" w:rsidRPr="00366A0B">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mendeley":{"formattedCitation":"&lt;sup&gt;13&lt;/sup&gt;","plainTextFormattedCitation":"13","previouslyFormattedCitation":"&lt;sup&gt;13&lt;/sup&gt;"},"properties":{"noteIndex":0},"schema":"https://github.com/citation-style-language/schema/raw/master/csl-citation.json"}</w:instrText>
      </w:r>
      <w:r w:rsidR="008D0493" w:rsidRPr="00366A0B">
        <w:fldChar w:fldCharType="separate"/>
      </w:r>
      <w:r w:rsidR="008D0493" w:rsidRPr="00366A0B">
        <w:rPr>
          <w:noProof/>
          <w:vertAlign w:val="superscript"/>
        </w:rPr>
        <w:t>13</w:t>
      </w:r>
      <w:r w:rsidR="008D0493" w:rsidRPr="00366A0B">
        <w:fldChar w:fldCharType="end"/>
      </w:r>
      <w:r w:rsidR="004B19F1" w:rsidRPr="00366A0B">
        <w:t xml:space="preserve"> and Andrews et al</w:t>
      </w:r>
      <w:r w:rsidR="008D0493" w:rsidRPr="00366A0B">
        <w:fldChar w:fldCharType="begin" w:fldLock="1"/>
      </w:r>
      <w:r w:rsidR="00366A0B">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8D0493" w:rsidRPr="00366A0B">
        <w:fldChar w:fldCharType="separate"/>
      </w:r>
      <w:r w:rsidR="008D0493" w:rsidRPr="00366A0B">
        <w:rPr>
          <w:noProof/>
          <w:vertAlign w:val="superscript"/>
        </w:rPr>
        <w:t>18</w:t>
      </w:r>
      <w:r w:rsidR="008D0493" w:rsidRPr="00366A0B">
        <w:fldChar w:fldCharType="end"/>
      </w:r>
      <w:r w:rsidR="00FF2255" w:rsidRPr="00366A0B">
        <w:t xml:space="preserve">, and which DALY method can be used </w:t>
      </w:r>
      <w:r w:rsidR="00640761">
        <w:t>to calculate cost per DALY averted from</w:t>
      </w:r>
      <w:r w:rsidR="00640761" w:rsidRPr="00366A0B">
        <w:t xml:space="preserve"> </w:t>
      </w:r>
      <w:r w:rsidR="00FF2255" w:rsidRPr="00366A0B">
        <w:t>each</w:t>
      </w:r>
      <w:r w:rsidR="00640761">
        <w:t xml:space="preserve"> outcome elasticity</w:t>
      </w:r>
      <w:r w:rsidR="00FF2255" w:rsidRPr="00366A0B">
        <w:t>.</w:t>
      </w:r>
    </w:p>
    <w:p w14:paraId="1EED5FA5" w14:textId="1267C845" w:rsidR="002327E2" w:rsidRPr="00366A0B" w:rsidRDefault="00500FB4" w:rsidP="00395B46">
      <w:r w:rsidRPr="00366A0B">
        <w:t>[INSERT TABLE 1]</w:t>
      </w:r>
    </w:p>
    <w:p w14:paraId="3E53D32F" w14:textId="192D1036" w:rsidR="006B1011" w:rsidRDefault="00366A0B" w:rsidP="00395B46">
      <w:r>
        <w:t>Calculating</w:t>
      </w:r>
      <w:r w:rsidR="00EB04AC" w:rsidRPr="00366A0B">
        <w:t xml:space="preserve"> cost per DALY averted from elasticities requires taking into account the age and gender structure of the population and the underlying burden of mortality and morbidity.</w:t>
      </w:r>
      <w:r w:rsidR="00EB04AC" w:rsidRPr="00366A0B">
        <w:fldChar w:fldCharType="begin" w:fldLock="1"/>
      </w:r>
      <w:r w:rsidR="00AC379A">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rsidR="00EB04AC" w:rsidRPr="00366A0B">
        <w:fldChar w:fldCharType="separate"/>
      </w:r>
      <w:r w:rsidR="003D43CC" w:rsidRPr="003D43CC">
        <w:rPr>
          <w:noProof/>
          <w:vertAlign w:val="superscript"/>
        </w:rPr>
        <w:t>16</w:t>
      </w:r>
      <w:r w:rsidR="00EB04AC" w:rsidRPr="00366A0B">
        <w:fldChar w:fldCharType="end"/>
      </w:r>
      <w:r w:rsidR="00EB04AC" w:rsidRPr="00366A0B">
        <w:t xml:space="preserve">  Therefore, data is required on the number of deaths in the population, disaggregated by age and gender, as well as the size</w:t>
      </w:r>
      <w:r w:rsidR="00EB04AC">
        <w:t xml:space="preserve"> of the population, again disaggregated by age and gender.  The former is available from the IHME GBD project and the latter can be calculated from GBD data on death rates.</w:t>
      </w:r>
      <w:r w:rsidR="00EB04AC">
        <w:fldChar w:fldCharType="begin" w:fldLock="1"/>
      </w:r>
      <w:r w:rsidR="00AC379A">
        <w:instrText>ADDIN CSL_CITATION {"citationItems":[{"id":"ITEM-1","itemData":{"URL":"http://ghdx.healthdata.org/gbd-2015","accessed":{"date-parts":[["2018","3","21"]]},"author":[{"dropping-particle":"","family":"Institute for Health Metrics and Evaluation","given":"","non-dropping-particle":"","parse-names":false,"suffix":""}],"id":"ITEM-1","issued":{"date-parts":[["2018"]]},"title":"Global Burden of Disease Study 2015 (GBD 2015) Data Resources | GHDx","type":"webpage"},"uris":["http://www.mendeley.com/documents/?uuid=b4dfec1b-dd5c-3259-8064-555569318443"]}],"mendeley":{"formattedCitation":"&lt;sup&gt;19&lt;/sup&gt;","plainTextFormattedCitation":"19","previouslyFormattedCitation":"&lt;sup&gt;19&lt;/sup&gt;"},"properties":{"noteIndex":0},"schema":"https://github.com/citation-style-language/schema/raw/master/csl-citation.json"}</w:instrText>
      </w:r>
      <w:r w:rsidR="00EB04AC">
        <w:fldChar w:fldCharType="separate"/>
      </w:r>
      <w:r w:rsidR="003D43CC" w:rsidRPr="003D43CC">
        <w:rPr>
          <w:noProof/>
          <w:vertAlign w:val="superscript"/>
        </w:rPr>
        <w:t>19</w:t>
      </w:r>
      <w:r w:rsidR="00EB04AC">
        <w:fldChar w:fldCharType="end"/>
      </w:r>
      <w:r w:rsidR="00EB04AC">
        <w:t xml:space="preserve">  Calculating the years of life lost requires data on conditional life expectancy (CLE), also available from GBD.  We use years of life disabled (YLD) data from GBD, and calculate DALYs as the sum of YLL and YLD for each country.  We compare our results against GDP per capita (2015 US$) from the World Bank.</w:t>
      </w:r>
      <w:r w:rsidR="00EB04AC">
        <w:fldChar w:fldCharType="begin" w:fldLock="1"/>
      </w:r>
      <w:r w:rsidR="00AC379A">
        <w:instrText>ADDIN CSL_CITATION {"citationItems":[{"id":"ITEM-1","itemData":{"URL":"https://data.worldbank.org/indicator/NY.GDP.PCAP.CD","accessed":{"date-parts":[["2017","10","31"]]},"author":[{"dropping-particle":"","family":"World Bank","given":"","non-dropping-particle":"","parse-names":false,"suffix":""}],"id":"ITEM-1","issued":{"date-parts":[["0"]]},"title":"GDP per capita (current US$) | Data","type":"webpage"},"uris":["http://www.mendeley.com/documents/?uuid=c1d6d322-84f7-3679-909e-3a801267ee92"]}],"mendeley":{"formattedCitation":"&lt;sup&gt;22&lt;/sup&gt;","plainTextFormattedCitation":"22","previouslyFormattedCitation":"&lt;sup&gt;22&lt;/sup&gt;"},"properties":{"noteIndex":0},"schema":"https://github.com/citation-style-language/schema/raw/master/csl-citation.json"}</w:instrText>
      </w:r>
      <w:r w:rsidR="00EB04AC">
        <w:fldChar w:fldCharType="separate"/>
      </w:r>
      <w:r w:rsidR="003D43CC" w:rsidRPr="003D43CC">
        <w:rPr>
          <w:noProof/>
          <w:vertAlign w:val="superscript"/>
        </w:rPr>
        <w:t>22</w:t>
      </w:r>
      <w:r w:rsidR="00EB04AC">
        <w:fldChar w:fldCharType="end"/>
      </w:r>
      <w:r w:rsidR="00EB04AC">
        <w:t xml:space="preserve"> </w:t>
      </w:r>
      <w:r w:rsidR="006B1011">
        <w:t xml:space="preserve">The four methods for calculating DALYs are described in detail </w:t>
      </w:r>
      <w:r>
        <w:t>elsewhere</w:t>
      </w:r>
      <w:r w:rsidR="006B1011">
        <w:t>, and we summarise them here.</w:t>
      </w:r>
      <w:r>
        <w:fldChar w:fldCharType="begin" w:fldLock="1"/>
      </w:r>
      <w:r w:rsidR="00AC379A">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fldChar w:fldCharType="separate"/>
      </w:r>
      <w:r w:rsidR="003D43CC" w:rsidRPr="003D43CC">
        <w:rPr>
          <w:noProof/>
          <w:vertAlign w:val="superscript"/>
        </w:rPr>
        <w:t>16</w:t>
      </w:r>
      <w:r>
        <w:fldChar w:fldCharType="end"/>
      </w:r>
      <w:r w:rsidR="006B1011">
        <w:t xml:space="preserve"> </w:t>
      </w:r>
    </w:p>
    <w:p w14:paraId="5818E73D" w14:textId="77777777" w:rsidR="00737084" w:rsidRPr="00897EFB" w:rsidRDefault="00737084" w:rsidP="00737084">
      <w:pPr>
        <w:rPr>
          <w:b/>
          <w:i/>
        </w:rPr>
      </w:pPr>
      <w:r w:rsidRPr="00897EFB">
        <w:rPr>
          <w:b/>
          <w:i/>
        </w:rPr>
        <w:t xml:space="preserve">DALY 1 </w:t>
      </w:r>
    </w:p>
    <w:p w14:paraId="3D8DF0F6" w14:textId="32F9271A" w:rsidR="00737084" w:rsidRDefault="00737084" w:rsidP="00737084">
      <w:r>
        <w:t>DALY 1 uses mortality elasticities and a series of assumptions about survival and morbidity</w:t>
      </w:r>
      <w:r w:rsidR="002016D5">
        <w:t xml:space="preserve"> to obtain a cost per DALY averted.  </w:t>
      </w:r>
      <w:r w:rsidR="005A6378">
        <w:t>Population-wide all-</w:t>
      </w:r>
      <w:r w:rsidR="002016D5">
        <w:t>cause</w:t>
      </w:r>
      <w:r w:rsidR="005A6378">
        <w:t xml:space="preserve"> </w:t>
      </w:r>
      <w:r w:rsidR="002016D5">
        <w:t xml:space="preserve">mortality estimates are the most common health outcome available in the literature, and we begin by calculating the deaths estimated to be averted from this outcome by applying the estimated elasticity to the number of absolute deaths in </w:t>
      </w:r>
      <w:r w:rsidR="00DD2E7A">
        <w:t>each five-year age category for each</w:t>
      </w:r>
      <w:r w:rsidR="002016D5">
        <w:t xml:space="preserve"> country </w:t>
      </w:r>
      <w:r w:rsidR="002016D5">
        <w:rPr>
          <w:i/>
          <w:iCs/>
        </w:rPr>
        <w:t>i</w:t>
      </w:r>
      <w:r w:rsidR="00F503AE">
        <w:t xml:space="preserve">.  This is </w:t>
      </w:r>
      <w:r w:rsidR="00720D03">
        <w:t xml:space="preserve">illustrated in Figure </w:t>
      </w:r>
      <w:r w:rsidR="00DA7636">
        <w:t>2</w:t>
      </w:r>
      <w:r w:rsidR="00720D03">
        <w:t xml:space="preserve"> for a hypothetical country using a hypothetical all-cause mortality elasticity of -1.0.  The total height of each bar represents the absolute deaths occurring in the age category.  The black part of the bar are those deaths that are expected to be averted by a 1% increase in health expenditure (i.e., 1% of total deaths in each age category).</w:t>
      </w:r>
    </w:p>
    <w:p w14:paraId="087FBE8F" w14:textId="3C72CE42" w:rsidR="00F503AE" w:rsidRDefault="00DA7636" w:rsidP="00737084">
      <w:r>
        <w:rPr>
          <w:noProof/>
          <w:lang w:eastAsia="en-GB"/>
        </w:rPr>
        <w:t>[INSERT FIGURE 2]</w:t>
      </w:r>
    </w:p>
    <w:p w14:paraId="4DE5E038" w14:textId="1C777801" w:rsidR="009F68C2" w:rsidRDefault="009F68C2" w:rsidP="00737084">
      <w:r>
        <w:t>The number of deaths averted in each age category</w:t>
      </w:r>
      <w:r w:rsidR="00EA56D8">
        <w:t xml:space="preserve"> </w:t>
      </w:r>
      <w:r w:rsidR="00EA56D8" w:rsidRPr="00EA56D8">
        <w:rPr>
          <w:i/>
          <w:iCs/>
        </w:rPr>
        <w:t>a</w:t>
      </w:r>
      <w:r>
        <w:t xml:space="preserve"> is thus calculated as</w:t>
      </w:r>
      <w:r w:rsidR="00EA56D8">
        <w:t>:</w:t>
      </w:r>
    </w:p>
    <w:p w14:paraId="0D000111" w14:textId="263302C3" w:rsidR="009F68C2" w:rsidRDefault="009F68C2" w:rsidP="00737084">
      <w:r>
        <w:lastRenderedPageBreak/>
        <w:t>(3)</w:t>
      </w:r>
      <w:r>
        <w:tab/>
      </w:r>
      <m:oMath>
        <m:r>
          <w:rPr>
            <w:rFonts w:ascii="Cambria Math" w:hAnsi="Cambria Math"/>
          </w:rPr>
          <m:t>d</m:t>
        </m:r>
        <m:sSubSup>
          <m:sSubSupPr>
            <m:ctrlPr>
              <w:rPr>
                <w:rFonts w:ascii="Cambria Math" w:hAnsi="Cambria Math"/>
                <w:i/>
              </w:rPr>
            </m:ctrlPr>
          </m:sSubSupPr>
          <m:e>
            <m:r>
              <w:rPr>
                <w:rFonts w:ascii="Cambria Math" w:hAnsi="Cambria Math"/>
              </w:rPr>
              <m:t>eaths averted</m:t>
            </m:r>
          </m:e>
          <m:sub>
            <m:r>
              <w:rPr>
                <w:rFonts w:ascii="Cambria Math" w:hAnsi="Cambria Math"/>
              </w:rPr>
              <m:t>i</m:t>
            </m:r>
          </m:sub>
          <m:sup>
            <m:r>
              <w:rPr>
                <w:rFonts w:ascii="Cambria Math" w:hAnsi="Cambria Math"/>
              </w:rPr>
              <m:t>a</m:t>
            </m:r>
          </m:sup>
        </m:sSubSup>
        <m:r>
          <w:rPr>
            <w:rFonts w:ascii="Cambria Math" w:hAnsi="Cambria Math"/>
          </w:rPr>
          <m:t>=1%*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sSup>
                  <m:sSupPr>
                    <m:ctrlPr>
                      <w:rPr>
                        <w:rFonts w:ascii="Cambria Math" w:hAnsi="Cambria Math"/>
                        <w:i/>
                      </w:rPr>
                    </m:ctrlPr>
                  </m:sSupPr>
                  <m:e>
                    <m:r>
                      <w:rPr>
                        <w:rFonts w:ascii="Cambria Math" w:hAnsi="Cambria Math"/>
                      </w:rPr>
                      <m:t>mortality</m:t>
                    </m:r>
                  </m:e>
                  <m:sup>
                    <m:r>
                      <w:rPr>
                        <w:rFonts w:ascii="Cambria Math" w:hAnsi="Cambria Math"/>
                      </w:rPr>
                      <m:t>a</m:t>
                    </m:r>
                  </m:sup>
                </m:sSup>
              </m:sup>
            </m:sSubSup>
          </m:e>
        </m:d>
        <m:r>
          <w:rPr>
            <w:rFonts w:ascii="Cambria Math" w:hAnsi="Cambria Math"/>
          </w:rPr>
          <m:t>*</m:t>
        </m:r>
        <m:sSubSup>
          <m:sSubSupPr>
            <m:ctrlPr>
              <w:rPr>
                <w:rFonts w:ascii="Cambria Math" w:hAnsi="Cambria Math"/>
                <w:i/>
              </w:rPr>
            </m:ctrlPr>
          </m:sSubSupPr>
          <m:e>
            <m:r>
              <w:rPr>
                <w:rFonts w:ascii="Cambria Math" w:hAnsi="Cambria Math"/>
              </w:rPr>
              <m:t>deaths</m:t>
            </m:r>
          </m:e>
          <m:sub>
            <m:r>
              <w:rPr>
                <w:rFonts w:ascii="Cambria Math" w:hAnsi="Cambria Math"/>
              </w:rPr>
              <m:t>i</m:t>
            </m:r>
          </m:sub>
          <m:sup>
            <m:r>
              <w:rPr>
                <w:rFonts w:ascii="Cambria Math" w:hAnsi="Cambria Math"/>
              </w:rPr>
              <m:t>a</m:t>
            </m:r>
          </m:sup>
        </m:sSubSup>
      </m:oMath>
    </w:p>
    <w:p w14:paraId="2E0531C7" w14:textId="4BC7C719" w:rsidR="00720D03" w:rsidRPr="00857B20" w:rsidRDefault="00953F95" w:rsidP="00737084">
      <w:pPr>
        <w:rPr>
          <w:rFonts w:eastAsiaTheme="minorEastAsia"/>
        </w:rPr>
      </w:pPr>
      <w:r>
        <w:t>Determining</w:t>
      </w:r>
      <w:r w:rsidR="00720D03">
        <w:t xml:space="preserve"> the age category within which each death is averted enables </w:t>
      </w:r>
      <w:r w:rsidR="00EE531D">
        <w:t>the</w:t>
      </w:r>
      <w:r w:rsidR="00720D03">
        <w:t xml:space="preserve"> calculation of survival effects (i.e., </w:t>
      </w:r>
      <w:r w:rsidR="00EE531D">
        <w:t>YLL averted) by applying data on conditional life expectancy (CLE) in each age category to the deaths in each age category:</w:t>
      </w:r>
    </w:p>
    <w:p w14:paraId="2475B47E" w14:textId="55E61143" w:rsidR="00EE531D" w:rsidRPr="007171A9" w:rsidRDefault="00EE531D" w:rsidP="00EE531D">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w:t>
      </w:r>
      <w:r w:rsidR="00C10E53">
        <w:rPr>
          <w:rFonts w:ascii="Calibri" w:hAnsi="Calibri"/>
          <w:color w:val="000000"/>
          <w:sz w:val="22"/>
          <w:szCs w:val="22"/>
        </w:rPr>
        <w:t>4</w:t>
      </w:r>
      <w:r>
        <w:rPr>
          <w:rFonts w:ascii="Calibri" w:hAnsi="Calibri"/>
          <w:color w:val="000000"/>
          <w:sz w:val="22"/>
          <w:szCs w:val="22"/>
        </w:rPr>
        <w:t>)</w:t>
      </w:r>
      <w:r>
        <w:rPr>
          <w:rFonts w:ascii="Calibri" w:hAnsi="Calibri"/>
          <w:color w:val="000000"/>
          <w:sz w:val="22"/>
          <w:szCs w:val="22"/>
        </w:rPr>
        <w:tab/>
      </w:r>
      <m:oMath>
        <m:sSubSup>
          <m:sSubSupPr>
            <m:ctrlPr>
              <w:rPr>
                <w:rFonts w:ascii="Cambria Math" w:hAnsi="Cambria Math"/>
                <w:i/>
                <w:color w:val="000000"/>
                <w:sz w:val="22"/>
                <w:szCs w:val="22"/>
              </w:rPr>
            </m:ctrlPr>
          </m:sSubSupPr>
          <m:e>
            <m:r>
              <w:rPr>
                <w:rFonts w:ascii="Cambria Math" w:hAnsi="Cambria Math"/>
                <w:color w:val="000000"/>
                <w:sz w:val="22"/>
                <w:szCs w:val="22"/>
              </w:rPr>
              <m:t>YLL averted</m:t>
            </m:r>
          </m:e>
          <m:sub>
            <m:r>
              <w:rPr>
                <w:rFonts w:ascii="Cambria Math" w:hAnsi="Cambria Math"/>
                <w:color w:val="000000"/>
                <w:sz w:val="22"/>
                <w:szCs w:val="22"/>
              </w:rPr>
              <m:t>i</m:t>
            </m:r>
          </m:sub>
          <m:sup/>
        </m:sSubSup>
        <m:r>
          <w:rPr>
            <w:rFonts w:ascii="Cambria Math" w:hAnsi="Cambria Math"/>
            <w:color w:val="000000"/>
            <w:sz w:val="22"/>
            <w:szCs w:val="22"/>
          </w:rPr>
          <m:t>=</m:t>
        </m:r>
        <m:nary>
          <m:naryPr>
            <m:chr m:val="∑"/>
            <m:limLoc m:val="subSup"/>
            <m:ctrlPr>
              <w:rPr>
                <w:rFonts w:ascii="Cambria Math" w:hAnsi="Cambria Math"/>
                <w:i/>
                <w:color w:val="000000"/>
                <w:sz w:val="22"/>
                <w:szCs w:val="22"/>
              </w:rPr>
            </m:ctrlPr>
          </m:naryPr>
          <m:sub>
            <m:r>
              <w:rPr>
                <w:rFonts w:ascii="Cambria Math" w:hAnsi="Cambria Math"/>
                <w:color w:val="000000"/>
                <w:sz w:val="22"/>
                <w:szCs w:val="22"/>
              </w:rPr>
              <m:t>a=1</m:t>
            </m:r>
          </m:sub>
          <m:sup>
            <m:r>
              <w:rPr>
                <w:rFonts w:ascii="Cambria Math" w:hAnsi="Cambria Math"/>
                <w:color w:val="000000"/>
                <w:sz w:val="22"/>
                <w:szCs w:val="22"/>
              </w:rPr>
              <m:t>17</m:t>
            </m:r>
          </m:sup>
          <m:e>
            <m:sSubSup>
              <m:sSubSupPr>
                <m:ctrlPr>
                  <w:rPr>
                    <w:rFonts w:ascii="Cambria Math" w:hAnsi="Cambria Math"/>
                    <w:i/>
                    <w:color w:val="000000"/>
                    <w:sz w:val="22"/>
                    <w:szCs w:val="22"/>
                  </w:rPr>
                </m:ctrlPr>
              </m:sSubSupPr>
              <m:e>
                <m:sSubSup>
                  <m:sSubSupPr>
                    <m:ctrlPr>
                      <w:rPr>
                        <w:rFonts w:ascii="Cambria Math" w:hAnsi="Cambria Math"/>
                        <w:i/>
                        <w:color w:val="000000"/>
                        <w:sz w:val="22"/>
                        <w:szCs w:val="22"/>
                      </w:rPr>
                    </m:ctrlPr>
                  </m:sSubSupPr>
                  <m:e>
                    <m:r>
                      <w:rPr>
                        <w:rFonts w:ascii="Cambria Math" w:hAnsi="Cambria Math"/>
                        <w:color w:val="000000"/>
                        <w:sz w:val="22"/>
                        <w:szCs w:val="22"/>
                      </w:rPr>
                      <m:t>CLE</m:t>
                    </m:r>
                  </m:e>
                  <m:sub>
                    <m:r>
                      <w:rPr>
                        <w:rFonts w:ascii="Cambria Math" w:hAnsi="Cambria Math"/>
                        <w:color w:val="000000"/>
                        <w:sz w:val="22"/>
                        <w:szCs w:val="22"/>
                      </w:rPr>
                      <m:t>i</m:t>
                    </m:r>
                  </m:sub>
                  <m:sup>
                    <m:r>
                      <w:rPr>
                        <w:rFonts w:ascii="Cambria Math" w:hAnsi="Cambria Math"/>
                        <w:color w:val="000000"/>
                        <w:sz w:val="22"/>
                        <w:szCs w:val="22"/>
                      </w:rPr>
                      <m:t>a</m:t>
                    </m:r>
                  </m:sup>
                </m:sSubSup>
                <m:r>
                  <w:rPr>
                    <w:rFonts w:ascii="Cambria Math" w:hAnsi="Cambria Math"/>
                    <w:color w:val="000000"/>
                    <w:sz w:val="22"/>
                    <w:szCs w:val="22"/>
                  </w:rPr>
                  <m:t>*deaths averted</m:t>
                </m:r>
              </m:e>
              <m:sub>
                <m:r>
                  <w:rPr>
                    <w:rFonts w:ascii="Cambria Math" w:hAnsi="Cambria Math"/>
                    <w:color w:val="000000"/>
                    <w:sz w:val="22"/>
                    <w:szCs w:val="22"/>
                  </w:rPr>
                  <m:t>i</m:t>
                </m:r>
              </m:sub>
              <m:sup>
                <m:r>
                  <w:rPr>
                    <w:rFonts w:ascii="Cambria Math" w:hAnsi="Cambria Math"/>
                    <w:color w:val="000000"/>
                    <w:sz w:val="22"/>
                    <w:szCs w:val="22"/>
                  </w:rPr>
                  <m:t>a</m:t>
                </m:r>
              </m:sup>
            </m:sSubSup>
          </m:e>
        </m:nary>
      </m:oMath>
    </w:p>
    <w:p w14:paraId="47A5D215" w14:textId="323B708B" w:rsidR="00720D03" w:rsidRDefault="00EE531D" w:rsidP="00737084">
      <w:r>
        <w:t xml:space="preserve">Where </w:t>
      </w:r>
      <w:r w:rsidR="005A6378">
        <w:t>a</w:t>
      </w:r>
      <w:r>
        <w:t xml:space="preserve"> </w:t>
      </w:r>
      <w:r w:rsidR="005A6378">
        <w:t xml:space="preserve">population-wide all-cause </w:t>
      </w:r>
      <w:r>
        <w:t xml:space="preserve">mortality elasticity is not available, but </w:t>
      </w:r>
      <w:r w:rsidR="00DE7348">
        <w:t xml:space="preserve">age-group or gender-specific all-cause mortality elasticities are </w:t>
      </w:r>
      <w:r w:rsidR="005A6378">
        <w:t>these can be used instead, but an additional step is required</w:t>
      </w:r>
      <w:r w:rsidR="00DE7348">
        <w:t xml:space="preserve"> to obtain population YLLs</w:t>
      </w:r>
      <w:r w:rsidR="005A6378">
        <w:t xml:space="preserve">.  </w:t>
      </w:r>
      <w:r w:rsidR="003F6859">
        <w:t xml:space="preserve">Our data enable the estimation of elasticities on under-5, adult female mortality and adult male mortality.  </w:t>
      </w:r>
      <w:r w:rsidR="002874D9">
        <w:t>Figure</w:t>
      </w:r>
      <w:r w:rsidR="00DA7636">
        <w:t>s</w:t>
      </w:r>
      <w:r w:rsidR="002874D9">
        <w:t xml:space="preserve"> </w:t>
      </w:r>
      <w:r w:rsidR="00DA7636">
        <w:t>3a</w:t>
      </w:r>
      <w:r w:rsidR="002874D9">
        <w:t xml:space="preserve"> and </w:t>
      </w:r>
      <w:r w:rsidR="00DA7636">
        <w:t>3</w:t>
      </w:r>
      <w:r w:rsidR="002874D9">
        <w:t>b show the averted and not averted adult female and male deaths respectively for a hypothetical 1% change in expenditure assuming an elasticity of -1.</w:t>
      </w:r>
      <w:r w:rsidR="00570837">
        <w:t>25 for AFM and -0.75 for AMM</w:t>
      </w:r>
      <w:r w:rsidR="002874D9">
        <w:t>.</w:t>
      </w:r>
    </w:p>
    <w:p w14:paraId="09A4C922" w14:textId="5A407B27" w:rsidR="0047473E" w:rsidRDefault="00DA7636" w:rsidP="00737084">
      <w:r>
        <w:t>[INSERT FIGURES 3a AND 3b]</w:t>
      </w:r>
    </w:p>
    <w:p w14:paraId="0A30B1BE" w14:textId="4A1051AF" w:rsidR="0047473E" w:rsidRDefault="0047473E" w:rsidP="00737084">
      <w:r>
        <w:t>Total YLLs</w:t>
      </w:r>
      <w:r w:rsidR="00217113">
        <w:t xml:space="preserve"> averted among </w:t>
      </w:r>
      <w:r w:rsidR="00346E1E">
        <w:t xml:space="preserve">gender </w:t>
      </w:r>
      <w:r w:rsidR="00346E1E" w:rsidRPr="00857B20">
        <w:rPr>
          <w:i/>
          <w:iCs/>
        </w:rPr>
        <w:t>g</w:t>
      </w:r>
      <w:r w:rsidR="00217113">
        <w:t xml:space="preserve"> </w:t>
      </w:r>
      <w:r w:rsidR="00346E1E">
        <w:t xml:space="preserve">(females or males) </w:t>
      </w:r>
      <w:r>
        <w:t>in the 15-60 age category is then given by:</w:t>
      </w:r>
    </w:p>
    <w:p w14:paraId="7DE00E04" w14:textId="587FA996" w:rsidR="0047473E" w:rsidRDefault="0047473E" w:rsidP="0047473E">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w:t>
      </w:r>
      <w:r w:rsidR="00C10E53">
        <w:rPr>
          <w:rFonts w:ascii="Calibri" w:hAnsi="Calibri"/>
          <w:color w:val="000000"/>
          <w:sz w:val="22"/>
          <w:szCs w:val="22"/>
        </w:rPr>
        <w:t>5</w:t>
      </w:r>
      <w:r>
        <w:rPr>
          <w:rFonts w:ascii="Calibri" w:hAnsi="Calibri"/>
          <w:color w:val="000000"/>
          <w:sz w:val="22"/>
          <w:szCs w:val="22"/>
        </w:rPr>
        <w:t>)</w:t>
      </w:r>
      <w:r>
        <w:rPr>
          <w:rFonts w:ascii="Calibri" w:hAnsi="Calibri"/>
          <w:color w:val="000000"/>
          <w:sz w:val="22"/>
          <w:szCs w:val="22"/>
        </w:rPr>
        <w:tab/>
      </w:r>
      <m:oMath>
        <m:sSubSup>
          <m:sSubSupPr>
            <m:ctrlPr>
              <w:rPr>
                <w:rFonts w:ascii="Cambria Math" w:hAnsi="Cambria Math"/>
                <w:i/>
                <w:color w:val="000000"/>
                <w:sz w:val="22"/>
                <w:szCs w:val="22"/>
              </w:rPr>
            </m:ctrlPr>
          </m:sSubSupPr>
          <m:e>
            <m:r>
              <w:rPr>
                <w:rFonts w:ascii="Cambria Math" w:hAnsi="Cambria Math"/>
                <w:color w:val="000000"/>
                <w:sz w:val="22"/>
                <w:szCs w:val="22"/>
              </w:rPr>
              <m:t>YLL averted</m:t>
            </m:r>
          </m:e>
          <m:sub>
            <m:r>
              <w:rPr>
                <w:rFonts w:ascii="Cambria Math" w:hAnsi="Cambria Math"/>
                <w:color w:val="000000"/>
                <w:sz w:val="22"/>
                <w:szCs w:val="22"/>
              </w:rPr>
              <m:t>i</m:t>
            </m:r>
          </m:sub>
          <m:sup>
            <m:sSub>
              <m:sSubPr>
                <m:ctrlPr>
                  <w:rPr>
                    <w:rFonts w:ascii="Cambria Math" w:hAnsi="Cambria Math"/>
                    <w:i/>
                    <w:color w:val="000000"/>
                    <w:sz w:val="22"/>
                    <w:szCs w:val="22"/>
                  </w:rPr>
                </m:ctrlPr>
              </m:sSubPr>
              <m:e>
                <m:r>
                  <w:rPr>
                    <w:rFonts w:ascii="Cambria Math" w:hAnsi="Cambria Math"/>
                    <w:color w:val="000000"/>
                    <w:sz w:val="22"/>
                    <w:szCs w:val="22"/>
                  </w:rPr>
                  <m:t>15-60</m:t>
                </m:r>
              </m:e>
              <m:sub>
                <m:r>
                  <w:rPr>
                    <w:rFonts w:ascii="Cambria Math" w:hAnsi="Cambria Math"/>
                    <w:color w:val="000000"/>
                    <w:sz w:val="22"/>
                    <w:szCs w:val="22"/>
                  </w:rPr>
                  <m:t>g</m:t>
                </m:r>
              </m:sub>
            </m:sSub>
          </m:sup>
        </m:sSubSup>
        <m:r>
          <w:rPr>
            <w:rFonts w:ascii="Cambria Math" w:hAnsi="Cambria Math"/>
            <w:color w:val="000000"/>
            <w:sz w:val="22"/>
            <w:szCs w:val="22"/>
          </w:rPr>
          <m:t>=</m:t>
        </m:r>
        <m:nary>
          <m:naryPr>
            <m:chr m:val="∑"/>
            <m:limLoc m:val="subSup"/>
            <m:ctrlPr>
              <w:rPr>
                <w:rFonts w:ascii="Cambria Math" w:hAnsi="Cambria Math"/>
                <w:i/>
                <w:color w:val="000000"/>
                <w:sz w:val="22"/>
                <w:szCs w:val="22"/>
              </w:rPr>
            </m:ctrlPr>
          </m:naryPr>
          <m:sub>
            <m:r>
              <w:rPr>
                <w:rFonts w:ascii="Cambria Math" w:hAnsi="Cambria Math"/>
                <w:color w:val="000000"/>
                <w:sz w:val="22"/>
                <w:szCs w:val="22"/>
              </w:rPr>
              <m:t>a=1</m:t>
            </m:r>
          </m:sub>
          <m:sup>
            <m:r>
              <w:rPr>
                <w:rFonts w:ascii="Cambria Math" w:hAnsi="Cambria Math"/>
                <w:color w:val="000000"/>
                <w:sz w:val="22"/>
                <w:szCs w:val="22"/>
              </w:rPr>
              <m:t>9</m:t>
            </m:r>
          </m:sup>
          <m:e>
            <m:sSubSup>
              <m:sSubSupPr>
                <m:ctrlPr>
                  <w:rPr>
                    <w:rFonts w:ascii="Cambria Math" w:hAnsi="Cambria Math"/>
                    <w:i/>
                    <w:color w:val="000000"/>
                    <w:sz w:val="22"/>
                    <w:szCs w:val="22"/>
                  </w:rPr>
                </m:ctrlPr>
              </m:sSubSupPr>
              <m:e>
                <m:sSubSup>
                  <m:sSubSupPr>
                    <m:ctrlPr>
                      <w:rPr>
                        <w:rFonts w:ascii="Cambria Math" w:hAnsi="Cambria Math"/>
                        <w:i/>
                        <w:color w:val="000000"/>
                        <w:sz w:val="22"/>
                        <w:szCs w:val="22"/>
                      </w:rPr>
                    </m:ctrlPr>
                  </m:sSubSupPr>
                  <m:e>
                    <m:r>
                      <w:rPr>
                        <w:rFonts w:ascii="Cambria Math" w:hAnsi="Cambria Math"/>
                        <w:color w:val="000000"/>
                        <w:sz w:val="22"/>
                        <w:szCs w:val="22"/>
                      </w:rPr>
                      <m:t>CLE</m:t>
                    </m:r>
                  </m:e>
                  <m:sub>
                    <m:r>
                      <w:rPr>
                        <w:rFonts w:ascii="Cambria Math" w:hAnsi="Cambria Math"/>
                        <w:color w:val="000000"/>
                        <w:sz w:val="22"/>
                        <w:szCs w:val="22"/>
                      </w:rPr>
                      <m:t>i</m:t>
                    </m:r>
                  </m:sub>
                  <m:sup>
                    <m:sSub>
                      <m:sSubPr>
                        <m:ctrlPr>
                          <w:rPr>
                            <w:rFonts w:ascii="Cambria Math" w:hAnsi="Cambria Math"/>
                            <w:i/>
                            <w:color w:val="000000"/>
                            <w:sz w:val="22"/>
                            <w:szCs w:val="22"/>
                          </w:rPr>
                        </m:ctrlPr>
                      </m:sSubPr>
                      <m:e>
                        <m:r>
                          <w:rPr>
                            <w:rFonts w:ascii="Cambria Math" w:hAnsi="Cambria Math"/>
                            <w:color w:val="000000"/>
                            <w:sz w:val="22"/>
                            <w:szCs w:val="22"/>
                          </w:rPr>
                          <m:t>a</m:t>
                        </m:r>
                      </m:e>
                      <m:sub>
                        <m:r>
                          <w:rPr>
                            <w:rFonts w:ascii="Cambria Math" w:hAnsi="Cambria Math"/>
                            <w:color w:val="000000"/>
                            <w:sz w:val="22"/>
                            <w:szCs w:val="22"/>
                          </w:rPr>
                          <m:t>g</m:t>
                        </m:r>
                      </m:sub>
                    </m:sSub>
                  </m:sup>
                </m:sSubSup>
                <m:r>
                  <w:rPr>
                    <w:rFonts w:ascii="Cambria Math" w:hAnsi="Cambria Math"/>
                    <w:color w:val="000000"/>
                    <w:sz w:val="22"/>
                    <w:szCs w:val="22"/>
                  </w:rPr>
                  <m:t>*deaths averted</m:t>
                </m:r>
              </m:e>
              <m:sub>
                <m:r>
                  <w:rPr>
                    <w:rFonts w:ascii="Cambria Math" w:hAnsi="Cambria Math"/>
                    <w:color w:val="000000"/>
                    <w:sz w:val="22"/>
                    <w:szCs w:val="22"/>
                  </w:rPr>
                  <m:t>i</m:t>
                </m:r>
              </m:sub>
              <m:sup>
                <m:sSub>
                  <m:sSubPr>
                    <m:ctrlPr>
                      <w:rPr>
                        <w:rFonts w:ascii="Cambria Math" w:hAnsi="Cambria Math"/>
                        <w:i/>
                        <w:color w:val="000000"/>
                        <w:sz w:val="22"/>
                        <w:szCs w:val="22"/>
                      </w:rPr>
                    </m:ctrlPr>
                  </m:sSubPr>
                  <m:e>
                    <m:r>
                      <w:rPr>
                        <w:rFonts w:ascii="Cambria Math" w:hAnsi="Cambria Math"/>
                        <w:color w:val="000000"/>
                        <w:sz w:val="22"/>
                        <w:szCs w:val="22"/>
                      </w:rPr>
                      <m:t>a</m:t>
                    </m:r>
                  </m:e>
                  <m:sub>
                    <m:r>
                      <w:rPr>
                        <w:rFonts w:ascii="Cambria Math" w:hAnsi="Cambria Math"/>
                        <w:color w:val="000000"/>
                        <w:sz w:val="22"/>
                        <w:szCs w:val="22"/>
                      </w:rPr>
                      <m:t>g</m:t>
                    </m:r>
                  </m:sub>
                </m:sSub>
              </m:sup>
            </m:sSubSup>
            <m:r>
              <w:rPr>
                <w:rFonts w:ascii="Cambria Math" w:hAnsi="Cambria Math"/>
                <w:color w:val="000000"/>
                <w:sz w:val="22"/>
                <w:szCs w:val="22"/>
              </w:rPr>
              <m:t>+</m:t>
            </m:r>
            <m:nary>
              <m:naryPr>
                <m:chr m:val="∑"/>
                <m:limLoc m:val="subSup"/>
                <m:ctrlPr>
                  <w:rPr>
                    <w:rFonts w:ascii="Cambria Math" w:hAnsi="Cambria Math"/>
                    <w:i/>
                    <w:color w:val="000000"/>
                    <w:sz w:val="22"/>
                    <w:szCs w:val="22"/>
                  </w:rPr>
                </m:ctrlPr>
              </m:naryPr>
              <m:sub>
                <m:r>
                  <w:rPr>
                    <w:rFonts w:ascii="Cambria Math" w:hAnsi="Cambria Math"/>
                    <w:color w:val="000000"/>
                    <w:sz w:val="22"/>
                    <w:szCs w:val="22"/>
                  </w:rPr>
                  <m:t>a=1</m:t>
                </m:r>
              </m:sub>
              <m:sup>
                <m:r>
                  <w:rPr>
                    <w:rFonts w:ascii="Cambria Math" w:hAnsi="Cambria Math"/>
                    <w:color w:val="000000"/>
                    <w:sz w:val="22"/>
                    <w:szCs w:val="22"/>
                  </w:rPr>
                  <m:t>9</m:t>
                </m:r>
              </m:sup>
              <m:e>
                <m:sSubSup>
                  <m:sSubSupPr>
                    <m:ctrlPr>
                      <w:rPr>
                        <w:rFonts w:ascii="Cambria Math" w:hAnsi="Cambria Math"/>
                        <w:i/>
                        <w:color w:val="000000"/>
                        <w:sz w:val="22"/>
                        <w:szCs w:val="22"/>
                      </w:rPr>
                    </m:ctrlPr>
                  </m:sSubSupPr>
                  <m:e>
                    <m:sSubSup>
                      <m:sSubSupPr>
                        <m:ctrlPr>
                          <w:rPr>
                            <w:rFonts w:ascii="Cambria Math" w:hAnsi="Cambria Math"/>
                            <w:i/>
                            <w:color w:val="000000"/>
                            <w:sz w:val="22"/>
                            <w:szCs w:val="22"/>
                          </w:rPr>
                        </m:ctrlPr>
                      </m:sSubSupPr>
                      <m:e>
                        <m:r>
                          <w:rPr>
                            <w:rFonts w:ascii="Cambria Math" w:hAnsi="Cambria Math"/>
                            <w:color w:val="000000"/>
                            <w:sz w:val="22"/>
                            <w:szCs w:val="22"/>
                          </w:rPr>
                          <m:t>CLE</m:t>
                        </m:r>
                      </m:e>
                      <m:sub>
                        <m:r>
                          <w:rPr>
                            <w:rFonts w:ascii="Cambria Math" w:hAnsi="Cambria Math"/>
                            <w:color w:val="000000"/>
                            <w:sz w:val="22"/>
                            <w:szCs w:val="22"/>
                          </w:rPr>
                          <m:t>i</m:t>
                        </m:r>
                      </m:sub>
                      <m:sup>
                        <m:sSub>
                          <m:sSubPr>
                            <m:ctrlPr>
                              <w:rPr>
                                <w:rFonts w:ascii="Cambria Math" w:hAnsi="Cambria Math"/>
                                <w:i/>
                                <w:color w:val="000000"/>
                                <w:sz w:val="22"/>
                                <w:szCs w:val="22"/>
                              </w:rPr>
                            </m:ctrlPr>
                          </m:sSubPr>
                          <m:e>
                            <m:r>
                              <w:rPr>
                                <w:rFonts w:ascii="Cambria Math" w:hAnsi="Cambria Math"/>
                                <w:color w:val="000000"/>
                                <w:sz w:val="22"/>
                                <w:szCs w:val="22"/>
                              </w:rPr>
                              <m:t>a</m:t>
                            </m:r>
                          </m:e>
                          <m:sub>
                            <m:r>
                              <w:rPr>
                                <w:rFonts w:ascii="Cambria Math" w:hAnsi="Cambria Math"/>
                                <w:color w:val="000000"/>
                                <w:sz w:val="22"/>
                                <w:szCs w:val="22"/>
                              </w:rPr>
                              <m:t>g</m:t>
                            </m:r>
                          </m:sub>
                        </m:sSub>
                      </m:sup>
                    </m:sSubSup>
                    <m:r>
                      <w:rPr>
                        <w:rFonts w:ascii="Cambria Math" w:hAnsi="Cambria Math"/>
                        <w:color w:val="000000"/>
                        <w:sz w:val="22"/>
                        <w:szCs w:val="22"/>
                      </w:rPr>
                      <m:t>*deaths averted</m:t>
                    </m:r>
                  </m:e>
                  <m:sub>
                    <m:r>
                      <w:rPr>
                        <w:rFonts w:ascii="Cambria Math" w:hAnsi="Cambria Math"/>
                        <w:color w:val="000000"/>
                        <w:sz w:val="22"/>
                        <w:szCs w:val="22"/>
                      </w:rPr>
                      <m:t>i</m:t>
                    </m:r>
                  </m:sub>
                  <m:sup>
                    <m:sSub>
                      <m:sSubPr>
                        <m:ctrlPr>
                          <w:rPr>
                            <w:rFonts w:ascii="Cambria Math" w:hAnsi="Cambria Math"/>
                            <w:i/>
                            <w:color w:val="000000"/>
                            <w:sz w:val="22"/>
                            <w:szCs w:val="22"/>
                          </w:rPr>
                        </m:ctrlPr>
                      </m:sSubPr>
                      <m:e>
                        <m:r>
                          <w:rPr>
                            <w:rFonts w:ascii="Cambria Math" w:hAnsi="Cambria Math"/>
                            <w:color w:val="000000"/>
                            <w:sz w:val="22"/>
                            <w:szCs w:val="22"/>
                          </w:rPr>
                          <m:t>a</m:t>
                        </m:r>
                      </m:e>
                      <m:sub>
                        <m:r>
                          <w:rPr>
                            <w:rFonts w:ascii="Cambria Math" w:hAnsi="Cambria Math"/>
                            <w:color w:val="000000"/>
                            <w:sz w:val="22"/>
                            <w:szCs w:val="22"/>
                          </w:rPr>
                          <m:t>g</m:t>
                        </m:r>
                      </m:sub>
                    </m:sSub>
                  </m:sup>
                </m:sSubSup>
              </m:e>
            </m:nary>
          </m:e>
        </m:nary>
      </m:oMath>
    </w:p>
    <w:p w14:paraId="01274C6A" w14:textId="328343E3" w:rsidR="00640761" w:rsidRDefault="00640761" w:rsidP="0047473E">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where there are nine age groups (15-19, 20-24, … , 55-60) in the 15-60 category</w:t>
      </w:r>
      <w:r w:rsidR="00217113">
        <w:rPr>
          <w:rFonts w:ascii="Calibri" w:hAnsi="Calibri"/>
          <w:color w:val="000000"/>
          <w:sz w:val="22"/>
          <w:szCs w:val="22"/>
        </w:rPr>
        <w:t>.</w:t>
      </w:r>
      <w:r w:rsidR="00346E1E">
        <w:rPr>
          <w:rFonts w:ascii="Calibri" w:hAnsi="Calibri"/>
          <w:color w:val="000000"/>
          <w:sz w:val="22"/>
          <w:szCs w:val="22"/>
        </w:rPr>
        <w:t xml:space="preserve">  </w:t>
      </w:r>
    </w:p>
    <w:p w14:paraId="534EBAF7" w14:textId="34E1A7AF" w:rsidR="003F6859" w:rsidRDefault="00217113" w:rsidP="0047473E">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 xml:space="preserve">The YLLs averted among females and among males </w:t>
      </w:r>
      <w:r w:rsidR="003F6859">
        <w:rPr>
          <w:rFonts w:ascii="Calibri" w:hAnsi="Calibri"/>
          <w:color w:val="000000"/>
          <w:sz w:val="22"/>
          <w:szCs w:val="22"/>
        </w:rPr>
        <w:t xml:space="preserve">are added to the YLLs for the under-5 age category, which are </w:t>
      </w:r>
      <w:r w:rsidR="00693B69">
        <w:rPr>
          <w:rFonts w:ascii="Calibri" w:hAnsi="Calibri"/>
          <w:color w:val="000000"/>
          <w:sz w:val="22"/>
          <w:szCs w:val="22"/>
        </w:rPr>
        <w:t xml:space="preserve">also </w:t>
      </w:r>
      <w:r w:rsidR="003F6859">
        <w:rPr>
          <w:rFonts w:ascii="Calibri" w:hAnsi="Calibri"/>
          <w:color w:val="000000"/>
          <w:sz w:val="22"/>
          <w:szCs w:val="22"/>
        </w:rPr>
        <w:t xml:space="preserve">obtained </w:t>
      </w:r>
      <w:r w:rsidR="00693B69">
        <w:rPr>
          <w:rFonts w:ascii="Calibri" w:hAnsi="Calibri"/>
          <w:color w:val="000000"/>
          <w:sz w:val="22"/>
          <w:szCs w:val="22"/>
        </w:rPr>
        <w:t xml:space="preserve">using equation 3 where there is only one age category </w:t>
      </w:r>
      <w:r w:rsidR="00693B69" w:rsidRPr="00857B20">
        <w:rPr>
          <w:rFonts w:ascii="Calibri" w:hAnsi="Calibri"/>
          <w:i/>
          <w:iCs/>
          <w:color w:val="000000"/>
          <w:sz w:val="22"/>
          <w:szCs w:val="22"/>
        </w:rPr>
        <w:t>a</w:t>
      </w:r>
      <w:r w:rsidR="00693B69">
        <w:rPr>
          <w:rFonts w:ascii="Calibri" w:hAnsi="Calibri"/>
          <w:i/>
          <w:iCs/>
          <w:color w:val="000000"/>
          <w:sz w:val="22"/>
          <w:szCs w:val="22"/>
        </w:rPr>
        <w:t>,</w:t>
      </w:r>
      <w:r w:rsidR="00693B69">
        <w:rPr>
          <w:rFonts w:ascii="Calibri" w:hAnsi="Calibri"/>
          <w:color w:val="000000"/>
          <w:sz w:val="22"/>
          <w:szCs w:val="22"/>
        </w:rPr>
        <w:t xml:space="preserve"> 0-4.</w:t>
      </w:r>
      <w:r w:rsidR="003F6859">
        <w:rPr>
          <w:rFonts w:ascii="Calibri" w:hAnsi="Calibri"/>
          <w:color w:val="000000"/>
          <w:sz w:val="22"/>
          <w:szCs w:val="22"/>
        </w:rPr>
        <w:t xml:space="preserve"> </w:t>
      </w:r>
    </w:p>
    <w:p w14:paraId="6B78ECAF" w14:textId="77777777" w:rsidR="0042053F" w:rsidRDefault="003C151F" w:rsidP="0047473E">
      <w:pPr>
        <w:pStyle w:val="NormalWeb"/>
        <w:spacing w:before="0" w:beforeAutospacing="0" w:after="200" w:afterAutospacing="0"/>
        <w:rPr>
          <w:rFonts w:asciiTheme="minorHAnsi" w:hAnsiTheme="minorHAnsi" w:cstheme="minorHAnsi"/>
          <w:sz w:val="22"/>
          <w:szCs w:val="22"/>
        </w:rPr>
      </w:pPr>
      <w:r w:rsidRPr="00926A10">
        <w:rPr>
          <w:rFonts w:ascii="Calibri" w:hAnsi="Calibri"/>
          <w:color w:val="000000"/>
          <w:sz w:val="22"/>
          <w:szCs w:val="22"/>
        </w:rPr>
        <w:t xml:space="preserve">The result is YLLs averted among 0-4 and 15-60 year olds, so to calculate the YLLs averted among the whole population we assume that </w:t>
      </w:r>
      <w:r w:rsidRPr="0042053F">
        <w:rPr>
          <w:rFonts w:asciiTheme="minorHAnsi" w:hAnsiTheme="minorHAnsi" w:cstheme="minorHAnsi"/>
          <w:color w:val="000000"/>
          <w:sz w:val="22"/>
          <w:szCs w:val="22"/>
        </w:rPr>
        <w:t>the same proportion of YLLs that are averted among 0-5 and 15-60 year olds are averted among 5-14 and 61+ year olds.</w:t>
      </w:r>
      <w:r w:rsidR="0042053F" w:rsidRPr="0042053F">
        <w:rPr>
          <w:rFonts w:asciiTheme="minorHAnsi" w:hAnsiTheme="minorHAnsi" w:cstheme="minorHAnsi"/>
          <w:color w:val="000000"/>
          <w:sz w:val="22"/>
          <w:szCs w:val="22"/>
        </w:rPr>
        <w:t xml:space="preserve"> </w:t>
      </w:r>
      <w:r w:rsidR="0042053F" w:rsidRPr="0042053F">
        <w:rPr>
          <w:rFonts w:asciiTheme="minorHAnsi" w:hAnsiTheme="minorHAnsi" w:cstheme="minorHAnsi"/>
          <w:sz w:val="22"/>
          <w:szCs w:val="22"/>
        </w:rPr>
        <w:t xml:space="preserve">Determining the proportion of YLLs averted requires first calculating YLLs for the whole population using data on absolute deaths and CLE for each of 17 age categories </w:t>
      </w:r>
      <w:r w:rsidR="0042053F" w:rsidRPr="0042053F">
        <w:rPr>
          <w:rFonts w:asciiTheme="minorHAnsi" w:hAnsiTheme="minorHAnsi" w:cstheme="minorHAnsi"/>
          <w:i/>
          <w:sz w:val="22"/>
          <w:szCs w:val="22"/>
        </w:rPr>
        <w:t>a</w:t>
      </w:r>
      <w:r w:rsidR="0042053F" w:rsidRPr="0042053F">
        <w:rPr>
          <w:rFonts w:asciiTheme="minorHAnsi" w:hAnsiTheme="minorHAnsi" w:cstheme="minorHAnsi"/>
          <w:sz w:val="22"/>
          <w:szCs w:val="22"/>
        </w:rPr>
        <w:t xml:space="preserve"> as</w:t>
      </w:r>
      <w:r w:rsidR="0042053F">
        <w:rPr>
          <w:rFonts w:asciiTheme="minorHAnsi" w:hAnsiTheme="minorHAnsi" w:cstheme="minorHAnsi"/>
          <w:sz w:val="22"/>
          <w:szCs w:val="22"/>
        </w:rPr>
        <w:t>:</w:t>
      </w:r>
    </w:p>
    <w:p w14:paraId="5C580EF9" w14:textId="2CC0DC46" w:rsidR="003F6859" w:rsidRPr="0042053F" w:rsidRDefault="0042053F" w:rsidP="0047473E">
      <w:pPr>
        <w:pStyle w:val="NormalWeb"/>
        <w:spacing w:before="0" w:beforeAutospacing="0" w:after="200" w:afterAutospacing="0"/>
        <w:rPr>
          <w:rFonts w:asciiTheme="minorHAnsi" w:hAnsiTheme="minorHAnsi" w:cstheme="minorHAnsi"/>
          <w:color w:val="000000"/>
          <w:sz w:val="22"/>
          <w:szCs w:val="22"/>
        </w:rPr>
      </w:pPr>
      <w:r>
        <w:rPr>
          <w:rFonts w:asciiTheme="minorHAnsi" w:hAnsiTheme="minorHAnsi" w:cstheme="minorHAnsi"/>
          <w:sz w:val="22"/>
          <w:szCs w:val="22"/>
        </w:rPr>
        <w:t xml:space="preserve">(6) </w:t>
      </w:r>
      <w:r>
        <w:rPr>
          <w:rFonts w:asciiTheme="minorHAnsi" w:hAnsiTheme="minorHAnsi" w:cstheme="minorHAnsi"/>
          <w:sz w:val="22"/>
          <w:szCs w:val="22"/>
        </w:rPr>
        <w:tab/>
      </w:r>
      <m:oMath>
        <m:sSubSup>
          <m:sSubSupPr>
            <m:ctrlPr>
              <w:rPr>
                <w:rFonts w:ascii="Cambria Math" w:hAnsi="Cambria Math" w:cstheme="minorHAnsi"/>
                <w:i/>
                <w:color w:val="000000"/>
                <w:sz w:val="22"/>
                <w:szCs w:val="22"/>
              </w:rPr>
            </m:ctrlPr>
          </m:sSubSupPr>
          <m:e>
            <m:r>
              <w:rPr>
                <w:rFonts w:ascii="Cambria Math" w:hAnsi="Cambria Math" w:cstheme="minorHAnsi"/>
                <w:color w:val="000000"/>
                <w:sz w:val="22"/>
                <w:szCs w:val="22"/>
              </w:rPr>
              <m:t xml:space="preserve">YLL </m:t>
            </m:r>
          </m:e>
          <m:sub>
            <m:r>
              <w:rPr>
                <w:rFonts w:ascii="Cambria Math" w:hAnsi="Cambria Math" w:cstheme="minorHAnsi"/>
                <w:color w:val="000000"/>
                <w:sz w:val="22"/>
                <w:szCs w:val="22"/>
              </w:rPr>
              <m:t>i</m:t>
            </m:r>
          </m:sub>
          <m:sup/>
        </m:sSubSup>
        <m:r>
          <w:rPr>
            <w:rFonts w:ascii="Cambria Math" w:hAnsi="Cambria Math" w:cstheme="minorHAnsi"/>
            <w:color w:val="000000"/>
            <w:sz w:val="22"/>
            <w:szCs w:val="22"/>
          </w:rPr>
          <m:t>=</m:t>
        </m:r>
        <m:nary>
          <m:naryPr>
            <m:chr m:val="∑"/>
            <m:limLoc m:val="undOvr"/>
            <m:ctrlPr>
              <w:rPr>
                <w:rFonts w:ascii="Cambria Math" w:hAnsi="Cambria Math" w:cstheme="minorHAnsi"/>
                <w:i/>
                <w:color w:val="000000"/>
                <w:sz w:val="22"/>
                <w:szCs w:val="22"/>
              </w:rPr>
            </m:ctrlPr>
          </m:naryPr>
          <m:sub>
            <m:r>
              <w:rPr>
                <w:rFonts w:ascii="Cambria Math" w:hAnsi="Cambria Math" w:cstheme="minorHAnsi"/>
                <w:color w:val="000000"/>
                <w:sz w:val="22"/>
                <w:szCs w:val="22"/>
              </w:rPr>
              <m:t>g=1</m:t>
            </m:r>
          </m:sub>
          <m:sup>
            <m:r>
              <w:rPr>
                <w:rFonts w:ascii="Cambria Math" w:hAnsi="Cambria Math" w:cstheme="minorHAnsi"/>
                <w:color w:val="000000"/>
                <w:sz w:val="22"/>
                <w:szCs w:val="22"/>
              </w:rPr>
              <m:t>2</m:t>
            </m:r>
          </m:sup>
          <m:e>
            <m:nary>
              <m:naryPr>
                <m:chr m:val="∑"/>
                <m:limLoc m:val="subSup"/>
                <m:ctrlPr>
                  <w:rPr>
                    <w:rFonts w:ascii="Cambria Math" w:hAnsi="Cambria Math" w:cstheme="minorHAnsi"/>
                    <w:i/>
                    <w:color w:val="000000"/>
                    <w:sz w:val="22"/>
                    <w:szCs w:val="22"/>
                  </w:rPr>
                </m:ctrlPr>
              </m:naryPr>
              <m:sub>
                <m:r>
                  <w:rPr>
                    <w:rFonts w:ascii="Cambria Math" w:hAnsi="Cambria Math" w:cstheme="minorHAnsi"/>
                    <w:color w:val="000000"/>
                    <w:sz w:val="22"/>
                    <w:szCs w:val="22"/>
                  </w:rPr>
                  <m:t>a=1</m:t>
                </m:r>
              </m:sub>
              <m:sup>
                <m:r>
                  <w:rPr>
                    <w:rFonts w:ascii="Cambria Math" w:hAnsi="Cambria Math" w:cstheme="minorHAnsi"/>
                    <w:color w:val="000000"/>
                    <w:sz w:val="22"/>
                    <w:szCs w:val="22"/>
                  </w:rPr>
                  <m:t>17</m:t>
                </m:r>
              </m:sup>
              <m:e>
                <m:sSubSup>
                  <m:sSubSupPr>
                    <m:ctrlPr>
                      <w:rPr>
                        <w:rFonts w:ascii="Cambria Math" w:hAnsi="Cambria Math" w:cstheme="minorHAnsi"/>
                        <w:i/>
                        <w:color w:val="000000"/>
                        <w:sz w:val="22"/>
                        <w:szCs w:val="22"/>
                      </w:rPr>
                    </m:ctrlPr>
                  </m:sSubSupPr>
                  <m:e>
                    <m:r>
                      <w:rPr>
                        <w:rFonts w:ascii="Cambria Math" w:hAnsi="Cambria Math" w:cstheme="minorHAnsi"/>
                        <w:color w:val="000000"/>
                        <w:sz w:val="22"/>
                        <w:szCs w:val="22"/>
                      </w:rPr>
                      <m:t>CLE</m:t>
                    </m:r>
                  </m:e>
                  <m:sub>
                    <m:r>
                      <w:rPr>
                        <w:rFonts w:ascii="Cambria Math" w:hAnsi="Cambria Math" w:cstheme="minorHAnsi"/>
                        <w:color w:val="000000"/>
                        <w:sz w:val="22"/>
                        <w:szCs w:val="22"/>
                      </w:rPr>
                      <m:t>i</m:t>
                    </m:r>
                  </m:sub>
                  <m:sup>
                    <m:sSub>
                      <m:sSubPr>
                        <m:ctrlPr>
                          <w:rPr>
                            <w:rFonts w:ascii="Cambria Math" w:hAnsi="Cambria Math" w:cstheme="minorHAnsi"/>
                            <w:i/>
                            <w:color w:val="000000"/>
                            <w:sz w:val="22"/>
                            <w:szCs w:val="22"/>
                          </w:rPr>
                        </m:ctrlPr>
                      </m:sSubPr>
                      <m:e>
                        <m:r>
                          <w:rPr>
                            <w:rFonts w:ascii="Cambria Math" w:hAnsi="Cambria Math" w:cstheme="minorHAnsi"/>
                            <w:color w:val="000000"/>
                            <w:sz w:val="22"/>
                            <w:szCs w:val="22"/>
                          </w:rPr>
                          <m:t>a</m:t>
                        </m:r>
                      </m:e>
                      <m:sub>
                        <m:r>
                          <w:rPr>
                            <w:rFonts w:ascii="Cambria Math" w:hAnsi="Cambria Math" w:cstheme="minorHAnsi"/>
                            <w:color w:val="000000"/>
                            <w:sz w:val="22"/>
                            <w:szCs w:val="22"/>
                          </w:rPr>
                          <m:t>g</m:t>
                        </m:r>
                      </m:sub>
                    </m:sSub>
                  </m:sup>
                </m:sSubSup>
                <m:r>
                  <w:rPr>
                    <w:rFonts w:ascii="Cambria Math" w:hAnsi="Cambria Math" w:cstheme="minorHAnsi"/>
                    <w:color w:val="000000"/>
                    <w:sz w:val="22"/>
                    <w:szCs w:val="22"/>
                  </w:rPr>
                  <m:t>*</m:t>
                </m:r>
                <m:sSubSup>
                  <m:sSubSupPr>
                    <m:ctrlPr>
                      <w:rPr>
                        <w:rFonts w:ascii="Cambria Math" w:hAnsi="Cambria Math" w:cstheme="minorHAnsi"/>
                        <w:i/>
                        <w:color w:val="000000"/>
                        <w:sz w:val="22"/>
                        <w:szCs w:val="22"/>
                      </w:rPr>
                    </m:ctrlPr>
                  </m:sSubSupPr>
                  <m:e>
                    <m:r>
                      <w:rPr>
                        <w:rFonts w:ascii="Cambria Math" w:hAnsi="Cambria Math" w:cstheme="minorHAnsi"/>
                        <w:color w:val="000000"/>
                        <w:sz w:val="22"/>
                        <w:szCs w:val="22"/>
                      </w:rPr>
                      <m:t>absolute deaths</m:t>
                    </m:r>
                  </m:e>
                  <m:sub>
                    <m:r>
                      <w:rPr>
                        <w:rFonts w:ascii="Cambria Math" w:hAnsi="Cambria Math" w:cstheme="minorHAnsi"/>
                        <w:color w:val="000000"/>
                        <w:sz w:val="22"/>
                        <w:szCs w:val="22"/>
                      </w:rPr>
                      <m:t>i</m:t>
                    </m:r>
                  </m:sub>
                  <m:sup>
                    <m:sSub>
                      <m:sSubPr>
                        <m:ctrlPr>
                          <w:rPr>
                            <w:rFonts w:ascii="Cambria Math" w:hAnsi="Cambria Math" w:cstheme="minorHAnsi"/>
                            <w:i/>
                            <w:color w:val="000000"/>
                            <w:sz w:val="22"/>
                            <w:szCs w:val="22"/>
                          </w:rPr>
                        </m:ctrlPr>
                      </m:sSubPr>
                      <m:e>
                        <m:r>
                          <w:rPr>
                            <w:rFonts w:ascii="Cambria Math" w:hAnsi="Cambria Math" w:cstheme="minorHAnsi"/>
                            <w:color w:val="000000"/>
                            <w:sz w:val="22"/>
                            <w:szCs w:val="22"/>
                          </w:rPr>
                          <m:t>a</m:t>
                        </m:r>
                      </m:e>
                      <m:sub>
                        <m:r>
                          <w:rPr>
                            <w:rFonts w:ascii="Cambria Math" w:hAnsi="Cambria Math" w:cstheme="minorHAnsi"/>
                            <w:color w:val="000000"/>
                            <w:sz w:val="22"/>
                            <w:szCs w:val="22"/>
                          </w:rPr>
                          <m:t>g</m:t>
                        </m:r>
                      </m:sub>
                    </m:sSub>
                  </m:sup>
                </m:sSubSup>
              </m:e>
            </m:nary>
          </m:e>
        </m:nary>
      </m:oMath>
      <w:r w:rsidR="003C151F" w:rsidRPr="0042053F">
        <w:rPr>
          <w:rFonts w:asciiTheme="minorHAnsi" w:hAnsiTheme="minorHAnsi" w:cstheme="minorHAnsi"/>
          <w:color w:val="000000"/>
          <w:sz w:val="22"/>
          <w:szCs w:val="22"/>
        </w:rPr>
        <w:t xml:space="preserve"> </w:t>
      </w:r>
    </w:p>
    <w:p w14:paraId="783646AD" w14:textId="018A4624" w:rsidR="002016D5" w:rsidRPr="00234993" w:rsidRDefault="006F1D47" w:rsidP="00234993">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Finally, we account for the direct and indirect effects of health expenditure on the burden of morbidity (measured by years of life disabled, YLD).</w:t>
      </w:r>
      <w:r w:rsidR="00E54E02">
        <w:rPr>
          <w:rFonts w:ascii="Calibri" w:hAnsi="Calibri"/>
          <w:color w:val="000000"/>
          <w:sz w:val="22"/>
          <w:szCs w:val="22"/>
        </w:rPr>
        <w:t xml:space="preserve">  While an increase expenditure would be expected to alleviate some of the YLD burden on one hand, on the other it would also be expected to increase it through extending survival (i.e., alleviating some of the YLL burden).  We account for the direct effect of expenditure on YLD burden by assuming that the same proportion of YLD burden is averted as YLL burden (i.e., if our calculations show that YLL burden is </w:t>
      </w:r>
      <w:r w:rsidR="00A26783">
        <w:rPr>
          <w:rFonts w:ascii="Calibri" w:hAnsi="Calibri"/>
          <w:color w:val="000000"/>
          <w:sz w:val="22"/>
          <w:szCs w:val="22"/>
        </w:rPr>
        <w:t>alleviated</w:t>
      </w:r>
      <w:r w:rsidR="00E54E02">
        <w:rPr>
          <w:rFonts w:ascii="Calibri" w:hAnsi="Calibri"/>
          <w:color w:val="000000"/>
          <w:sz w:val="22"/>
          <w:szCs w:val="22"/>
        </w:rPr>
        <w:t xml:space="preserve"> by 15%</w:t>
      </w:r>
      <w:r w:rsidR="00A26783">
        <w:rPr>
          <w:rFonts w:ascii="Calibri" w:hAnsi="Calibri"/>
          <w:color w:val="000000"/>
          <w:sz w:val="22"/>
          <w:szCs w:val="22"/>
        </w:rPr>
        <w:t xml:space="preserve"> then we assume that 15% of the YLD burden is alleviated).</w:t>
      </w:r>
      <w:r w:rsidR="00234993">
        <w:rPr>
          <w:rFonts w:ascii="Calibri" w:hAnsi="Calibri"/>
          <w:color w:val="000000"/>
          <w:sz w:val="22"/>
          <w:szCs w:val="22"/>
        </w:rPr>
        <w:t xml:space="preserve">  We account for the indirect effect of expenditure by assuming that each YLL averted is subject </w:t>
      </w:r>
      <w:r w:rsidR="00234993" w:rsidRPr="00926A10">
        <w:rPr>
          <w:rFonts w:ascii="Calibri" w:hAnsi="Calibri"/>
          <w:color w:val="000000"/>
          <w:sz w:val="22"/>
          <w:szCs w:val="22"/>
        </w:rPr>
        <w:t>to the existing per capita YLD burden.  YLD burden data come from the Global Burden of Disease.</w:t>
      </w:r>
      <w:r w:rsidR="000B1802">
        <w:rPr>
          <w:rFonts w:ascii="Calibri" w:hAnsi="Calibri"/>
          <w:color w:val="000000"/>
          <w:sz w:val="22"/>
          <w:szCs w:val="22"/>
        </w:rPr>
        <w:t xml:space="preserve">  </w:t>
      </w:r>
      <w:r w:rsidR="00273B24">
        <w:rPr>
          <w:rFonts w:ascii="Calibri" w:hAnsi="Calibri"/>
          <w:color w:val="000000"/>
          <w:sz w:val="22"/>
          <w:szCs w:val="22"/>
        </w:rPr>
        <w:t>Therefore,</w:t>
      </w:r>
      <w:r w:rsidR="000B1802">
        <w:rPr>
          <w:rFonts w:ascii="Calibri" w:hAnsi="Calibri"/>
          <w:color w:val="000000"/>
          <w:sz w:val="22"/>
          <w:szCs w:val="22"/>
        </w:rPr>
        <w:t xml:space="preserve"> the overall DALYs averted for the population are calculated as</w:t>
      </w:r>
    </w:p>
    <w:p w14:paraId="275F912F" w14:textId="1CC1E625" w:rsidR="002016D5" w:rsidRPr="009966B7" w:rsidRDefault="00234993" w:rsidP="00737084">
      <w:r w:rsidRPr="009966B7">
        <w:t>(</w:t>
      </w:r>
      <w:r w:rsidR="0042053F">
        <w:t>7</w:t>
      </w:r>
      <w:r w:rsidRPr="009966B7">
        <w:t>)</w:t>
      </w:r>
      <w:r w:rsidRPr="009966B7">
        <w:tab/>
      </w:r>
      <m:oMath>
        <m:sSub>
          <m:sSubPr>
            <m:ctrlPr>
              <w:rPr>
                <w:rFonts w:ascii="Cambria Math" w:hAnsi="Cambria Math"/>
                <w:i/>
              </w:rPr>
            </m:ctrlPr>
          </m:sSubPr>
          <m:e>
            <m:r>
              <w:rPr>
                <w:rFonts w:ascii="Cambria Math" w:hAnsi="Cambria Math"/>
              </w:rPr>
              <m:t>DALY averted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YLL averted</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YLD averted</m:t>
            </m:r>
          </m:e>
          <m:sub>
            <m:r>
              <w:rPr>
                <w:rFonts w:ascii="Cambria Math" w:hAnsi="Cambria Math"/>
              </w:rPr>
              <m:t>i</m:t>
            </m:r>
          </m:sub>
          <m:sup>
            <m:r>
              <w:rPr>
                <w:rFonts w:ascii="Cambria Math" w:hAnsi="Cambria Math"/>
              </w:rPr>
              <m:t>direct</m:t>
            </m:r>
          </m:sup>
        </m:sSubSup>
        <m:r>
          <w:rPr>
            <w:rFonts w:ascii="Cambria Math" w:hAnsi="Cambria Math"/>
          </w:rPr>
          <m:t>-</m:t>
        </m:r>
        <m:sSubSup>
          <m:sSubSupPr>
            <m:ctrlPr>
              <w:rPr>
                <w:rFonts w:ascii="Cambria Math" w:hAnsi="Cambria Math"/>
                <w:i/>
              </w:rPr>
            </m:ctrlPr>
          </m:sSubSupPr>
          <m:e>
            <m:r>
              <w:rPr>
                <w:rFonts w:ascii="Cambria Math" w:hAnsi="Cambria Math"/>
              </w:rPr>
              <m:t>YLD gained</m:t>
            </m:r>
          </m:e>
          <m:sub>
            <m:r>
              <w:rPr>
                <w:rFonts w:ascii="Cambria Math" w:hAnsi="Cambria Math"/>
              </w:rPr>
              <m:t>i</m:t>
            </m:r>
          </m:sub>
          <m:sup>
            <m:r>
              <w:rPr>
                <w:rFonts w:ascii="Cambria Math" w:hAnsi="Cambria Math"/>
              </w:rPr>
              <m:t>indirect</m:t>
            </m:r>
          </m:sup>
        </m:sSubSup>
        <m:r>
          <w:rPr>
            <w:rFonts w:ascii="Cambria Math" w:hAnsi="Cambria Math"/>
          </w:rPr>
          <m:t>)</m:t>
        </m:r>
      </m:oMath>
    </w:p>
    <w:p w14:paraId="044E2901" w14:textId="2591E9EF" w:rsidR="002327E2" w:rsidRPr="003E457B" w:rsidRDefault="003E457B" w:rsidP="00395B46">
      <w:pPr>
        <w:rPr>
          <w:b/>
        </w:rPr>
      </w:pPr>
      <w:r w:rsidRPr="003E457B">
        <w:rPr>
          <w:b/>
        </w:rPr>
        <w:t>DALY 2</w:t>
      </w:r>
    </w:p>
    <w:p w14:paraId="106B4CAD" w14:textId="30624A2E" w:rsidR="00CA77BD" w:rsidRDefault="00CA77BD" w:rsidP="00395B46">
      <w:r>
        <w:t>DALY 2 uses YLL elasticities in combination with the same series of assumptions around the morbidity effects of expenditure as in DALY 1 to obtain a cost per DALY averted.  First, population-wide YLL averted is calculated from the elasticity of the effect of expenditure on YLL as:</w:t>
      </w:r>
    </w:p>
    <w:p w14:paraId="3635B95E" w14:textId="235AD7D6" w:rsidR="00CA77BD" w:rsidRDefault="00CA77BD" w:rsidP="00CA77BD">
      <w:pPr>
        <w:rPr>
          <w:rFonts w:eastAsiaTheme="minorEastAsia"/>
        </w:rPr>
      </w:pPr>
      <w:r>
        <w:lastRenderedPageBreak/>
        <w:t>(</w:t>
      </w:r>
      <w:r w:rsidR="0042053F">
        <w:t>8</w:t>
      </w:r>
      <w:r>
        <w:t>)</w:t>
      </w:r>
      <w:r>
        <w:tab/>
      </w:r>
      <m:oMath>
        <m:r>
          <w:rPr>
            <w:rFonts w:ascii="Cambria Math" w:hAnsi="Cambria Math"/>
          </w:rPr>
          <m:t>YLL averted= 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YLL</m:t>
                </m:r>
              </m:sup>
            </m:sSubSup>
          </m:e>
        </m:d>
        <m:r>
          <w:rPr>
            <w:rFonts w:ascii="Cambria Math" w:hAnsi="Cambria Math"/>
          </w:rPr>
          <m:t>*</m:t>
        </m:r>
        <m:sSubSup>
          <m:sSubSupPr>
            <m:ctrlPr>
              <w:rPr>
                <w:rFonts w:ascii="Cambria Math" w:hAnsi="Cambria Math"/>
                <w:i/>
              </w:rPr>
            </m:ctrlPr>
          </m:sSubSupPr>
          <m:e>
            <m:r>
              <w:rPr>
                <w:rFonts w:ascii="Cambria Math" w:hAnsi="Cambria Math"/>
              </w:rPr>
              <m:t>YLL</m:t>
            </m:r>
          </m:e>
          <m:sub>
            <m:r>
              <w:rPr>
                <w:rFonts w:ascii="Cambria Math" w:hAnsi="Cambria Math"/>
              </w:rPr>
              <m:t>i</m:t>
            </m:r>
          </m:sub>
          <m:sup>
            <m:r>
              <w:rPr>
                <w:rFonts w:ascii="Cambria Math" w:hAnsi="Cambria Math"/>
              </w:rPr>
              <m:t>all ages</m:t>
            </m:r>
          </m:sup>
        </m:sSubSup>
      </m:oMath>
    </w:p>
    <w:p w14:paraId="609EE899" w14:textId="4F119B05" w:rsidR="00CA77BD" w:rsidRDefault="00CA77BD" w:rsidP="00CA77BD">
      <w:pPr>
        <w:rPr>
          <w:rFonts w:eastAsiaTheme="minorEastAsia"/>
        </w:rPr>
      </w:pPr>
      <w:r>
        <w:rPr>
          <w:rFonts w:eastAsiaTheme="minorEastAsia"/>
        </w:rPr>
        <w:t xml:space="preserve">where population-wide YLL, </w:t>
      </w:r>
      <m:oMath>
        <m:sSubSup>
          <m:sSubSupPr>
            <m:ctrlPr>
              <w:rPr>
                <w:rFonts w:ascii="Cambria Math" w:eastAsiaTheme="minorEastAsia" w:hAnsi="Cambria Math"/>
                <w:i/>
              </w:rPr>
            </m:ctrlPr>
          </m:sSubSupPr>
          <m:e>
            <m:r>
              <w:rPr>
                <w:rFonts w:ascii="Cambria Math" w:eastAsiaTheme="minorEastAsia" w:hAnsi="Cambria Math"/>
              </w:rPr>
              <m:t>YLL</m:t>
            </m:r>
          </m:e>
          <m:sub>
            <m:r>
              <w:rPr>
                <w:rFonts w:ascii="Cambria Math" w:eastAsiaTheme="minorEastAsia" w:hAnsi="Cambria Math"/>
              </w:rPr>
              <m:t>i</m:t>
            </m:r>
          </m:sub>
          <m:sup>
            <m:r>
              <w:rPr>
                <w:rFonts w:ascii="Cambria Math" w:eastAsiaTheme="minorEastAsia" w:hAnsi="Cambria Math"/>
              </w:rPr>
              <m:t>all ages</m:t>
            </m:r>
          </m:sup>
        </m:sSubSup>
      </m:oMath>
      <w:r>
        <w:rPr>
          <w:rFonts w:eastAsiaTheme="minorEastAsia"/>
        </w:rPr>
        <w:t>, is calculated by</w:t>
      </w:r>
    </w:p>
    <w:p w14:paraId="0E8AEB6E" w14:textId="356294A9" w:rsidR="00CA77BD" w:rsidRDefault="00CA77BD" w:rsidP="00CA77BD">
      <w:pPr>
        <w:rPr>
          <w:rFonts w:eastAsiaTheme="minorEastAsia"/>
          <w:color w:val="000000"/>
          <w:sz w:val="20"/>
          <w:szCs w:val="20"/>
          <w:lang w:eastAsia="en-GB"/>
        </w:rPr>
      </w:pPr>
      <w:r>
        <w:rPr>
          <w:rFonts w:eastAsiaTheme="minorEastAsia"/>
        </w:rPr>
        <w:t>(</w:t>
      </w:r>
      <w:r w:rsidR="0042053F">
        <w:rPr>
          <w:rFonts w:eastAsiaTheme="minorEastAsia"/>
        </w:rPr>
        <w:t>9</w:t>
      </w:r>
      <w:r>
        <w:rPr>
          <w:rFonts w:eastAsiaTheme="minorEastAsia"/>
        </w:rPr>
        <w:t>)</w:t>
      </w:r>
      <w:r>
        <w:rPr>
          <w:rFonts w:eastAsiaTheme="minorEastAsia"/>
        </w:rPr>
        <w:tab/>
        <w:t xml:space="preserve"> </w:t>
      </w:r>
      <m:oMath>
        <m:sSubSup>
          <m:sSubSupPr>
            <m:ctrlPr>
              <w:rPr>
                <w:rFonts w:ascii="Cambria Math" w:hAnsi="Cambria Math" w:cstheme="minorHAnsi"/>
                <w:i/>
                <w:color w:val="000000"/>
              </w:rPr>
            </m:ctrlPr>
          </m:sSubSupPr>
          <m:e>
            <m:r>
              <w:rPr>
                <w:rFonts w:ascii="Cambria Math" w:hAnsi="Cambria Math" w:cstheme="minorHAnsi"/>
                <w:color w:val="000000"/>
              </w:rPr>
              <m:t>YLL</m:t>
            </m:r>
          </m:e>
          <m:sub>
            <m:r>
              <w:rPr>
                <w:rFonts w:ascii="Cambria Math" w:hAnsi="Cambria Math" w:cstheme="minorHAnsi"/>
                <w:color w:val="000000"/>
              </w:rPr>
              <m:t>i</m:t>
            </m:r>
          </m:sub>
          <m:sup>
            <m:r>
              <w:rPr>
                <w:rFonts w:ascii="Cambria Math" w:hAnsi="Cambria Math" w:cstheme="minorHAnsi"/>
                <w:color w:val="000000"/>
              </w:rPr>
              <m:t>all ages</m:t>
            </m:r>
          </m:sup>
        </m:sSubSup>
        <m:r>
          <w:rPr>
            <w:rFonts w:ascii="Cambria Math" w:hAnsi="Cambria Math" w:cstheme="minorHAnsi"/>
            <w:color w:val="000000"/>
          </w:rPr>
          <m:t>=</m:t>
        </m:r>
        <m:nary>
          <m:naryPr>
            <m:chr m:val="∑"/>
            <m:limLoc m:val="subSup"/>
            <m:ctrlPr>
              <w:rPr>
                <w:rFonts w:ascii="Cambria Math" w:eastAsia="Times New Roman" w:hAnsi="Cambria Math" w:cstheme="minorHAnsi"/>
                <w:i/>
                <w:color w:val="000000"/>
                <w:lang w:eastAsia="en-GB"/>
              </w:rPr>
            </m:ctrlPr>
          </m:naryPr>
          <m:sub>
            <m:r>
              <w:rPr>
                <w:rFonts w:ascii="Cambria Math" w:hAnsi="Cambria Math" w:cstheme="minorHAnsi"/>
                <w:color w:val="000000"/>
              </w:rPr>
              <m:t>a=1</m:t>
            </m:r>
          </m:sub>
          <m:sup>
            <m:r>
              <w:rPr>
                <w:rFonts w:ascii="Cambria Math" w:hAnsi="Cambria Math" w:cstheme="minorHAnsi"/>
                <w:color w:val="000000"/>
              </w:rPr>
              <m:t>17</m:t>
            </m:r>
          </m:sup>
          <m:e>
            <m:sSubSup>
              <m:sSubSupPr>
                <m:ctrlPr>
                  <w:rPr>
                    <w:rFonts w:ascii="Cambria Math" w:hAnsi="Cambria Math" w:cstheme="minorHAnsi"/>
                    <w:i/>
                    <w:color w:val="000000"/>
                  </w:rPr>
                </m:ctrlPr>
              </m:sSubSupPr>
              <m:e>
                <m:r>
                  <w:rPr>
                    <w:rFonts w:ascii="Cambria Math" w:hAnsi="Cambria Math" w:cstheme="minorHAnsi"/>
                    <w:color w:val="000000"/>
                  </w:rPr>
                  <m:t>CLE</m:t>
                </m:r>
              </m:e>
              <m:sub>
                <m:r>
                  <w:rPr>
                    <w:rFonts w:ascii="Cambria Math" w:hAnsi="Cambria Math" w:cstheme="minorHAnsi"/>
                    <w:color w:val="000000"/>
                  </w:rPr>
                  <m:t>i</m:t>
                </m:r>
              </m:sub>
              <m:sup>
                <m:r>
                  <w:rPr>
                    <w:rFonts w:ascii="Cambria Math" w:hAnsi="Cambria Math" w:cstheme="minorHAnsi"/>
                    <w:color w:val="000000"/>
                  </w:rPr>
                  <m:t>a</m:t>
                </m:r>
              </m:sup>
            </m:sSubSup>
            <m:r>
              <w:rPr>
                <w:rFonts w:ascii="Cambria Math" w:hAnsi="Cambria Math" w:cstheme="minorHAnsi"/>
                <w:color w:val="000000"/>
              </w:rPr>
              <m:t>*</m:t>
            </m:r>
            <m:sSubSup>
              <m:sSubSupPr>
                <m:ctrlPr>
                  <w:rPr>
                    <w:rFonts w:ascii="Cambria Math" w:hAnsi="Cambria Math" w:cstheme="minorHAnsi"/>
                    <w:i/>
                    <w:color w:val="000000"/>
                  </w:rPr>
                </m:ctrlPr>
              </m:sSubSupPr>
              <m:e>
                <m:r>
                  <w:rPr>
                    <w:rFonts w:ascii="Cambria Math" w:hAnsi="Cambria Math" w:cstheme="minorHAnsi"/>
                    <w:color w:val="000000"/>
                  </w:rPr>
                  <m:t>absolute deaths</m:t>
                </m:r>
              </m:e>
              <m:sub>
                <m:r>
                  <w:rPr>
                    <w:rFonts w:ascii="Cambria Math" w:hAnsi="Cambria Math" w:cstheme="minorHAnsi"/>
                    <w:color w:val="000000"/>
                  </w:rPr>
                  <m:t>i</m:t>
                </m:r>
              </m:sub>
              <m:sup>
                <m:r>
                  <w:rPr>
                    <w:rFonts w:ascii="Cambria Math" w:hAnsi="Cambria Math" w:cstheme="minorHAnsi"/>
                    <w:color w:val="000000"/>
                  </w:rPr>
                  <m:t>a</m:t>
                </m:r>
              </m:sup>
            </m:sSubSup>
          </m:e>
        </m:nary>
      </m:oMath>
    </w:p>
    <w:p w14:paraId="0E5FB276" w14:textId="574184F8" w:rsidR="00CA77BD" w:rsidRDefault="00CA77BD" w:rsidP="00CA77BD">
      <w:r>
        <w:t>The direct and indirect effects of expenditure on morbidity are then accounted for in the same way as for DALY 1, and DALYs averted are calculated using equation 5.</w:t>
      </w:r>
    </w:p>
    <w:p w14:paraId="4C42D5D2" w14:textId="55C1DCDF" w:rsidR="00CA77BD" w:rsidRPr="003E457B" w:rsidRDefault="00CA77BD" w:rsidP="00CA77BD">
      <w:pPr>
        <w:rPr>
          <w:b/>
        </w:rPr>
      </w:pPr>
      <w:r>
        <w:rPr>
          <w:b/>
        </w:rPr>
        <w:t>DALY 3</w:t>
      </w:r>
    </w:p>
    <w:p w14:paraId="079707F9" w14:textId="049482CC" w:rsidR="00CA77BD" w:rsidRDefault="00D46091" w:rsidP="00CA77BD">
      <w:r>
        <w:t>DALY 3 uses YLL and YLD elasticities to obtain a cost per DALY averted.</w:t>
      </w:r>
      <w:r w:rsidR="00B346B2">
        <w:t xml:space="preserve">  YLD averted are calculated as</w:t>
      </w:r>
    </w:p>
    <w:p w14:paraId="6019536C" w14:textId="4491037A" w:rsidR="00B346B2" w:rsidRDefault="00B346B2" w:rsidP="00B346B2">
      <w:r>
        <w:t xml:space="preserve"> (</w:t>
      </w:r>
      <w:r w:rsidR="0042053F">
        <w:t>10</w:t>
      </w:r>
      <w:r>
        <w:t>)</w:t>
      </w:r>
      <w:r>
        <w:tab/>
      </w:r>
      <m:oMath>
        <m:r>
          <w:rPr>
            <w:rFonts w:ascii="Cambria Math" w:hAnsi="Cambria Math"/>
          </w:rPr>
          <m:t>YLD averted= 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YLD</m:t>
                </m:r>
              </m:sup>
            </m:sSubSup>
          </m:e>
        </m:d>
        <m:r>
          <w:rPr>
            <w:rFonts w:ascii="Cambria Math" w:hAnsi="Cambria Math"/>
          </w:rPr>
          <m:t>*</m:t>
        </m:r>
        <m:sSubSup>
          <m:sSubSupPr>
            <m:ctrlPr>
              <w:rPr>
                <w:rFonts w:ascii="Cambria Math" w:hAnsi="Cambria Math"/>
                <w:i/>
              </w:rPr>
            </m:ctrlPr>
          </m:sSubSupPr>
          <m:e>
            <m:r>
              <w:rPr>
                <w:rFonts w:ascii="Cambria Math" w:hAnsi="Cambria Math"/>
              </w:rPr>
              <m:t>YLD</m:t>
            </m:r>
          </m:e>
          <m:sub>
            <m:r>
              <w:rPr>
                <w:rFonts w:ascii="Cambria Math" w:hAnsi="Cambria Math"/>
              </w:rPr>
              <m:t>i</m:t>
            </m:r>
          </m:sub>
          <m:sup>
            <m:r>
              <w:rPr>
                <w:rFonts w:ascii="Cambria Math" w:hAnsi="Cambria Math"/>
              </w:rPr>
              <m:t>all ages</m:t>
            </m:r>
          </m:sup>
        </m:sSubSup>
      </m:oMath>
    </w:p>
    <w:p w14:paraId="671A8164" w14:textId="13C77A91" w:rsidR="00D46091" w:rsidRDefault="00B346B2" w:rsidP="00CA77BD">
      <w:r>
        <w:t xml:space="preserve">The calculated YLD averted (equation </w:t>
      </w:r>
      <w:r w:rsidR="00273B24">
        <w:t>10</w:t>
      </w:r>
      <w:r>
        <w:t xml:space="preserve">) are added to the calculated YLL averted (equation </w:t>
      </w:r>
      <w:r w:rsidR="00273B24">
        <w:t>8</w:t>
      </w:r>
      <w:r>
        <w:t>) to obtain DALYs averted.</w:t>
      </w:r>
    </w:p>
    <w:p w14:paraId="3A70789C" w14:textId="7FAB13A3" w:rsidR="00D46091" w:rsidRPr="003E457B" w:rsidRDefault="00D46091" w:rsidP="00D46091">
      <w:pPr>
        <w:rPr>
          <w:b/>
        </w:rPr>
      </w:pPr>
      <w:r>
        <w:rPr>
          <w:b/>
        </w:rPr>
        <w:t>DALY 4</w:t>
      </w:r>
    </w:p>
    <w:p w14:paraId="07CFC9BF" w14:textId="796FE9AE" w:rsidR="00D46091" w:rsidRPr="00CA77BD" w:rsidRDefault="00D46091" w:rsidP="00D46091">
      <w:r>
        <w:t>DALY 4 uses DALY elasticities to</w:t>
      </w:r>
      <w:r w:rsidR="00B346B2">
        <w:t xml:space="preserve"> obtain a cost per DALY averted, which is calculated by</w:t>
      </w:r>
    </w:p>
    <w:p w14:paraId="4B60058E" w14:textId="36134EA0" w:rsidR="00B346B2" w:rsidRDefault="00B346B2" w:rsidP="00B346B2">
      <w:r>
        <w:t>(</w:t>
      </w:r>
      <w:r w:rsidR="00C50B86">
        <w:t>1</w:t>
      </w:r>
      <w:r w:rsidR="0042053F">
        <w:t>1</w:t>
      </w:r>
      <w:r>
        <w:t xml:space="preserve">) </w:t>
      </w:r>
      <w:r>
        <w:tab/>
      </w:r>
      <m:oMath>
        <m:r>
          <w:rPr>
            <w:rFonts w:ascii="Cambria Math" w:hAnsi="Cambria Math"/>
          </w:rPr>
          <m:t>DALY averted= 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DALY</m:t>
                </m:r>
              </m:sup>
            </m:sSubSup>
          </m:e>
        </m:d>
        <m:r>
          <w:rPr>
            <w:rFonts w:ascii="Cambria Math" w:hAnsi="Cambria Math"/>
          </w:rPr>
          <m:t>*</m:t>
        </m:r>
        <m:sSubSup>
          <m:sSubSupPr>
            <m:ctrlPr>
              <w:rPr>
                <w:rFonts w:ascii="Cambria Math" w:hAnsi="Cambria Math"/>
                <w:i/>
              </w:rPr>
            </m:ctrlPr>
          </m:sSubSupPr>
          <m:e>
            <m:r>
              <w:rPr>
                <w:rFonts w:ascii="Cambria Math" w:hAnsi="Cambria Math"/>
              </w:rPr>
              <m:t>DALY</m:t>
            </m:r>
          </m:e>
          <m:sub>
            <m:r>
              <w:rPr>
                <w:rFonts w:ascii="Cambria Math" w:hAnsi="Cambria Math"/>
              </w:rPr>
              <m:t>i</m:t>
            </m:r>
          </m:sub>
          <m:sup>
            <m:r>
              <w:rPr>
                <w:rFonts w:ascii="Cambria Math" w:hAnsi="Cambria Math"/>
              </w:rPr>
              <m:t>all ages</m:t>
            </m:r>
          </m:sup>
        </m:sSubSup>
      </m:oMath>
    </w:p>
    <w:p w14:paraId="63940932" w14:textId="201CFC8D" w:rsidR="00273B24" w:rsidRDefault="00B346B2" w:rsidP="00B346B2">
      <w:r>
        <w:t xml:space="preserve">The results are </w:t>
      </w:r>
      <w:r w:rsidR="00B8168E">
        <w:t xml:space="preserve">given as </w:t>
      </w:r>
      <w:r>
        <w:t>cost per DALY</w:t>
      </w:r>
      <w:r w:rsidR="00B8168E">
        <w:t xml:space="preserve"> averted</w:t>
      </w:r>
      <w:r>
        <w:t xml:space="preserve"> in 2015 $US prices.</w:t>
      </w:r>
      <w:r w:rsidR="00785759">
        <w:t xml:space="preserve">  In order to be able to compare the results of this analysis against </w:t>
      </w:r>
      <w:r w:rsidR="0019172B">
        <w:t>the results of Woods el al,</w:t>
      </w:r>
      <w:r w:rsidR="00785759">
        <w:t xml:space="preserve"> </w:t>
      </w:r>
      <w:r w:rsidR="00273B24">
        <w:t xml:space="preserve">which are reported in 2013 US$, </w:t>
      </w:r>
      <w:r w:rsidR="0019172B">
        <w:t>w</w:t>
      </w:r>
      <w:r w:rsidR="00785759">
        <w:t xml:space="preserve">e </w:t>
      </w:r>
      <w:r w:rsidR="00030862">
        <w:t xml:space="preserve">scale up </w:t>
      </w:r>
      <w:r w:rsidR="0019172B">
        <w:t xml:space="preserve">their results </w:t>
      </w:r>
      <w:r w:rsidR="00273B24">
        <w:t>using the growth in GDP between 2013 and 2015, which is</w:t>
      </w:r>
    </w:p>
    <w:p w14:paraId="4CF3DD0C" w14:textId="6F70D17A" w:rsidR="00273B24" w:rsidRDefault="00273B24" w:rsidP="00B346B2">
      <w:pPr>
        <w:rPr>
          <w:rFonts w:eastAsiaTheme="minorEastAsia"/>
        </w:rPr>
      </w:pPr>
      <w:r>
        <w:t>(12)</w:t>
      </w:r>
      <w:r>
        <w:tab/>
      </w:r>
      <m:oMath>
        <m:sSub>
          <m:sSubPr>
            <m:ctrlPr>
              <w:rPr>
                <w:rFonts w:ascii="Cambria Math" w:hAnsi="Cambria Math"/>
                <w:i/>
              </w:rPr>
            </m:ctrlPr>
          </m:sSubPr>
          <m:e>
            <m:r>
              <w:rPr>
                <w:rFonts w:ascii="Cambria Math" w:hAnsi="Cambria Math"/>
              </w:rPr>
              <m:t>GDP growth rate</m:t>
            </m:r>
          </m:e>
          <m:sub>
            <m:r>
              <w:rPr>
                <w:rFonts w:ascii="Cambria Math" w:hAnsi="Cambria Math"/>
              </w:rPr>
              <m:t>i</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GDP</m:t>
                </m:r>
              </m:e>
              <m:sub>
                <m:r>
                  <w:rPr>
                    <w:rFonts w:ascii="Cambria Math" w:hAnsi="Cambria Math"/>
                  </w:rPr>
                  <m:t>i</m:t>
                </m:r>
              </m:sub>
              <m:sup>
                <m:r>
                  <w:rPr>
                    <w:rFonts w:ascii="Cambria Math" w:hAnsi="Cambria Math"/>
                  </w:rPr>
                  <m:t>2015</m:t>
                </m:r>
              </m:sup>
            </m:sSubSup>
          </m:num>
          <m:den>
            <m:sSubSup>
              <m:sSubSupPr>
                <m:ctrlPr>
                  <w:rPr>
                    <w:rFonts w:ascii="Cambria Math" w:hAnsi="Cambria Math"/>
                    <w:i/>
                  </w:rPr>
                </m:ctrlPr>
              </m:sSubSupPr>
              <m:e>
                <m:r>
                  <w:rPr>
                    <w:rFonts w:ascii="Cambria Math" w:hAnsi="Cambria Math"/>
                  </w:rPr>
                  <m:t>GDP</m:t>
                </m:r>
              </m:e>
              <m:sub>
                <m:r>
                  <w:rPr>
                    <w:rFonts w:ascii="Cambria Math" w:hAnsi="Cambria Math"/>
                  </w:rPr>
                  <m:t>i</m:t>
                </m:r>
              </m:sub>
              <m:sup>
                <m:r>
                  <w:rPr>
                    <w:rFonts w:ascii="Cambria Math" w:hAnsi="Cambria Math"/>
                  </w:rPr>
                  <m:t>2013</m:t>
                </m:r>
              </m:sup>
            </m:sSubSup>
          </m:den>
        </m:f>
      </m:oMath>
    </w:p>
    <w:p w14:paraId="6567BE3C" w14:textId="7B5AA8AA" w:rsidR="00B346B2" w:rsidRDefault="00273B24" w:rsidP="00B346B2">
      <w:r>
        <w:t xml:space="preserve">This is then applied </w:t>
      </w:r>
      <w:r w:rsidR="00142158">
        <w:t xml:space="preserve">to the minimum and maximum estimates </w:t>
      </w:r>
      <w:r>
        <w:t xml:space="preserve">from Woods et al </w:t>
      </w:r>
      <w:r w:rsidR="00142158">
        <w:t>to obtain minimum and maximum estimates in 2015 US$</w:t>
      </w:r>
      <w:r w:rsidR="0019172B">
        <w:fldChar w:fldCharType="begin" w:fldLock="1"/>
      </w:r>
      <w:r w:rsidR="0019172B">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19172B">
        <w:fldChar w:fldCharType="separate"/>
      </w:r>
      <w:r w:rsidR="0019172B" w:rsidRPr="0019172B">
        <w:rPr>
          <w:noProof/>
          <w:vertAlign w:val="superscript"/>
        </w:rPr>
        <w:t>15</w:t>
      </w:r>
      <w:r w:rsidR="0019172B">
        <w:fldChar w:fldCharType="end"/>
      </w:r>
      <w:r w:rsidR="00030862">
        <w:t>.  The minimum estimate is calculated as</w:t>
      </w:r>
    </w:p>
    <w:p w14:paraId="11B55A5B" w14:textId="45DF5283" w:rsidR="0019172B" w:rsidRDefault="00273B24" w:rsidP="00B346B2">
      <w:pPr>
        <w:rPr>
          <w:rFonts w:eastAsiaTheme="minorEastAsia"/>
        </w:rPr>
      </w:pPr>
      <w:r>
        <w:t>(13)</w:t>
      </w:r>
      <w:r>
        <w:tab/>
      </w:r>
      <m:oMath>
        <m:sSubSup>
          <m:sSubSupPr>
            <m:ctrlPr>
              <w:rPr>
                <w:rFonts w:ascii="Cambria Math" w:hAnsi="Cambria Math"/>
                <w:i/>
              </w:rPr>
            </m:ctrlPr>
          </m:sSubSupPr>
          <m:e>
            <m:r>
              <w:rPr>
                <w:rFonts w:ascii="Cambria Math" w:hAnsi="Cambria Math"/>
              </w:rPr>
              <m:t>minimum estimate</m:t>
            </m:r>
          </m:e>
          <m:sub>
            <m:r>
              <w:rPr>
                <w:rFonts w:ascii="Cambria Math" w:hAnsi="Cambria Math"/>
              </w:rPr>
              <m:t>i</m:t>
            </m:r>
          </m:sub>
          <m:sup>
            <m:r>
              <w:rPr>
                <w:rFonts w:ascii="Cambria Math" w:hAnsi="Cambria Math"/>
              </w:rPr>
              <m:t>2015</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minimum estimate</m:t>
            </m:r>
          </m:e>
          <m:sub>
            <m:r>
              <w:rPr>
                <w:rFonts w:ascii="Cambria Math" w:eastAsiaTheme="minorEastAsia" w:hAnsi="Cambria Math"/>
              </w:rPr>
              <m:t>i</m:t>
            </m:r>
          </m:sub>
          <m:sup>
            <m:r>
              <w:rPr>
                <w:rFonts w:ascii="Cambria Math" w:eastAsiaTheme="minorEastAsia" w:hAnsi="Cambria Math"/>
              </w:rPr>
              <m:t>2013</m:t>
            </m:r>
          </m:sup>
        </m:sSubSup>
        <m:r>
          <w:rPr>
            <w:rFonts w:ascii="Cambria Math" w:eastAsiaTheme="minorEastAsia" w:hAnsi="Cambria Math"/>
          </w:rPr>
          <m:t>*1+</m:t>
        </m:r>
        <m:sSubSup>
          <m:sSubSupPr>
            <m:ctrlPr>
              <w:rPr>
                <w:rFonts w:ascii="Cambria Math" w:eastAsiaTheme="minorEastAsia" w:hAnsi="Cambria Math"/>
                <w:i/>
              </w:rPr>
            </m:ctrlPr>
          </m:sSubSupPr>
          <m:e>
            <m:r>
              <w:rPr>
                <w:rFonts w:ascii="Cambria Math" w:eastAsiaTheme="minorEastAsia" w:hAnsi="Cambria Math"/>
              </w:rPr>
              <m:t>GDP growth rate</m:t>
            </m:r>
          </m:e>
          <m:sub>
            <m:r>
              <w:rPr>
                <w:rFonts w:ascii="Cambria Math" w:eastAsiaTheme="minorEastAsia" w:hAnsi="Cambria Math"/>
              </w:rPr>
              <m:t>i</m:t>
            </m:r>
          </m:sub>
          <m:sup/>
        </m:sSubSup>
      </m:oMath>
    </w:p>
    <w:p w14:paraId="236D4D26" w14:textId="535A340E" w:rsidR="00030862" w:rsidRDefault="00030862" w:rsidP="00B346B2">
      <w:r>
        <w:rPr>
          <w:rFonts w:eastAsiaTheme="minorEastAsia"/>
        </w:rPr>
        <w:t>The same calculation in 13 is done to scale the maximum estimate to 2015 US$.</w:t>
      </w:r>
    </w:p>
    <w:p w14:paraId="560F1AD0" w14:textId="22E7D392" w:rsidR="00C8771F" w:rsidRDefault="00C8771F" w:rsidP="00C8771F">
      <w:pPr>
        <w:pStyle w:val="Heading2"/>
      </w:pPr>
      <w:r>
        <w:t>Results</w:t>
      </w:r>
    </w:p>
    <w:p w14:paraId="658A8563" w14:textId="1A25DF84" w:rsidR="00395B46" w:rsidRDefault="00395B46" w:rsidP="00395B46">
      <w:r>
        <w:t xml:space="preserve">Table </w:t>
      </w:r>
      <w:r w:rsidR="009E6332">
        <w:t>2</w:t>
      </w:r>
      <w:r>
        <w:t xml:space="preserve"> presents </w:t>
      </w:r>
      <w:r w:rsidR="009C0D75">
        <w:t>the estimates of</w:t>
      </w:r>
      <w:r w:rsidR="00992B5B">
        <w:t xml:space="preserve"> </w:t>
      </w:r>
      <w:r w:rsidR="00BF1F1E">
        <w:t>cost per DALY</w:t>
      </w:r>
      <w:r w:rsidR="00CB7FEC">
        <w:t xml:space="preserve"> </w:t>
      </w:r>
      <w:r w:rsidR="00BF1F1E">
        <w:t>averted</w:t>
      </w:r>
      <w:r>
        <w:t xml:space="preserve"> </w:t>
      </w:r>
      <w:r w:rsidR="009C0D75">
        <w:t xml:space="preserve">for each </w:t>
      </w:r>
      <w:r w:rsidR="00B35314">
        <w:t>country based on the e</w:t>
      </w:r>
      <w:r w:rsidR="00B35314" w:rsidRPr="00B35314">
        <w:t>lasticities estimated in this paper (</w:t>
      </w:r>
      <w:r w:rsidR="005479AF">
        <w:t xml:space="preserve">using </w:t>
      </w:r>
      <w:r w:rsidR="00B35314" w:rsidRPr="00B35314">
        <w:t>DALYs 1, 2, 3 and 4)</w:t>
      </w:r>
      <w:r w:rsidR="00B35314">
        <w:t xml:space="preserve">, the </w:t>
      </w:r>
      <w:r w:rsidR="00B35314">
        <w:rPr>
          <w:rFonts w:ascii="Calibri" w:hAnsi="Calibri" w:cs="Calibri"/>
        </w:rPr>
        <w:t xml:space="preserve">elasticity </w:t>
      </w:r>
      <w:r w:rsidR="00B35314">
        <w:t>-1.0278</w:t>
      </w:r>
      <w:r w:rsidR="0019172B">
        <w:t xml:space="preserve"> from Lomas et al</w:t>
      </w:r>
      <w:r w:rsidR="00B35314">
        <w:rPr>
          <w:rFonts w:ascii="Calibri" w:hAnsi="Calibri" w:cs="Calibri"/>
        </w:rPr>
        <w:fldChar w:fldCharType="begin" w:fldLock="1"/>
      </w:r>
      <w:r w:rsidR="008D0493">
        <w:rPr>
          <w:rFonts w:ascii="Calibri" w:hAnsi="Calibri" w:cs="Calibri"/>
        </w:rPr>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http://www.mendeley.com/documents/?uuid=313039e3-aa2a-4914-98e1-0de8dd0ff93e","http://www.mendeley.com/documents/?uuid=4addd83c-fba1-354b-994a-a1311bea7908"]}],"mendeley":{"formattedCitation":"&lt;sup&gt;13&lt;/sup&gt;","plainTextFormattedCitation":"13","previouslyFormattedCitation":"&lt;sup&gt;13&lt;/sup&gt;"},"properties":{"noteIndex":0},"schema":"https://github.com/citation-style-language/schema/raw/master/csl-citation.json"}</w:instrText>
      </w:r>
      <w:r w:rsidR="00B35314">
        <w:rPr>
          <w:rFonts w:ascii="Calibri" w:hAnsi="Calibri" w:cs="Calibri"/>
        </w:rPr>
        <w:fldChar w:fldCharType="separate"/>
      </w:r>
      <w:r w:rsidR="0086594C" w:rsidRPr="0086594C">
        <w:rPr>
          <w:rFonts w:ascii="Calibri" w:hAnsi="Calibri" w:cs="Calibri"/>
          <w:noProof/>
          <w:vertAlign w:val="superscript"/>
        </w:rPr>
        <w:t>13</w:t>
      </w:r>
      <w:r w:rsidR="00B35314">
        <w:rPr>
          <w:rFonts w:ascii="Calibri" w:hAnsi="Calibri" w:cs="Calibri"/>
        </w:rPr>
        <w:fldChar w:fldCharType="end"/>
      </w:r>
      <w:r w:rsidR="00936CD7">
        <w:rPr>
          <w:rFonts w:ascii="Calibri" w:hAnsi="Calibri" w:cs="Calibri"/>
        </w:rPr>
        <w:t xml:space="preserve"> (</w:t>
      </w:r>
      <w:r w:rsidR="005479AF">
        <w:rPr>
          <w:rFonts w:ascii="Calibri" w:hAnsi="Calibri" w:cs="Calibri"/>
        </w:rPr>
        <w:t xml:space="preserve">using </w:t>
      </w:r>
      <w:r w:rsidR="00936CD7">
        <w:rPr>
          <w:rFonts w:ascii="Calibri" w:hAnsi="Calibri" w:cs="Calibri"/>
        </w:rPr>
        <w:t>DALY 1)</w:t>
      </w:r>
      <w:r w:rsidR="00B35314">
        <w:rPr>
          <w:rFonts w:ascii="Calibri" w:hAnsi="Calibri" w:cs="Calibri"/>
        </w:rPr>
        <w:t xml:space="preserve">, </w:t>
      </w:r>
      <w:r w:rsidR="00B35314">
        <w:t xml:space="preserve">the the </w:t>
      </w:r>
      <w:r w:rsidR="00B35314">
        <w:rPr>
          <w:rFonts w:ascii="Calibri" w:hAnsi="Calibri" w:cs="Calibri"/>
        </w:rPr>
        <w:t xml:space="preserve">elasticity </w:t>
      </w:r>
      <w:r w:rsidR="00B35314" w:rsidRPr="00B35314">
        <w:rPr>
          <w:rFonts w:ascii="Calibri" w:hAnsi="Calibri" w:cs="Calibri"/>
        </w:rPr>
        <w:t>-0.705</w:t>
      </w:r>
      <w:r w:rsidR="00B35314">
        <w:rPr>
          <w:rFonts w:ascii="Calibri" w:hAnsi="Calibri" w:cs="Calibri"/>
        </w:rPr>
        <w:t xml:space="preserve"> from Andrews et al</w:t>
      </w:r>
      <w:r w:rsidR="00B35314">
        <w:rPr>
          <w:rFonts w:ascii="Calibri" w:hAnsi="Calibri" w:cs="Calibri"/>
        </w:rPr>
        <w:fldChar w:fldCharType="begin" w:fldLock="1"/>
      </w:r>
      <w:r w:rsidR="008D0493">
        <w:rPr>
          <w:rFonts w:ascii="Calibri" w:hAnsi="Calibri" w:cs="Calibri"/>
        </w:rPr>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B35314">
        <w:rPr>
          <w:rFonts w:ascii="Calibri" w:hAnsi="Calibri" w:cs="Calibri"/>
        </w:rPr>
        <w:fldChar w:fldCharType="separate"/>
      </w:r>
      <w:r w:rsidR="0086594C" w:rsidRPr="0086594C">
        <w:rPr>
          <w:rFonts w:ascii="Calibri" w:hAnsi="Calibri" w:cs="Calibri"/>
          <w:noProof/>
          <w:vertAlign w:val="superscript"/>
        </w:rPr>
        <w:t>18</w:t>
      </w:r>
      <w:r w:rsidR="00B35314">
        <w:rPr>
          <w:rFonts w:ascii="Calibri" w:hAnsi="Calibri" w:cs="Calibri"/>
        </w:rPr>
        <w:fldChar w:fldCharType="end"/>
      </w:r>
      <w:r w:rsidR="00B35314">
        <w:rPr>
          <w:rFonts w:ascii="Calibri" w:hAnsi="Calibri" w:cs="Calibri"/>
        </w:rPr>
        <w:t xml:space="preserve"> </w:t>
      </w:r>
      <w:r w:rsidR="00936CD7">
        <w:rPr>
          <w:rFonts w:ascii="Calibri" w:hAnsi="Calibri" w:cs="Calibri"/>
        </w:rPr>
        <w:t>(</w:t>
      </w:r>
      <w:r w:rsidR="005479AF">
        <w:rPr>
          <w:rFonts w:ascii="Calibri" w:hAnsi="Calibri" w:cs="Calibri"/>
        </w:rPr>
        <w:t xml:space="preserve">using </w:t>
      </w:r>
      <w:r w:rsidR="00936CD7">
        <w:rPr>
          <w:rFonts w:ascii="Calibri" w:hAnsi="Calibri" w:cs="Calibri"/>
        </w:rPr>
        <w:t xml:space="preserve">DALY 1) </w:t>
      </w:r>
      <w:r w:rsidR="00B35314">
        <w:rPr>
          <w:rFonts w:ascii="Calibri" w:hAnsi="Calibri" w:cs="Calibri"/>
        </w:rPr>
        <w:t>and the range of cost per QALY estimates from Woods et al</w:t>
      </w:r>
      <w:r w:rsidR="0019172B">
        <w:rPr>
          <w:rFonts w:ascii="Calibri" w:hAnsi="Calibri" w:cs="Calibri"/>
        </w:rPr>
        <w:fldChar w:fldCharType="begin" w:fldLock="1"/>
      </w:r>
      <w:r w:rsidR="006E7B7E">
        <w:rPr>
          <w:rFonts w:ascii="Calibri" w:hAnsi="Calibri" w:cs="Calibri"/>
        </w:rPr>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19172B">
        <w:rPr>
          <w:rFonts w:ascii="Calibri" w:hAnsi="Calibri" w:cs="Calibri"/>
        </w:rPr>
        <w:fldChar w:fldCharType="separate"/>
      </w:r>
      <w:r w:rsidR="0019172B" w:rsidRPr="0019172B">
        <w:rPr>
          <w:rFonts w:ascii="Calibri" w:hAnsi="Calibri" w:cs="Calibri"/>
          <w:noProof/>
          <w:vertAlign w:val="superscript"/>
        </w:rPr>
        <w:t>15</w:t>
      </w:r>
      <w:r w:rsidR="0019172B">
        <w:rPr>
          <w:rFonts w:ascii="Calibri" w:hAnsi="Calibri" w:cs="Calibri"/>
        </w:rPr>
        <w:fldChar w:fldCharType="end"/>
      </w:r>
      <w:r w:rsidR="00B35314">
        <w:rPr>
          <w:rFonts w:ascii="Calibri" w:hAnsi="Calibri" w:cs="Calibri"/>
        </w:rPr>
        <w:t xml:space="preserve"> in 2015 US$ </w:t>
      </w:r>
      <w:r w:rsidR="009C0D75">
        <w:t>along with</w:t>
      </w:r>
      <w:r>
        <w:t xml:space="preserve"> </w:t>
      </w:r>
      <w:r w:rsidR="005479AF">
        <w:t>the</w:t>
      </w:r>
      <w:r>
        <w:t xml:space="preserve"> percent of GDP per capita.  The r</w:t>
      </w:r>
      <w:r w:rsidR="00263DF0">
        <w:t xml:space="preserve">esulting estimates range from </w:t>
      </w:r>
      <w:r w:rsidR="000C3065">
        <w:t>5</w:t>
      </w:r>
      <w:r>
        <w:t xml:space="preserve">% to </w:t>
      </w:r>
      <w:r w:rsidR="000C3065">
        <w:t>376</w:t>
      </w:r>
      <w:r>
        <w:t>% of GDP per capita (</w:t>
      </w:r>
      <w:r w:rsidR="00723F1B">
        <w:t xml:space="preserve">India and </w:t>
      </w:r>
      <w:r w:rsidR="00F80B0B">
        <w:t>Indonesia</w:t>
      </w:r>
      <w:r>
        <w:t xml:space="preserve"> and </w:t>
      </w:r>
      <w:r w:rsidR="009C0D75">
        <w:t>the Netherlands respectively).</w:t>
      </w:r>
    </w:p>
    <w:p w14:paraId="5008B626" w14:textId="1647CAFA" w:rsidR="009E6332" w:rsidRDefault="009E6332" w:rsidP="00A1773D">
      <w:pPr>
        <w:rPr>
          <w:rFonts w:eastAsiaTheme="minorEastAsia"/>
        </w:rPr>
      </w:pPr>
      <w:r>
        <w:rPr>
          <w:rFonts w:eastAsiaTheme="minorEastAsia"/>
        </w:rPr>
        <w:t>[INSERT TABLE 2]</w:t>
      </w:r>
    </w:p>
    <w:p w14:paraId="542E0FA7" w14:textId="4692A3F5" w:rsidR="005A4BC5" w:rsidRPr="00857B20" w:rsidRDefault="00960FF0" w:rsidP="00A1773D">
      <w:pPr>
        <w:rPr>
          <w:rFonts w:ascii="Calibri" w:eastAsia="Times New Roman" w:hAnsi="Calibri" w:cs="Calibri"/>
          <w:color w:val="000000"/>
          <w:lang w:eastAsia="en-GB"/>
        </w:rPr>
      </w:pPr>
      <w:r>
        <w:rPr>
          <w:rFonts w:ascii="Calibri" w:hAnsi="Calibri" w:cs="Calibri"/>
        </w:rPr>
        <w:t xml:space="preserve">The range of estimates for the UK </w:t>
      </w:r>
      <w:r w:rsidR="001029B5">
        <w:rPr>
          <w:rFonts w:ascii="Calibri" w:hAnsi="Calibri" w:cs="Calibri"/>
        </w:rPr>
        <w:t>from this paper</w:t>
      </w:r>
      <w:r>
        <w:rPr>
          <w:rFonts w:ascii="Calibri" w:hAnsi="Calibri" w:cs="Calibri"/>
        </w:rPr>
        <w:t xml:space="preserve"> are $</w:t>
      </w:r>
      <w:r>
        <w:rPr>
          <w:rFonts w:ascii="Calibri" w:eastAsia="Times New Roman" w:hAnsi="Calibri" w:cs="Calibri"/>
          <w:color w:val="000000"/>
          <w:lang w:eastAsia="en-GB"/>
        </w:rPr>
        <w:t>51,768-$</w:t>
      </w:r>
      <w:r w:rsidRPr="0072269E">
        <w:rPr>
          <w:rFonts w:ascii="Calibri" w:eastAsia="Times New Roman" w:hAnsi="Calibri" w:cs="Calibri"/>
          <w:color w:val="000000"/>
          <w:lang w:eastAsia="en-GB"/>
        </w:rPr>
        <w:t>84,263</w:t>
      </w:r>
      <w:r>
        <w:rPr>
          <w:rFonts w:ascii="Calibri" w:eastAsia="Times New Roman" w:hAnsi="Calibri" w:cs="Calibri"/>
          <w:color w:val="000000"/>
          <w:lang w:eastAsia="en-GB"/>
        </w:rPr>
        <w:t xml:space="preserve"> (approximately 1-2x GDP per capita)</w:t>
      </w:r>
      <w:r w:rsidR="00AC379A">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00AC379A">
        <w:rPr>
          <w:rFonts w:ascii="Calibri" w:hAnsi="Calibri" w:cs="Calibri"/>
        </w:rPr>
        <w:t xml:space="preserve">Using the elasticity </w:t>
      </w:r>
      <w:r w:rsidR="00AC379A">
        <w:t xml:space="preserve">-1.0278 </w:t>
      </w:r>
      <w:r w:rsidR="00AC379A">
        <w:rPr>
          <w:rFonts w:ascii="Calibri" w:hAnsi="Calibri" w:cs="Calibri"/>
        </w:rPr>
        <w:t>from Lomas et al</w:t>
      </w:r>
      <w:r w:rsidR="00AC379A">
        <w:rPr>
          <w:rFonts w:ascii="Calibri" w:hAnsi="Calibri" w:cs="Calibri"/>
        </w:rPr>
        <w:fldChar w:fldCharType="begin" w:fldLock="1"/>
      </w:r>
      <w:r w:rsidR="00AC379A">
        <w:rPr>
          <w:rFonts w:ascii="Calibri" w:hAnsi="Calibri" w:cs="Calibri"/>
        </w:rPr>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http://www.mendeley.com/documents/?uuid=313039e3-aa2a-4914-98e1-0de8dd0ff93e","http://www.mendeley.com/documents/?uuid=4addd83c-fba1-354b-994a-a1311bea7908"]}],"mendeley":{"formattedCitation":"&lt;sup&gt;13&lt;/sup&gt;","plainTextFormattedCitation":"13","previouslyFormattedCitation":"&lt;sup&gt;13&lt;/sup&gt;"},"properties":{"noteIndex":0},"schema":"https://github.com/citation-style-language/schema/raw/master/csl-citation.json"}</w:instrText>
      </w:r>
      <w:r w:rsidR="00AC379A">
        <w:rPr>
          <w:rFonts w:ascii="Calibri" w:hAnsi="Calibri" w:cs="Calibri"/>
        </w:rPr>
        <w:fldChar w:fldCharType="separate"/>
      </w:r>
      <w:r w:rsidR="00AC379A" w:rsidRPr="0086594C">
        <w:rPr>
          <w:rFonts w:ascii="Calibri" w:hAnsi="Calibri" w:cs="Calibri"/>
          <w:noProof/>
          <w:vertAlign w:val="superscript"/>
        </w:rPr>
        <w:t>13</w:t>
      </w:r>
      <w:r w:rsidR="00AC379A">
        <w:rPr>
          <w:rFonts w:ascii="Calibri" w:hAnsi="Calibri" w:cs="Calibri"/>
        </w:rPr>
        <w:fldChar w:fldCharType="end"/>
      </w:r>
      <w:r w:rsidR="00AC379A">
        <w:rPr>
          <w:rFonts w:ascii="Calibri" w:hAnsi="Calibri" w:cs="Calibri"/>
        </w:rPr>
        <w:t xml:space="preserve"> results in an estimate of $13,412 per DALY averted for the UK (31% of GDP per capita).  The elasticity estimate from Andrews et al</w:t>
      </w:r>
      <w:r w:rsidR="00AC379A">
        <w:rPr>
          <w:rFonts w:ascii="Calibri" w:hAnsi="Calibri" w:cs="Calibri"/>
        </w:rPr>
        <w:fldChar w:fldCharType="begin" w:fldLock="1"/>
      </w:r>
      <w:r w:rsidR="00AC379A">
        <w:rPr>
          <w:rFonts w:ascii="Calibri" w:hAnsi="Calibri" w:cs="Calibri"/>
        </w:rPr>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AC379A">
        <w:rPr>
          <w:rFonts w:ascii="Calibri" w:hAnsi="Calibri" w:cs="Calibri"/>
        </w:rPr>
        <w:fldChar w:fldCharType="separate"/>
      </w:r>
      <w:r w:rsidR="00AC379A" w:rsidRPr="0086594C">
        <w:rPr>
          <w:rFonts w:ascii="Calibri" w:hAnsi="Calibri" w:cs="Calibri"/>
          <w:noProof/>
          <w:vertAlign w:val="superscript"/>
        </w:rPr>
        <w:t>18</w:t>
      </w:r>
      <w:r w:rsidR="00AC379A">
        <w:rPr>
          <w:rFonts w:ascii="Calibri" w:hAnsi="Calibri" w:cs="Calibri"/>
        </w:rPr>
        <w:fldChar w:fldCharType="end"/>
      </w:r>
      <w:r w:rsidR="00AC379A">
        <w:rPr>
          <w:rFonts w:ascii="Calibri" w:hAnsi="Calibri" w:cs="Calibri"/>
        </w:rPr>
        <w:t xml:space="preserve"> is smaller in magnitude than that from Lomas et al</w:t>
      </w:r>
      <w:r w:rsidR="00AC379A">
        <w:rPr>
          <w:rFonts w:ascii="Calibri" w:hAnsi="Calibri" w:cs="Calibri"/>
        </w:rPr>
        <w:fldChar w:fldCharType="begin" w:fldLock="1"/>
      </w:r>
      <w:r w:rsidR="00AC379A">
        <w:rPr>
          <w:rFonts w:ascii="Calibri" w:hAnsi="Calibri" w:cs="Calibri"/>
        </w:rPr>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mendeley":{"formattedCitation":"&lt;sup&gt;13&lt;/sup&gt;","plainTextFormattedCitation":"13","previouslyFormattedCitation":"&lt;sup&gt;13&lt;/sup&gt;"},"properties":{"noteIndex":0},"schema":"https://github.com/citation-style-language/schema/raw/master/csl-citation.json"}</w:instrText>
      </w:r>
      <w:r w:rsidR="00AC379A">
        <w:rPr>
          <w:rFonts w:ascii="Calibri" w:hAnsi="Calibri" w:cs="Calibri"/>
        </w:rPr>
        <w:fldChar w:fldCharType="separate"/>
      </w:r>
      <w:r w:rsidR="00AC379A" w:rsidRPr="006E7B7E">
        <w:rPr>
          <w:rFonts w:ascii="Calibri" w:hAnsi="Calibri" w:cs="Calibri"/>
          <w:noProof/>
          <w:vertAlign w:val="superscript"/>
        </w:rPr>
        <w:t>13</w:t>
      </w:r>
      <w:r w:rsidR="00AC379A">
        <w:rPr>
          <w:rFonts w:ascii="Calibri" w:hAnsi="Calibri" w:cs="Calibri"/>
        </w:rPr>
        <w:fldChar w:fldCharType="end"/>
      </w:r>
      <w:r w:rsidR="00AC379A">
        <w:rPr>
          <w:rFonts w:ascii="Calibri" w:hAnsi="Calibri" w:cs="Calibri"/>
        </w:rPr>
        <w:t xml:space="preserve"> and therefore results in a lower estimate of deaths averted by a 1% increase in expenditure and a higher estimate of cost per DALY averted </w:t>
      </w:r>
      <w:r w:rsidR="00C05E22">
        <w:rPr>
          <w:rFonts w:ascii="Calibri" w:hAnsi="Calibri" w:cs="Calibri"/>
        </w:rPr>
        <w:t xml:space="preserve">of </w:t>
      </w:r>
      <w:r w:rsidR="00AC379A">
        <w:rPr>
          <w:rFonts w:ascii="Calibri" w:hAnsi="Calibri" w:cs="Calibri"/>
        </w:rPr>
        <w:t>$19,553 (45% of GDP per capita).  That the estimates based on the Lomas et al</w:t>
      </w:r>
      <w:r w:rsidR="00C05E22">
        <w:rPr>
          <w:rFonts w:ascii="Calibri" w:hAnsi="Calibri" w:cs="Calibri"/>
        </w:rPr>
        <w:fldChar w:fldCharType="begin" w:fldLock="1"/>
      </w:r>
      <w:r w:rsidR="00C05E22">
        <w:rPr>
          <w:rFonts w:ascii="Calibri" w:hAnsi="Calibri" w:cs="Calibri"/>
        </w:rPr>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313039e3-aa2a-4914-98e1-0de8dd0ff93e"]}],"mendeley":{"formattedCitation":"&lt;sup&gt;13&lt;/sup&gt;","plainTextFormattedCitation":"13","previouslyFormattedCitation":"&lt;sup&gt;13&lt;/sup&gt;"},"properties":{"noteIndex":0},"schema":"https://github.com/citation-style-language/schema/raw/master/csl-citation.json"}</w:instrText>
      </w:r>
      <w:r w:rsidR="00C05E22">
        <w:rPr>
          <w:rFonts w:ascii="Calibri" w:hAnsi="Calibri" w:cs="Calibri"/>
        </w:rPr>
        <w:fldChar w:fldCharType="separate"/>
      </w:r>
      <w:r w:rsidR="00C05E22" w:rsidRPr="00C05E22">
        <w:rPr>
          <w:rFonts w:ascii="Calibri" w:hAnsi="Calibri" w:cs="Calibri"/>
          <w:noProof/>
          <w:vertAlign w:val="superscript"/>
        </w:rPr>
        <w:t>13</w:t>
      </w:r>
      <w:r w:rsidR="00C05E22">
        <w:rPr>
          <w:rFonts w:ascii="Calibri" w:hAnsi="Calibri" w:cs="Calibri"/>
        </w:rPr>
        <w:fldChar w:fldCharType="end"/>
      </w:r>
      <w:r w:rsidR="00AC379A">
        <w:rPr>
          <w:rFonts w:ascii="Calibri" w:hAnsi="Calibri" w:cs="Calibri"/>
        </w:rPr>
        <w:t xml:space="preserve"> and Andrews et al</w:t>
      </w:r>
      <w:r w:rsidR="00C05E22">
        <w:rPr>
          <w:rFonts w:ascii="Calibri" w:hAnsi="Calibri" w:cs="Calibri"/>
        </w:rPr>
        <w:fldChar w:fldCharType="begin" w:fldLock="1"/>
      </w:r>
      <w:r w:rsidR="00F434F3">
        <w:rPr>
          <w:rFonts w:ascii="Calibri" w:hAnsi="Calibri" w:cs="Calibri"/>
        </w:rPr>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C05E22">
        <w:rPr>
          <w:rFonts w:ascii="Calibri" w:hAnsi="Calibri" w:cs="Calibri"/>
        </w:rPr>
        <w:fldChar w:fldCharType="separate"/>
      </w:r>
      <w:r w:rsidR="00C05E22" w:rsidRPr="00C05E22">
        <w:rPr>
          <w:rFonts w:ascii="Calibri" w:hAnsi="Calibri" w:cs="Calibri"/>
          <w:noProof/>
          <w:vertAlign w:val="superscript"/>
        </w:rPr>
        <w:t>18</w:t>
      </w:r>
      <w:r w:rsidR="00C05E22">
        <w:rPr>
          <w:rFonts w:ascii="Calibri" w:hAnsi="Calibri" w:cs="Calibri"/>
        </w:rPr>
        <w:fldChar w:fldCharType="end"/>
      </w:r>
      <w:r w:rsidR="00AC379A">
        <w:rPr>
          <w:rFonts w:ascii="Calibri" w:hAnsi="Calibri" w:cs="Calibri"/>
        </w:rPr>
        <w:t xml:space="preserve"> elasticities</w:t>
      </w:r>
      <w:r w:rsidR="00C05E22">
        <w:rPr>
          <w:rFonts w:ascii="Calibri" w:hAnsi="Calibri" w:cs="Calibri"/>
        </w:rPr>
        <w:t xml:space="preserve"> are lower than the range estimated in this paper</w:t>
      </w:r>
      <w:r w:rsidR="00AC379A">
        <w:rPr>
          <w:rFonts w:ascii="Calibri" w:eastAsia="Times New Roman" w:hAnsi="Calibri" w:cs="Calibri"/>
          <w:color w:val="000000"/>
          <w:lang w:eastAsia="en-GB"/>
        </w:rPr>
        <w:t xml:space="preserve"> </w:t>
      </w:r>
      <w:r>
        <w:rPr>
          <w:rFonts w:ascii="Calibri" w:eastAsia="Times New Roman" w:hAnsi="Calibri" w:cs="Calibri"/>
          <w:color w:val="000000"/>
          <w:lang w:eastAsia="en-GB"/>
        </w:rPr>
        <w:t>reflect</w:t>
      </w:r>
      <w:r w:rsidR="00AC379A">
        <w:rPr>
          <w:rFonts w:ascii="Calibri" w:eastAsia="Times New Roman" w:hAnsi="Calibri" w:cs="Calibri"/>
          <w:color w:val="000000"/>
          <w:lang w:eastAsia="en-GB"/>
        </w:rPr>
        <w:t>s</w:t>
      </w:r>
      <w:r>
        <w:rPr>
          <w:rFonts w:ascii="Calibri" w:eastAsia="Times New Roman" w:hAnsi="Calibri" w:cs="Calibri"/>
          <w:color w:val="000000"/>
          <w:lang w:eastAsia="en-GB"/>
        </w:rPr>
        <w:t xml:space="preserve"> the fact that the estimated elasticities of the </w:t>
      </w:r>
      <w:r>
        <w:rPr>
          <w:rFonts w:ascii="Calibri" w:eastAsia="Times New Roman" w:hAnsi="Calibri" w:cs="Calibri"/>
          <w:color w:val="000000"/>
          <w:lang w:eastAsia="en-GB"/>
        </w:rPr>
        <w:lastRenderedPageBreak/>
        <w:t xml:space="preserve">effect of change in expenditure on </w:t>
      </w:r>
      <w:r w:rsidR="007B40A3">
        <w:rPr>
          <w:rFonts w:ascii="Calibri" w:eastAsia="Times New Roman" w:hAnsi="Calibri" w:cs="Calibri"/>
          <w:color w:val="000000"/>
          <w:lang w:eastAsia="en-GB"/>
        </w:rPr>
        <w:t xml:space="preserve">under-5 and adult male and female </w:t>
      </w:r>
      <w:r>
        <w:rPr>
          <w:rFonts w:ascii="Calibri" w:eastAsia="Times New Roman" w:hAnsi="Calibri" w:cs="Calibri"/>
          <w:color w:val="000000"/>
          <w:lang w:eastAsia="en-GB"/>
        </w:rPr>
        <w:t xml:space="preserve">mortality are lower in magnitude </w:t>
      </w:r>
      <w:r w:rsidR="007B40A3">
        <w:rPr>
          <w:rFonts w:ascii="Calibri" w:eastAsia="Times New Roman" w:hAnsi="Calibri" w:cs="Calibri"/>
          <w:color w:val="000000"/>
          <w:lang w:eastAsia="en-GB"/>
        </w:rPr>
        <w:t>than the all-cause mortality elasticities from Lomas et al</w:t>
      </w:r>
      <w:r w:rsidR="00992B5B">
        <w:rPr>
          <w:rFonts w:ascii="Calibri" w:eastAsia="Times New Roman" w:hAnsi="Calibri" w:cs="Calibri"/>
          <w:color w:val="000000"/>
          <w:lang w:eastAsia="en-GB"/>
        </w:rPr>
        <w:fldChar w:fldCharType="begin" w:fldLock="1"/>
      </w:r>
      <w:r w:rsidR="008D0493">
        <w:rPr>
          <w:rFonts w:ascii="Calibri" w:eastAsia="Times New Roman" w:hAnsi="Calibri" w:cs="Calibri"/>
          <w:color w:val="000000"/>
          <w:lang w:eastAsia="en-GB"/>
        </w:rPr>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http://www.mendeley.com/documents/?uuid=313039e3-aa2a-4914-98e1-0de8dd0ff93e","http://www.mendeley.com/documents/?uuid=4addd83c-fba1-354b-994a-a1311bea7908"]}],"mendeley":{"formattedCitation":"&lt;sup&gt;13&lt;/sup&gt;","plainTextFormattedCitation":"13","previouslyFormattedCitation":"&lt;sup&gt;13&lt;/sup&gt;"},"properties":{"noteIndex":0},"schema":"https://github.com/citation-style-language/schema/raw/master/csl-citation.json"}</w:instrText>
      </w:r>
      <w:r w:rsidR="00992B5B">
        <w:rPr>
          <w:rFonts w:ascii="Calibri" w:eastAsia="Times New Roman" w:hAnsi="Calibri" w:cs="Calibri"/>
          <w:color w:val="000000"/>
          <w:lang w:eastAsia="en-GB"/>
        </w:rPr>
        <w:fldChar w:fldCharType="separate"/>
      </w:r>
      <w:r w:rsidR="0086594C" w:rsidRPr="0086594C">
        <w:rPr>
          <w:rFonts w:ascii="Calibri" w:eastAsia="Times New Roman" w:hAnsi="Calibri" w:cs="Calibri"/>
          <w:noProof/>
          <w:color w:val="000000"/>
          <w:vertAlign w:val="superscript"/>
          <w:lang w:eastAsia="en-GB"/>
        </w:rPr>
        <w:t>13</w:t>
      </w:r>
      <w:r w:rsidR="00992B5B">
        <w:rPr>
          <w:rFonts w:ascii="Calibri" w:eastAsia="Times New Roman" w:hAnsi="Calibri" w:cs="Calibri"/>
          <w:color w:val="000000"/>
          <w:lang w:eastAsia="en-GB"/>
        </w:rPr>
        <w:fldChar w:fldCharType="end"/>
      </w:r>
      <w:r w:rsidR="007B40A3">
        <w:rPr>
          <w:rFonts w:ascii="Calibri" w:eastAsia="Times New Roman" w:hAnsi="Calibri" w:cs="Calibri"/>
          <w:color w:val="000000"/>
          <w:lang w:eastAsia="en-GB"/>
        </w:rPr>
        <w:t xml:space="preserve"> and Andrews et al</w:t>
      </w:r>
      <w:r w:rsidR="00992B5B">
        <w:rPr>
          <w:rFonts w:ascii="Calibri" w:eastAsia="Times New Roman" w:hAnsi="Calibri" w:cs="Calibri"/>
          <w:color w:val="000000"/>
          <w:lang w:eastAsia="en-GB"/>
        </w:rPr>
        <w:fldChar w:fldCharType="begin" w:fldLock="1"/>
      </w:r>
      <w:r w:rsidR="008D0493">
        <w:rPr>
          <w:rFonts w:ascii="Calibri" w:eastAsia="Times New Roman" w:hAnsi="Calibri" w:cs="Calibri"/>
          <w:color w:val="000000"/>
          <w:lang w:eastAsia="en-GB"/>
        </w:rPr>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992B5B">
        <w:rPr>
          <w:rFonts w:ascii="Calibri" w:eastAsia="Times New Roman" w:hAnsi="Calibri" w:cs="Calibri"/>
          <w:color w:val="000000"/>
          <w:lang w:eastAsia="en-GB"/>
        </w:rPr>
        <w:fldChar w:fldCharType="separate"/>
      </w:r>
      <w:r w:rsidR="0086594C" w:rsidRPr="0086594C">
        <w:rPr>
          <w:rFonts w:ascii="Calibri" w:eastAsia="Times New Roman" w:hAnsi="Calibri" w:cs="Calibri"/>
          <w:noProof/>
          <w:color w:val="000000"/>
          <w:vertAlign w:val="superscript"/>
          <w:lang w:eastAsia="en-GB"/>
        </w:rPr>
        <w:t>18</w:t>
      </w:r>
      <w:r w:rsidR="00992B5B">
        <w:rPr>
          <w:rFonts w:ascii="Calibri" w:eastAsia="Times New Roman" w:hAnsi="Calibri" w:cs="Calibri"/>
          <w:color w:val="000000"/>
          <w:lang w:eastAsia="en-GB"/>
        </w:rPr>
        <w:fldChar w:fldCharType="end"/>
      </w:r>
      <w:r w:rsidR="006E7B7E">
        <w:rPr>
          <w:rFonts w:ascii="Calibri" w:eastAsia="Times New Roman" w:hAnsi="Calibri" w:cs="Calibri"/>
          <w:color w:val="000000"/>
          <w:lang w:eastAsia="en-GB"/>
        </w:rPr>
        <w:t xml:space="preserve">.  This also reflects </w:t>
      </w:r>
      <w:r w:rsidR="007B40A3">
        <w:rPr>
          <w:rFonts w:ascii="Calibri" w:eastAsia="Times New Roman" w:hAnsi="Calibri" w:cs="Calibri"/>
          <w:color w:val="000000"/>
          <w:lang w:eastAsia="en-GB"/>
        </w:rPr>
        <w:t xml:space="preserve">that elasticities on the other </w:t>
      </w:r>
      <w:r w:rsidR="008116A2">
        <w:rPr>
          <w:rFonts w:ascii="Calibri" w:eastAsia="Times New Roman" w:hAnsi="Calibri" w:cs="Calibri"/>
          <w:color w:val="000000"/>
          <w:lang w:eastAsia="en-GB"/>
        </w:rPr>
        <w:t xml:space="preserve">health </w:t>
      </w:r>
      <w:r w:rsidR="007B40A3">
        <w:rPr>
          <w:rFonts w:ascii="Calibri" w:eastAsia="Times New Roman" w:hAnsi="Calibri" w:cs="Calibri"/>
          <w:color w:val="000000"/>
          <w:lang w:eastAsia="en-GB"/>
        </w:rPr>
        <w:t>outcomes esti</w:t>
      </w:r>
      <w:r w:rsidR="006E7B7E">
        <w:rPr>
          <w:rFonts w:ascii="Calibri" w:eastAsia="Times New Roman" w:hAnsi="Calibri" w:cs="Calibri"/>
          <w:color w:val="000000"/>
          <w:lang w:eastAsia="en-GB"/>
        </w:rPr>
        <w:t xml:space="preserve">mated </w:t>
      </w:r>
      <w:r w:rsidR="008116A2">
        <w:rPr>
          <w:rFonts w:ascii="Calibri" w:eastAsia="Times New Roman" w:hAnsi="Calibri" w:cs="Calibri"/>
          <w:color w:val="000000"/>
          <w:lang w:eastAsia="en-GB"/>
        </w:rPr>
        <w:t xml:space="preserve">(survival, morbidity and DALYs) </w:t>
      </w:r>
      <w:r w:rsidR="007B40A3">
        <w:rPr>
          <w:rFonts w:ascii="Calibri" w:eastAsia="Times New Roman" w:hAnsi="Calibri" w:cs="Calibri"/>
          <w:color w:val="000000"/>
          <w:lang w:eastAsia="en-GB"/>
        </w:rPr>
        <w:t>are also low enough to result in higher cost per DALY averted than are estimated using mortality outcomes by the other studies.</w:t>
      </w:r>
      <w:r w:rsidR="00C05E22">
        <w:rPr>
          <w:rFonts w:ascii="Calibri" w:eastAsia="Times New Roman" w:hAnsi="Calibri" w:cs="Calibri"/>
          <w:color w:val="000000"/>
          <w:lang w:eastAsia="en-GB"/>
        </w:rPr>
        <w:t xml:space="preserve">  The estimate from Claxton et al (which forms the basis of the Woods et al study) is </w:t>
      </w:r>
      <w:r w:rsidR="00C05E22">
        <w:t>$</w:t>
      </w:r>
      <w:r w:rsidR="00C05E22">
        <w:rPr>
          <w:rFonts w:ascii="Calibri" w:hAnsi="Calibri" w:cs="Calibri"/>
        </w:rPr>
        <w:t>21,234 2015 US$ (48% of GDP per capita)</w:t>
      </w:r>
      <w:r w:rsidR="00C05E22">
        <w:rPr>
          <w:rFonts w:ascii="Calibri" w:eastAsia="Times New Roman" w:hAnsi="Calibri" w:cs="Calibri"/>
          <w:color w:val="000000"/>
          <w:lang w:eastAsia="en-GB"/>
        </w:rPr>
        <w:fldChar w:fldCharType="begin" w:fldLock="1"/>
      </w:r>
      <w:r w:rsidR="00C05E22">
        <w:rPr>
          <w:rFonts w:ascii="Calibri" w:eastAsia="Times New Roman" w:hAnsi="Calibri" w:cs="Calibri"/>
          <w:color w:val="000000"/>
          <w:lang w:eastAsia="en-GB"/>
        </w:rPr>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Research","type":"article-journal","volume":"19"},"uris":["http://www.mendeley.com/documents/?uuid=008e1acb-9995-3437-b4fd-cd6bb8e36f96"]},{"id":"ITEM-2","itemData":{"DOI":"10.3310/hta19140","ISSN":"2046-4924","PMID":"25692211","abstract":"BACKGROUND: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 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 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impose n…","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England)","id":"ITEM-2","issue":"14","issued":{"date-parts":[["2015","2"]]},"language":"eng","page":"1-503, v-vi","title":"Methods for the estimation of the National Institute for Health and Care Excellence cost-effectiveness threshold.","type":"article-journal","volume":"19"},"uris":["http://www.mendeley.com/documents/?uuid=53b21a33-4f28-4b00-aecd-0b0ef6659b58"]}],"mendeley":{"formattedCitation":"&lt;sup&gt;15,23&lt;/sup&gt;","plainTextFormattedCitation":"15,23","previouslyFormattedCitation":"&lt;sup&gt;15,23&lt;/sup&gt;"},"properties":{"noteIndex":0},"schema":"https://github.com/citation-style-language/schema/raw/master/csl-citation.json"}</w:instrText>
      </w:r>
      <w:r w:rsidR="00C05E22">
        <w:rPr>
          <w:rFonts w:ascii="Calibri" w:eastAsia="Times New Roman" w:hAnsi="Calibri" w:cs="Calibri"/>
          <w:color w:val="000000"/>
          <w:lang w:eastAsia="en-GB"/>
        </w:rPr>
        <w:fldChar w:fldCharType="separate"/>
      </w:r>
      <w:r w:rsidR="00C05E22" w:rsidRPr="00AC379A">
        <w:rPr>
          <w:rFonts w:ascii="Calibri" w:eastAsia="Times New Roman" w:hAnsi="Calibri" w:cs="Calibri"/>
          <w:noProof/>
          <w:color w:val="000000"/>
          <w:vertAlign w:val="superscript"/>
          <w:lang w:eastAsia="en-GB"/>
        </w:rPr>
        <w:t>15,23</w:t>
      </w:r>
      <w:r w:rsidR="00C05E22">
        <w:rPr>
          <w:rFonts w:ascii="Calibri" w:eastAsia="Times New Roman" w:hAnsi="Calibri" w:cs="Calibri"/>
          <w:color w:val="000000"/>
          <w:lang w:eastAsia="en-GB"/>
        </w:rPr>
        <w:fldChar w:fldCharType="end"/>
      </w:r>
      <w:r w:rsidR="00C05E22">
        <w:rPr>
          <w:rFonts w:ascii="Calibri" w:eastAsia="Times New Roman" w:hAnsi="Calibri" w:cs="Calibri"/>
          <w:color w:val="000000"/>
          <w:lang w:eastAsia="en-GB"/>
        </w:rPr>
        <w:t xml:space="preserve"> </w:t>
      </w:r>
      <w:r w:rsidR="00C05E22">
        <w:rPr>
          <w:rFonts w:ascii="Calibri" w:hAnsi="Calibri" w:cs="Calibri"/>
        </w:rPr>
        <w:t xml:space="preserve">. This is lower than the range estimated in this paper, but higher than the estimates based on the </w:t>
      </w:r>
      <w:r w:rsidR="00C05E22">
        <w:rPr>
          <w:rFonts w:ascii="Calibri" w:eastAsia="Times New Roman" w:hAnsi="Calibri" w:cs="Calibri"/>
          <w:color w:val="000000"/>
          <w:lang w:eastAsia="en-GB"/>
        </w:rPr>
        <w:t>Lomas et al</w:t>
      </w:r>
      <w:r w:rsidR="00C05E22">
        <w:rPr>
          <w:rFonts w:ascii="Calibri" w:eastAsia="Times New Roman" w:hAnsi="Calibri" w:cs="Calibri"/>
          <w:color w:val="000000"/>
          <w:lang w:eastAsia="en-GB"/>
        </w:rPr>
        <w:fldChar w:fldCharType="begin" w:fldLock="1"/>
      </w:r>
      <w:r w:rsidR="00C05E22">
        <w:rPr>
          <w:rFonts w:ascii="Calibri" w:eastAsia="Times New Roman" w:hAnsi="Calibri" w:cs="Calibri"/>
          <w:color w:val="000000"/>
          <w:lang w:eastAsia="en-GB"/>
        </w:rPr>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http://www.mendeley.com/documents/?uuid=313039e3-aa2a-4914-98e1-0de8dd0ff93e","http://www.mendeley.com/documents/?uuid=4addd83c-fba1-354b-994a-a1311bea7908"]}],"mendeley":{"formattedCitation":"&lt;sup&gt;13&lt;/sup&gt;","plainTextFormattedCitation":"13","previouslyFormattedCitation":"&lt;sup&gt;13&lt;/sup&gt;"},"properties":{"noteIndex":0},"schema":"https://github.com/citation-style-language/schema/raw/master/csl-citation.json"}</w:instrText>
      </w:r>
      <w:r w:rsidR="00C05E22">
        <w:rPr>
          <w:rFonts w:ascii="Calibri" w:eastAsia="Times New Roman" w:hAnsi="Calibri" w:cs="Calibri"/>
          <w:color w:val="000000"/>
          <w:lang w:eastAsia="en-GB"/>
        </w:rPr>
        <w:fldChar w:fldCharType="separate"/>
      </w:r>
      <w:r w:rsidR="00C05E22" w:rsidRPr="0086594C">
        <w:rPr>
          <w:rFonts w:ascii="Calibri" w:eastAsia="Times New Roman" w:hAnsi="Calibri" w:cs="Calibri"/>
          <w:noProof/>
          <w:color w:val="000000"/>
          <w:vertAlign w:val="superscript"/>
          <w:lang w:eastAsia="en-GB"/>
        </w:rPr>
        <w:t>13</w:t>
      </w:r>
      <w:r w:rsidR="00C05E22">
        <w:rPr>
          <w:rFonts w:ascii="Calibri" w:eastAsia="Times New Roman" w:hAnsi="Calibri" w:cs="Calibri"/>
          <w:color w:val="000000"/>
          <w:lang w:eastAsia="en-GB"/>
        </w:rPr>
        <w:fldChar w:fldCharType="end"/>
      </w:r>
      <w:r w:rsidR="00C05E22">
        <w:rPr>
          <w:rFonts w:ascii="Calibri" w:eastAsia="Times New Roman" w:hAnsi="Calibri" w:cs="Calibri"/>
          <w:color w:val="000000"/>
          <w:lang w:eastAsia="en-GB"/>
        </w:rPr>
        <w:t xml:space="preserve"> and Andrews et al</w:t>
      </w:r>
      <w:r w:rsidR="00C05E22">
        <w:rPr>
          <w:rFonts w:ascii="Calibri" w:eastAsia="Times New Roman" w:hAnsi="Calibri" w:cs="Calibri"/>
          <w:color w:val="000000"/>
          <w:lang w:eastAsia="en-GB"/>
        </w:rPr>
        <w:fldChar w:fldCharType="begin" w:fldLock="1"/>
      </w:r>
      <w:r w:rsidR="00C05E22">
        <w:rPr>
          <w:rFonts w:ascii="Calibri" w:eastAsia="Times New Roman" w:hAnsi="Calibri" w:cs="Calibri"/>
          <w:color w:val="000000"/>
          <w:lang w:eastAsia="en-GB"/>
        </w:rPr>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C05E22">
        <w:rPr>
          <w:rFonts w:ascii="Calibri" w:eastAsia="Times New Roman" w:hAnsi="Calibri" w:cs="Calibri"/>
          <w:color w:val="000000"/>
          <w:lang w:eastAsia="en-GB"/>
        </w:rPr>
        <w:fldChar w:fldCharType="separate"/>
      </w:r>
      <w:r w:rsidR="00C05E22" w:rsidRPr="0086594C">
        <w:rPr>
          <w:rFonts w:ascii="Calibri" w:eastAsia="Times New Roman" w:hAnsi="Calibri" w:cs="Calibri"/>
          <w:noProof/>
          <w:color w:val="000000"/>
          <w:vertAlign w:val="superscript"/>
          <w:lang w:eastAsia="en-GB"/>
        </w:rPr>
        <w:t>18</w:t>
      </w:r>
      <w:r w:rsidR="00C05E22">
        <w:rPr>
          <w:rFonts w:ascii="Calibri" w:eastAsia="Times New Roman" w:hAnsi="Calibri" w:cs="Calibri"/>
          <w:color w:val="000000"/>
          <w:lang w:eastAsia="en-GB"/>
        </w:rPr>
        <w:fldChar w:fldCharType="end"/>
      </w:r>
      <w:r w:rsidR="00C05E22">
        <w:rPr>
          <w:rFonts w:ascii="Calibri" w:eastAsia="Times New Roman" w:hAnsi="Calibri" w:cs="Calibri"/>
          <w:color w:val="000000"/>
          <w:lang w:eastAsia="en-GB"/>
        </w:rPr>
        <w:t xml:space="preserve"> elasticities</w:t>
      </w:r>
      <w:r w:rsidR="00C05E22">
        <w:rPr>
          <w:rFonts w:ascii="Calibri" w:hAnsi="Calibri" w:cs="Calibri"/>
        </w:rPr>
        <w:t xml:space="preserve">.  </w:t>
      </w:r>
    </w:p>
    <w:p w14:paraId="3B669267" w14:textId="0F9386B7" w:rsidR="00EE0B71" w:rsidRDefault="00A1773D" w:rsidP="00A1773D">
      <w:r>
        <w:rPr>
          <w:rFonts w:ascii="Calibri" w:eastAsia="Times New Roman" w:hAnsi="Calibri" w:cs="Calibri"/>
          <w:color w:val="000000"/>
          <w:lang w:eastAsia="en-GB"/>
        </w:rPr>
        <w:t xml:space="preserve">The range estimated </w:t>
      </w:r>
      <w:r w:rsidR="000F4D73">
        <w:rPr>
          <w:rFonts w:ascii="Calibri" w:eastAsia="Times New Roman" w:hAnsi="Calibri" w:cs="Calibri"/>
          <w:color w:val="000000"/>
          <w:lang w:eastAsia="en-GB"/>
        </w:rPr>
        <w:t xml:space="preserve">for Canada </w:t>
      </w:r>
      <w:r w:rsidR="001029B5">
        <w:rPr>
          <w:rFonts w:ascii="Calibri" w:eastAsia="Times New Roman" w:hAnsi="Calibri" w:cs="Calibri"/>
          <w:color w:val="000000"/>
          <w:lang w:eastAsia="en-GB"/>
        </w:rPr>
        <w:t>from this paper</w:t>
      </w:r>
      <w:r w:rsidR="000F4D73">
        <w:rPr>
          <w:rFonts w:ascii="Calibri" w:eastAsia="Times New Roman" w:hAnsi="Calibri" w:cs="Calibri"/>
          <w:color w:val="000000"/>
          <w:lang w:eastAsia="en-GB"/>
        </w:rPr>
        <w:t xml:space="preserve"> ($</w:t>
      </w:r>
      <w:r w:rsidR="000F4D73" w:rsidRPr="0072269E">
        <w:rPr>
          <w:rFonts w:ascii="Calibri" w:eastAsia="Times New Roman" w:hAnsi="Calibri" w:cs="Calibri"/>
          <w:color w:val="000000"/>
          <w:lang w:eastAsia="en-GB"/>
        </w:rPr>
        <w:t>53,</w:t>
      </w:r>
      <w:r w:rsidR="000F4D73">
        <w:rPr>
          <w:rFonts w:ascii="Calibri" w:eastAsia="Times New Roman" w:hAnsi="Calibri" w:cs="Calibri"/>
          <w:color w:val="000000"/>
          <w:lang w:eastAsia="en-GB"/>
        </w:rPr>
        <w:t>048-$</w:t>
      </w:r>
      <w:r w:rsidR="000F4D73" w:rsidRPr="0072269E">
        <w:rPr>
          <w:rFonts w:ascii="Calibri" w:eastAsia="Times New Roman" w:hAnsi="Calibri" w:cs="Calibri"/>
          <w:color w:val="000000"/>
          <w:lang w:eastAsia="en-GB"/>
        </w:rPr>
        <w:t>89,827</w:t>
      </w:r>
      <w:r w:rsidR="000F4D73">
        <w:rPr>
          <w:rFonts w:ascii="Calibri" w:eastAsia="Times New Roman" w:hAnsi="Calibri" w:cs="Calibri"/>
          <w:color w:val="000000"/>
          <w:lang w:eastAsia="en-GB"/>
        </w:rPr>
        <w:t>)</w:t>
      </w:r>
      <w:r>
        <w:rPr>
          <w:rFonts w:ascii="Calibri" w:eastAsia="Times New Roman" w:hAnsi="Calibri" w:cs="Calibri"/>
          <w:color w:val="000000"/>
          <w:lang w:eastAsia="en-GB"/>
        </w:rPr>
        <w:t xml:space="preserve"> is</w:t>
      </w:r>
      <w:r w:rsidR="000F4D73">
        <w:rPr>
          <w:rFonts w:ascii="Calibri" w:eastAsia="Times New Roman" w:hAnsi="Calibri" w:cs="Calibri"/>
          <w:color w:val="000000"/>
          <w:lang w:eastAsia="en-GB"/>
        </w:rPr>
        <w:t xml:space="preserve"> also approximately 1-2x GDP per capita</w:t>
      </w:r>
      <w:r w:rsidR="00DC79C1">
        <w:rPr>
          <w:rFonts w:ascii="Calibri" w:eastAsia="Times New Roman" w:hAnsi="Calibri" w:cs="Calibri"/>
          <w:color w:val="000000"/>
          <w:lang w:eastAsia="en-GB"/>
        </w:rPr>
        <w:t xml:space="preserve">.  Again, this </w:t>
      </w:r>
      <w:r w:rsidR="000F4D73">
        <w:rPr>
          <w:rFonts w:ascii="Calibri" w:eastAsia="Times New Roman" w:hAnsi="Calibri" w:cs="Calibri"/>
          <w:color w:val="000000"/>
          <w:lang w:eastAsia="en-GB"/>
        </w:rPr>
        <w:t xml:space="preserve">is higher than </w:t>
      </w:r>
      <w:r>
        <w:rPr>
          <w:rFonts w:ascii="Calibri" w:eastAsia="Times New Roman" w:hAnsi="Calibri" w:cs="Calibri"/>
          <w:color w:val="000000"/>
          <w:lang w:eastAsia="en-GB"/>
        </w:rPr>
        <w:t>the</w:t>
      </w:r>
      <w:r w:rsidR="006E7B7E">
        <w:rPr>
          <w:rFonts w:ascii="Calibri" w:eastAsia="Times New Roman" w:hAnsi="Calibri" w:cs="Calibri"/>
          <w:color w:val="000000"/>
          <w:lang w:eastAsia="en-GB"/>
        </w:rPr>
        <w:t xml:space="preserve"> range estimated by Woods et al</w:t>
      </w:r>
      <w:r w:rsidR="00066370">
        <w:rPr>
          <w:rFonts w:ascii="Calibri" w:eastAsia="Times New Roman" w:hAnsi="Calibri" w:cs="Calibri"/>
          <w:color w:val="000000"/>
          <w:lang w:eastAsia="en-GB"/>
        </w:rPr>
        <w:fldChar w:fldCharType="begin" w:fldLock="1"/>
      </w:r>
      <w:r w:rsidR="008D0493">
        <w:rPr>
          <w:rFonts w:ascii="Calibri" w:eastAsia="Times New Roman" w:hAnsi="Calibri" w:cs="Calibri"/>
          <w:color w:val="000000"/>
          <w:lang w:eastAsia="en-GB"/>
        </w:rPr>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066370">
        <w:rPr>
          <w:rFonts w:ascii="Calibri" w:eastAsia="Times New Roman" w:hAnsi="Calibri" w:cs="Calibri"/>
          <w:color w:val="000000"/>
          <w:lang w:eastAsia="en-GB"/>
        </w:rPr>
        <w:fldChar w:fldCharType="separate"/>
      </w:r>
      <w:r w:rsidR="0086594C" w:rsidRPr="0086594C">
        <w:rPr>
          <w:rFonts w:ascii="Calibri" w:eastAsia="Times New Roman" w:hAnsi="Calibri" w:cs="Calibri"/>
          <w:noProof/>
          <w:color w:val="000000"/>
          <w:vertAlign w:val="superscript"/>
          <w:lang w:eastAsia="en-GB"/>
        </w:rPr>
        <w:t>15</w:t>
      </w:r>
      <w:r w:rsidR="00066370">
        <w:rPr>
          <w:rFonts w:ascii="Calibri" w:eastAsia="Times New Roman" w:hAnsi="Calibri" w:cs="Calibri"/>
          <w:color w:val="000000"/>
          <w:lang w:eastAsia="en-GB"/>
        </w:rPr>
        <w:fldChar w:fldCharType="end"/>
      </w:r>
      <w:r>
        <w:rPr>
          <w:rFonts w:ascii="Calibri" w:eastAsia="Times New Roman" w:hAnsi="Calibri" w:cs="Calibri"/>
          <w:color w:val="000000"/>
          <w:lang w:eastAsia="en-GB"/>
        </w:rPr>
        <w:t xml:space="preserve"> ($</w:t>
      </w:r>
      <w:r>
        <w:rPr>
          <w:rFonts w:ascii="Calibri" w:eastAsia="Times New Roman" w:hAnsi="Calibri" w:cs="Calibri"/>
          <w:lang w:eastAsia="en-GB"/>
        </w:rPr>
        <w:t>26,565-</w:t>
      </w:r>
      <w:r w:rsidRPr="0072269E">
        <w:rPr>
          <w:rFonts w:ascii="Calibri" w:eastAsia="Times New Roman" w:hAnsi="Calibri" w:cs="Calibri"/>
          <w:lang w:eastAsia="en-GB"/>
        </w:rPr>
        <w:t>43,249</w:t>
      </w:r>
      <w:r>
        <w:rPr>
          <w:rFonts w:ascii="Calibri" w:eastAsia="Times New Roman" w:hAnsi="Calibri" w:cs="Calibri"/>
          <w:lang w:eastAsia="en-GB"/>
        </w:rPr>
        <w:t xml:space="preserve"> or 49-61% of GDP per capita) </w:t>
      </w:r>
      <w:r w:rsidR="00DC79C1">
        <w:rPr>
          <w:rFonts w:ascii="Calibri" w:eastAsia="Times New Roman" w:hAnsi="Calibri" w:cs="Calibri"/>
          <w:lang w:eastAsia="en-GB"/>
        </w:rPr>
        <w:t>or from using</w:t>
      </w:r>
      <w:r>
        <w:rPr>
          <w:rFonts w:ascii="Calibri" w:eastAsia="Times New Roman" w:hAnsi="Calibri" w:cs="Calibri"/>
          <w:lang w:eastAsia="en-GB"/>
        </w:rPr>
        <w:t xml:space="preserve"> the elasticities </w:t>
      </w:r>
      <w:r w:rsidR="00DC79C1">
        <w:rPr>
          <w:rFonts w:ascii="Calibri" w:eastAsia="Times New Roman" w:hAnsi="Calibri" w:cs="Calibri"/>
          <w:lang w:eastAsia="en-GB"/>
        </w:rPr>
        <w:t>from Lomas et al</w:t>
      </w:r>
      <w:r w:rsidR="006E7B7E">
        <w:rPr>
          <w:rFonts w:ascii="Calibri" w:eastAsia="Times New Roman" w:hAnsi="Calibri" w:cs="Calibri"/>
          <w:lang w:eastAsia="en-GB"/>
        </w:rPr>
        <w:fldChar w:fldCharType="begin" w:fldLock="1"/>
      </w:r>
      <w:r w:rsidR="006E7B7E">
        <w:rPr>
          <w:rFonts w:ascii="Calibri" w:eastAsia="Times New Roman" w:hAnsi="Calibri" w:cs="Calibri"/>
          <w:lang w:eastAsia="en-GB"/>
        </w:rPr>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mendeley":{"formattedCitation":"&lt;sup&gt;13&lt;/sup&gt;","plainTextFormattedCitation":"13","previouslyFormattedCitation":"&lt;sup&gt;13&lt;/sup&gt;"},"properties":{"noteIndex":0},"schema":"https://github.com/citation-style-language/schema/raw/master/csl-citation.json"}</w:instrText>
      </w:r>
      <w:r w:rsidR="006E7B7E">
        <w:rPr>
          <w:rFonts w:ascii="Calibri" w:eastAsia="Times New Roman" w:hAnsi="Calibri" w:cs="Calibri"/>
          <w:lang w:eastAsia="en-GB"/>
        </w:rPr>
        <w:fldChar w:fldCharType="separate"/>
      </w:r>
      <w:r w:rsidR="006E7B7E" w:rsidRPr="006E7B7E">
        <w:rPr>
          <w:rFonts w:ascii="Calibri" w:eastAsia="Times New Roman" w:hAnsi="Calibri" w:cs="Calibri"/>
          <w:noProof/>
          <w:vertAlign w:val="superscript"/>
          <w:lang w:eastAsia="en-GB"/>
        </w:rPr>
        <w:t>13</w:t>
      </w:r>
      <w:r w:rsidR="006E7B7E">
        <w:rPr>
          <w:rFonts w:ascii="Calibri" w:eastAsia="Times New Roman" w:hAnsi="Calibri" w:cs="Calibri"/>
          <w:lang w:eastAsia="en-GB"/>
        </w:rPr>
        <w:fldChar w:fldCharType="end"/>
      </w:r>
      <w:r w:rsidR="00DC79C1">
        <w:rPr>
          <w:rFonts w:ascii="Calibri" w:eastAsia="Times New Roman" w:hAnsi="Calibri" w:cs="Calibri"/>
          <w:lang w:eastAsia="en-GB"/>
        </w:rPr>
        <w:t xml:space="preserve"> and Andrews et al</w:t>
      </w:r>
      <w:r w:rsidR="006E7B7E">
        <w:rPr>
          <w:rFonts w:ascii="Calibri" w:eastAsia="Times New Roman" w:hAnsi="Calibri" w:cs="Calibri"/>
          <w:lang w:eastAsia="en-GB"/>
        </w:rPr>
        <w:fldChar w:fldCharType="begin" w:fldLock="1"/>
      </w:r>
      <w:r w:rsidR="00FC3A0C">
        <w:rPr>
          <w:rFonts w:ascii="Calibri" w:eastAsia="Times New Roman" w:hAnsi="Calibri" w:cs="Calibri"/>
          <w:lang w:eastAsia="en-GB"/>
        </w:rPr>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6E7B7E">
        <w:rPr>
          <w:rFonts w:ascii="Calibri" w:eastAsia="Times New Roman" w:hAnsi="Calibri" w:cs="Calibri"/>
          <w:lang w:eastAsia="en-GB"/>
        </w:rPr>
        <w:fldChar w:fldCharType="separate"/>
      </w:r>
      <w:r w:rsidR="006E7B7E" w:rsidRPr="006E7B7E">
        <w:rPr>
          <w:rFonts w:ascii="Calibri" w:eastAsia="Times New Roman" w:hAnsi="Calibri" w:cs="Calibri"/>
          <w:noProof/>
          <w:vertAlign w:val="superscript"/>
          <w:lang w:eastAsia="en-GB"/>
        </w:rPr>
        <w:t>18</w:t>
      </w:r>
      <w:r w:rsidR="006E7B7E">
        <w:rPr>
          <w:rFonts w:ascii="Calibri" w:eastAsia="Times New Roman" w:hAnsi="Calibri" w:cs="Calibri"/>
          <w:lang w:eastAsia="en-GB"/>
        </w:rPr>
        <w:fldChar w:fldCharType="end"/>
      </w:r>
      <w:r>
        <w:rPr>
          <w:rFonts w:ascii="Calibri" w:eastAsia="Times New Roman" w:hAnsi="Calibri" w:cs="Calibri"/>
          <w:lang w:eastAsia="en-GB"/>
        </w:rPr>
        <w:t xml:space="preserve"> ($15,848 and $23,104 or 37% and 53% of GDP per capita respectively).</w:t>
      </w:r>
      <w:r>
        <w:t xml:space="preserve"> </w:t>
      </w:r>
      <w:r w:rsidR="000F4D73">
        <w:t xml:space="preserve">The range </w:t>
      </w:r>
      <w:r w:rsidR="007E03B2">
        <w:t xml:space="preserve">from this paper </w:t>
      </w:r>
      <w:r w:rsidR="000F4D73">
        <w:t xml:space="preserve">differs from </w:t>
      </w:r>
      <w:r w:rsidR="00FC3A0C">
        <w:t xml:space="preserve">that </w:t>
      </w:r>
      <w:r w:rsidR="00E22526">
        <w:t xml:space="preserve">presented in a report for the </w:t>
      </w:r>
      <w:r w:rsidR="00E22526" w:rsidRPr="00E22526">
        <w:t>Patented Medicine Prices Review Board</w:t>
      </w:r>
      <w:r w:rsidR="00E22526">
        <w:t xml:space="preserve"> in Canada</w:t>
      </w:r>
      <w:r w:rsidR="00066370">
        <w:rPr>
          <w:rFonts w:ascii="Calibri" w:eastAsia="Times New Roman" w:hAnsi="Calibri" w:cs="Calibri"/>
          <w:lang w:eastAsia="en-GB"/>
        </w:rPr>
        <w:fldChar w:fldCharType="begin" w:fldLock="1"/>
      </w:r>
      <w:r w:rsidR="00C05E22">
        <w:rPr>
          <w:rFonts w:ascii="Calibri" w:eastAsia="Times New Roman" w:hAnsi="Calibri" w:cs="Calibri"/>
          <w:lang w:eastAsia="en-GB"/>
        </w:rPr>
        <w:instrText>ADDIN CSL_CITATION {"citationItems":[{"id":"ITEM-1","itemData":{"author":[{"dropping-particle":"","family":"Ochalek J","given":"","non-dropping-particle":"","parse-names":false,"suffix":""},{"dropping-particle":"","family":"Lomas J","given":"","non-dropping-particle":"","parse-names":false,"suffix":""},{"dropping-particle":"","family":"Claxton K","given":"","non-dropping-particle":"","parse-names":false,"suffix":""}],"id":"ITEM-1","issued":{"date-parts":[["2018"]]},"title":"Assessing health opportunity costs for the Canadian health care systems","type":"report"},"uris":["http://www.mendeley.com/documents/?uuid=96727532-d5d6-3320-9fd8-237ff66850e6","http://www.mendeley.com/documents/?uuid=bd91d22e-3ff6-4b43-b99f-6b763f5ea3c8","http://www.mendeley.com/documents/?uuid=ed39374c-9381-4ec6-94df-cb3d4d600be1"]}],"mendeley":{"formattedCitation":"&lt;sup&gt;24&lt;/sup&gt;","plainTextFormattedCitation":"24","previouslyFormattedCitation":"&lt;sup&gt;24&lt;/sup&gt;"},"properties":{"noteIndex":0},"schema":"https://github.com/citation-style-language/schema/raw/master/csl-citation.json"}</w:instrText>
      </w:r>
      <w:r w:rsidR="00066370">
        <w:rPr>
          <w:rFonts w:ascii="Calibri" w:eastAsia="Times New Roman" w:hAnsi="Calibri" w:cs="Calibri"/>
          <w:lang w:eastAsia="en-GB"/>
        </w:rPr>
        <w:fldChar w:fldCharType="separate"/>
      </w:r>
      <w:r w:rsidR="00AC379A" w:rsidRPr="00AC379A">
        <w:rPr>
          <w:rFonts w:ascii="Calibri" w:eastAsia="Times New Roman" w:hAnsi="Calibri" w:cs="Calibri"/>
          <w:noProof/>
          <w:vertAlign w:val="superscript"/>
          <w:lang w:eastAsia="en-GB"/>
        </w:rPr>
        <w:t>24</w:t>
      </w:r>
      <w:r w:rsidR="00066370">
        <w:rPr>
          <w:rFonts w:ascii="Calibri" w:eastAsia="Times New Roman" w:hAnsi="Calibri" w:cs="Calibri"/>
          <w:lang w:eastAsia="en-GB"/>
        </w:rPr>
        <w:fldChar w:fldCharType="end"/>
      </w:r>
      <w:r w:rsidR="00E22526">
        <w:rPr>
          <w:rFonts w:ascii="Calibri" w:eastAsia="Times New Roman" w:hAnsi="Calibri" w:cs="Calibri"/>
          <w:lang w:eastAsia="en-GB"/>
        </w:rPr>
        <w:t>.  Although the report uses the same methods as we apply in this paper, it</w:t>
      </w:r>
      <w:r w:rsidR="00EE0B71">
        <w:t xml:space="preserve"> applies the estimated elasticities to data from Canadian life tables while </w:t>
      </w:r>
      <w:r w:rsidR="007E03B2">
        <w:t>this</w:t>
      </w:r>
      <w:r w:rsidR="00EE0B71">
        <w:t xml:space="preserve"> paper uses international data from the Global Burden of Disease</w:t>
      </w:r>
      <w:r w:rsidR="00A053F7">
        <w:t xml:space="preserve"> as was done in Ochalek et al</w:t>
      </w:r>
      <w:r w:rsidR="00066370">
        <w:fldChar w:fldCharType="begin" w:fldLock="1"/>
      </w:r>
      <w:r w:rsidR="008D0493">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rsidR="00066370">
        <w:fldChar w:fldCharType="separate"/>
      </w:r>
      <w:r w:rsidR="0086594C" w:rsidRPr="0086594C">
        <w:rPr>
          <w:noProof/>
          <w:vertAlign w:val="superscript"/>
        </w:rPr>
        <w:t>16</w:t>
      </w:r>
      <w:r w:rsidR="00066370">
        <w:fldChar w:fldCharType="end"/>
      </w:r>
      <w:r w:rsidR="00EE0B71">
        <w:t>.</w:t>
      </w:r>
    </w:p>
    <w:p w14:paraId="58DC5DA6" w14:textId="2CB73EE1" w:rsidR="000F4D73" w:rsidRDefault="000F4D73" w:rsidP="000F4D73">
      <w:r>
        <w:rPr>
          <w:rFonts w:ascii="Calibri" w:eastAsia="Times New Roman" w:hAnsi="Calibri" w:cs="Calibri"/>
          <w:color w:val="000000"/>
          <w:lang w:eastAsia="en-GB"/>
        </w:rPr>
        <w:t>The same pattern</w:t>
      </w:r>
      <w:r w:rsidR="00A053F7">
        <w:rPr>
          <w:rFonts w:ascii="Calibri" w:eastAsia="Times New Roman" w:hAnsi="Calibri" w:cs="Calibri"/>
          <w:color w:val="000000"/>
          <w:lang w:eastAsia="en-GB"/>
        </w:rPr>
        <w:t xml:space="preserve"> emerging from the results for the </w:t>
      </w:r>
      <w:r w:rsidR="009726B5">
        <w:rPr>
          <w:rFonts w:ascii="Calibri" w:eastAsia="Times New Roman" w:hAnsi="Calibri" w:cs="Calibri"/>
          <w:color w:val="000000"/>
          <w:lang w:eastAsia="en-GB"/>
        </w:rPr>
        <w:t xml:space="preserve">UK </w:t>
      </w:r>
      <w:r w:rsidR="00A053F7">
        <w:rPr>
          <w:rFonts w:ascii="Calibri" w:eastAsia="Times New Roman" w:hAnsi="Calibri" w:cs="Calibri"/>
          <w:color w:val="000000"/>
          <w:lang w:eastAsia="en-GB"/>
        </w:rPr>
        <w:t>and Canada</w:t>
      </w:r>
      <w:r>
        <w:rPr>
          <w:rFonts w:ascii="Calibri" w:eastAsia="Times New Roman" w:hAnsi="Calibri" w:cs="Calibri"/>
          <w:color w:val="000000"/>
          <w:lang w:eastAsia="en-GB"/>
        </w:rPr>
        <w:t xml:space="preserve"> is reflected in the range estimated for the </w:t>
      </w:r>
      <w:r w:rsidR="009726B5">
        <w:rPr>
          <w:rFonts w:ascii="Calibri" w:eastAsia="Times New Roman" w:hAnsi="Calibri" w:cs="Calibri"/>
          <w:color w:val="000000"/>
          <w:lang w:eastAsia="en-GB"/>
        </w:rPr>
        <w:t>USA</w:t>
      </w:r>
      <w:r w:rsidR="00A053F7">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00A053F7">
        <w:rPr>
          <w:rFonts w:ascii="Calibri" w:eastAsia="Times New Roman" w:hAnsi="Calibri" w:cs="Calibri"/>
          <w:color w:val="000000"/>
          <w:lang w:eastAsia="en-GB"/>
        </w:rPr>
        <w:t xml:space="preserve"> </w:t>
      </w:r>
      <w:r w:rsidR="00B07860">
        <w:rPr>
          <w:rFonts w:ascii="Calibri" w:eastAsia="Times New Roman" w:hAnsi="Calibri" w:cs="Calibri"/>
          <w:color w:val="000000"/>
          <w:lang w:eastAsia="en-GB"/>
        </w:rPr>
        <w:t>The</w:t>
      </w:r>
      <w:r w:rsidR="00A053F7">
        <w:rPr>
          <w:rFonts w:ascii="Calibri" w:eastAsia="Times New Roman" w:hAnsi="Calibri" w:cs="Calibri"/>
          <w:color w:val="000000"/>
          <w:lang w:eastAsia="en-GB"/>
        </w:rPr>
        <w:t xml:space="preserve"> range estimated</w:t>
      </w:r>
      <w:r w:rsidR="00B07860">
        <w:rPr>
          <w:rFonts w:ascii="Calibri" w:eastAsia="Times New Roman" w:hAnsi="Calibri" w:cs="Calibri"/>
          <w:color w:val="000000"/>
          <w:lang w:eastAsia="en-GB"/>
        </w:rPr>
        <w:t xml:space="preserve"> in this paper</w:t>
      </w:r>
      <w:r w:rsidR="00A053F7">
        <w:rPr>
          <w:rFonts w:ascii="Calibri" w:eastAsia="Times New Roman" w:hAnsi="Calibri" w:cs="Calibri"/>
          <w:color w:val="000000"/>
          <w:lang w:eastAsia="en-GB"/>
        </w:rPr>
        <w:t xml:space="preserve"> is </w:t>
      </w:r>
      <w:r>
        <w:rPr>
          <w:rFonts w:ascii="Calibri" w:eastAsia="Times New Roman" w:hAnsi="Calibri" w:cs="Calibri"/>
          <w:color w:val="000000"/>
          <w:lang w:eastAsia="en-GB"/>
        </w:rPr>
        <w:t>$60,475- $</w:t>
      </w:r>
      <w:r w:rsidRPr="0072269E">
        <w:rPr>
          <w:rFonts w:ascii="Calibri" w:eastAsia="Times New Roman" w:hAnsi="Calibri" w:cs="Calibri"/>
          <w:color w:val="000000"/>
          <w:lang w:eastAsia="en-GB"/>
        </w:rPr>
        <w:t>97,851</w:t>
      </w:r>
      <w:r>
        <w:rPr>
          <w:rFonts w:ascii="Calibri" w:eastAsia="Times New Roman" w:hAnsi="Calibri" w:cs="Calibri"/>
          <w:color w:val="000000"/>
          <w:lang w:eastAsia="en-GB"/>
        </w:rPr>
        <w:t xml:space="preserve">, </w:t>
      </w:r>
      <w:r w:rsidR="00A053F7">
        <w:rPr>
          <w:rFonts w:ascii="Calibri" w:eastAsia="Times New Roman" w:hAnsi="Calibri" w:cs="Calibri"/>
          <w:color w:val="000000"/>
          <w:lang w:eastAsia="en-GB"/>
        </w:rPr>
        <w:t xml:space="preserve">which is </w:t>
      </w:r>
      <w:r>
        <w:rPr>
          <w:rFonts w:ascii="Calibri" w:eastAsia="Times New Roman" w:hAnsi="Calibri" w:cs="Calibri"/>
          <w:color w:val="000000"/>
          <w:lang w:eastAsia="en-GB"/>
        </w:rPr>
        <w:t>also approximately 1-2x GDP per capita.  Again, this is higher than the range estimated by Woods et al</w:t>
      </w:r>
      <w:r w:rsidR="00066370">
        <w:rPr>
          <w:rFonts w:ascii="Calibri" w:eastAsia="Times New Roman" w:hAnsi="Calibri" w:cs="Calibri"/>
          <w:color w:val="000000"/>
          <w:lang w:eastAsia="en-GB"/>
        </w:rPr>
        <w:fldChar w:fldCharType="begin" w:fldLock="1"/>
      </w:r>
      <w:r w:rsidR="008D0493">
        <w:rPr>
          <w:rFonts w:ascii="Calibri" w:eastAsia="Times New Roman" w:hAnsi="Calibri" w:cs="Calibri"/>
          <w:color w:val="000000"/>
          <w:lang w:eastAsia="en-GB"/>
        </w:rPr>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066370">
        <w:rPr>
          <w:rFonts w:ascii="Calibri" w:eastAsia="Times New Roman" w:hAnsi="Calibri" w:cs="Calibri"/>
          <w:color w:val="000000"/>
          <w:lang w:eastAsia="en-GB"/>
        </w:rPr>
        <w:fldChar w:fldCharType="separate"/>
      </w:r>
      <w:r w:rsidR="0086594C" w:rsidRPr="0086594C">
        <w:rPr>
          <w:rFonts w:ascii="Calibri" w:eastAsia="Times New Roman" w:hAnsi="Calibri" w:cs="Calibri"/>
          <w:noProof/>
          <w:color w:val="000000"/>
          <w:vertAlign w:val="superscript"/>
          <w:lang w:eastAsia="en-GB"/>
        </w:rPr>
        <w:t>15</w:t>
      </w:r>
      <w:r w:rsidR="00066370">
        <w:rPr>
          <w:rFonts w:ascii="Calibri" w:eastAsia="Times New Roman" w:hAnsi="Calibri" w:cs="Calibri"/>
          <w:color w:val="000000"/>
          <w:lang w:eastAsia="en-GB"/>
        </w:rPr>
        <w:fldChar w:fldCharType="end"/>
      </w:r>
      <w:r>
        <w:rPr>
          <w:rFonts w:ascii="Calibri" w:eastAsia="Times New Roman" w:hAnsi="Calibri" w:cs="Calibri"/>
          <w:color w:val="000000"/>
          <w:lang w:eastAsia="en-GB"/>
        </w:rPr>
        <w:t xml:space="preserve"> ($</w:t>
      </w:r>
      <w:r>
        <w:rPr>
          <w:rFonts w:ascii="Calibri" w:hAnsi="Calibri" w:cs="Calibri"/>
        </w:rPr>
        <w:t xml:space="preserve">25,690-$42,436 </w:t>
      </w:r>
      <w:r>
        <w:rPr>
          <w:rFonts w:ascii="Calibri" w:eastAsia="Times New Roman" w:hAnsi="Calibri" w:cs="Calibri"/>
          <w:lang w:eastAsia="en-GB"/>
        </w:rPr>
        <w:t xml:space="preserve">or 46-76% of GDP per capita) </w:t>
      </w:r>
      <w:r w:rsidR="009726B5">
        <w:rPr>
          <w:rFonts w:ascii="Calibri" w:eastAsia="Times New Roman" w:hAnsi="Calibri" w:cs="Calibri"/>
          <w:lang w:eastAsia="en-GB"/>
        </w:rPr>
        <w:t xml:space="preserve">or from using </w:t>
      </w:r>
      <w:r>
        <w:rPr>
          <w:rFonts w:ascii="Calibri" w:eastAsia="Times New Roman" w:hAnsi="Calibri" w:cs="Calibri"/>
          <w:lang w:eastAsia="en-GB"/>
        </w:rPr>
        <w:t xml:space="preserve">the elasticities </w:t>
      </w:r>
      <w:r w:rsidR="00B07860">
        <w:rPr>
          <w:rFonts w:ascii="Calibri" w:eastAsia="Times New Roman" w:hAnsi="Calibri" w:cs="Calibri"/>
          <w:lang w:eastAsia="en-GB"/>
        </w:rPr>
        <w:t>from Lomas et al</w:t>
      </w:r>
      <w:r w:rsidR="00FC3A0C">
        <w:rPr>
          <w:rFonts w:ascii="Calibri" w:eastAsia="Times New Roman" w:hAnsi="Calibri" w:cs="Calibri"/>
          <w:lang w:eastAsia="en-GB"/>
        </w:rPr>
        <w:fldChar w:fldCharType="begin" w:fldLock="1"/>
      </w:r>
      <w:r w:rsidR="00FC3A0C">
        <w:rPr>
          <w:rFonts w:ascii="Calibri" w:eastAsia="Times New Roman" w:hAnsi="Calibri" w:cs="Calibri"/>
          <w:lang w:eastAsia="en-GB"/>
        </w:rPr>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mendeley":{"formattedCitation":"&lt;sup&gt;13&lt;/sup&gt;","plainTextFormattedCitation":"13","previouslyFormattedCitation":"&lt;sup&gt;13&lt;/sup&gt;"},"properties":{"noteIndex":0},"schema":"https://github.com/citation-style-language/schema/raw/master/csl-citation.json"}</w:instrText>
      </w:r>
      <w:r w:rsidR="00FC3A0C">
        <w:rPr>
          <w:rFonts w:ascii="Calibri" w:eastAsia="Times New Roman" w:hAnsi="Calibri" w:cs="Calibri"/>
          <w:lang w:eastAsia="en-GB"/>
        </w:rPr>
        <w:fldChar w:fldCharType="separate"/>
      </w:r>
      <w:r w:rsidR="00FC3A0C" w:rsidRPr="00FC3A0C">
        <w:rPr>
          <w:rFonts w:ascii="Calibri" w:eastAsia="Times New Roman" w:hAnsi="Calibri" w:cs="Calibri"/>
          <w:noProof/>
          <w:vertAlign w:val="superscript"/>
          <w:lang w:eastAsia="en-GB"/>
        </w:rPr>
        <w:t>13</w:t>
      </w:r>
      <w:r w:rsidR="00FC3A0C">
        <w:rPr>
          <w:rFonts w:ascii="Calibri" w:eastAsia="Times New Roman" w:hAnsi="Calibri" w:cs="Calibri"/>
          <w:lang w:eastAsia="en-GB"/>
        </w:rPr>
        <w:fldChar w:fldCharType="end"/>
      </w:r>
      <w:r w:rsidR="00B07860">
        <w:rPr>
          <w:rFonts w:ascii="Calibri" w:eastAsia="Times New Roman" w:hAnsi="Calibri" w:cs="Calibri"/>
          <w:lang w:eastAsia="en-GB"/>
        </w:rPr>
        <w:t xml:space="preserve"> and Andrews et al</w:t>
      </w:r>
      <w:r w:rsidR="00FC3A0C">
        <w:rPr>
          <w:rFonts w:ascii="Calibri" w:eastAsia="Times New Roman" w:hAnsi="Calibri" w:cs="Calibri"/>
          <w:lang w:eastAsia="en-GB"/>
        </w:rPr>
        <w:fldChar w:fldCharType="begin" w:fldLock="1"/>
      </w:r>
      <w:r w:rsidR="00176EFD">
        <w:rPr>
          <w:rFonts w:ascii="Calibri" w:eastAsia="Times New Roman" w:hAnsi="Calibri" w:cs="Calibri"/>
          <w:lang w:eastAsia="en-GB"/>
        </w:rPr>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FC3A0C">
        <w:rPr>
          <w:rFonts w:ascii="Calibri" w:eastAsia="Times New Roman" w:hAnsi="Calibri" w:cs="Calibri"/>
          <w:lang w:eastAsia="en-GB"/>
        </w:rPr>
        <w:fldChar w:fldCharType="separate"/>
      </w:r>
      <w:r w:rsidR="00FC3A0C" w:rsidRPr="00FC3A0C">
        <w:rPr>
          <w:rFonts w:ascii="Calibri" w:eastAsia="Times New Roman" w:hAnsi="Calibri" w:cs="Calibri"/>
          <w:noProof/>
          <w:vertAlign w:val="superscript"/>
          <w:lang w:eastAsia="en-GB"/>
        </w:rPr>
        <w:t>18</w:t>
      </w:r>
      <w:r w:rsidR="00FC3A0C">
        <w:rPr>
          <w:rFonts w:ascii="Calibri" w:eastAsia="Times New Roman" w:hAnsi="Calibri" w:cs="Calibri"/>
          <w:lang w:eastAsia="en-GB"/>
        </w:rPr>
        <w:fldChar w:fldCharType="end"/>
      </w:r>
      <w:r w:rsidR="00B07860">
        <w:rPr>
          <w:rFonts w:ascii="Calibri" w:eastAsia="Times New Roman" w:hAnsi="Calibri" w:cs="Calibri"/>
          <w:lang w:eastAsia="en-GB"/>
        </w:rPr>
        <w:t xml:space="preserve"> </w:t>
      </w:r>
      <w:r>
        <w:rPr>
          <w:rFonts w:ascii="Calibri" w:eastAsia="Times New Roman" w:hAnsi="Calibri" w:cs="Calibri"/>
          <w:lang w:eastAsia="en-GB"/>
        </w:rPr>
        <w:t>($</w:t>
      </w:r>
      <w:r w:rsidRPr="0072269E">
        <w:rPr>
          <w:rFonts w:ascii="Calibri" w:eastAsia="Times New Roman" w:hAnsi="Calibri" w:cs="Calibri"/>
          <w:color w:val="000000"/>
          <w:lang w:eastAsia="en-GB"/>
        </w:rPr>
        <w:t>17,465</w:t>
      </w:r>
      <w:r>
        <w:rPr>
          <w:rFonts w:ascii="Calibri" w:eastAsia="Times New Roman" w:hAnsi="Calibri" w:cs="Calibri"/>
          <w:color w:val="000000"/>
          <w:lang w:eastAsia="en-GB"/>
        </w:rPr>
        <w:t xml:space="preserve"> </w:t>
      </w:r>
      <w:r>
        <w:rPr>
          <w:rFonts w:ascii="Calibri" w:eastAsia="Times New Roman" w:hAnsi="Calibri" w:cs="Calibri"/>
          <w:lang w:eastAsia="en-GB"/>
        </w:rPr>
        <w:t>and $</w:t>
      </w:r>
      <w:r w:rsidRPr="0072269E">
        <w:rPr>
          <w:rFonts w:ascii="Calibri" w:eastAsia="Times New Roman" w:hAnsi="Calibri" w:cs="Calibri"/>
          <w:color w:val="000000"/>
          <w:lang w:eastAsia="en-GB"/>
        </w:rPr>
        <w:t>25,462</w:t>
      </w:r>
      <w:r>
        <w:rPr>
          <w:rFonts w:ascii="Calibri" w:eastAsia="Times New Roman" w:hAnsi="Calibri" w:cs="Calibri"/>
          <w:color w:val="000000"/>
          <w:lang w:eastAsia="en-GB"/>
        </w:rPr>
        <w:t xml:space="preserve"> </w:t>
      </w:r>
      <w:r>
        <w:rPr>
          <w:rFonts w:ascii="Calibri" w:eastAsia="Times New Roman" w:hAnsi="Calibri" w:cs="Calibri"/>
          <w:lang w:eastAsia="en-GB"/>
        </w:rPr>
        <w:t>or 31% and 45% of GDP per capita respectively).</w:t>
      </w:r>
      <w:r w:rsidR="00EF6C80">
        <w:t xml:space="preserve">  </w:t>
      </w:r>
    </w:p>
    <w:p w14:paraId="169BA9C2" w14:textId="1A4EE15B" w:rsidR="00CF4BAF" w:rsidRDefault="0001651B" w:rsidP="00CF4BAF">
      <w:r>
        <w:t xml:space="preserve">These results are plotted in </w:t>
      </w:r>
      <w:r w:rsidR="00395B46">
        <w:t xml:space="preserve">Figure </w:t>
      </w:r>
      <w:r w:rsidR="00FC3A0C">
        <w:t>4</w:t>
      </w:r>
      <w:r>
        <w:t>, which</w:t>
      </w:r>
      <w:r w:rsidR="00395B46">
        <w:t xml:space="preserve"> presents the </w:t>
      </w:r>
      <w:r w:rsidR="002704BC">
        <w:t xml:space="preserve">estimates of </w:t>
      </w:r>
      <w:r>
        <w:t>cost per DALY averted</w:t>
      </w:r>
      <w:r w:rsidR="002704BC">
        <w:t xml:space="preserve"> by country against the GDP per capita</w:t>
      </w:r>
      <w:r w:rsidR="005B616C">
        <w:t xml:space="preserve"> alongside other published estimates </w:t>
      </w:r>
      <w:r w:rsidR="00B22676">
        <w:t>for Australia, the Netherlands and Spain</w:t>
      </w:r>
      <w:r w:rsidR="00B22676">
        <w:fldChar w:fldCharType="begin" w:fldLock="1"/>
      </w:r>
      <w:r w:rsidR="00B22676">
        <w:instrText>ADDIN CSL_CITATION {"citationItems":[{"id":"ITEM-1","itemData":{"DOI":"10.1007/s40273-017-0585-2","ISSN":"1170-7690","PMID":"29273843","abstract":"BACKGROUND Spending on new healthcare technologies increases net population health when the benefits of a new technology are greater than their opportunity costs-the benefits of the best alternative use of the additional resources required to fund a new technology. OBJECTIVE The objective of this study was to estimate the expected incremental cost per quality-adjusted life-year (QALY) gained of increased government health expenditure as an empirical estimate of the average opportunity costs of decisions to fund new health technologies. The estimated incremental cost-effectiveness ratio (ICER) is proposed as a reference ICER to inform value-based decision making in Australia. METHODS Empirical top-down approaches were used to estimate the QALY effects of government health expenditure with respect to reduced mortality and morbidity. Instrumental variable two-stage least-squares regression was used to estimate the elasticity of mortality-related QALY losses to a marginal change in government health expenditure. Regression analysis of longitudinal survey data representative of the general population was used to isolate the effects of increased government health expenditure on morbidity-related, QALY gains. Clinical judgement informed the duration of health-related quality-of-life improvement from the annual increase in government health expenditure. RESULTS The base-case reference ICER was estimated at AUD28,033 per QALY gained. Parametric uncertainty associated with the estimation of mortality- and morbidity-related QALYs generated a 95% confidence interval AUD20,758-37,667. CONCLUSION Recent public summary documents suggest new technologies with ICERs above AUD40,000 per QALY gained are recommended for public funding. The empirical reference ICER reported in this article suggests more QALYs could be gained if resources were allocated to other forms of health spending.","author":[{"dropping-particle":"","family":"Edney","given":"Laura Catherine","non-dropping-particle":"","parse-names":false,"suffix":""},{"dropping-particle":"","family":"Haji Ali Afzali","given":"Hossein","non-dropping-particle":"","parse-names":false,"suffix":""},{"dropping-particle":"","family":"Cheng","given":"Terence Chai","non-dropping-particle":"","parse-names":false,"suffix":""},{"dropping-particle":"","family":"Karnon","given":"Jonathan","non-dropping-particle":"","parse-names":false,"suffix":""}],"container-title":"PharmacoEconomics","id":"ITEM-1","issued":{"date-parts":[["2017","12","22"]]},"title":"Estimating the Reference Incremental Cost-Effectiveness Ratio for the Australian Health System","type":"article-journal"},"uris":["http://www.mendeley.com/documents/?uuid=11e49002-4708-3f9c-893f-e428f6643da2"]},{"id":"ITEM-2","itemData":{"author":[{"dropping-particle":"","family":"Vallejo-Torres","given":"Laura","non-dropping-particle":"","parse-names":false,"suffix":""},{"dropping-particle":"","family":"García-Lorenzo","given":"Borja","non-dropping-particle":"","parse-names":false,"suffix":""},{"dropping-particle":"","family":"Serrano-Aguilar","given":"Pedro","non-dropping-particle":"","parse-names":false,"suffix":""}],"collection-title":"Estudios sobre la Economía Española - 2016/22 ","id":"ITEM-2","issued":{"date-parts":[["2016"]]},"number":"eee2016-22","publisher-place":"Madrid","title":"Estimating a cost-effectiveness threshold for the Spanish NHS","type":"report"},"uris":["http://www.mendeley.com/documents/?uuid=13a9ee09-3b0e-3115-92fd-8c996691895b"]},{"id":"ITEM-3","itemData":{"DOI":"10.1002/hec.3946","ISSN":"1057-9230","author":[{"dropping-particle":"","family":"Stadhouders","given":"Niek","non-dropping-particle":"","parse-names":false,"suffix":""},{"dropping-particle":"","family":"Koolman","given":"Xander","non-dropping-particle":"","parse-names":false,"suffix":""},{"dropping-particle":"","family":"Dijk","given":"Christel","non-dropping-particle":"","parse-names":false,"suffix":""},{"dropping-particle":"","family":"Jeurissen","given":"Patrick","non-dropping-particle":"","parse-names":false,"suffix":""},{"dropping-particle":"","family":"Adang","given":"Eddy","non-dropping-particle":"","parse-names":false,"suffix":""}],"container-title":"Health Economics","id":"ITEM-3","issued":{"date-parts":[["2019","8","30"]]},"publisher":"Wiley","title":"The marginal benefits of healthcare spending in the Netherlands: Estimating cost‐effectiveness thresholds using a translog production function","type":"article-journal"},"uris":["http://www.mendeley.com/documents/?uuid=2a6914b6-3852-3602-9407-4162fec3f99a"]}],"mendeley":{"formattedCitation":"&lt;sup&gt;11,12,14&lt;/sup&gt;","plainTextFormattedCitation":"11,12,14"},"properties":{"noteIndex":0},"schema":"https://github.com/citation-style-language/schema/raw/master/csl-citation.json"}</w:instrText>
      </w:r>
      <w:r w:rsidR="00B22676">
        <w:fldChar w:fldCharType="separate"/>
      </w:r>
      <w:r w:rsidR="00B22676" w:rsidRPr="00B22676">
        <w:rPr>
          <w:noProof/>
          <w:vertAlign w:val="superscript"/>
        </w:rPr>
        <w:t>11,12,14</w:t>
      </w:r>
      <w:r w:rsidR="00B22676">
        <w:fldChar w:fldCharType="end"/>
      </w:r>
      <w:r w:rsidR="00E935C4">
        <w:t>.</w:t>
      </w:r>
      <w:r w:rsidR="00893531">
        <w:t xml:space="preserve"> </w:t>
      </w:r>
      <w:r w:rsidR="00E935C4">
        <w:t xml:space="preserve"> T</w:t>
      </w:r>
      <w:r w:rsidR="00893531">
        <w:t>he tightly dotted line represents 1x GDP per capita and the loosely dotted line represents 3x GDP per capita</w:t>
      </w:r>
      <w:r w:rsidR="00C50B86">
        <w:t xml:space="preserve"> </w:t>
      </w:r>
      <w:r w:rsidR="00BC08ED">
        <w:t>(representing the commonly applied 1x and 3x GDP per capita norms).</w:t>
      </w:r>
      <w:r w:rsidR="00980CD2">
        <w:fldChar w:fldCharType="begin" w:fldLock="1"/>
      </w:r>
      <w:r w:rsidR="00C05E22">
        <w:instrText>ADDIN CSL_CITATION {"citationItems":[{"id":"ITEM-1","itemData":{"DOI":"10.1080/16549716.2018.1447828","ISSN":"1654-9716","abstract":"Background: The amount a government should be willing to invest in adopting new medical treatments has long been under debate. With many countries using formal cost-effectiveness (C/E) thresholds when examining potential new treatments and ever-growing medical costs, accurately setting the level of a C/E threshold can be essential for an efficient healthcare system. Objectives: The aim of this systematic review is to describe the prominent approaches to setting a C/E threshold, compile available national-level C/E threshold data and willingness-to-pay (WTP) data, and to discern whether associations exist between these values, gross domestic product (GDP) and health-adjusted life expectancy (HALE). This review further examines current obstacles faced with the presently available data. Methods: A systematic review was performed to collect articles which have studied national C/E thresholds and willingness-to-pay (WTP) per quality-adjusted life year (QALY) in the general population. Associations between GDP, HALE, WTP, and C/E thresholds were analyzed with correlations. Results: Seventeen countries were identified from nine unique sources to have formal C/E thresholds within our inclusion criteria. Thirteen countries from nine sources were identified to have WTP per QALY data within our inclusion criteria. Two possible associations were identified: C/E thresholds with HALE (quadratic correlation of 0.63), and C/E thresholds with GDP per capita (polynomial correlation of 0.84). However, these results are based on few observations and therefore firm conclusions cannot be made. Conclusions: Most national C/E thresholds identified in our review fall within the WHO's recommended range of one-to-three times GDP per capita. However, the quality and quantity of data available regarding national average WTP per QALY, opportunity costs, and C/E thresholds is poor in comparison to the importance of adequate investment in healthcare. There exists an obvious risk that countries might either over-or underinvest in healthcare if they base their decision-making process on erroneous presumptions or non-evidence-based methodologies. The commonly referred to value of 100,000$ USD per QALY may potentially have some basis.","author":[{"dropping-particle":"","family":"Cameron","given":"David","non-dropping-particle":"","parse-names":false,"suffix":""},{"dropping-particle":"","family":"Ubels","given":"Jasper","non-dropping-particle":"","parse-names":false,"suffix":""},{"dropping-particle":"","family":"Norström","given":"Fredrik","non-dropping-particle":"","parse-names":false,"suffix":""}],"container-title":"Global Health Action","id":"ITEM-1","issue":"1","issued":{"date-parts":[["1447"]]},"title":"Global Health Action On what basis are medical cost-effectiveness thresholds set? Clashing opinions and an absence of data: a systematic review medical cost-effectiveness thresholds set? Clashing opinions and an absence of data: a systematic review On what basis are medical cost-effectiveness thresholds set? Clashing opinions and an absence of data: a systematic review","type":"article-journal","volume":"11"},"uris":["http://www.mendeley.com/documents/?uuid=4c143e77-bbaf-3fda-aa4f-31deaebe0424"]}],"mendeley":{"formattedCitation":"&lt;sup&gt;25&lt;/sup&gt;","plainTextFormattedCitation":"25","previouslyFormattedCitation":"&lt;sup&gt;25&lt;/sup&gt;"},"properties":{"noteIndex":0},"schema":"https://github.com/citation-style-language/schema/raw/master/csl-citation.json"}</w:instrText>
      </w:r>
      <w:r w:rsidR="00980CD2">
        <w:fldChar w:fldCharType="separate"/>
      </w:r>
      <w:r w:rsidR="00AC379A" w:rsidRPr="00AC379A">
        <w:rPr>
          <w:noProof/>
          <w:vertAlign w:val="superscript"/>
        </w:rPr>
        <w:t>25</w:t>
      </w:r>
      <w:r w:rsidR="00980CD2">
        <w:fldChar w:fldCharType="end"/>
      </w:r>
      <w:r w:rsidR="00BC08ED">
        <w:t xml:space="preserve">  T</w:t>
      </w:r>
      <w:r w:rsidR="00C50B86" w:rsidRPr="006F1D83">
        <w:t xml:space="preserve">he same estimates are presented against under-5 mortality in Appendix </w:t>
      </w:r>
      <w:r w:rsidR="006F1D83" w:rsidRPr="006F1D83">
        <w:t>B</w:t>
      </w:r>
      <w:r w:rsidR="002704BC">
        <w:t xml:space="preserve">. It can be seen that, in general, </w:t>
      </w:r>
      <w:r>
        <w:t>cost per DALY averted is increasing with GDP per capita, but the relationship is not fixed, nor is it monotonic.</w:t>
      </w:r>
      <w:r w:rsidR="00CF4BAF">
        <w:t xml:space="preserve"> The variability of estimates between countries results from variability in country-specific characteristics, such as its demography and epidemiology and how much it spends on healthcare.  As a result, there is no fixed proportion of GDP per capita that can reliably be used to estimate health opportunity costs.</w:t>
      </w:r>
    </w:p>
    <w:p w14:paraId="5691181D" w14:textId="401D63E5" w:rsidR="00915D9C" w:rsidRDefault="00895692" w:rsidP="00CF4BAF">
      <w:pPr>
        <w:rPr>
          <w:noProof/>
          <w:lang w:eastAsia="en-GB"/>
        </w:rPr>
      </w:pPr>
      <w:r>
        <w:rPr>
          <w:noProof/>
          <w:lang w:eastAsia="en-GB"/>
        </w:rPr>
        <w:t>[INSERT FIGURE 4]</w:t>
      </w:r>
    </w:p>
    <w:p w14:paraId="739B8054" w14:textId="34987C93" w:rsidR="000B6059" w:rsidRDefault="001424EF" w:rsidP="001424EF">
      <w:r>
        <w:t xml:space="preserve">These patterns are </w:t>
      </w:r>
      <w:r w:rsidRPr="001424EF">
        <w:t xml:space="preserve">evident across countries where the estimates based on the </w:t>
      </w:r>
      <w:r w:rsidR="00F434F3">
        <w:t xml:space="preserve">population-wide </w:t>
      </w:r>
      <w:r w:rsidRPr="001424EF">
        <w:t>all-cause mortality elasticities from Lomas et al</w:t>
      </w:r>
      <w:r w:rsidR="00066370">
        <w:fldChar w:fldCharType="begin" w:fldLock="1"/>
      </w:r>
      <w:r w:rsidR="008D0493">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http://www.mendeley.com/documents/?uuid=313039e3-aa2a-4914-98e1-0de8dd0ff93e","http://www.mendeley.com/documents/?uuid=4addd83c-fba1-354b-994a-a1311bea7908"]}],"mendeley":{"formattedCitation":"&lt;sup&gt;13&lt;/sup&gt;","plainTextFormattedCitation":"13","previouslyFormattedCitation":"&lt;sup&gt;13&lt;/sup&gt;"},"properties":{"noteIndex":0},"schema":"https://github.com/citation-style-language/schema/raw/master/csl-citation.json"}</w:instrText>
      </w:r>
      <w:r w:rsidR="00066370">
        <w:fldChar w:fldCharType="separate"/>
      </w:r>
      <w:r w:rsidR="0086594C" w:rsidRPr="0086594C">
        <w:rPr>
          <w:noProof/>
          <w:vertAlign w:val="superscript"/>
        </w:rPr>
        <w:t>13</w:t>
      </w:r>
      <w:r w:rsidR="00066370">
        <w:fldChar w:fldCharType="end"/>
      </w:r>
      <w:r w:rsidRPr="001424EF">
        <w:t xml:space="preserve"> result in the lowest estimate for each country. The ranges from Woods et al</w:t>
      </w:r>
      <w:r w:rsidR="00066370">
        <w:fldChar w:fldCharType="begin" w:fldLock="1"/>
      </w:r>
      <w:r w:rsidR="008D0493">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066370">
        <w:fldChar w:fldCharType="separate"/>
      </w:r>
      <w:r w:rsidR="0086594C" w:rsidRPr="0086594C">
        <w:rPr>
          <w:noProof/>
          <w:vertAlign w:val="superscript"/>
        </w:rPr>
        <w:t>15</w:t>
      </w:r>
      <w:r w:rsidR="00066370">
        <w:fldChar w:fldCharType="end"/>
      </w:r>
      <w:r w:rsidRPr="001424EF">
        <w:t xml:space="preserve"> are all below 1x GDP per capita with the exception of Singapore</w:t>
      </w:r>
      <w:r>
        <w:t xml:space="preserve"> (</w:t>
      </w:r>
      <w:r>
        <w:rPr>
          <w:rFonts w:ascii="Calibri" w:hAnsi="Calibri" w:cs="Calibri"/>
        </w:rPr>
        <w:t>40%-112% of GDP per capita)</w:t>
      </w:r>
      <w:r w:rsidRPr="001424EF">
        <w:t xml:space="preserve">. The ranges </w:t>
      </w:r>
      <w:r w:rsidR="00E15C6E">
        <w:t xml:space="preserve">estimated </w:t>
      </w:r>
      <w:r w:rsidR="00F358B1">
        <w:t xml:space="preserve">in this paper </w:t>
      </w:r>
      <w:r w:rsidRPr="001424EF">
        <w:t>are all below 3x GDP per capita (apart from the Netherlands, which is 211% - 376%).</w:t>
      </w:r>
      <w:r w:rsidR="00253DBB">
        <w:t xml:space="preserve">  Ochalek et al</w:t>
      </w:r>
      <w:r w:rsidR="00066370">
        <w:fldChar w:fldCharType="begin" w:fldLock="1"/>
      </w:r>
      <w:r w:rsidR="008D0493">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rsidR="00066370">
        <w:fldChar w:fldCharType="separate"/>
      </w:r>
      <w:r w:rsidR="0086594C" w:rsidRPr="0086594C">
        <w:rPr>
          <w:noProof/>
          <w:vertAlign w:val="superscript"/>
        </w:rPr>
        <w:t>16</w:t>
      </w:r>
      <w:r w:rsidR="00066370">
        <w:fldChar w:fldCharType="end"/>
      </w:r>
      <w:r w:rsidR="00F358B1">
        <w:t>, on which the methods used here are based,</w:t>
      </w:r>
      <w:r w:rsidR="00AA226B">
        <w:t xml:space="preserve"> report results for LMICs only and most of the estimated ranges are below 1x GDP per capita.  </w:t>
      </w:r>
      <w:r w:rsidR="00D168B5" w:rsidRPr="00066370">
        <w:t xml:space="preserve">This </w:t>
      </w:r>
      <w:r w:rsidR="007C532A">
        <w:t>is mainly due to two factors:</w:t>
      </w:r>
      <w:r w:rsidR="00D168B5" w:rsidRPr="00066370">
        <w:t xml:space="preserve"> countries with higher GDP per capita tend to spend more on health and government health expenditure forms the numerator of cost per DALY averted</w:t>
      </w:r>
      <w:r w:rsidR="007C532A">
        <w:t>;</w:t>
      </w:r>
      <w:r w:rsidR="00D168B5">
        <w:t xml:space="preserve"> and countries with higher GDP per capita tend to have better baseline health outcomes meaning that the same proportional effect will result in a smaller denominator. </w:t>
      </w:r>
      <w:r w:rsidR="00116189">
        <w:t xml:space="preserve">The estimated ranges are, however, not a simple function of GDP per capita as variation is evident in Figure </w:t>
      </w:r>
      <w:r w:rsidR="007C532A">
        <w:t>4</w:t>
      </w:r>
      <w:r w:rsidR="00116189">
        <w:t xml:space="preserve"> and estimated ranges based on </w:t>
      </w:r>
      <w:r w:rsidR="00066370">
        <w:t>Ochalek et al</w:t>
      </w:r>
      <w:r w:rsidR="00066370">
        <w:fldChar w:fldCharType="begin" w:fldLock="1"/>
      </w:r>
      <w:r w:rsidR="008D0493">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rsidR="00066370">
        <w:fldChar w:fldCharType="separate"/>
      </w:r>
      <w:r w:rsidR="0086594C" w:rsidRPr="0086594C">
        <w:rPr>
          <w:noProof/>
          <w:vertAlign w:val="superscript"/>
        </w:rPr>
        <w:t>16</w:t>
      </w:r>
      <w:r w:rsidR="00066370">
        <w:fldChar w:fldCharType="end"/>
      </w:r>
      <w:r w:rsidR="00116189">
        <w:t xml:space="preserve"> also depend on a country’s underlying mortality rates, demography and epidemiology.</w:t>
      </w:r>
      <w:r w:rsidR="003F0FFA">
        <w:t xml:space="preserve"> </w:t>
      </w:r>
    </w:p>
    <w:p w14:paraId="6218B1C8" w14:textId="53AB1B4E" w:rsidR="0054057B" w:rsidRDefault="000B6059" w:rsidP="001424EF">
      <w:r>
        <w:lastRenderedPageBreak/>
        <w:t xml:space="preserve">The ranges </w:t>
      </w:r>
      <w:r w:rsidR="00F358B1">
        <w:t>this paper</w:t>
      </w:r>
      <w:r>
        <w:t xml:space="preserve"> and </w:t>
      </w:r>
      <w:r w:rsidR="00C735CE">
        <w:t xml:space="preserve">the results from </w:t>
      </w:r>
      <w:r>
        <w:t>Woods et al</w:t>
      </w:r>
      <w:r w:rsidR="00066370">
        <w:fldChar w:fldCharType="begin" w:fldLock="1"/>
      </w:r>
      <w:r w:rsidR="008D0493">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066370">
        <w:fldChar w:fldCharType="separate"/>
      </w:r>
      <w:r w:rsidR="0086594C" w:rsidRPr="0086594C">
        <w:rPr>
          <w:noProof/>
          <w:vertAlign w:val="superscript"/>
        </w:rPr>
        <w:t>15</w:t>
      </w:r>
      <w:r w:rsidR="00066370">
        <w:fldChar w:fldCharType="end"/>
      </w:r>
      <w:r>
        <w:t xml:space="preserve"> </w:t>
      </w:r>
      <w:r w:rsidR="009A755C">
        <w:t>tend</w:t>
      </w:r>
      <w:r>
        <w:t xml:space="preserve"> to widen as GDP increases in Figure</w:t>
      </w:r>
      <w:r w:rsidR="009A755C">
        <w:t xml:space="preserve"> </w:t>
      </w:r>
      <w:r w:rsidR="007C532A">
        <w:t>4</w:t>
      </w:r>
      <w:r>
        <w:t xml:space="preserve">.  </w:t>
      </w:r>
      <w:r w:rsidR="003F0FFA">
        <w:t>The ranges from Woods et a</w:t>
      </w:r>
      <w:r w:rsidR="00F434F3">
        <w:t>l</w:t>
      </w:r>
      <w:r w:rsidR="00066370">
        <w:fldChar w:fldCharType="begin" w:fldLock="1"/>
      </w:r>
      <w:r w:rsidR="008D0493">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066370">
        <w:fldChar w:fldCharType="separate"/>
      </w:r>
      <w:r w:rsidR="0086594C" w:rsidRPr="0086594C">
        <w:rPr>
          <w:noProof/>
          <w:vertAlign w:val="superscript"/>
        </w:rPr>
        <w:t>15</w:t>
      </w:r>
      <w:r w:rsidR="00066370">
        <w:fldChar w:fldCharType="end"/>
      </w:r>
      <w:r w:rsidR="003F0FFA">
        <w:t xml:space="preserve"> widen as GDP per capita diverges from the UK value</w:t>
      </w:r>
      <w:r w:rsidR="00F434F3">
        <w:t xml:space="preserve"> estimated by Cla</w:t>
      </w:r>
      <w:r w:rsidR="00E935C4">
        <w:t>x</w:t>
      </w:r>
      <w:r w:rsidR="00F434F3">
        <w:t>ton et al</w:t>
      </w:r>
      <w:r w:rsidR="00F434F3">
        <w:fldChar w:fldCharType="begin" w:fldLock="1"/>
      </w:r>
      <w:r w:rsidR="00B22676">
        <w:instrText>ADDIN CSL_CITATION {"citationItems":[{"id":"ITEM-1","itemData":{"DOI":"10.3310/hta19140","ISSN":"2046-4924","PMID":"25692211","abstract":"BACKGROUND: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 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 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impose n…","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England)","id":"ITEM-1","issue":"14","issued":{"date-parts":[["2015","2"]]},"language":"eng","page":"1-503, v-vi","title":"Methods for the estimation of the National Institute for Health and Care Excellence cost-effectiveness threshold.","type":"article-journal","volume":"19"},"uris":["http://www.mendeley.com/documents/?uuid=53b21a33-4f28-4b00-aecd-0b0ef6659b58"]}],"mendeley":{"formattedCitation":"&lt;sup&gt;23&lt;/sup&gt;","plainTextFormattedCitation":"23","previouslyFormattedCitation":"&lt;sup&gt;23&lt;/sup&gt;"},"properties":{"noteIndex":0},"schema":"https://github.com/citation-style-language/schema/raw/master/csl-citation.json"}</w:instrText>
      </w:r>
      <w:r w:rsidR="00F434F3">
        <w:fldChar w:fldCharType="separate"/>
      </w:r>
      <w:r w:rsidR="00F434F3" w:rsidRPr="00F434F3">
        <w:rPr>
          <w:noProof/>
          <w:vertAlign w:val="superscript"/>
        </w:rPr>
        <w:t>23</w:t>
      </w:r>
      <w:r w:rsidR="00F434F3">
        <w:fldChar w:fldCharType="end"/>
      </w:r>
      <w:r w:rsidR="003F0FFA">
        <w:t xml:space="preserve"> since these results </w:t>
      </w:r>
      <w:r>
        <w:t>extrapolate from that value</w:t>
      </w:r>
      <w:r w:rsidR="003F0FFA">
        <w:t>.</w:t>
      </w:r>
      <w:r w:rsidR="00116189">
        <w:t xml:space="preserve">  The</w:t>
      </w:r>
      <w:r w:rsidR="003F0FFA">
        <w:t xml:space="preserve"> width of the</w:t>
      </w:r>
      <w:r w:rsidR="00116189">
        <w:t xml:space="preserve"> range of estimates for each country</w:t>
      </w:r>
      <w:r w:rsidR="003F0FFA">
        <w:t xml:space="preserve"> </w:t>
      </w:r>
      <w:r w:rsidR="00F358B1">
        <w:t xml:space="preserve">from this paper </w:t>
      </w:r>
      <w:r w:rsidR="003F0FFA">
        <w:t xml:space="preserve">generally </w:t>
      </w:r>
      <w:r w:rsidR="00116189">
        <w:t>expands as GDP increases</w:t>
      </w:r>
      <w:r w:rsidR="003F0FFA">
        <w:t>, but the pattern is less straightforward</w:t>
      </w:r>
      <w:r w:rsidR="00116189">
        <w:t xml:space="preserve">.  </w:t>
      </w:r>
      <w:r>
        <w:t xml:space="preserve">Some portion of this is explained by </w:t>
      </w:r>
      <w:r w:rsidR="005F7825">
        <w:t xml:space="preserve">the uncertainty in the denominator being scaled up by a larger numerator (i.e., as government expenditure on health tends to increase with GDP), but differing levels of uncertainty exist in the denominator for each </w:t>
      </w:r>
      <w:r w:rsidR="00D30564">
        <w:t>country</w:t>
      </w:r>
      <w:r w:rsidR="005F7825">
        <w:t>.</w:t>
      </w:r>
    </w:p>
    <w:p w14:paraId="48434C36" w14:textId="77777777" w:rsidR="00395B46" w:rsidRPr="00072196" w:rsidRDefault="00395B46" w:rsidP="00395B46">
      <w:pPr>
        <w:pStyle w:val="Heading2"/>
      </w:pPr>
      <w:r w:rsidRPr="00072196">
        <w:t>Discussion</w:t>
      </w:r>
    </w:p>
    <w:p w14:paraId="41339929" w14:textId="707221F3" w:rsidR="0059103A" w:rsidRDefault="00735721" w:rsidP="00395B46">
      <w:r>
        <w:t>Evaluating whether or not a new</w:t>
      </w:r>
      <w:r w:rsidR="0059103A">
        <w:t xml:space="preserve"> health</w:t>
      </w:r>
      <w:r>
        <w:t xml:space="preserve"> technology provides good value</w:t>
      </w:r>
      <w:r w:rsidR="009231E6">
        <w:t xml:space="preserve"> for money</w:t>
      </w:r>
      <w:r>
        <w:t xml:space="preserve"> requires an assessment of </w:t>
      </w:r>
      <w:r w:rsidR="00896815">
        <w:t>its</w:t>
      </w:r>
      <w:r>
        <w:t xml:space="preserve"> opportunity cost. If the opportunity cost of the new</w:t>
      </w:r>
      <w:r w:rsidR="0059103A">
        <w:t xml:space="preserve"> health</w:t>
      </w:r>
      <w:r>
        <w:t xml:space="preserve"> technology exceeds the benefits, however measured, then a net loss is produced</w:t>
      </w:r>
      <w:r w:rsidR="009231E6">
        <w:t>.</w:t>
      </w:r>
      <w:r w:rsidR="0059103A">
        <w:t xml:space="preserve"> While much attention has been given to the estimation of costs and benefits in cost-effectiveness analysis, </w:t>
      </w:r>
      <w:r w:rsidR="00DC01FE">
        <w:t xml:space="preserve">too little has been devoted to </w:t>
      </w:r>
      <w:r w:rsidR="0059103A">
        <w:t xml:space="preserve">the </w:t>
      </w:r>
      <w:r w:rsidR="00DC01FE">
        <w:t xml:space="preserve">estimation of opportunity costs. </w:t>
      </w:r>
    </w:p>
    <w:p w14:paraId="59D47214" w14:textId="2F587798" w:rsidR="00735721" w:rsidRDefault="00DC01FE" w:rsidP="00395B46">
      <w:r>
        <w:t>The National Institute for Health and Care Excellence (NICE) specifies an explicit range for the cost-effectiveness thresholds used in its deliberative decision-making process (£20,000 to £30,000 per QALY)</w:t>
      </w:r>
      <w:r>
        <w:fldChar w:fldCharType="begin" w:fldLock="1"/>
      </w:r>
      <w:r w:rsidR="00C05E22">
        <w:instrText>ADDIN CSL_CITATION {"citationItems":[{"id":"ITEM-1","itemData":{"author":[{"dropping-particle":"","family":"NICE","given":"","non-dropping-particle":"","parse-names":false,"suffix":""}],"id":"ITEM-1","issued":{"date-parts":[["2004"]]},"language":"eng","publisher":"NICE","title":"Guide to the Technology Appraisal Process (reference N0514)","type":"article"},"uris":["http://www.mendeley.com/documents/?uuid=5dc0c564-8a8d-4431-bc04-45b36ecba4fc","http://www.mendeley.com/documents/?uuid=806a5d11-7489-4e79-808a-1e8607dcd935","http://www.mendeley.com/documents/?uuid=26aed885-1f56-448b-a378-23cc5507d231"]}],"mendeley":{"formattedCitation":"&lt;sup&gt;26&lt;/sup&gt;","plainTextFormattedCitation":"26","previouslyFormattedCitation":"&lt;sup&gt;26&lt;/sup&gt;"},"properties":{"noteIndex":0},"schema":"https://github.com/citation-style-language/schema/raw/master/csl-citation.json"}</w:instrText>
      </w:r>
      <w:r>
        <w:fldChar w:fldCharType="separate"/>
      </w:r>
      <w:r w:rsidR="00AC379A" w:rsidRPr="00AC379A">
        <w:rPr>
          <w:noProof/>
          <w:vertAlign w:val="superscript"/>
        </w:rPr>
        <w:t>26</w:t>
      </w:r>
      <w:r>
        <w:fldChar w:fldCharType="end"/>
      </w:r>
      <w:r>
        <w:t xml:space="preserve"> based on implied</w:t>
      </w:r>
      <w:r w:rsidRPr="00A177C9">
        <w:t xml:space="preserve"> </w:t>
      </w:r>
      <w:r>
        <w:t>values from previous decisions</w:t>
      </w:r>
      <w:r>
        <w:fldChar w:fldCharType="begin" w:fldLock="1"/>
      </w:r>
      <w:r w:rsidR="00C05E22">
        <w:instrText>ADDIN CSL_CITATION {"citationItems":[{"id":"ITEM-1","itemData":{"DOI":"10.1136/bmj.329.7459.224","ISSN":"1756-1833","PMID":"15271836","author":[{"dropping-particle":"","family":"Rawlins","given":"Michael D","non-dropping-particle":"","parse-names":false,"suffix":""},{"dropping-particle":"","family":"Culyer","given":"Anthony J","non-dropping-particle":"","parse-names":false,"suffix":""}],"container-title":"BMJ (Clinical research ed.)","id":"ITEM-1","issue":"7459","issued":{"date-parts":[["2004","7","24"]]},"page":"224-7","title":"National Institute for Clinical Excellence and its value judgments.","type":"article-journal","volume":"329"},"uris":["http://www.mendeley.com/documents/?uuid=301c2d4b-6edc-46d8-a1f6-e95baff1c51e"]}],"mendeley":{"formattedCitation":"&lt;sup&gt;27&lt;/sup&gt;","plainTextFormattedCitation":"27","previouslyFormattedCitation":"&lt;sup&gt;27&lt;/sup&gt;"},"properties":{"noteIndex":0},"schema":"https://github.com/citation-style-language/schema/raw/master/csl-citation.json"}</w:instrText>
      </w:r>
      <w:r>
        <w:fldChar w:fldCharType="separate"/>
      </w:r>
      <w:r w:rsidR="00AC379A" w:rsidRPr="00AC379A">
        <w:rPr>
          <w:noProof/>
          <w:vertAlign w:val="superscript"/>
        </w:rPr>
        <w:t>27</w:t>
      </w:r>
      <w:r>
        <w:fldChar w:fldCharType="end"/>
      </w:r>
      <w:r>
        <w:t>, which have been widely recognised for some time (including by NICE) as having little empirical foundation.</w:t>
      </w:r>
      <w:r>
        <w:fldChar w:fldCharType="begin" w:fldLock="1"/>
      </w:r>
      <w:r w:rsidR="00C05E22">
        <w:instrText>ADDIN CSL_CITATION {"citationItems":[{"id":"ITEM-1","itemData":{"author":[{"dropping-particle":"","family":"Committee","given":"House of Commons Health","non-dropping-particle":"","parse-names":false,"suffix":""}],"id":"ITEM-1","issued":{"date-parts":[["2008"]]},"publisher":"Stationery Office","publisher-place":"London","title":"NICE: First report of the Health Committee 2007-2008.","type":"speech"},"uris":["http://www.mendeley.com/documents/?uuid=f2e3b8d7-14b9-4107-8e90-6b56ead44ed0","http://www.mendeley.com/documents/?uuid=66b141ac-ea3c-496b-a18a-3537a7976207","http://www.mendeley.com/documents/?uuid=502acb66-45d1-4857-991d-935d46d974df"]},{"id":"ITEM-2","itemData":{"author":[{"dropping-particle":"","family":"Committee","given":"House of Commons Health","non-dropping-particle":"","parse-names":false,"suffix":""}],"id":"ITEM-2","issued":{"date-parts":[["2008"]]},"publisher":"Stationery Office","publisher-place":"London","title":"NICE response to the first report of session 2007-2008. HC550.","type":"speech"},"uris":["http://www.mendeley.com/documents/?uuid=1ab1edc3-ce80-47f4-9fec-df171a0ef0f8","http://www.mendeley.com/documents/?uuid=d4536297-f79d-4e2d-bf3a-a62552137961","http://www.mendeley.com/documents/?uuid=9c66abd2-bbf7-49aa-bfa8-a5306b441238"]},{"id":"ITEM-3","itemData":{"author":[{"dropping-particle":"","family":"Committee","given":"House of Commons Health","non-dropping-particle":"","parse-names":false,"suffix":""}],"id":"ITEM-3","issued":{"date-parts":[["2008"]]},"publisher":"Stationery Office","publisher-place":"London","title":"The government’s response to the Health Select Committee’s first report of session 2007-08 on the National Institute for Health and Clinical Excellence. Cm7331.","type":"speech"},"uris":["http://www.mendeley.com/documents/?uuid=f486d5d9-d01a-4296-86de-930237d4ae1d","http://www.mendeley.com/documents/?uuid=f2145205-2254-45d7-85bc-b98b46365023","http://www.mendeley.com/documents/?uuid=b97dda86-1df0-4315-840f-5a80acae7fe4"]}],"mendeley":{"formattedCitation":"&lt;sup&gt;28–30&lt;/sup&gt;","plainTextFormattedCitation":"28–30","previouslyFormattedCitation":"&lt;sup&gt;28–30&lt;/sup&gt;"},"properties":{"noteIndex":0},"schema":"https://github.com/citation-style-language/schema/raw/master/csl-citation.json"}</w:instrText>
      </w:r>
      <w:r>
        <w:fldChar w:fldCharType="separate"/>
      </w:r>
      <w:r w:rsidR="00AC379A" w:rsidRPr="00AC379A">
        <w:rPr>
          <w:noProof/>
          <w:vertAlign w:val="superscript"/>
        </w:rPr>
        <w:t>28–30</w:t>
      </w:r>
      <w:r>
        <w:fldChar w:fldCharType="end"/>
      </w:r>
      <w:r>
        <w:t xml:space="preserve"> Other established norms include the thresholds of $50,000 to $150,000 per QALY in the US</w:t>
      </w:r>
      <w:r>
        <w:fldChar w:fldCharType="begin" w:fldLock="1"/>
      </w:r>
      <w:r w:rsidR="00C05E22">
        <w:instrText>ADDIN CSL_CITATION {"citationItems":[{"id":"ITEM-1","itemData":{"DOI":"10.1016/j.jacc.2014.03.016","abstract":"Writing committee members are required to recuse themselves from voting on sections to which their specific relationships with industry may apply; see Appendix 2 for detailed information.","author":[{"dropping-particle":"","family":"Anderson","given":"Jeffrey L","non-dropping-particle":"","parse-names":false,"suffix":""},{"dropping-particle":"","family":"Heidenreich","given":"Paul","non-dropping-particle":"","parse-names":false,"suffix":""},{"dropping-particle":"","family":"Barnett","given":"Paul","non-dropping-particle":"","parse-names":false,"suffix":""},{"dropping-particle":"","family":"Creager","given":"Mark","non-dropping-particle":"","parse-names":false,"suffix":""},{"dropping-particle":"","family":"Fonarow","given":"Gregg","non-dropping-particle":"","parse-names":false,"suffix":""},{"dropping-particle":"","family":"Gibbons","given":"Raymond","non-dropping-particle":"","parse-names":false,"suffix":""},{"dropping-particle":"","family":"Halperin","given":"Jonathan","non-dropping-particle":"","parse-names":false,"suffix":""},{"dropping-particle":"","family":"Hlatky","given":"Mark","non-dropping-particle":"","parse-names":false,"suffix":""},{"dropping-particle":"","family":"Jacobs","given":"Alice","non-dropping-particle":"","parse-names":false,"suffix":""},{"dropping-particle":"","family":"Mark","given":"Daniel","non-dropping-particle":"","parse-names":false,"suffix":""},{"dropping-particle":"","family":"Masoudi","given":"Frederick","non-dropping-particle":"","parse-names":false,"suffix":""},{"dropping-particle":"","family":"Peterson","given":"Eric","non-dropping-particle":"","parse-names":false,"suffix":""},{"dropping-particle":"","family":"Shaw","given":"Leslee","non-dropping-particle":"","parse-names":false,"suffix":""}],"id":"ITEM-1","issue":"21","issued":{"date-parts":[["2014"]]},"title":"ACC/AHA Statement on Cost/Value Methodology in Clinical Practice Guidelines and Performance Measures: A Report of the American College of Cardiology/American Heart Association Task Force on Performance Measures and Task Force on Practice Guidelines","type":"article-journal","volume":"63"},"uris":["http://www.mendeley.com/documents/?uuid=9c758625-c03e-3281-9c24-9f3410434973","http://www.mendeley.com/documents/?uuid=39d336a3-3dee-4820-bc34-46a778478e93","http://www.mendeley.com/documents/?uuid=6d666534-93f7-43c0-baa3-98f1320f5e32"]}],"mendeley":{"formattedCitation":"&lt;sup&gt;31&lt;/sup&gt;","plainTextFormattedCitation":"31","previouslyFormattedCitation":"&lt;sup&gt;31&lt;/sup&gt;"},"properties":{"noteIndex":0},"schema":"https://github.com/citation-style-language/schema/raw/master/csl-citation.json"}</w:instrText>
      </w:r>
      <w:r>
        <w:fldChar w:fldCharType="separate"/>
      </w:r>
      <w:r w:rsidR="00AC379A" w:rsidRPr="00AC379A">
        <w:rPr>
          <w:noProof/>
          <w:vertAlign w:val="superscript"/>
        </w:rPr>
        <w:t>31</w:t>
      </w:r>
      <w:r>
        <w:fldChar w:fldCharType="end"/>
      </w:r>
      <w:r>
        <w:t>, which have become increasingly cited but are also widely recognised as having little evidential foundation</w:t>
      </w:r>
      <w:r>
        <w:fldChar w:fldCharType="begin" w:fldLock="1"/>
      </w:r>
      <w:r w:rsidR="00C05E22">
        <w:instrText>ADDIN CSL_CITATION {"citationItems":[{"id":"ITEM-1","itemData":{"DOI":"10.1056/NEJMp1405158","ISSN":"0028-4793","PMID":"25162885","author":[{"dropping-particle":"","family":"Neumann","given":"Peter J.","non-dropping-particle":"","parse-names":false,"suffix":""},{"dropping-particle":"","family":"Cohen","given":"Joshua T.","non-dropping-particle":"","parse-names":false,"suffix":""},{"dropping-particle":"","family":"Weinstein","given":"Milton C.","non-dropping-particle":"","parse-names":false,"suffix":""}],"container-title":"New England Journal of Medicine","id":"ITEM-1","issue":"9","issued":{"date-parts":[["2014","8","28"]]},"page":"796-797","title":"Updating Cost-Effectiveness — The Curious Resilience of the $50,000-per-QALY Threshold","type":"article-journal","volume":"371"},"uris":["http://www.mendeley.com/documents/?uuid=79976aba-df95-3743-8af4-9fa5469dbdd4"]}],"mendeley":{"formattedCitation":"&lt;sup&gt;32&lt;/sup&gt;","plainTextFormattedCitation":"32","previouslyFormattedCitation":"&lt;sup&gt;32&lt;/sup&gt;"},"properties":{"noteIndex":0},"schema":"https://github.com/citation-style-language/schema/raw/master/csl-citation.json"}</w:instrText>
      </w:r>
      <w:r>
        <w:fldChar w:fldCharType="separate"/>
      </w:r>
      <w:r w:rsidR="00AC379A" w:rsidRPr="00AC379A">
        <w:rPr>
          <w:noProof/>
          <w:vertAlign w:val="superscript"/>
        </w:rPr>
        <w:t>32</w:t>
      </w:r>
      <w:r>
        <w:fldChar w:fldCharType="end"/>
      </w:r>
      <w:r>
        <w:t>, and the range of 1x to 3x GDP per capita, which have been widely used for decision making in LMICs after being recommended by the World Health Organization (WHO).</w:t>
      </w:r>
      <w:r>
        <w:fldChar w:fldCharType="begin" w:fldLock="1"/>
      </w:r>
      <w:r w:rsidR="00C05E22">
        <w:instrText>ADDIN CSL_CITATION {"citationItems":[{"id":"ITEM-1","itemData":{"author":[{"dropping-particle":"","family":"Commission on Macroeconomics and Health","given":"","non-dropping-particle":"","parse-names":false,"suffix":""}],"id":"ITEM-1","issued":{"date-parts":[["2001"]]},"publisher-place":"Geneva","title":"Macroeconomics and Health: Investing in Health for Economic Development","type":"report"},"uris":["http://www.mendeley.com/documents/?uuid=94270ca9-8682-30b6-a991-f5e218ae20fc"]}],"mendeley":{"formattedCitation":"&lt;sup&gt;33&lt;/sup&gt;","plainTextFormattedCitation":"33","previouslyFormattedCitation":"&lt;sup&gt;33&lt;/sup&gt;"},"properties":{"noteIndex":0},"schema":"https://github.com/citation-style-language/schema/raw/master/csl-citation.json"}</w:instrText>
      </w:r>
      <w:r>
        <w:fldChar w:fldCharType="separate"/>
      </w:r>
      <w:r w:rsidR="00AC379A" w:rsidRPr="00AC379A">
        <w:rPr>
          <w:noProof/>
          <w:vertAlign w:val="superscript"/>
        </w:rPr>
        <w:t>33</w:t>
      </w:r>
      <w:r>
        <w:fldChar w:fldCharType="end"/>
      </w:r>
      <w:r>
        <w:t xml:space="preserve"> The shortcomings of applying these thresholds in decision making in LMICs have been thoroughly established</w:t>
      </w:r>
      <w:r>
        <w:fldChar w:fldCharType="begin" w:fldLock="1"/>
      </w:r>
      <w:r w:rsidR="00C05E22">
        <w:instrText>ADDIN CSL_CITATION {"citationItems":[{"id":"ITEM-1","itemData":{"DOI":"10.1007/s40273-014-0162-x","PMID":"24791735","abstract":"The World Health Organization's CHOosing Interventions that are Cost Effective (WHO-CHOICE) thresholds for averting a disability-adjusted life-year of one to three times per capita income have been widely cited and used as a measure of cost effectiveness in evaluations of vaccination for low- and middle-income countries (LMICs). These thresholds were based upon criteria set out by the WHO Commission on Macroeconomics and Health, which reflected the potential economic returns of interventions. The CHOICE project sought to evaluate a variety of health interventions at a subregional level and classify them into broad categories to help assist decision makers, but the utility of the thresholds for within-country decision making for individual interventions (given budgetary constraints) has not been adequately explored. To examine whether the 'WHO-CHOICE thresholds' reflect funding decisions, we examined the results of two recent reviews of cost-effectiveness analyses of human papillomavirus and rotavirus vaccination in LMICs, and we assessed whether the results of these studies were reflected in funding decisions for these vaccination programmes. We found that in many cases, programmes that were deemed cost effective were not subsequently implemented in the country. We consider the implications of this finding, the advantages and disadvantages of alternative methods to estimate thresholds, and how cost perspectives and the funders of healthcare may impact on these choices.","author":[{"dropping-particle":"","family":"Newall","given":"A T","non-dropping-particle":"","parse-names":false,"suffix":""},{"dropping-particle":"","family":"Jit","given":"M","non-dropping-particle":"","parse-names":false,"suffix":""},{"dropping-particle":"","family":"Hutubessy","given":"R","non-dropping-particle":"","parse-names":false,"suffix":""}],"container-title":"PharmacoEconomics","id":"ITEM-1","issue":"6","issued":{"date-parts":[["2014","6"]]},"page":"525-31","title":"Are current cost-effectiveness thresholds for low- and middle-income countries useful? Examples from the world of vaccines.","type":"article-journal","volume":"32"},"uris":["http://www.mendeley.com/documents/?uuid=354796ac-eb29-4ab8-8e9e-4b405a1c4818"]},{"id":"ITEM-2","itemData":{"DOI":"10.2471/BLT.14.138206","ISSN":"1564-0604","PMID":"25883405","abstract":"Many countries use the cost-effectiveness thresholds recommended by the World Health Organization's Choosing Interventions that are Cost-Effective project (WHO-CHOICE) when evaluating health interventions. This project sets the threshold for cost-effectiveness as the cost of the intervention per disability-adjusted life-year (DALY) averted less than three times the country's annual gross domestic product (GDP) per capita. Highly cost-effective interventions are defined as meeting a threshold per DALY averted of once the annual GDP per capita. We argue that reliance on these thresholds reduces the value of cost-effectiveness analyses and makes such analyses too blunt to be useful for most decision-making in the field of public health. Use of these thresholds has little theoretical justification, skirts the difficult but necessary ranking of the relative values of locally-applicable interventions and omits any consideration of what is truly affordable. The WHO-CHOICE thresholds set such a low bar for cost-effectiveness that very few interventions with evidence of efficacy can be ruled out. The thresholds have little value in assessing the trade-offs that decision-makers must confront. We present alternative approaches for applying cost-effectiveness criteria to choices in the allocation of health-care resources. De nombreux pays utilisent les seuils de rentabilité recommandés par le projet WHO-CHOICE (Choosing Interventions that are Cost–Effective; en français: « choisir des interventions efficaces au meilleur coût ») de l'Organisation mondiale de la Santé lors de l'évaluation des interventions sanitaires. Ce projet définit le seuil de rentabilité comme étant égal au coût de l'intervention par espérance de vie corrigée de l'incapacité (EVCI) évitée moins trois fois le produit intérieur brut (PIB) annuel du pays par habitant. Les interventions très rentables sont définies comme celles satisfaisant un seuil par EVCI évitée égal à une fois le PIB annuel par habitant. Nous soutenons que le recours à ces seuils réduit la valeur des analyses de rentabilité et qu'il rend ces analyses trop grossières pour qu'elles soient utiles pour la prise de décision dans le domaine de la santé publique. L'utilisation de ces seuils est peu justifiée théoriquement, contourne le classement difficile mais nécessaire des valeurs relatives des interventions applicables localement et néglige l'examen de ce qui vraiment abordable. Les seuils de WHO-CHOICE fixent une limite de rentabi…","author":[{"dropping-particle":"","family":"Marseille","given":"Elliot","non-dropping-particle":"","parse-names":false,"suffix":""},{"dropping-particle":"","family":"Larson","given":"Bruce","non-dropping-particle":"","parse-names":false,"suffix":""},{"dropping-particle":"","family":"Kazi","given":"Dhruv S","non-dropping-particle":"","parse-names":false,"suffix":""},{"dropping-particle":"","family":"Kahn","given":"James G","non-dropping-particle":"","parse-names":false,"suffix":""},{"dropping-particle":"","family":"Rosen","given":"Sydney","non-dropping-particle":"","parse-names":false,"suffix":""}],"container-title":"Bulletin of the World Health Organization","id":"ITEM-2","issue":"2","issued":{"date-parts":[["2015","2"]]},"page":"118-24","publisher":"World Health Organization","title":"Thresholds for the cost-effectiveness of interventions: alternative approaches.","type":"article-journal","volume":"93"},"uris":["http://www.mendeley.com/documents/?uuid=1f907a0e-f7e7-3a50-81ce-273896d717ba","http://www.mendeley.com/documents/?uuid=4075ebb7-1d85-4a76-b3e9-a2a5e1f94b7e","http://www.mendeley.com/documents/?uuid=9a780b2a-0584-436e-9320-e0b8e0d65c3b"]},{"id":"ITEM-3","itemData":{"DOI":"10.1093/heapol/czw096","ISSN":"0268-1080","author":[{"dropping-particle":"","family":"Robinson","given":"Lisa A","non-dropping-particle":"","parse-names":false,"suffix":""},{"dropping-particle":"","family":"Hammitt","given":"James K","non-dropping-particle":"","parse-names":false,"suffix":""},{"dropping-particle":"","family":"Chang","given":"Angela Y","non-dropping-particle":"","parse-names":false,"suffix":""},{"dropping-particle":"","family":"Resch","given":"Stephen","non-dropping-particle":"","parse-names":false,"suffix":""}],"container-title":"Health Policy and Planning","id":"ITEM-3","issue":"1","issued":{"date-parts":[["2017","2"]]},"page":"141-145","title":"Understanding and improving the one and three times GDP per capita cost-effectiveness thresholds","type":"article-journal","volume":"32"},"uris":["http://www.mendeley.com/documents/?uuid=117e99ce-27cc-3f78-8e1a-ae4888330c7d"]}],"mendeley":{"formattedCitation":"&lt;sup&gt;34–36&lt;/sup&gt;","plainTextFormattedCitation":"34–36","previouslyFormattedCitation":"&lt;sup&gt;34–36&lt;/sup&gt;"},"properties":{"noteIndex":0},"schema":"https://github.com/citation-style-language/schema/raw/master/csl-citation.json"}</w:instrText>
      </w:r>
      <w:r>
        <w:fldChar w:fldCharType="separate"/>
      </w:r>
      <w:r w:rsidR="00AC379A" w:rsidRPr="00AC379A">
        <w:rPr>
          <w:noProof/>
          <w:vertAlign w:val="superscript"/>
        </w:rPr>
        <w:t>34–36</w:t>
      </w:r>
      <w:r>
        <w:fldChar w:fldCharType="end"/>
      </w:r>
      <w:r>
        <w:t>, and the WHO has since distanced itself from them.</w:t>
      </w:r>
      <w:r>
        <w:fldChar w:fldCharType="begin" w:fldLock="1"/>
      </w:r>
      <w:r w:rsidR="00C05E22">
        <w:instrText>ADDIN CSL_CITATION {"citationItems":[{"id":"ITEM-1","itemData":{"DOI":"10.2471/BLT.15.164418","ISSN":"1564-0604","PMID":"27994285","abstract":"Cost-effectiveness analysis is used to compare the costs and outcomes of alternative policy options. Each resulting cost-effectiveness ratio represents the magnitude of additional health gained per additional unit of resources spent. Cost-effectiveness thresholds allow cost-effectiveness ratios that represent good or very good value for money to be identified. In 2001, the World Health Organization's Commission on Macroeconomics in Health suggested cost-effectiveness thresholds based on multiples of a country's per-capita gross domestic product (GDP). In some contexts, in choosing which health interventions to fund and which not to fund, these thresholds have been used as decision rules. However, experience with the use of such GDP-based thresholds in decision-making processes at country level shows them to lack country specificity and this - in addition to uncertainty in the modelled cost-effectiveness ratios - can lead to the wrong decision on how to spend health-care resources. Cost-effectiveness information should be used alongside other considerations - e.g. budget impact and feasibility considerations - in a transparent decision-making process, rather than in isolation based on a single threshold value. Although cost-effectiveness ratios are undoubtedly informative in assessing value for money, countries should be encouraged to develop a context-specific process for decision-making that is supported by legislation, has stakeholder buy-in, for example the involvement of civil society organizations and patient groups, and is transparent, consistent and fair. Les analyses de rentabilité permettent de comparer les coûts et les résultats de différentes options politiques. Chaque ratio coût-efficacité qui en découle indique l'importance des avantages supplémentaires pour la santé par unité supplémentaire de ressources dépensée. Les seuils de rentabilité permettent de déterminer les ratios coût-efficacité qui représentent une bonne ou une très bonne rentabilité. En 2001, la Commission macroéconomie et santé de l'Organisation mondiale de la Santé a suggéré des seuils de rentabilité définis d'après des multiples du produit intérieur brut (PIB) par habitant d'un pays. Dans certains pays, ces seuils ont servi de règles pour décider quelles interventions financer ou non. Cependant, l'expérience d'utilisation de ces seuils fondés sur le PIB dans les processus décisionnels des pays montre qu'ils ne tiennent pas compte des spécificités des pays; cela, ajouté à u…","author":[{"dropping-particle":"","family":"Bertram","given":"Melanie Y","non-dropping-particle":"","parse-names":false,"suffix":""},{"dropping-particle":"","family":"Lauer","given":"Jeremy A","non-dropping-particle":"","parse-names":false,"suffix":""},{"dropping-particle":"","family":"Joncheere","given":"Kees","non-dropping-particle":"De","parse-names":false,"suffix":""},{"dropping-particle":"","family":"Edejer","given":"Tessa","non-dropping-particle":"","parse-names":false,"suffix":""},{"dropping-particle":"","family":"Hutubessy","given":"Raymond","non-dropping-particle":"","parse-names":false,"suffix":""},{"dropping-particle":"","family":"Kieny","given":"Marie-Paule","non-dropping-particle":"","parse-names":false,"suffix":""},{"dropping-particle":"","family":"Hill","given":"Suzanne R","non-dropping-particle":"","parse-names":false,"suffix":""}],"container-title":"Bulletin of the World Health Organization","id":"ITEM-1","issue":"12","issued":{"date-parts":[["2016","12"]]},"page":"925-930","publisher":"World Health Organization","title":"Cost-effectiveness thresholds: pros and cons.","type":"article-journal","volume":"94"},"uris":["http://www.mendeley.com/documents/?uuid=6836cd10-f3fc-33ec-8a44-5d27b68ae382","http://www.mendeley.com/documents/?uuid=d95c0b95-318f-42a3-9261-0c045db52905","http://www.mendeley.com/documents/?uuid=2219d7e4-fdc6-4946-954f-7b500a753798"]}],"mendeley":{"formattedCitation":"&lt;sup&gt;37&lt;/sup&gt;","plainTextFormattedCitation":"37","previouslyFormattedCitation":"&lt;sup&gt;37&lt;/sup&gt;"},"properties":{"noteIndex":0},"schema":"https://github.com/citation-style-language/schema/raw/master/csl-citation.json"}</w:instrText>
      </w:r>
      <w:r>
        <w:fldChar w:fldCharType="separate"/>
      </w:r>
      <w:r w:rsidR="00AC379A" w:rsidRPr="00AC379A">
        <w:rPr>
          <w:noProof/>
          <w:vertAlign w:val="superscript"/>
        </w:rPr>
        <w:t>37</w:t>
      </w:r>
      <w:r>
        <w:fldChar w:fldCharType="end"/>
      </w:r>
      <w:r>
        <w:t xml:space="preserve"> Employing a threshold for decision making that is not based on an empirical estimate of health opportunity cost risks decisions reducing rather than improving health outcomes overall.</w:t>
      </w:r>
      <w:r>
        <w:fldChar w:fldCharType="begin" w:fldLock="1"/>
      </w:r>
      <w:r w:rsidR="008D0493">
        <w:instrText>ADDIN CSL_CITATION {"citationItems":[{"id":"ITEM-1","itemData":{"DOI":"10.1136/bmjgh-2018-000964","ISSN":"2059-7908","abstract":"&lt;p&gt;The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healthcare. This paper provides a framework for generating country-specific estimates of cost per disability-adjusted life year (DALY) averted ‘thresholds’ that reflect health opportunity costs. We apply estimated elasticities on mortality, survival, morbidity and a generic measure of health, DALYs, that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1–3× gross domestic product (GDP) per capita. The 1–3×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lt;/p&gt;","author":[{"dropping-particle":"","family":"Ochalek","given":"Jessica","non-dropping-particle":"","parse-names":false,"suffix":""},{"dropping-particle":"","family":"Lomas","given":"James","non-dropping-particle":"","parse-names":false,"suffix":""},{"dropping-particle":"","family":"Claxton","given":"Karl","non-dropping-particle":"","parse-names":false,"suffix":""}],"container-title":"BMJ Global Health","id":"ITEM-1","issue":"6","issued":{"date-parts":[["2018","11","5"]]},"page":"e000964","publisher":"BMJ Specialist Journals","title":"Estimating health opportunity costs in low-income and middle-income countries: a novel approach and evidence from cross-country data","type":"article-journal","volume":"3"},"uris":["http://www.mendeley.com/documents/?uuid=2809dd4d-7870-3a70-a4d2-ad8eeba3b9c8"]}],"mendeley":{"formattedCitation":"&lt;sup&gt;16&lt;/sup&gt;","plainTextFormattedCitation":"16","previouslyFormattedCitation":"&lt;sup&gt;16&lt;/sup&gt;"},"properties":{"noteIndex":0},"schema":"https://github.com/citation-style-language/schema/raw/master/csl-citation.json"}</w:instrText>
      </w:r>
      <w:r>
        <w:fldChar w:fldCharType="separate"/>
      </w:r>
      <w:r w:rsidR="0086594C" w:rsidRPr="0086594C">
        <w:rPr>
          <w:noProof/>
          <w:vertAlign w:val="superscript"/>
        </w:rPr>
        <w:t>16</w:t>
      </w:r>
      <w:r>
        <w:fldChar w:fldCharType="end"/>
      </w:r>
      <w:r>
        <w:t xml:space="preserve"> </w:t>
      </w:r>
      <w:r>
        <w:fldChar w:fldCharType="begin" w:fldLock="1"/>
      </w:r>
      <w:r w:rsidR="008D0493">
        <w:instrText>ADDIN CSL_CITATION {"citationItems":[{"id":"ITEM-1","itemData":{"DOI":"10.1007/s40273-017-0585-2","ISSN":"1170-7690","PMID":"29273843","abstract":"BACKGROUND Spending on new healthcare technologies increases net population health when the benefits of a new technology are greater than their opportunity costs-the benefits of the best alternative use of the additional resources required to fund a new technology. OBJECTIVE The objective of this study was to estimate the expected incremental cost per quality-adjusted life-year (QALY) gained of increased government health expenditure as an empirical estimate of the average opportunity costs of decisions to fund new health technologies. The estimated incremental cost-effectiveness ratio (ICER) is proposed as a reference ICER to inform value-based decision making in Australia. METHODS Empirical top-down approaches were used to estimate the QALY effects of government health expenditure with respect to reduced mortality and morbidity. Instrumental variable two-stage least-squares regression was used to estimate the elasticity of mortality-related QALY losses to a marginal change in government health expenditure. Regression analysis of longitudinal survey data representative of the general population was used to isolate the effects of increased government health expenditure on morbidity-related, QALY gains. Clinical judgement informed the duration of health-related quality-of-life improvement from the annual increase in government health expenditure. RESULTS The base-case reference ICER was estimated at AUD28,033 per QALY gained. Parametric uncertainty associated with the estimation of mortality- and morbidity-related QALYs generated a 95% confidence interval AUD20,758-37,667. CONCLUSION Recent public summary documents suggest new technologies with ICERs above AUD40,000 per QALY gained are recommended for public funding. The empirical reference ICER reported in this article suggests more QALYs could be gained if resources were allocated to other forms of health spending.","author":[{"dropping-particle":"","family":"Edney","given":"Laura Catherine","non-dropping-particle":"","parse-names":false,"suffix":""},{"dropping-particle":"","family":"Haji Ali Afzali","given":"Hossein","non-dropping-particle":"","parse-names":false,"suffix":""},{"dropping-particle":"","family":"Cheng","given":"Terence Chai","non-dropping-particle":"","parse-names":false,"suffix":""},{"dropping-particle":"","family":"Karnon","given":"Jonathan","non-dropping-particle":"","parse-names":false,"suffix":""}],"container-title":"PharmacoEconomics","id":"ITEM-1","issued":{"date-parts":[["2017","12","22"]]},"title":"Estimating the Reference Incremental Cost-Effectiveness Ratio for the Australian Health System","type":"article-journal"},"uris":["http://www.mendeley.com/documents/?uuid=11e49002-4708-3f9c-893f-e428f6643da2"]}],"mendeley":{"formattedCitation":"&lt;sup&gt;11&lt;/sup&gt;","plainTextFormattedCitation":"11","previouslyFormattedCitation":"&lt;sup&gt;11&lt;/sup&gt;"},"properties":{"noteIndex":0},"schema":"https://github.com/citation-style-language/schema/raw/master/csl-citation.json"}</w:instrText>
      </w:r>
      <w:r>
        <w:fldChar w:fldCharType="separate"/>
      </w:r>
      <w:r w:rsidR="0086594C" w:rsidRPr="0086594C">
        <w:rPr>
          <w:noProof/>
          <w:vertAlign w:val="superscript"/>
        </w:rPr>
        <w:t>11</w:t>
      </w:r>
      <w:r>
        <w:fldChar w:fldCharType="end"/>
      </w:r>
    </w:p>
    <w:p w14:paraId="50929E42" w14:textId="57268075" w:rsidR="0043068D" w:rsidRDefault="0043068D" w:rsidP="00395B46">
      <w:r>
        <w:t>Estimating the effect of a change in health expenditure on health outcomes</w:t>
      </w:r>
      <w:r w:rsidR="00DC01FE">
        <w:t xml:space="preserve"> as a basis for health opportunity costs</w:t>
      </w:r>
      <w:r>
        <w:t xml:space="preserve"> is a data intensive exercise, for which adequate within-country data is often unavailable or inaccessible.  Estimates based on cross-country data or from other within-country studies may be the best available until bespoke estimates from within-country data are produced. </w:t>
      </w:r>
      <w:r w:rsidR="00F32DC2">
        <w:t>The results presented in this paper provide</w:t>
      </w:r>
      <w:r w:rsidR="00616389">
        <w:t xml:space="preserve"> a range of</w:t>
      </w:r>
      <w:r w:rsidR="00F32DC2">
        <w:t xml:space="preserve"> placeholder estimates for the health opportunity costs of government health care expenditure</w:t>
      </w:r>
      <w:r w:rsidR="006D2D7F">
        <w:t>, which can be used to assess</w:t>
      </w:r>
      <w:r w:rsidR="00616389">
        <w:t xml:space="preserve"> the cost-effectiveness of new technologies that impose costs on government funded compon</w:t>
      </w:r>
      <w:r w:rsidR="008856A6">
        <w:t>ents of a HCS.</w:t>
      </w:r>
      <w:r w:rsidR="00B70FB7">
        <w:t xml:space="preserve"> </w:t>
      </w:r>
    </w:p>
    <w:p w14:paraId="02F652B3" w14:textId="75F8FB8D" w:rsidR="0055750E" w:rsidRDefault="0055750E" w:rsidP="0055750E">
      <w:r>
        <w:t>The validity of th</w:t>
      </w:r>
      <w:r w:rsidR="00DC01FE">
        <w:t>e</w:t>
      </w:r>
      <w:r>
        <w:t xml:space="preserve"> approach</w:t>
      </w:r>
      <w:r w:rsidR="00DC01FE">
        <w:t xml:space="preserve"> employed in this paper</w:t>
      </w:r>
      <w:r>
        <w:t xml:space="preserve"> rests on </w:t>
      </w:r>
      <w:r w:rsidR="00980CD2">
        <w:t xml:space="preserve">1) </w:t>
      </w:r>
      <w:r>
        <w:t>the underlying</w:t>
      </w:r>
      <w:r w:rsidR="00AE0D0B">
        <w:t xml:space="preserve"> assumptions within the</w:t>
      </w:r>
      <w:r>
        <w:t xml:space="preserve"> econometrics used to estimate the expenditure elasticity of health</w:t>
      </w:r>
      <w:r w:rsidR="000A3486">
        <w:t xml:space="preserve"> and </w:t>
      </w:r>
      <w:r w:rsidR="00980CD2">
        <w:t>2)</w:t>
      </w:r>
      <w:r w:rsidR="000A3486">
        <w:t xml:space="preserve"> the assumptions required to calculate cost per DALY averted from the estimated elasticities</w:t>
      </w:r>
      <w:r>
        <w:t>.</w:t>
      </w:r>
      <w:r w:rsidR="004C5C25">
        <w:t xml:space="preserve"> </w:t>
      </w:r>
      <w:r w:rsidR="000A3486">
        <w:t xml:space="preserve">Econometric </w:t>
      </w:r>
      <w:r w:rsidR="004C5C25">
        <w:t xml:space="preserve">analysis based on cross-country data has for a long time proven challenging, but recent advances in data collection have enabled </w:t>
      </w:r>
      <w:r w:rsidR="000A3486">
        <w:t xml:space="preserve">more promising </w:t>
      </w:r>
      <w:r w:rsidR="004C5C25">
        <w:t>within-country data approaches. However,</w:t>
      </w:r>
      <w:r w:rsidR="00AE0D0B">
        <w:t xml:space="preserve"> </w:t>
      </w:r>
      <w:r w:rsidR="004C5C25">
        <w:t>a</w:t>
      </w:r>
      <w:r w:rsidR="00AE0D0B">
        <w:t>s has been noted in the econometrics literature, it is not possible to directly test the exogeneity of IVs</w:t>
      </w:r>
      <w:r w:rsidR="004C5C25">
        <w:t xml:space="preserve"> with either approach</w:t>
      </w:r>
      <w:r w:rsidR="00AE0D0B">
        <w:t>. In practice, IVs are likely contaminated</w:t>
      </w:r>
      <w:r w:rsidR="004C5C25">
        <w:t xml:space="preserve"> to some extent</w:t>
      </w:r>
      <w:r w:rsidR="00AE0D0B">
        <w:t>, which introduces additional</w:t>
      </w:r>
      <w:r w:rsidR="00EB6353">
        <w:t xml:space="preserve"> inevitable</w:t>
      </w:r>
      <w:r w:rsidR="00AE0D0B">
        <w:t xml:space="preserve"> structural uncertainty around resulting estimates. In addition, for a given country, </w:t>
      </w:r>
      <w:r w:rsidR="00EB6353">
        <w:t>the validity of the overall approach</w:t>
      </w:r>
      <w:r w:rsidR="00AE0D0B">
        <w:t xml:space="preserve"> depends upon whether the estimated elasticity can appropriately be applied. For example, where differences between HCS exist, the expenditure elasticity of health from UK data </w:t>
      </w:r>
      <w:r w:rsidR="00EB6353">
        <w:t>may</w:t>
      </w:r>
      <w:r w:rsidR="00AE0D0B">
        <w:t xml:space="preserve"> not</w:t>
      </w:r>
      <w:r w:rsidR="00EB6353">
        <w:t xml:space="preserve"> be</w:t>
      </w:r>
      <w:r w:rsidR="00AE0D0B">
        <w:t xml:space="preserve"> transferable to other countries. The expenditure elasticity of health estimates from the Bokhari et al</w:t>
      </w:r>
      <w:r w:rsidR="00176EFD">
        <w:fldChar w:fldCharType="begin" w:fldLock="1"/>
      </w:r>
      <w:r w:rsidR="001D3C2E">
        <w:instrText>ADDIN CSL_CITATION {"citationItems":[{"id":"ITEM-1","itemData":{"DOI":"10.1002/hec.1157","ISSN":"1057-9230","PMID":"17001737","abstract":"This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 S","non-dropping-particle":"","parse-names":false,"suffix":""},{"dropping-particle":"","family":"Gai","given":"Yunwei","non-dropping-particle":"","parse-names":false,"suffix":""},{"dropping-particle":"","family":"Gottret","given":"Pablo","non-dropping-particle":"","parse-names":false,"suffix":""}],"container-title":"Health economics","id":"ITEM-1","issue":"3","issued":{"date-parts":[["2007","3"]]},"page":"257-73","title":"Government health expenditures and health outcomes.","type":"article-journal","volume":"16"},"uris":["http://www.mendeley.com/documents/?uuid=eb7cee0e-c265-4c7d-8535-613bf3f3a214"]}],"mendeley":{"formattedCitation":"&lt;sup&gt;17&lt;/sup&gt;","plainTextFormattedCitation":"17","previouslyFormattedCitation":"&lt;sup&gt;17&lt;/sup&gt;"},"properties":{"noteIndex":0},"schema":"https://github.com/citation-style-language/schema/raw/master/csl-citation.json"}</w:instrText>
      </w:r>
      <w:r w:rsidR="00176EFD">
        <w:fldChar w:fldCharType="separate"/>
      </w:r>
      <w:r w:rsidR="00176EFD" w:rsidRPr="00176EFD">
        <w:rPr>
          <w:noProof/>
          <w:vertAlign w:val="superscript"/>
        </w:rPr>
        <w:t>17</w:t>
      </w:r>
      <w:r w:rsidR="00176EFD">
        <w:fldChar w:fldCharType="end"/>
      </w:r>
      <w:r w:rsidR="00AE0D0B">
        <w:t xml:space="preserve"> model may present similar issues if the interaction terms employed are not sufficient to capture the differences between jurisdictions.</w:t>
      </w:r>
    </w:p>
    <w:p w14:paraId="6DE8AAD4" w14:textId="7E3297FB" w:rsidR="00BC08ED" w:rsidRPr="00260A2E" w:rsidRDefault="00980CD2" w:rsidP="0055750E">
      <w:r w:rsidRPr="00260A2E">
        <w:lastRenderedPageBreak/>
        <w:t xml:space="preserve">Calculating cost per DALY averted from estimated expenditure elasticities of health may require assumptions depending on what the health outcome measure used is.  </w:t>
      </w:r>
      <w:r w:rsidR="00260A2E" w:rsidRPr="00260A2E">
        <w:t xml:space="preserve">Where the outcome measure is DALYs (or even QALYs) no assumptions are needed, except that the measure is accurately and consistently recorded (as with all measures).  </w:t>
      </w:r>
      <w:r w:rsidRPr="00260A2E">
        <w:t xml:space="preserve">However, where the outcome measure is not a generic measure of health, it is necessary to employ assumptions to account for any components </w:t>
      </w:r>
      <w:r w:rsidR="00A12EDB" w:rsidRPr="00260A2E">
        <w:t xml:space="preserve">of health </w:t>
      </w:r>
      <w:r w:rsidRPr="00260A2E">
        <w:t>not part of the outcome measure</w:t>
      </w:r>
      <w:r w:rsidR="00A12EDB" w:rsidRPr="00260A2E">
        <w:t>, and w</w:t>
      </w:r>
      <w:r w:rsidRPr="00260A2E">
        <w:t>here the outcome measure applies only to part of the population, some assumptions are needed to account for the total population health effects.</w:t>
      </w:r>
      <w:r w:rsidR="005C15C3" w:rsidRPr="00260A2E">
        <w:t xml:space="preserve">  Where mortality outcome measures are used we assume that </w:t>
      </w:r>
      <w:r w:rsidR="0003775E" w:rsidRPr="00260A2E">
        <w:t>the same proportion of deaths are averted across the population (i.e., the elasticity applies equally to each age group).  However, it is plausible that a change in expenditure may have differential effects across different segments of the population, and this is borne out in the elasticities on U5M being of greater magnitude than those on AFM or AMM.  As such, using population segment-specific mortality elasticities (as done in this paper) may be more accurate than population-wide mortality elasticitie</w:t>
      </w:r>
      <w:r w:rsidR="001D3C2E">
        <w:t>s as done in, e.g., Lomas et al</w:t>
      </w:r>
      <w:r w:rsidR="001D3C2E">
        <w:fldChar w:fldCharType="begin" w:fldLock="1"/>
      </w:r>
      <w:r w:rsidR="001D3C2E">
        <w:instrText>ADDIN CSL_CITATION {"citationItems":[{"id":"ITEM-1","itemData":{"DOI":"10.1016/j.jval.2019.04.1926","ISSN":"10983015","abstract":"&lt;h2&gt;Abstract&lt;/h2&gt;&lt;h3&gt;Objective&lt;/h3&gt;&lt;p&gt;Estimates of the marginal productivity of the health sector are required for a wide range of resource allocation decisions. Founding these estimates on robust empirical analysis can inform these decisions and improve allocative efficiency. This article estimates the annual marginal productivity of the English NHS over a 10-year period (between 2003 and 2012).&lt;/p&gt;&lt;h3&gt;Methods&lt;/h3&gt;&lt;p&gt;Data on expenditure and mortality by program budget category are used in conjunction with socioeconomic and demographic variables from the censuses for 2001 and 2011. This article applies an econometric strategy that employs an established instrumental variable approach, which is then subjected to a number of sensitivity analyses. The results of the econometric analysis, along with additional data on the burden of disease, are used to generate an estimate of the marginal productivity for each of the study years.&lt;/p&gt;&lt;h3&gt;Results&lt;/h3&gt;&lt;p&gt;We find that an additional unit of health benefit has cost between £5000 and £15 000 per quality-adjusted life-year from 2003 to 2012. Over this period these estimates (all in current prices) have increased at a faster rate than NHS price inflation, suggesting an increase in real terms.&lt;/p&gt;&lt;h3&gt;Conclusions&lt;/h3&gt;&lt;p&gt;These results are discussed in the context of the existing literature, and the potential policy implications for decisions about resource allocation are explored.&lt;/p&gt;","author":[{"dropping-particle":"","family":"Lomas","given":"James","non-dropping-particle":"","parse-names":false,"suffix":""},{"dropping-particle":"","family":"Martin","given":"Stephen","non-dropping-particle":"","parse-names":false,"suffix":""},{"dropping-particle":"","family":"Claxton","given":"Karl","non-dropping-particle":"","parse-names":false,"suffix":""}],"container-title":"Value in Health","id":"ITEM-1","issue":"0","issued":{"date-parts":[["2019","6"]]},"publisher":"Elsevier","title":"Estimating the Marginal Productivity of the English National Health Service From 2003 to 2012","type":"article-journal","volume":"0"},"uris":["http://www.mendeley.com/documents/?uuid=88cdae42-33a7-429d-abba-8a2a41ceb8a3"]}],"mendeley":{"formattedCitation":"&lt;sup&gt;13&lt;/sup&gt;","plainTextFormattedCitation":"13","previouslyFormattedCitation":"&lt;sup&gt;13&lt;/sup&gt;"},"properties":{"noteIndex":0},"schema":"https://github.com/citation-style-language/schema/raw/master/csl-citation.json"}</w:instrText>
      </w:r>
      <w:r w:rsidR="001D3C2E">
        <w:fldChar w:fldCharType="separate"/>
      </w:r>
      <w:r w:rsidR="001D3C2E" w:rsidRPr="001D3C2E">
        <w:rPr>
          <w:noProof/>
          <w:vertAlign w:val="superscript"/>
        </w:rPr>
        <w:t>13</w:t>
      </w:r>
      <w:r w:rsidR="001D3C2E">
        <w:fldChar w:fldCharType="end"/>
      </w:r>
      <w:r w:rsidR="0003775E" w:rsidRPr="00260A2E">
        <w:t>, Andrews et al</w:t>
      </w:r>
      <w:r w:rsidR="001D3C2E">
        <w:fldChar w:fldCharType="begin" w:fldLock="1"/>
      </w:r>
      <w:r w:rsidR="001D3C2E">
        <w:instrText>ADDIN CSL_CITATION {"citationItems":[{"id":"ITEM-1","itemData":{"DOI":"10.1080/07474938.2016.1114205","ISSN":"0747-4938","abstract":"ABSTRACTIn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Reviews","id":"ITEM-1","issue":"1-3","issued":{"date-parts":[["2017","3","16"]]},"page":"23-41","publisher":"Taylor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18&lt;/sup&gt;","plainTextFormattedCitation":"18","previouslyFormattedCitation":"&lt;sup&gt;18&lt;/sup&gt;"},"properties":{"noteIndex":0},"schema":"https://github.com/citation-style-language/schema/raw/master/csl-citation.json"}</w:instrText>
      </w:r>
      <w:r w:rsidR="001D3C2E">
        <w:fldChar w:fldCharType="separate"/>
      </w:r>
      <w:r w:rsidR="001D3C2E" w:rsidRPr="001D3C2E">
        <w:rPr>
          <w:noProof/>
          <w:vertAlign w:val="superscript"/>
        </w:rPr>
        <w:t>18</w:t>
      </w:r>
      <w:r w:rsidR="001D3C2E">
        <w:fldChar w:fldCharType="end"/>
      </w:r>
      <w:r w:rsidR="0003775E" w:rsidRPr="00260A2E">
        <w:t>, and Edney et al</w:t>
      </w:r>
      <w:r w:rsidR="001D3C2E">
        <w:fldChar w:fldCharType="begin" w:fldLock="1"/>
      </w:r>
      <w:r w:rsidR="00C05E22">
        <w:instrText>ADDIN CSL_CITATION {"citationItems":[{"id":"ITEM-1","itemData":{"author":[{"dropping-particle":"","family":"Karnon","given":"Jonathan","non-dropping-particle":"","parse-names":false,"suffix":""},{"dropping-particle":"","family":"Afzali","given":"Hossein","non-dropping-particle":"","parse-names":false,"suffix":""},{"dropping-particle":"","family":"Edney","given":"Laura","non-dropping-particle":"","parse-names":false,"suffix":""}],"container-title":"Boston 2017 Congress - International Health Economics Association","id":"ITEM-1","issued":{"date-parts":[["2017"]]},"publisher-place":"Boston","title":"Estimating a Reference ICER for Australia","type":"paper-conference"},"uris":["http://www.mendeley.com/documents/?uuid=715a1b39-5f81-47cf-9588-3247650b9804"]}],"mendeley":{"formattedCitation":"&lt;sup&gt;38&lt;/sup&gt;","plainTextFormattedCitation":"38","previouslyFormattedCitation":"&lt;sup&gt;38&lt;/sup&gt;"},"properties":{"noteIndex":0},"schema":"https://github.com/citation-style-language/schema/raw/master/csl-citation.json"}</w:instrText>
      </w:r>
      <w:r w:rsidR="001D3C2E">
        <w:fldChar w:fldCharType="separate"/>
      </w:r>
      <w:r w:rsidR="00AC379A" w:rsidRPr="00AC379A">
        <w:rPr>
          <w:noProof/>
          <w:vertAlign w:val="superscript"/>
        </w:rPr>
        <w:t>38</w:t>
      </w:r>
      <w:r w:rsidR="001D3C2E">
        <w:fldChar w:fldCharType="end"/>
      </w:r>
      <w:r w:rsidR="0003775E" w:rsidRPr="00260A2E">
        <w:t>.  However, the former requires assumptions to account for the mortality effects of expenditure on segments of the population not covered by the outcome elasticity.</w:t>
      </w:r>
      <w:r w:rsidR="005909E8" w:rsidRPr="00260A2E">
        <w:t xml:space="preserve">  Neither mortality nor YLL outcome measures account for changes to the burden of morbidity </w:t>
      </w:r>
      <w:r w:rsidR="00E56E2E" w:rsidRPr="00260A2E">
        <w:t xml:space="preserve">(i.e., YLD) </w:t>
      </w:r>
      <w:r w:rsidR="005909E8" w:rsidRPr="00260A2E">
        <w:t>that may result from changes in health expenditure.</w:t>
      </w:r>
      <w:r w:rsidR="00E56E2E" w:rsidRPr="00260A2E">
        <w:t xml:space="preserve"> We therefore assume that YLD is reduced in proportion to the reduction in YLL.  Which </w:t>
      </w:r>
      <w:r w:rsidR="0023280B" w:rsidRPr="00260A2E">
        <w:t>methods produces the most accurate cost per DALY averted is a matter of question resting on judgements about the validi</w:t>
      </w:r>
      <w:r w:rsidR="00204A1E" w:rsidRPr="00260A2E">
        <w:t>ty of the construction of DALYs and the assumptions employed.</w:t>
      </w:r>
    </w:p>
    <w:p w14:paraId="0CE9264F" w14:textId="463E5872" w:rsidR="004C5C25" w:rsidRDefault="004C5C25" w:rsidP="0055750E">
      <w:r>
        <w:t xml:space="preserve">The approach adopted </w:t>
      </w:r>
      <w:r w:rsidR="000A3486">
        <w:t>in this paper</w:t>
      </w:r>
      <w:r>
        <w:t xml:space="preserve"> is quite different</w:t>
      </w:r>
      <w:r w:rsidR="001C3683">
        <w:t xml:space="preserve"> to that adopted by Woods et al</w:t>
      </w:r>
      <w:r w:rsidR="00860ECF">
        <w:fldChar w:fldCharType="begin" w:fldLock="1"/>
      </w:r>
      <w:r w:rsidR="00860ECF">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860ECF">
        <w:fldChar w:fldCharType="separate"/>
      </w:r>
      <w:r w:rsidR="00860ECF" w:rsidRPr="00860ECF">
        <w:rPr>
          <w:noProof/>
          <w:vertAlign w:val="superscript"/>
        </w:rPr>
        <w:t>15</w:t>
      </w:r>
      <w:r w:rsidR="00860ECF">
        <w:fldChar w:fldCharType="end"/>
      </w:r>
      <w:r w:rsidR="00EB0A8A">
        <w:t xml:space="preserve"> where the Claxton et al</w:t>
      </w:r>
      <w:r w:rsidR="00860ECF">
        <w:fldChar w:fldCharType="begin" w:fldLock="1"/>
      </w:r>
      <w:r w:rsidR="00C51924">
        <w:instrText>ADDIN CSL_CITATION {"citationItems":[{"id":"ITEM-1","itemData":{"DOI":"10.3310/hta19140","ISSN":"1366-5278","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Assessment","id":"ITEM-1","issue":"14","issued":{"date-parts":[["2015","2"]]},"page":"1-504","title":"Methods for the estimation of the National Institute for Health and Care Excellence cost-effectiveness threshold","type":"article-journal","volume":"19"},"uris":["http://www.mendeley.com/documents/?uuid=afa53c37-fce0-3692-b007-d166614a6e57"]}],"mendeley":{"formattedCitation":"&lt;sup&gt;10&lt;/sup&gt;","plainTextFormattedCitation":"10","previouslyFormattedCitation":"&lt;sup&gt;10&lt;/sup&gt;"},"properties":{"noteIndex":0},"schema":"https://github.com/citation-style-language/schema/raw/master/csl-citation.json"}</w:instrText>
      </w:r>
      <w:r w:rsidR="00860ECF">
        <w:fldChar w:fldCharType="separate"/>
      </w:r>
      <w:r w:rsidR="00C51924" w:rsidRPr="00C51924">
        <w:rPr>
          <w:noProof/>
          <w:vertAlign w:val="superscript"/>
        </w:rPr>
        <w:t>10</w:t>
      </w:r>
      <w:r w:rsidR="00860ECF">
        <w:fldChar w:fldCharType="end"/>
      </w:r>
      <w:r w:rsidR="00EB0A8A">
        <w:t xml:space="preserve"> estimate of health opportunity costs of NHS expenditure is extrapolated to other countries using the income elasticity of the value of a statistical life (VSL). The assumptions underlying this approach therefore centre on the econometric and modelling assumptions within the Claxton et a</w:t>
      </w:r>
      <w:r w:rsidR="001C3683">
        <w:t>l</w:t>
      </w:r>
      <w:r w:rsidR="00860ECF">
        <w:fldChar w:fldCharType="begin" w:fldLock="1"/>
      </w:r>
      <w:r w:rsidR="00C51924">
        <w:instrText>ADDIN CSL_CITATION {"citationItems":[{"id":"ITEM-1","itemData":{"DOI":"10.3310/hta19140","ISSN":"1366-5278","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Assessment","id":"ITEM-1","issue":"14","issued":{"date-parts":[["2015","2"]]},"page":"1-504","title":"Methods for the estimation of the National Institute for Health and Care Excellence cost-effectiveness threshold","type":"article-journal","volume":"19"},"uris":["http://www.mendeley.com/documents/?uuid=afa53c37-fce0-3692-b007-d166614a6e57"]}],"mendeley":{"formattedCitation":"&lt;sup&gt;10&lt;/sup&gt;","plainTextFormattedCitation":"10","previouslyFormattedCitation":"&lt;sup&gt;10&lt;/sup&gt;"},"properties":{"noteIndex":0},"schema":"https://github.com/citation-style-language/schema/raw/master/csl-citation.json"}</w:instrText>
      </w:r>
      <w:r w:rsidR="00860ECF">
        <w:fldChar w:fldCharType="separate"/>
      </w:r>
      <w:r w:rsidR="00C51924" w:rsidRPr="00C51924">
        <w:rPr>
          <w:noProof/>
          <w:vertAlign w:val="superscript"/>
        </w:rPr>
        <w:t>10</w:t>
      </w:r>
      <w:r w:rsidR="00860ECF">
        <w:fldChar w:fldCharType="end"/>
      </w:r>
      <w:r w:rsidR="00EB0A8A">
        <w:t xml:space="preserve"> estimate and also on the appropriateness of applying the income elasticity of VSL to extrapolate this estimate. </w:t>
      </w:r>
      <w:r w:rsidR="00471A3C">
        <w:t>While</w:t>
      </w:r>
      <w:r w:rsidR="00EB0A8A">
        <w:t xml:space="preserve"> there is no direct connection between individuals’ VSL and the marginal productivity of government expenditure on health, they may be linked indirectly</w:t>
      </w:r>
      <w:r w:rsidR="004C5BD8">
        <w:t xml:space="preserve"> if</w:t>
      </w:r>
      <w:r w:rsidR="00EB0A8A">
        <w:t xml:space="preserve"> HCS respond to </w:t>
      </w:r>
      <w:r w:rsidR="004C5BD8">
        <w:t>individuals’ preferences in a similar way to the UK.</w:t>
      </w:r>
    </w:p>
    <w:p w14:paraId="014B240C" w14:textId="171A15F2" w:rsidR="004F0396" w:rsidRDefault="004F0396" w:rsidP="00395B46">
      <w:r>
        <w:t>Another difference between the estimates reported by Woods et al</w:t>
      </w:r>
      <w:r w:rsidR="00860ECF">
        <w:fldChar w:fldCharType="begin" w:fldLock="1"/>
      </w:r>
      <w:r w:rsidR="00C51924">
        <w:instrText>ADDIN CSL_CITATION {"citationItems":[{"id":"ITEM-1","itemData":{"DOI":"10.1016/j.jval.2016.02.017","ISSN":"10983015","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Health","id":"ITEM-1","issue":"8","issued":{"date-parts":[["2016","12"]]},"page":"929-935","title":"Country-Level Cost-Effectiveness Thresholds: Initial Estimates and the Need for Further Research","type":"article-journal","volume":"19"},"uris":["http://www.mendeley.com/documents/?uuid=008e1acb-9995-3437-b4fd-cd6bb8e36f96"]}],"mendeley":{"formattedCitation":"&lt;sup&gt;15&lt;/sup&gt;","plainTextFormattedCitation":"15","previouslyFormattedCitation":"&lt;sup&gt;15&lt;/sup&gt;"},"properties":{"noteIndex":0},"schema":"https://github.com/citation-style-language/schema/raw/master/csl-citation.json"}</w:instrText>
      </w:r>
      <w:r w:rsidR="00860ECF">
        <w:fldChar w:fldCharType="separate"/>
      </w:r>
      <w:r w:rsidR="00860ECF" w:rsidRPr="00860ECF">
        <w:rPr>
          <w:noProof/>
          <w:vertAlign w:val="superscript"/>
        </w:rPr>
        <w:t>15</w:t>
      </w:r>
      <w:r w:rsidR="00860ECF">
        <w:fldChar w:fldCharType="end"/>
      </w:r>
      <w:r>
        <w:t xml:space="preserve"> and those reported here is that the former are given in cost per QALY gained while the latter are cost per DALY averted. </w:t>
      </w:r>
      <w:r w:rsidR="004D4A27">
        <w:t xml:space="preserve">Whether a new health technology whose benefits are assessed in QALYs can be compared against a cost per DALY averted threshold (and vice versa) is </w:t>
      </w:r>
      <w:r>
        <w:t>an important question.</w:t>
      </w:r>
      <w:r w:rsidRPr="004F0396">
        <w:t xml:space="preserve"> </w:t>
      </w:r>
      <w:r>
        <w:t xml:space="preserve">While both are generic measures of health encompassing changes in both length and quality of life, QALYs represent health that stands to be gained while </w:t>
      </w:r>
      <w:r w:rsidRPr="004F0396">
        <w:t xml:space="preserve">DALYs are a measure of disease burden </w:t>
      </w:r>
      <w:r>
        <w:t xml:space="preserve">that stands to be averted.  </w:t>
      </w:r>
      <w:r w:rsidR="00DD2E94">
        <w:t>Therefore,</w:t>
      </w:r>
      <w:r>
        <w:t xml:space="preserve"> </w:t>
      </w:r>
      <w:r w:rsidR="00E85784">
        <w:t xml:space="preserve">comparing them requires </w:t>
      </w:r>
      <w:r w:rsidRPr="004F0396">
        <w:t>the assumption that the quality of life associated with a health condition is equivalent to the level of disability it confers.</w:t>
      </w:r>
      <w:r w:rsidR="009B12F7">
        <w:fldChar w:fldCharType="begin" w:fldLock="1"/>
      </w:r>
      <w:r w:rsidR="00C05E22">
        <w:instrText>ADDIN CSL_CITATION {"citationItems":[{"id":"ITEM-1","itemData":{"DOI":"10.15171/ijhpm.2017.47","ISSN":"23225939","abstract":"Background: The measurement of health benefits is a key issue in health economic evaluations. There is very scarce empirical literature exploring the differences of using quality-adjusted life years (QALYs) or disability-adjusted life years (DALYs) as benefit metrics and their potential impact in decision-making. Methods: Two previously published models delivering outputs in QALYs, were adapted to estimate DALYs: a Markov model for human papilloma virus (HPV) vaccination, and a pneumococcal vaccination deterministic model (PNEUMO). Argentina, Chile, and the United Kingdom studies were used, where local EQ-5D social value weights were available to provide local QALY weights. A primary study with descriptive vignettes was done (n = 73) to obtain EQ-5D data for all health states included in both models. Several scenario analyses were carried-out to evaluate the relative importance of using different metrics (DALYS or QALYs) to estimate health benefits on these economic evaluations. Results: QALY gains were larger than DALYs avoided in all countries for HPV, leading to more favorable decisions using the former. With discounting and age-weighting – scenario with greatest differences in all countries – incremental DALYs avoided represented the 75%, 68%, and 43% of the QALYs gained in Argentina, Chile, and United Kingdom respectively. Differences using QALYs or DALYs were less consistent and sometimes in the opposite direction for PNEUMO. These differences, similar to other widely used assumptions, could directly influence decision-making using usual gross domestic products (GDPs) per capita per DALY or QALY thresholds. Conclusion: We did not find evidence that contradicts current practice of many researchers and decision-makers of using QALYs or DALYs interchangeably. Differences attributed to the choice of metric could influence final decisions, but similarly to other frequently used assumptions.","author":[{"dropping-particle":"","family":"Augustovski","given":"Federico","non-dropping-particle":"","parse-names":false,"suffix":""},{"dropping-particle":"","family":"Colantonio","given":"Lisandro D.","non-dropping-particle":"","parse-names":false,"suffix":""},{"dropping-particle":"","family":"Galante","given":"Julieta","non-dropping-particle":"","parse-names":false,"suffix":""},{"dropping-particle":"","family":"Bardach","given":"Ariel","non-dropping-particle":"","parse-names":false,"suffix":""},{"dropping-particle":"","family":"Caporale","given":"Joaquín E.","non-dropping-particle":"","parse-names":false,"suffix":""},{"dropping-particle":"","family":"Zárate","given":"Víctor","non-dropping-particle":"","parse-names":false,"suffix":""},{"dropping-particle":"","family":"Chuang","given":"Ling Hsiang","non-dropping-particle":"","parse-names":false,"suffix":""},{"dropping-particle":"","family":"Riviere","given":"Andres Pichon","non-dropping-particle":"","parse-names":false,"suffix":""},{"dropping-particle":"","family":"Kind","given":"Paul","non-dropping-particle":"","parse-names":false,"suffix":""}],"container-title":"International Journal of Health Policy and Management","id":"ITEM-1","issue":"2","issued":{"date-parts":[["2018","2","1"]]},"page":"120-136","publisher":"Kerman University of Medical Sciences","title":"Measuring the benefits of healthcare: DALYs and QALYs – Does the choice of measure matter? A case study of two preventive interventions","type":"article-journal","volume":"7"},"uris":["http://www.mendeley.com/documents/?uuid=fb049cd0-29b4-3c8b-9013-09eabc488480"]}],"mendeley":{"formattedCitation":"&lt;sup&gt;39&lt;/sup&gt;","plainTextFormattedCitation":"39","previouslyFormattedCitation":"&lt;sup&gt;39&lt;/sup&gt;"},"properties":{"noteIndex":0},"schema":"https://github.com/citation-style-language/schema/raw/master/csl-citation.json"}</w:instrText>
      </w:r>
      <w:r w:rsidR="009B12F7">
        <w:fldChar w:fldCharType="separate"/>
      </w:r>
      <w:r w:rsidR="00AC379A" w:rsidRPr="00AC379A">
        <w:rPr>
          <w:noProof/>
          <w:vertAlign w:val="superscript"/>
        </w:rPr>
        <w:t>39</w:t>
      </w:r>
      <w:r w:rsidR="009B12F7">
        <w:fldChar w:fldCharType="end"/>
      </w:r>
      <w:r w:rsidRPr="004F0396">
        <w:t xml:space="preserve"> </w:t>
      </w:r>
    </w:p>
    <w:p w14:paraId="4066EC7E" w14:textId="72C1275B" w:rsidR="0055750E" w:rsidRDefault="0055750E" w:rsidP="0055750E">
      <w:r>
        <w:t xml:space="preserve">Health opportunity costs are relevant regardless of how the </w:t>
      </w:r>
      <w:r w:rsidR="00265475">
        <w:t>HCS</w:t>
      </w:r>
      <w:r>
        <w:t xml:space="preserve"> is financed; they exist in systems that are primarily government funded as well as those that are primarily privately funded. Where a new treatment displaces a treatment currently available in a government funded HCS, health opportunity costs may manifest in a number of ways, such as the extension of waiting times for existing procedures.</w:t>
      </w:r>
      <w:r>
        <w:fldChar w:fldCharType="begin" w:fldLock="1"/>
      </w:r>
      <w:r w:rsidR="00C05E22">
        <w:instrText>ADDIN CSL_CITATION {"citationItems":[{"id":"ITEM-1","itemData":{"DOI":"10.1016/j.healthpol.2008.12.010","ISSN":"01688510","PMID":"19168255","abstract":"OBJECTIVES The UK's National Institute of Health and Clinical Excellence (NICE) has an explicit cost-effectiveness threshold for deciding whether or not services are to be provided in the National Health Service (NHS), but there is currently little evidence to support the level at which it is set. This study examines whether it is possible to obtain such evidence by examining decision making elsewhere in the NHS. Its objectives are to set out a conceptual model linking NICE decision making based on explicit thresholds with the thresholds implicit in local decision making and to gauge the feasibility of (a) identifying those implicit local cost effectiveness thresholds and (b) using these to gauge the appropriateness of NICE's explicit threshold. METHODS Structured interviews with senior staff, together with financial and public health information, from six NHS purchasers and 18 providers. A list of health care services introduced or discontinued in 2006/7 was constructed. Those that were in principle amenable to estimation of a cost-effectiveness ratio were examined. RESULTS It was feasible to identify decisions and to estimate the cost-effectiveness of some. These were not necessarily 'marginal' services. Issues include: services that are dominated (or dominate); decisions about how, rather than what, services should be delivered; the lack of local cost effectiveness evidence; and considerations other than cost-effectiveness. CONCLUSIONS A definitive finding about the consistency or otherwise of NICE and NHS cost effectiveness thresholds would require very many decisions to be observed, combined with a detailed understanding of the local decision making processes.","author":[{"dropping-particle":"","family":"Appleby","given":"John","non-dropping-particle":"","parse-names":false,"suffix":""},{"dropping-particle":"","family":"Devlin","given":"Nancy","non-dropping-particle":"","parse-names":false,"suffix":""},{"dropping-particle":"","family":"Parkin","given":"David","non-dropping-particle":"","parse-names":false,"suffix":""},{"dropping-particle":"","family":"Buxton","given":"Martin","non-dropping-particle":"","parse-names":false,"suffix":""},{"dropping-particle":"","family":"Chalkidou","given":"Kalipso","non-dropping-particle":"","parse-names":false,"suffix":""}],"container-title":"Health Policy","id":"ITEM-1","issue":"3","issued":{"date-parts":[["2009","8"]]},"page":"239-245","title":"Searching for cost effectiveness thresholds in the NHS","type":"article-journal","volume":"91"},"uris":["http://www.mendeley.com/documents/?uuid=99fb450c-62d2-336c-ab2b-17575dd46932"]},{"id":"ITEM-2","itemData":{"DOI":"10.1108/JHOM-11-2012-0225","ISSN":"1477-7266","PMID":"24422258","abstract":"PURPOSE The aims of this paper are to explore the experiences of budget holders within the English National Health Service (NHS), in their attempts to implement programmes of disinvestment, and to consider factors which influence the success (or otherwise) of this activity. DESIGN/METHODOLOGY/APPROACH Between 24 January and 15 March 2011 semi-structured, telephone interviews were conducted with representatives of 12 Primary Care Trusts in England. Interviews focussed on: understanding of the term \"disinvestment\"; current activities, and perceived determinants of successful disinvestment decision making and implementation. Data were organised into themes according to standard qualitative data coding practices. FINDINGS Findings indicate that experiences of disinvestment are varied and that organisations are currently adopting a range of approaches. There are a number of apparently influential determinants of disinvestment which relate to both health system features and organisational characteristics. According to the experiences of the interviewees, many of the easier disinvestment options have now been taken and more ambitious plans, which require wider engagement and more thorough project management, will be required in the future. RESEARCH LIMITATIONS/IMPLICATIONS Findings from the research suggest that issues around understanding and usage of disinvestment terminology should be addressed and that a more in-depth and ethnographic research agenda will be of most value in moving forward both the theory and practice of disinvestment. ORIGINALITY/VALUE This research suggests that, in the English NHS at least, there is a disjuncture between common usage of the term \"disinvestment\" and the way that it has previously been understood by the wider research community. In addition to this, the research also highlights a broader range of potential determinants of disinvestment than are considered in the extant literature.","author":[{"dropping-particle":"","family":"Daniels","given":"Tom","non-dropping-particle":"","parse-names":false,"suffix":""},{"dropping-particle":"","family":"Williams","given":"Iestyn","non-dropping-particle":"","parse-names":false,"suffix":""},{"dropping-particle":"","family":"Robinson","given":"Suzanne","non-dropping-particle":"","parse-names":false,"suffix":""},{"dropping-particle":"","family":"Spence","given":"Katie","non-dropping-particle":"","parse-names":false,"suffix":""}],"container-title":"Journal of Health Organization and Management","id":"ITEM-2","issue":"6","issued":{"date-parts":[["2013","10"]]},"page":"762-780","title":"Tackling disinvestment in health care services","type":"article-journal","volume":"27"},"uris":["http://www.mendeley.com/documents/?uuid=ba62ca94-3c2c-3b1c-a47d-45fce939c67c","http://www.mendeley.com/documents/?uuid=b5c17450-959e-4c41-8f82-29305d70c5bf","http://www.mendeley.com/documents/?uuid=eb0f27ff-c62d-45ac-8af6-b044519479f1"]},{"id":"ITEM-3","itemData":{"DOI":"10.1016/J.JVAL.2018.02.013","ISSN":"1098-3015","PMID":"30098666","abstract":"&lt;h2&gt;Abstract&lt;/h2&gt;&lt;h3&gt;Objectives&lt;/h3&gt;&lt;p&gt;To survey the cost effectiveness of procedures with the largest waiting lists in the Irish public health system to inform a reconsideration of Ireland's current cost-effectiveness threshold of €45,000/quality-adjusted life-year (QALY).&lt;/p&gt;&lt;h3&gt;Methods&lt;/h3&gt;&lt;p&gt;Waiting list data for inpatient and day case procedures in the Irish public health system were obtained from the National Treatment Purchase Fund. The 20 interventions with the largest number of individuals waiting for inpatient and day case care were identified. The academic literature was searched to obtain cost-effectiveness estimates from Ireland and other high-income countries. Cost-effectiveness estimates from foreign studies were adjusted for differences in currency, purchasing power parity, and inflation.&lt;/p&gt;&lt;h3&gt;Results&lt;/h3&gt;&lt;p&gt;Of the top 20 waiting list procedures, 17 had incremental cost-effectiveness ratios (ICERs) lower than €45,000/QALY, 14 fell below €20,000/QALY, and 10 fell below €10,000/QALY. Only one procedure had an ICER higher than the current threshold. Two procedures had ICERs reported for different patient and indication groups that lay on either side of the threshold.&lt;/p&gt;&lt;h3&gt;Conclusions&lt;/h3&gt;&lt;p&gt;Some cost-effective interventions that have large waiting lists may indicate resource misallocation and the threshold may be too high. An evidence-informed revision of the threshold may require a reduction to ensure it is consistent with its theoretical basis in the opportunity cost of other interventions foregone. A limitation of this study was the difficulty in matching specific procedures from waiting lists with ICER estimates from the literature. Nevertheless, our study represents a useful demonstration of a novel concept of using waiting list data to inform cost-effectiveness thresholds.&lt;/p&gt;","author":[{"dropping-particle":"","family":"Chen","given":"Tse Chiang","non-dropping-particle":"","parse-names":false,"suffix":""},{"dropping-particle":"","family":"Wanniarachige","given":"Dane","non-dropping-particle":"","parse-names":false,"suffix":""},{"dropping-particle":"","family":"Murphy","given":"Síofra","non-dropping-particle":"","parse-names":false,"suffix":""},{"dropping-particle":"","family":"Lockhart","given":"Katie","non-dropping-particle":"","parse-names":false,"suffix":""},{"dropping-particle":"","family":"O’Mahony","given":"James","non-dropping-particle":"","parse-names":false,"suffix":""}],"container-title":"Value in Health","id":"ITEM-3","issue":"8","issued":{"date-parts":[["2018","8"]]},"page":"897-904","publisher":"Elsevier","title":"Surveying the Cost-Effectiveness of the 20 Procedures with the Largest Public Health Services Waiting Lists in Ireland: Implications for Ireland’s Cost-Effectiveness Threshold","type":"article-journal","volume":"21"},"uris":["http://www.mendeley.com/documents/?uuid=038dfe68-e9bd-3a7f-933a-41b0ec8308ba","http://www.mendeley.com/documents/?uuid=283ddc5a-1a8d-44da-b10d-63c7982d4187","http://www.mendeley.com/documents/?uuid=a10521ab-2b1c-491b-9000-4c62e9e0f3e1"]}],"mendeley":{"formattedCitation":"&lt;sup&gt;40–42&lt;/sup&gt;","plainTextFormattedCitation":"40–42","previouslyFormattedCitation":"&lt;sup&gt;40–42&lt;/sup&gt;"},"properties":{"noteIndex":0},"schema":"https://github.com/citation-style-language/schema/raw/master/csl-citation.json"}</w:instrText>
      </w:r>
      <w:r>
        <w:fldChar w:fldCharType="separate"/>
      </w:r>
      <w:r w:rsidR="00AC379A" w:rsidRPr="00AC379A">
        <w:rPr>
          <w:noProof/>
          <w:vertAlign w:val="superscript"/>
        </w:rPr>
        <w:t>40–42</w:t>
      </w:r>
      <w:r>
        <w:fldChar w:fldCharType="end"/>
      </w:r>
      <w:r>
        <w:t xml:space="preserve"> The ratio of changes in incremental costs on government funded HCS to health effects of displacement of this kind are hereafter referred to as the health opportunity costs of government health care expenditure. In contrast, HCS with voluntary health insurance may obtain additional resources for healthcare through increased insurance premiums. Healthcare is then rationed through price rather than waiting times, which results in health opportunity costs falling on individuals who are ‘priced out’, i.e. cannot afford the healthcare they need.</w:t>
      </w:r>
      <w:r>
        <w:fldChar w:fldCharType="begin" w:fldLock="1"/>
      </w:r>
      <w:r w:rsidR="00C05E22">
        <w:instrText>ADDIN CSL_CITATION {"citationItems":[{"id":"ITEM-1","itemData":{"author":[{"dropping-particle":"","family":"Vanness","given":"David J.","non-dropping-particle":"","parse-names":false,"suffix":""}],"container-title":"International Health Economics Association","id":"ITEM-1","issued":{"date-parts":[["2017"]]},"title":"Measuring Opportunity Costs of Health Technology Adoption as Morbidity and Mortality of the Uninsured","type":"paper-conference"},"uris":["http://www.mendeley.com/documents/?uuid=8e070539-3c5c-49a0-a72b-082bc678307c","http://www.mendeley.com/documents/?uuid=650e6869-50e4-4e5e-b556-6556d21edeb4","http://www.mendeley.com/documents/?uuid=308352ae-66c6-4c4f-94e9-891fb43b788b"]},{"id":"ITEM-2","itemData":{"ISBN":"9780691192178","abstract":"\"From a giant of health care policy, an engaging and enlightening account of why American health care is so expensive -- and why it doesn't have to be. Uwe Reinhardt was a towering figure and moral conscience of health care policy in the United States and beyond. Famously bipartisan, he advised presidents and Congress on health reform and originated central features of the Affordable Care Act. In Priced Out, Reinhardt offers an engaging and enlightening account of today's U.S. health care system, explaining why it costs so much more and delivers so much less than the systems of every other advanced country, why this situation is morally indefensible, and how we might improve it. The problem, Reinhardt says, is not one of economics but of social ethics. There is no American political consensus on a fundamental question other countries settled long ago: to what extent should we be our brothers' and sisters' keepers when it comes to health care? Drawing on the best evidence, he guides readers through the chaotic, secretive, and inefficient way America finances health care, and he offers a penetrating ethical analysis of recent reform proposals. At this point, he argues, the United States appears to have three stark choices: the government can make the rich help pay for the health care of the poor, ration care by income, or control costs. Reinhardt proposes an alternative path: that by age 26 all Americans must choose either to join an insurance arrangement with community-rated premiums, or take a chance on being uninsured or relying on a health insurance market that charges premiums based on health status. An incisive look at the American health care system, Priced Out dispels the confusion, ignorance, myths, and misinformation that hinder effective reform.\" -- I: A visual stroll through America's health care wonderland. U.S. health spending and what drives it ; Pricing Americans out of health care ; Some interesting or curious facts about our health care system ; Who actually pays for health care? ; Value for the money spent on U.S. health care -- II: Ethical perspectives on U.S. health care. The social role of health care ; The mechanics of commercial health insurance from an ethical perspective ; The elephant in the room and the ethical vision baked into health reform proposals ; The ethical vision of the Affordable Care Act of 2010 (Obamacare) ; The ethical vision of the health reform proposals of 2017 -- Conclusion: a novel (my own) reform proposal --…","author":[{"dropping-particle":"","family":"Reinhardt","given":"Uwe E.","non-dropping-particle":"","parse-names":false,"suffix":""},{"dropping-particle":"","family":"Krugman","given":"Paul R.","non-dropping-particle":"","parse-names":false,"suffix":""},{"dropping-particle":"","family":"Frist","given":"William H.","non-dropping-particle":"","parse-names":false,"suffix":""}],"id":"ITEM-2","issued":{"date-parts":[["2019"]]},"number-of-pages":"201","title":"Priced out : the economic and ethical costs of American health care","type":"book"},"uris":["http://www.mendeley.com/documents/?uuid=1903813f-749d-34c8-84fc-8513c91b5c4d","http://www.mendeley.com/documents/?uuid=7ac30399-9719-448f-b2ed-04654885d563","http://www.mendeley.com/documents/?uuid=a30a293e-d4cd-4724-84c9-29a3db4ce0bc"]}],"mendeley":{"formattedCitation":"&lt;sup&gt;43,44&lt;/sup&gt;","plainTextFormattedCitation":"43,44","previouslyFormattedCitation":"&lt;sup&gt;43,44&lt;/sup&gt;"},"properties":{"noteIndex":0},"schema":"https://github.com/citation-style-language/schema/raw/master/csl-citation.json"}</w:instrText>
      </w:r>
      <w:r>
        <w:fldChar w:fldCharType="separate"/>
      </w:r>
      <w:r w:rsidR="00AC379A" w:rsidRPr="00AC379A">
        <w:rPr>
          <w:noProof/>
          <w:vertAlign w:val="superscript"/>
        </w:rPr>
        <w:t>43,44</w:t>
      </w:r>
      <w:r>
        <w:fldChar w:fldCharType="end"/>
      </w:r>
    </w:p>
    <w:p w14:paraId="1FD7D5DD" w14:textId="5CBEAF2D" w:rsidR="00DC01FE" w:rsidRDefault="00DC01FE" w:rsidP="00DC01FE">
      <w:r>
        <w:lastRenderedPageBreak/>
        <w:t>While an important objective of health care expenditure is the improvement of population health, other objectives could be considered as part of the economic evaluation of a new health technology.  The societal perspective proposed by the 2</w:t>
      </w:r>
      <w:r>
        <w:rPr>
          <w:vertAlign w:val="superscript"/>
        </w:rPr>
        <w:t>nd</w:t>
      </w:r>
      <w:r>
        <w:t xml:space="preserve"> US panel seeks to capture the effect of a new technology across a range of objectives, which is summarised by way of an ‘impact inventory’.  For example, one such, widely discussed, objective is the contribution to economic output more generally, referred to as net production.  Other possible objectives include educational outcomes or other aspects of value such as those included in the “value flower”.</w:t>
      </w:r>
      <w:r>
        <w:fldChar w:fldCharType="begin" w:fldLock="1"/>
      </w:r>
      <w:r w:rsidR="00C05E22">
        <w:instrText>ADDIN CSL_CITATION {"citationItems":[{"id":"ITEM-1","itemData":{"DOI":"10.1016/j.jval.2017.12.007","ISSN":"1524-4733","PMID":"29477390","abstract":"The third section of our Special Task Force report identifies and defines a series of elements that warrant consideration in value assessments of medical technologies. We aim to broaden the view of what constitutes value in health care and to spur new research on incorporating additional elements of value into cost-effectiveness analysis (CEA). Twelve potential elements of value are considered. Four of them-quality-adjusted life-years, net costs, productivity, and adherence-improving factors-are conventionally included or considered in value assessments. Eight others, which would be more novel in economic assessments, are defined and discussed: reduction in uncertainty, fear of contagion, insurance value, severity of disease, value of hope, real option value, equity, and scientific spillovers. Most of these are theoretically well understood and available for inclusion in value assessments. The two exceptions are equity and scientific spillover effects, which require more theoretical development and consensus. A number of regulatory authorities around the globe have shown interest in some of these novel elements. Augmenting CEA to consider these additional elements would result in a more comprehensive CEA in line with the \"impact inventory\" of the Second Panel on Cost-Effectiveness in Health and Medicine. Possible approaches for valuation and inclusion of these elements include integrating them as part of a net monetary benefit calculation, including elements as attributes in health state descriptions, or using them as criteria in a multicriteria decision analysis. Further research is needed on how best to measure and include them in decision making.","author":[{"dropping-particle":"","family":"Lakdawalla","given":"Darius N","non-dropping-particle":"","parse-names":false,"suffix":""},{"dropping-particle":"","family":"Doshi","given":"Jalpa A","non-dropping-particle":"","parse-names":false,"suffix":""},{"dropping-particle":"","family":"Garrison","given":"Louis P","non-dropping-particle":"","parse-names":false,"suffix":""},{"dropping-particle":"","family":"Phelps","given":"Charles E","non-dropping-particle":"","parse-names":false,"suffix":""},{"dropping-particle":"","family":"Basu","given":"Anirban","non-dropping-particle":"","parse-names":false,"suffix":""},{"dropping-particle":"","family":"Danzon","given":"Patricia M","non-dropping-particle":"","parse-names":false,"suffix":""}],"container-title":"Value in health : the journal of the International Society for Pharmacoeconomics and Outcomes Research","id":"ITEM-1","issue":"2","issued":{"date-parts":[["2018","2"]]},"page":"131-139","publisher":"Elsevier","title":"Defining Elements of Value in Health Care-A Health Economics Approach: An ISPOR Special Task Force Report [3].","type":"article-journal","volume":"21"},"uris":["http://www.mendeley.com/documents/?uuid=76d4a3e1-ddcd-3104-9cd8-fc2e4914b341","http://www.mendeley.com/documents/?uuid=e9ca7c73-0198-4ebc-bbf5-18c80a31d2c1","http://www.mendeley.com/documents/?uuid=5fbc9a48-ebc0-4d22-90a9-42d9c536ae96"]}],"mendeley":{"formattedCitation":"&lt;sup&gt;45&lt;/sup&gt;","plainTextFormattedCitation":"45","previouslyFormattedCitation":"&lt;sup&gt;45&lt;/sup&gt;"},"properties":{"noteIndex":0},"schema":"https://github.com/citation-style-language/schema/raw/master/csl-citation.json"}</w:instrText>
      </w:r>
      <w:r>
        <w:fldChar w:fldCharType="separate"/>
      </w:r>
      <w:r w:rsidR="00AC379A" w:rsidRPr="00AC379A">
        <w:rPr>
          <w:noProof/>
          <w:vertAlign w:val="superscript"/>
        </w:rPr>
        <w:t>45</w:t>
      </w:r>
      <w:r>
        <w:fldChar w:fldCharType="end"/>
      </w:r>
      <w:r>
        <w:t xml:space="preserve"> Regardless of the number of objectives are considered, the opportunity costs of increased expenditure should be accounted for in decision making.  The extended impact inventory provides a framework for the inclusion of opportunity costs as part of the estimation of net effects on a number of objectives.</w:t>
      </w:r>
      <w:r>
        <w:fldChar w:fldCharType="begin" w:fldLock="1"/>
      </w:r>
      <w:r w:rsidR="00C05E22">
        <w:instrText>ADDIN CSL_CITATION {"citationItems":[{"id":"ITEM-1","itemData":{"DOI":"10.1007/s40258-019-00481-8","ISSN":"1175-5652","PMID":"31098947","abstract":"In most societies, resources are distributed by individuals acting in markets and by governments through some form of collective decision-making process. Economic evaluation offers a set of tools to inform collective decisions by examining the resource requirements and outcomes of alternative policies. The 'societal perspective' has been advocated, but less consideration has been given to what this should include and its practical implementation. This paper presents a framework for economic evaluation of policies with costs and outcomes falling on different sectors (e.g. health, criminal justice, education) and involving different decision makers. It extends the 'impact inventory' developed by the Second Panel on Cost-Effectiveness in Health and Medicine by considering all affected individuals and reflecting how outcomes attributed to an intervention can be compared with outcomes forgone as a result of resources not being available for other purposes. The framework sets out the series of assessments to be made, distinguishing points at which value judgements feed into the evaluation, and the implications of alternative judgements. These assessments reflect the institutional arrangements of public bodies, for example, their funding, the outcomes they consider important and their relative valuations of these outcomes. By avoiding the use of an abstract 'societal perspective', the contribution of the framework is to inform multiple decision makers with different objectives and provide practical guidance on overall societal impact.","author":[{"dropping-particle":"","family":"Walker","given":"Simon","non-dropping-particle":"","parse-names":false,"suffix":""},{"dropping-particle":"","family":"Griffin","given":"Susan","non-dropping-particle":"","parse-names":false,"suffix":""},{"dropping-particle":"","family":"Asaria","given":"Miqdad","non-dropping-particle":"","parse-names":false,"suffix":""},{"dropping-particle":"","family":"Tsuchiya","given":"Aki","non-dropping-particle":"","parse-names":false,"suffix":""},{"dropping-particle":"","family":"Sculpher","given":"Mark","non-dropping-particle":"","parse-names":false,"suffix":""}],"container-title":"Applied Health Economics and Health Policy","id":"ITEM-1","issued":{"date-parts":[["2019","5"]]},"title":"Striving for a Societal Perspective: A Framework for Economic Evaluations When Costs and Effects Fall on Multiple Sectors and Decision Makers","type":"article-journal"},"uris":["http://www.mendeley.com/documents/?uuid=867e6893-b519-3f1d-ac30-f180ef246677","http://www.mendeley.com/documents/?uuid=64aab892-f68a-4c27-9a97-941b1498e4dd","http://www.mendeley.com/documents/?uuid=0c62ee44-eb78-4288-a911-81a449ac1014"]}],"mendeley":{"formattedCitation":"&lt;sup&gt;46&lt;/sup&gt;","plainTextFormattedCitation":"46","previouslyFormattedCitation":"&lt;sup&gt;46&lt;/sup&gt;"},"properties":{"noteIndex":0},"schema":"https://github.com/citation-style-language/schema/raw/master/csl-citation.json"}</w:instrText>
      </w:r>
      <w:r>
        <w:fldChar w:fldCharType="separate"/>
      </w:r>
      <w:r w:rsidR="00AC379A" w:rsidRPr="00AC379A">
        <w:rPr>
          <w:noProof/>
          <w:vertAlign w:val="superscript"/>
        </w:rPr>
        <w:t>46</w:t>
      </w:r>
      <w:r>
        <w:fldChar w:fldCharType="end"/>
      </w:r>
      <w:r>
        <w:t xml:space="preserve"> </w:t>
      </w:r>
    </w:p>
    <w:p w14:paraId="209003B6" w14:textId="2C4BA242" w:rsidR="00290208" w:rsidRDefault="00290208" w:rsidP="00290208">
      <w:pPr>
        <w:pStyle w:val="Heading2"/>
      </w:pPr>
      <w:r>
        <w:t>Conclusion</w:t>
      </w:r>
    </w:p>
    <w:p w14:paraId="6ADD34B8" w14:textId="6821D10E" w:rsidR="00EC2A2C" w:rsidRDefault="00EF25B3" w:rsidP="00395B46">
      <w:r>
        <w:t>This paper</w:t>
      </w:r>
      <w:r w:rsidR="006246D2">
        <w:t xml:space="preserve"> makes an important contribution towards considering opportunity costs within economic evaluation of new health technologies. </w:t>
      </w:r>
      <w:r w:rsidR="004D0173">
        <w:t>We provide p</w:t>
      </w:r>
      <w:r w:rsidR="006246D2">
        <w:t xml:space="preserve">laceholder estimates </w:t>
      </w:r>
      <w:r w:rsidR="004D0173">
        <w:t>for 33 high</w:t>
      </w:r>
      <w:r w:rsidR="004D4A27">
        <w:t>-</w:t>
      </w:r>
      <w:r w:rsidR="004D0173">
        <w:t>income</w:t>
      </w:r>
      <w:r w:rsidR="00CD4B2F">
        <w:t xml:space="preserve"> countries and the remaining</w:t>
      </w:r>
      <w:r w:rsidR="004D0173">
        <w:t xml:space="preserve"> OECD and BRIIC</w:t>
      </w:r>
      <w:r w:rsidR="002D682B">
        <w:t>S</w:t>
      </w:r>
      <w:r w:rsidR="004D0173">
        <w:t xml:space="preserve"> countries</w:t>
      </w:r>
      <w:r w:rsidR="00CD4B2F">
        <w:t>, which can be</w:t>
      </w:r>
      <w:r w:rsidR="004D0173">
        <w:t xml:space="preserve"> </w:t>
      </w:r>
      <w:r w:rsidR="00CD4B2F">
        <w:t>used to estimate</w:t>
      </w:r>
      <w:r w:rsidR="006246D2">
        <w:t xml:space="preserve"> the health opportunity costs of government health care expenditure</w:t>
      </w:r>
      <w:r w:rsidR="004D0173">
        <w:t xml:space="preserve"> until more robust estimates of country-specific health opportunity cost are estimated </w:t>
      </w:r>
      <w:r w:rsidR="000F1107">
        <w:t>using within country data</w:t>
      </w:r>
      <w:r w:rsidR="006246D2">
        <w:t xml:space="preserve">. While the question of what constitutes value is essentially normative, </w:t>
      </w:r>
      <w:r w:rsidR="00A95E30">
        <w:t>the estimation of the opportunity costs of what is valued (however defined) is an empirical question</w:t>
      </w:r>
      <w:r w:rsidR="000B2C29">
        <w:t>. For value frameworks to inform</w:t>
      </w:r>
      <w:r w:rsidR="005D0E69">
        <w:t xml:space="preserve"> decisions in a way that results in improvements in the objectives of the </w:t>
      </w:r>
      <w:r w:rsidR="00265475">
        <w:t>HCS</w:t>
      </w:r>
      <w:r w:rsidR="005D0E69">
        <w:t>, answers are required to these questions.</w:t>
      </w:r>
    </w:p>
    <w:p w14:paraId="1124E97A" w14:textId="60530CA6" w:rsidR="00AD592A" w:rsidRDefault="00AD592A" w:rsidP="00554F95">
      <w:pPr>
        <w:pStyle w:val="Heading2"/>
      </w:pPr>
      <w:r>
        <w:t>References</w:t>
      </w:r>
    </w:p>
    <w:p w14:paraId="244520A4" w14:textId="193F9E9F" w:rsidR="00B22676" w:rsidRPr="00B22676" w:rsidRDefault="00AD592A" w:rsidP="00B22676">
      <w:pPr>
        <w:widowControl w:val="0"/>
        <w:autoSpaceDE w:val="0"/>
        <w:autoSpaceDN w:val="0"/>
        <w:adjustRightInd w:val="0"/>
        <w:spacing w:line="240" w:lineRule="auto"/>
        <w:ind w:left="640" w:hanging="640"/>
        <w:rPr>
          <w:rFonts w:ascii="Calibri" w:hAnsi="Calibri" w:cs="Calibri"/>
          <w:noProof/>
        </w:rPr>
      </w:pPr>
      <w:r>
        <w:fldChar w:fldCharType="begin" w:fldLock="1"/>
      </w:r>
      <w:r>
        <w:instrText xml:space="preserve">ADDIN Mendeley Bibliography CSL_BIBLIOGRAPHY </w:instrText>
      </w:r>
      <w:r>
        <w:fldChar w:fldCharType="separate"/>
      </w:r>
      <w:r w:rsidR="00B22676" w:rsidRPr="00B22676">
        <w:rPr>
          <w:rFonts w:ascii="Calibri" w:hAnsi="Calibri" w:cs="Calibri"/>
          <w:noProof/>
        </w:rPr>
        <w:t xml:space="preserve">1. </w:t>
      </w:r>
      <w:r w:rsidR="00B22676" w:rsidRPr="00B22676">
        <w:rPr>
          <w:rFonts w:ascii="Calibri" w:hAnsi="Calibri" w:cs="Calibri"/>
          <w:noProof/>
        </w:rPr>
        <w:tab/>
        <w:t xml:space="preserve">Neumann PJ, Willke RJ, Garrison LP. A Health Economics Approach to US Value Assessment Frameworks-Introduction: An ISPOR Special Task Force Report [1]. </w:t>
      </w:r>
      <w:r w:rsidR="00B22676" w:rsidRPr="00B22676">
        <w:rPr>
          <w:rFonts w:ascii="Calibri" w:hAnsi="Calibri" w:cs="Calibri"/>
          <w:i/>
          <w:iCs/>
          <w:noProof/>
        </w:rPr>
        <w:t>Value Health</w:t>
      </w:r>
      <w:r w:rsidR="00B22676" w:rsidRPr="00B22676">
        <w:rPr>
          <w:rFonts w:ascii="Calibri" w:hAnsi="Calibri" w:cs="Calibri"/>
          <w:noProof/>
        </w:rPr>
        <w:t>. 2018;21(2):119-123. doi:10.1016/j.jval.2017.12.012</w:t>
      </w:r>
    </w:p>
    <w:p w14:paraId="0B01F72B"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 </w:t>
      </w:r>
      <w:r w:rsidRPr="00B22676">
        <w:rPr>
          <w:rFonts w:ascii="Calibri" w:hAnsi="Calibri" w:cs="Calibri"/>
          <w:noProof/>
        </w:rPr>
        <w:tab/>
        <w:t xml:space="preserve">Garrison LP, Pauly M V, Willke RJ, Neumann PJ. An Overview of Value, Perspective, and Decision Context-A Health Economics Approach: An ISPOR Special Task Force Report [2]. </w:t>
      </w:r>
      <w:r w:rsidRPr="00B22676">
        <w:rPr>
          <w:rFonts w:ascii="Calibri" w:hAnsi="Calibri" w:cs="Calibri"/>
          <w:i/>
          <w:iCs/>
          <w:noProof/>
        </w:rPr>
        <w:t>Value Health</w:t>
      </w:r>
      <w:r w:rsidRPr="00B22676">
        <w:rPr>
          <w:rFonts w:ascii="Calibri" w:hAnsi="Calibri" w:cs="Calibri"/>
          <w:noProof/>
        </w:rPr>
        <w:t>. 2018;21(2):124-130. doi:10.1016/j.jval.2017.12.006</w:t>
      </w:r>
    </w:p>
    <w:p w14:paraId="6573D9F3"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 </w:t>
      </w:r>
      <w:r w:rsidRPr="00B22676">
        <w:rPr>
          <w:rFonts w:ascii="Calibri" w:hAnsi="Calibri" w:cs="Calibri"/>
          <w:noProof/>
        </w:rPr>
        <w:tab/>
        <w:t xml:space="preserve">Danzon PM, Drummond MF, Towse A, Pauly M V. Objectives, Budgets, Thresholds, and Opportunity Costs-A Health Economics Approach: An ISPOR Special Task Force Report [4]. </w:t>
      </w:r>
      <w:r w:rsidRPr="00B22676">
        <w:rPr>
          <w:rFonts w:ascii="Calibri" w:hAnsi="Calibri" w:cs="Calibri"/>
          <w:i/>
          <w:iCs/>
          <w:noProof/>
        </w:rPr>
        <w:t>Value Health</w:t>
      </w:r>
      <w:r w:rsidRPr="00B22676">
        <w:rPr>
          <w:rFonts w:ascii="Calibri" w:hAnsi="Calibri" w:cs="Calibri"/>
          <w:noProof/>
        </w:rPr>
        <w:t>. 2018;21(2):140-145. doi:10.1016/j.jval.2017.12.008</w:t>
      </w:r>
    </w:p>
    <w:p w14:paraId="287D3B5C"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4. </w:t>
      </w:r>
      <w:r w:rsidRPr="00B22676">
        <w:rPr>
          <w:rFonts w:ascii="Calibri" w:hAnsi="Calibri" w:cs="Calibri"/>
          <w:noProof/>
        </w:rPr>
        <w:tab/>
        <w:t xml:space="preserve">Sculpher M, Claxton K, Pearson SD. Developing a Value Framework: The Need to Reflect the Opportunity Costs of Funding Decisions. </w:t>
      </w:r>
      <w:r w:rsidRPr="00B22676">
        <w:rPr>
          <w:rFonts w:ascii="Calibri" w:hAnsi="Calibri" w:cs="Calibri"/>
          <w:i/>
          <w:iCs/>
          <w:noProof/>
        </w:rPr>
        <w:t>Value Heal</w:t>
      </w:r>
      <w:r w:rsidRPr="00B22676">
        <w:rPr>
          <w:rFonts w:ascii="Calibri" w:hAnsi="Calibri" w:cs="Calibri"/>
          <w:noProof/>
        </w:rPr>
        <w:t>. 2017;20(2):234-239. doi:10.1016/j.jval.2016.11.021</w:t>
      </w:r>
    </w:p>
    <w:p w14:paraId="675B0A77"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5. </w:t>
      </w:r>
      <w:r w:rsidRPr="00B22676">
        <w:rPr>
          <w:rFonts w:ascii="Calibri" w:hAnsi="Calibri" w:cs="Calibri"/>
          <w:noProof/>
        </w:rPr>
        <w:tab/>
        <w:t xml:space="preserve">Murray CJ, Frenk J. A framework for assessing the performance of health systems. </w:t>
      </w:r>
      <w:r w:rsidRPr="00B22676">
        <w:rPr>
          <w:rFonts w:ascii="Calibri" w:hAnsi="Calibri" w:cs="Calibri"/>
          <w:i/>
          <w:iCs/>
          <w:noProof/>
        </w:rPr>
        <w:t>Bull World Health Organ</w:t>
      </w:r>
      <w:r w:rsidRPr="00B22676">
        <w:rPr>
          <w:rFonts w:ascii="Calibri" w:hAnsi="Calibri" w:cs="Calibri"/>
          <w:noProof/>
        </w:rPr>
        <w:t>. 2000;78(6):717-731.</w:t>
      </w:r>
    </w:p>
    <w:p w14:paraId="2AAD7377"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6. </w:t>
      </w:r>
      <w:r w:rsidRPr="00B22676">
        <w:rPr>
          <w:rFonts w:ascii="Calibri" w:hAnsi="Calibri" w:cs="Calibri"/>
          <w:noProof/>
        </w:rPr>
        <w:tab/>
        <w:t xml:space="preserve">Culyer AJ. Cost-effectiveness thresholds in health care: a bookshelf guide to their meaning and use. </w:t>
      </w:r>
      <w:r w:rsidRPr="00B22676">
        <w:rPr>
          <w:rFonts w:ascii="Calibri" w:hAnsi="Calibri" w:cs="Calibri"/>
          <w:i/>
          <w:iCs/>
          <w:noProof/>
        </w:rPr>
        <w:t>Heal Econ Policy Law</w:t>
      </w:r>
      <w:r w:rsidRPr="00B22676">
        <w:rPr>
          <w:rFonts w:ascii="Calibri" w:hAnsi="Calibri" w:cs="Calibri"/>
          <w:noProof/>
        </w:rPr>
        <w:t>. 2016;11(04):415-432. doi:10.1017/S1744133116000049</w:t>
      </w:r>
    </w:p>
    <w:p w14:paraId="5B3355D9"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7. </w:t>
      </w:r>
      <w:r w:rsidRPr="00B22676">
        <w:rPr>
          <w:rFonts w:ascii="Calibri" w:hAnsi="Calibri" w:cs="Calibri"/>
          <w:noProof/>
        </w:rPr>
        <w:tab/>
        <w:t xml:space="preserve">Culyer AJ. Cost, context, and decisions in health economics and health technology assessment. </w:t>
      </w:r>
      <w:r w:rsidRPr="00B22676">
        <w:rPr>
          <w:rFonts w:ascii="Calibri" w:hAnsi="Calibri" w:cs="Calibri"/>
          <w:i/>
          <w:iCs/>
          <w:noProof/>
        </w:rPr>
        <w:t>Int J Technol Assess Health Care</w:t>
      </w:r>
      <w:r w:rsidRPr="00B22676">
        <w:rPr>
          <w:rFonts w:ascii="Calibri" w:hAnsi="Calibri" w:cs="Calibri"/>
          <w:noProof/>
        </w:rPr>
        <w:t>. 2018;34(5):434-441. doi:10.1017/S0266462318000612</w:t>
      </w:r>
    </w:p>
    <w:p w14:paraId="5B7159D2"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8. </w:t>
      </w:r>
      <w:r w:rsidRPr="00B22676">
        <w:rPr>
          <w:rFonts w:ascii="Calibri" w:hAnsi="Calibri" w:cs="Calibri"/>
          <w:noProof/>
        </w:rPr>
        <w:tab/>
        <w:t xml:space="preserve">van Baal P, Perry-Duxbury M, Bakx P, Versteegh M, van Doorslaer E, Brouwer W. A cost-effectiveness threshold based on the marginal returns of cardiovascular hospital spending. </w:t>
      </w:r>
      <w:r w:rsidRPr="00B22676">
        <w:rPr>
          <w:rFonts w:ascii="Calibri" w:hAnsi="Calibri" w:cs="Calibri"/>
          <w:i/>
          <w:iCs/>
          <w:noProof/>
        </w:rPr>
        <w:t>Health Econ</w:t>
      </w:r>
      <w:r w:rsidRPr="00B22676">
        <w:rPr>
          <w:rFonts w:ascii="Calibri" w:hAnsi="Calibri" w:cs="Calibri"/>
          <w:noProof/>
        </w:rPr>
        <w:t>. 2019;28(1):87-100. doi:10.1002/hec.3831</w:t>
      </w:r>
    </w:p>
    <w:p w14:paraId="268FAE06"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9. </w:t>
      </w:r>
      <w:r w:rsidRPr="00B22676">
        <w:rPr>
          <w:rFonts w:ascii="Calibri" w:hAnsi="Calibri" w:cs="Calibri"/>
          <w:noProof/>
        </w:rPr>
        <w:tab/>
        <w:t xml:space="preserve">Thokala P, Ochalek J, Leech AA, Tong T. Cost-Effectiveness Thresholds: the Past, the Present and the Future. </w:t>
      </w:r>
      <w:r w:rsidRPr="00B22676">
        <w:rPr>
          <w:rFonts w:ascii="Calibri" w:hAnsi="Calibri" w:cs="Calibri"/>
          <w:i/>
          <w:iCs/>
          <w:noProof/>
        </w:rPr>
        <w:t>Pharmacoeconomics</w:t>
      </w:r>
      <w:r w:rsidRPr="00B22676">
        <w:rPr>
          <w:rFonts w:ascii="Calibri" w:hAnsi="Calibri" w:cs="Calibri"/>
          <w:noProof/>
        </w:rPr>
        <w:t>. February 2018. doi:10.1007/s40273-017-0606-1</w:t>
      </w:r>
    </w:p>
    <w:p w14:paraId="7113E2C2"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lastRenderedPageBreak/>
        <w:t xml:space="preserve">10. </w:t>
      </w:r>
      <w:r w:rsidRPr="00B22676">
        <w:rPr>
          <w:rFonts w:ascii="Calibri" w:hAnsi="Calibri" w:cs="Calibri"/>
          <w:noProof/>
        </w:rPr>
        <w:tab/>
        <w:t xml:space="preserve">Claxton K, Martin S, Soares M, et al. Methods for the estimation of the National Institute for Health and Care Excellence cost-effectiveness threshold. </w:t>
      </w:r>
      <w:r w:rsidRPr="00B22676">
        <w:rPr>
          <w:rFonts w:ascii="Calibri" w:hAnsi="Calibri" w:cs="Calibri"/>
          <w:i/>
          <w:iCs/>
          <w:noProof/>
        </w:rPr>
        <w:t>Health Technol Assess (Rockv)</w:t>
      </w:r>
      <w:r w:rsidRPr="00B22676">
        <w:rPr>
          <w:rFonts w:ascii="Calibri" w:hAnsi="Calibri" w:cs="Calibri"/>
          <w:noProof/>
        </w:rPr>
        <w:t>. 2015;19(14):1-504. doi:10.3310/hta19140</w:t>
      </w:r>
    </w:p>
    <w:p w14:paraId="22EF30BA"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11. </w:t>
      </w:r>
      <w:r w:rsidRPr="00B22676">
        <w:rPr>
          <w:rFonts w:ascii="Calibri" w:hAnsi="Calibri" w:cs="Calibri"/>
          <w:noProof/>
        </w:rPr>
        <w:tab/>
        <w:t xml:space="preserve">Edney LC, Haji Ali Afzali H, Cheng TC, Karnon J. Estimating the Reference Incremental Cost-Effectiveness Ratio for the Australian Health System. </w:t>
      </w:r>
      <w:r w:rsidRPr="00B22676">
        <w:rPr>
          <w:rFonts w:ascii="Calibri" w:hAnsi="Calibri" w:cs="Calibri"/>
          <w:i/>
          <w:iCs/>
          <w:noProof/>
        </w:rPr>
        <w:t>Pharmacoeconomics</w:t>
      </w:r>
      <w:r w:rsidRPr="00B22676">
        <w:rPr>
          <w:rFonts w:ascii="Calibri" w:hAnsi="Calibri" w:cs="Calibri"/>
          <w:noProof/>
        </w:rPr>
        <w:t>. December 2017. doi:10.1007/s40273-017-0585-2</w:t>
      </w:r>
    </w:p>
    <w:p w14:paraId="4D2D19F9"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12. </w:t>
      </w:r>
      <w:r w:rsidRPr="00B22676">
        <w:rPr>
          <w:rFonts w:ascii="Calibri" w:hAnsi="Calibri" w:cs="Calibri"/>
          <w:noProof/>
        </w:rPr>
        <w:tab/>
        <w:t xml:space="preserve">Vallejo-Torres L, García-Lorenzo B, Serrano-Aguilar P. </w:t>
      </w:r>
      <w:r w:rsidRPr="00B22676">
        <w:rPr>
          <w:rFonts w:ascii="Calibri" w:hAnsi="Calibri" w:cs="Calibri"/>
          <w:i/>
          <w:iCs/>
          <w:noProof/>
        </w:rPr>
        <w:t>Estimating a Cost-Effectiveness Threshold for the Spanish NHS</w:t>
      </w:r>
      <w:r w:rsidRPr="00B22676">
        <w:rPr>
          <w:rFonts w:ascii="Calibri" w:hAnsi="Calibri" w:cs="Calibri"/>
          <w:noProof/>
        </w:rPr>
        <w:t>. Madrid; 2016. http://documentos.fedea.net/pubs/eee/eee2016-22.pdf. Accessed July 31, 2017.</w:t>
      </w:r>
    </w:p>
    <w:p w14:paraId="564A4D75"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13. </w:t>
      </w:r>
      <w:r w:rsidRPr="00B22676">
        <w:rPr>
          <w:rFonts w:ascii="Calibri" w:hAnsi="Calibri" w:cs="Calibri"/>
          <w:noProof/>
        </w:rPr>
        <w:tab/>
        <w:t xml:space="preserve">Lomas J, Martin S, Claxton K. Estimating the Marginal Productivity of the English National Health Service From 2003 to 2012. </w:t>
      </w:r>
      <w:r w:rsidRPr="00B22676">
        <w:rPr>
          <w:rFonts w:ascii="Calibri" w:hAnsi="Calibri" w:cs="Calibri"/>
          <w:i/>
          <w:iCs/>
          <w:noProof/>
        </w:rPr>
        <w:t>Value Heal</w:t>
      </w:r>
      <w:r w:rsidRPr="00B22676">
        <w:rPr>
          <w:rFonts w:ascii="Calibri" w:hAnsi="Calibri" w:cs="Calibri"/>
          <w:noProof/>
        </w:rPr>
        <w:t>. 2019;0(0). doi:10.1016/j.jval.2019.04.1926</w:t>
      </w:r>
    </w:p>
    <w:p w14:paraId="7B8A5FD6"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14. </w:t>
      </w:r>
      <w:r w:rsidRPr="00B22676">
        <w:rPr>
          <w:rFonts w:ascii="Calibri" w:hAnsi="Calibri" w:cs="Calibri"/>
          <w:noProof/>
        </w:rPr>
        <w:tab/>
        <w:t xml:space="preserve">Stadhouders N, Koolman X, Dijk C, Jeurissen P, Adang E. The marginal benefits of healthcare spending in the Netherlands: Estimating cost‐effectiveness thresholds using a translog production function. </w:t>
      </w:r>
      <w:r w:rsidRPr="00B22676">
        <w:rPr>
          <w:rFonts w:ascii="Calibri" w:hAnsi="Calibri" w:cs="Calibri"/>
          <w:i/>
          <w:iCs/>
          <w:noProof/>
        </w:rPr>
        <w:t>Health Econ</w:t>
      </w:r>
      <w:r w:rsidRPr="00B22676">
        <w:rPr>
          <w:rFonts w:ascii="Calibri" w:hAnsi="Calibri" w:cs="Calibri"/>
          <w:noProof/>
        </w:rPr>
        <w:t>. August 2019. doi:10.1002/hec.3946</w:t>
      </w:r>
    </w:p>
    <w:p w14:paraId="068B88E3"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15. </w:t>
      </w:r>
      <w:r w:rsidRPr="00B22676">
        <w:rPr>
          <w:rFonts w:ascii="Calibri" w:hAnsi="Calibri" w:cs="Calibri"/>
          <w:noProof/>
        </w:rPr>
        <w:tab/>
        <w:t xml:space="preserve">Woods B, Revill P, Sculpher M, Claxton K. Country-Level Cost-Effectiveness Thresholds: Initial Estimates and the Need for Further Research. </w:t>
      </w:r>
      <w:r w:rsidRPr="00B22676">
        <w:rPr>
          <w:rFonts w:ascii="Calibri" w:hAnsi="Calibri" w:cs="Calibri"/>
          <w:i/>
          <w:iCs/>
          <w:noProof/>
        </w:rPr>
        <w:t>Value Heal</w:t>
      </w:r>
      <w:r w:rsidRPr="00B22676">
        <w:rPr>
          <w:rFonts w:ascii="Calibri" w:hAnsi="Calibri" w:cs="Calibri"/>
          <w:noProof/>
        </w:rPr>
        <w:t>. 2016;19(8):929-935. doi:10.1016/j.jval.2016.02.017</w:t>
      </w:r>
    </w:p>
    <w:p w14:paraId="320F0E8F"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16. </w:t>
      </w:r>
      <w:r w:rsidRPr="00B22676">
        <w:rPr>
          <w:rFonts w:ascii="Calibri" w:hAnsi="Calibri" w:cs="Calibri"/>
          <w:noProof/>
        </w:rPr>
        <w:tab/>
        <w:t xml:space="preserve">Ochalek J, Lomas J, Claxton K. Estimating health opportunity costs in low-income and middle-income countries: a novel approach and evidence from cross-country data. </w:t>
      </w:r>
      <w:r w:rsidRPr="00B22676">
        <w:rPr>
          <w:rFonts w:ascii="Calibri" w:hAnsi="Calibri" w:cs="Calibri"/>
          <w:i/>
          <w:iCs/>
          <w:noProof/>
        </w:rPr>
        <w:t>BMJ Glob Heal</w:t>
      </w:r>
      <w:r w:rsidRPr="00B22676">
        <w:rPr>
          <w:rFonts w:ascii="Calibri" w:hAnsi="Calibri" w:cs="Calibri"/>
          <w:noProof/>
        </w:rPr>
        <w:t>. 2018;3(6):e000964. doi:10.1136/bmjgh-2018-000964</w:t>
      </w:r>
    </w:p>
    <w:p w14:paraId="06AE503B"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17. </w:t>
      </w:r>
      <w:r w:rsidRPr="00B22676">
        <w:rPr>
          <w:rFonts w:ascii="Calibri" w:hAnsi="Calibri" w:cs="Calibri"/>
          <w:noProof/>
        </w:rPr>
        <w:tab/>
        <w:t xml:space="preserve">Bokhari FAS, Gai Y, Gottret P. Government health expenditures and health outcomes. </w:t>
      </w:r>
      <w:r w:rsidRPr="00B22676">
        <w:rPr>
          <w:rFonts w:ascii="Calibri" w:hAnsi="Calibri" w:cs="Calibri"/>
          <w:i/>
          <w:iCs/>
          <w:noProof/>
        </w:rPr>
        <w:t>Health Econ</w:t>
      </w:r>
      <w:r w:rsidRPr="00B22676">
        <w:rPr>
          <w:rFonts w:ascii="Calibri" w:hAnsi="Calibri" w:cs="Calibri"/>
          <w:noProof/>
        </w:rPr>
        <w:t>. 2007;16(3):257-273. doi:10.1002/hec.1157</w:t>
      </w:r>
    </w:p>
    <w:p w14:paraId="68489776"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18. </w:t>
      </w:r>
      <w:r w:rsidRPr="00B22676">
        <w:rPr>
          <w:rFonts w:ascii="Calibri" w:hAnsi="Calibri" w:cs="Calibri"/>
          <w:noProof/>
        </w:rPr>
        <w:tab/>
        <w:t xml:space="preserve">Andrews M, Elamin O, Hall AR, Kyriakoulis K, Sutton M. Inference in the presence of redundant moment conditions and the impact of government health expenditure on health outcomes in England. </w:t>
      </w:r>
      <w:r w:rsidRPr="00B22676">
        <w:rPr>
          <w:rFonts w:ascii="Calibri" w:hAnsi="Calibri" w:cs="Calibri"/>
          <w:i/>
          <w:iCs/>
          <w:noProof/>
        </w:rPr>
        <w:t>Econom Rev</w:t>
      </w:r>
      <w:r w:rsidRPr="00B22676">
        <w:rPr>
          <w:rFonts w:ascii="Calibri" w:hAnsi="Calibri" w:cs="Calibri"/>
          <w:noProof/>
        </w:rPr>
        <w:t>. 2017;36(1-3):23-41. doi:10.1080/07474938.2016.1114205</w:t>
      </w:r>
    </w:p>
    <w:p w14:paraId="43E77444"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19. </w:t>
      </w:r>
      <w:r w:rsidRPr="00B22676">
        <w:rPr>
          <w:rFonts w:ascii="Calibri" w:hAnsi="Calibri" w:cs="Calibri"/>
          <w:noProof/>
        </w:rPr>
        <w:tab/>
        <w:t>Institute for Health Metrics and Evaluation. Global Burden of Disease Study 2015 (GBD 2015) Data Resources | GHDx. http://ghdx.healthdata.org/gbd-2015. Published 2018. Accessed March 21, 2018.</w:t>
      </w:r>
    </w:p>
    <w:p w14:paraId="21642BD9"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20. </w:t>
      </w:r>
      <w:r w:rsidRPr="00B22676">
        <w:rPr>
          <w:rFonts w:ascii="Calibri" w:hAnsi="Calibri" w:cs="Calibri"/>
          <w:noProof/>
        </w:rPr>
        <w:tab/>
        <w:t xml:space="preserve">Gravelle HSE, Backhouse ME. International cross-section analysis of the determination of mortality. </w:t>
      </w:r>
      <w:r w:rsidRPr="00B22676">
        <w:rPr>
          <w:rFonts w:ascii="Calibri" w:hAnsi="Calibri" w:cs="Calibri"/>
          <w:i/>
          <w:iCs/>
          <w:noProof/>
        </w:rPr>
        <w:t>Soc Sci Med</w:t>
      </w:r>
      <w:r w:rsidRPr="00B22676">
        <w:rPr>
          <w:rFonts w:ascii="Calibri" w:hAnsi="Calibri" w:cs="Calibri"/>
          <w:noProof/>
        </w:rPr>
        <w:t>. 1987;25(5):427-441. doi:10.1016/0277-9536(87)90167-5</w:t>
      </w:r>
    </w:p>
    <w:p w14:paraId="1AF2E0D4"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21. </w:t>
      </w:r>
      <w:r w:rsidRPr="00B22676">
        <w:rPr>
          <w:rFonts w:ascii="Calibri" w:hAnsi="Calibri" w:cs="Calibri"/>
          <w:noProof/>
        </w:rPr>
        <w:tab/>
        <w:t xml:space="preserve">Nakamura R, Lomas J, Claxton K, Bokhari F, Serra RM, Suhrcke M. </w:t>
      </w:r>
      <w:r w:rsidRPr="00B22676">
        <w:rPr>
          <w:rFonts w:ascii="Calibri" w:hAnsi="Calibri" w:cs="Calibri"/>
          <w:i/>
          <w:iCs/>
          <w:noProof/>
        </w:rPr>
        <w:t>Assessing the Impact of Health Care Expenditures on Mortality Using Cross-Country Data</w:t>
      </w:r>
      <w:r w:rsidRPr="00B22676">
        <w:rPr>
          <w:rFonts w:ascii="Calibri" w:hAnsi="Calibri" w:cs="Calibri"/>
          <w:noProof/>
        </w:rPr>
        <w:t>. York; 2016. https://www.york.ac.uk/media/che/documents/papers/researchpapers/CHERP128_health_care_expenditures_mortality_cross-country_data.pdf. Accessed May 3, 2017.</w:t>
      </w:r>
    </w:p>
    <w:p w14:paraId="72A7D2F2"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22. </w:t>
      </w:r>
      <w:r w:rsidRPr="00B22676">
        <w:rPr>
          <w:rFonts w:ascii="Calibri" w:hAnsi="Calibri" w:cs="Calibri"/>
          <w:noProof/>
        </w:rPr>
        <w:tab/>
        <w:t>World Bank. GDP per capita (current US$) | Data. https://data.worldbank.org/indicator/NY.GDP.PCAP.CD. Accessed October 31, 2017.</w:t>
      </w:r>
    </w:p>
    <w:p w14:paraId="2B547504"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23. </w:t>
      </w:r>
      <w:r w:rsidRPr="00B22676">
        <w:rPr>
          <w:rFonts w:ascii="Calibri" w:hAnsi="Calibri" w:cs="Calibri"/>
          <w:noProof/>
        </w:rPr>
        <w:tab/>
        <w:t xml:space="preserve">Claxton K, Martin S, Soares M, et al. Methods for the estimation of the National Institute for Health and Care Excellence cost-effectiveness threshold. </w:t>
      </w:r>
      <w:r w:rsidRPr="00B22676">
        <w:rPr>
          <w:rFonts w:ascii="Calibri" w:hAnsi="Calibri" w:cs="Calibri"/>
          <w:i/>
          <w:iCs/>
          <w:noProof/>
        </w:rPr>
        <w:t>Health Technol Assess</w:t>
      </w:r>
      <w:r w:rsidRPr="00B22676">
        <w:rPr>
          <w:rFonts w:ascii="Calibri" w:hAnsi="Calibri" w:cs="Calibri"/>
          <w:noProof/>
        </w:rPr>
        <w:t>. 2015;19(14):1-503, v-vi. doi:10.3310/hta19140</w:t>
      </w:r>
    </w:p>
    <w:p w14:paraId="6219F1E5"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24. </w:t>
      </w:r>
      <w:r w:rsidRPr="00B22676">
        <w:rPr>
          <w:rFonts w:ascii="Calibri" w:hAnsi="Calibri" w:cs="Calibri"/>
          <w:noProof/>
        </w:rPr>
        <w:tab/>
        <w:t xml:space="preserve">Ochalek J, Lomas J, Claxton K. </w:t>
      </w:r>
      <w:r w:rsidRPr="00B22676">
        <w:rPr>
          <w:rFonts w:ascii="Calibri" w:hAnsi="Calibri" w:cs="Calibri"/>
          <w:i/>
          <w:iCs/>
          <w:noProof/>
        </w:rPr>
        <w:t>Assessing Health Opportunity Costs for the Canadian Health Care Systems</w:t>
      </w:r>
      <w:r w:rsidRPr="00B22676">
        <w:rPr>
          <w:rFonts w:ascii="Calibri" w:hAnsi="Calibri" w:cs="Calibri"/>
          <w:noProof/>
        </w:rPr>
        <w:t>.; 2018.</w:t>
      </w:r>
    </w:p>
    <w:p w14:paraId="1861B70F"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25. </w:t>
      </w:r>
      <w:r w:rsidRPr="00B22676">
        <w:rPr>
          <w:rFonts w:ascii="Calibri" w:hAnsi="Calibri" w:cs="Calibri"/>
          <w:noProof/>
        </w:rPr>
        <w:tab/>
        <w:t xml:space="preserve">Cameron D, Ubels J, Norström F. Global Health Action On what basis are medical cost-effectiveness thresholds set? Clashing opinions and an absence of data: a systematic review </w:t>
      </w:r>
      <w:r w:rsidRPr="00B22676">
        <w:rPr>
          <w:rFonts w:ascii="Calibri" w:hAnsi="Calibri" w:cs="Calibri"/>
          <w:noProof/>
        </w:rPr>
        <w:lastRenderedPageBreak/>
        <w:t xml:space="preserve">medical cost-effectiveness thresholds set? Clashing opinions and an absence of data: a systematic review On what basis are medical cost-effectiveness thresholds set? Clashing opinions and an absence of data: a systematic review. </w:t>
      </w:r>
      <w:r w:rsidRPr="00B22676">
        <w:rPr>
          <w:rFonts w:ascii="Calibri" w:hAnsi="Calibri" w:cs="Calibri"/>
          <w:i/>
          <w:iCs/>
          <w:noProof/>
        </w:rPr>
        <w:t>Glob Health Action</w:t>
      </w:r>
      <w:r w:rsidRPr="00B22676">
        <w:rPr>
          <w:rFonts w:ascii="Calibri" w:hAnsi="Calibri" w:cs="Calibri"/>
          <w:noProof/>
        </w:rPr>
        <w:t>. 1447;11(1). doi:10.1080/16549716.2018.1447828</w:t>
      </w:r>
    </w:p>
    <w:p w14:paraId="77B87E42"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26. </w:t>
      </w:r>
      <w:r w:rsidRPr="00B22676">
        <w:rPr>
          <w:rFonts w:ascii="Calibri" w:hAnsi="Calibri" w:cs="Calibri"/>
          <w:noProof/>
        </w:rPr>
        <w:tab/>
        <w:t>NICE. Guide to the Technology Appraisal Process (reference N0514). 2004.</w:t>
      </w:r>
    </w:p>
    <w:p w14:paraId="7BD09293"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27. </w:t>
      </w:r>
      <w:r w:rsidRPr="00B22676">
        <w:rPr>
          <w:rFonts w:ascii="Calibri" w:hAnsi="Calibri" w:cs="Calibri"/>
          <w:noProof/>
        </w:rPr>
        <w:tab/>
        <w:t xml:space="preserve">Rawlins MD, Culyer AJ. National Institute for Clinical Excellence and its value judgments. </w:t>
      </w:r>
      <w:r w:rsidRPr="00B22676">
        <w:rPr>
          <w:rFonts w:ascii="Calibri" w:hAnsi="Calibri" w:cs="Calibri"/>
          <w:i/>
          <w:iCs/>
          <w:noProof/>
        </w:rPr>
        <w:t>BMJ</w:t>
      </w:r>
      <w:r w:rsidRPr="00B22676">
        <w:rPr>
          <w:rFonts w:ascii="Calibri" w:hAnsi="Calibri" w:cs="Calibri"/>
          <w:noProof/>
        </w:rPr>
        <w:t>. 2004;329(7459):224-227. doi:10.1136/bmj.329.7459.224</w:t>
      </w:r>
    </w:p>
    <w:p w14:paraId="0B940120"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28. </w:t>
      </w:r>
      <w:r w:rsidRPr="00B22676">
        <w:rPr>
          <w:rFonts w:ascii="Calibri" w:hAnsi="Calibri" w:cs="Calibri"/>
          <w:noProof/>
        </w:rPr>
        <w:tab/>
        <w:t>Committee H of CH. NICE: First report of the Health Committee 2007-2008. Presented at the: 2008.</w:t>
      </w:r>
    </w:p>
    <w:p w14:paraId="47FBD582"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29. </w:t>
      </w:r>
      <w:r w:rsidRPr="00B22676">
        <w:rPr>
          <w:rFonts w:ascii="Calibri" w:hAnsi="Calibri" w:cs="Calibri"/>
          <w:noProof/>
        </w:rPr>
        <w:tab/>
        <w:t>Committee H of CH. NICE response to the first report of session 2007-2008. HC550. Presented at the: 2008.</w:t>
      </w:r>
    </w:p>
    <w:p w14:paraId="233AAE80"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30. </w:t>
      </w:r>
      <w:r w:rsidRPr="00B22676">
        <w:rPr>
          <w:rFonts w:ascii="Calibri" w:hAnsi="Calibri" w:cs="Calibri"/>
          <w:noProof/>
        </w:rPr>
        <w:tab/>
        <w:t>Committee H of CH. The government’s response to the Health Select Committee’s first report of session 2007-08 on the National Institute for Health and Clinical Excellence. Cm7331. Presented at the: 2008.</w:t>
      </w:r>
    </w:p>
    <w:p w14:paraId="1D4528E9"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31. </w:t>
      </w:r>
      <w:r w:rsidRPr="00B22676">
        <w:rPr>
          <w:rFonts w:ascii="Calibri" w:hAnsi="Calibri" w:cs="Calibri"/>
          <w:noProof/>
        </w:rPr>
        <w:tab/>
        <w:t>Anderson JL, Heidenreich P, Barnett P, et al. ACC/AHA Statement on Cost/Value Methodology in Clinical Practice Guidelines and Performance Measures: A Report of the American College of Cardiology/American Heart Association Task Force on Performance Measures and Task Force on Practice Guidelines. 2014;63(21). doi:10.1016/j.jacc.2014.03.016</w:t>
      </w:r>
    </w:p>
    <w:p w14:paraId="013F4645"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32. </w:t>
      </w:r>
      <w:r w:rsidRPr="00B22676">
        <w:rPr>
          <w:rFonts w:ascii="Calibri" w:hAnsi="Calibri" w:cs="Calibri"/>
          <w:noProof/>
        </w:rPr>
        <w:tab/>
        <w:t xml:space="preserve">Neumann PJ, Cohen JT, Weinstein MC. Updating Cost-Effectiveness — The Curious Resilience of the $50,000-per-QALY Threshold. </w:t>
      </w:r>
      <w:r w:rsidRPr="00B22676">
        <w:rPr>
          <w:rFonts w:ascii="Calibri" w:hAnsi="Calibri" w:cs="Calibri"/>
          <w:i/>
          <w:iCs/>
          <w:noProof/>
        </w:rPr>
        <w:t>N Engl J Med</w:t>
      </w:r>
      <w:r w:rsidRPr="00B22676">
        <w:rPr>
          <w:rFonts w:ascii="Calibri" w:hAnsi="Calibri" w:cs="Calibri"/>
          <w:noProof/>
        </w:rPr>
        <w:t>. 2014;371(9):796-797. doi:10.1056/NEJMp1405158</w:t>
      </w:r>
    </w:p>
    <w:p w14:paraId="73776D73"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33. </w:t>
      </w:r>
      <w:r w:rsidRPr="00B22676">
        <w:rPr>
          <w:rFonts w:ascii="Calibri" w:hAnsi="Calibri" w:cs="Calibri"/>
          <w:noProof/>
        </w:rPr>
        <w:tab/>
        <w:t xml:space="preserve">Commission on Macroeconomics and Health. </w:t>
      </w:r>
      <w:r w:rsidRPr="00B22676">
        <w:rPr>
          <w:rFonts w:ascii="Calibri" w:hAnsi="Calibri" w:cs="Calibri"/>
          <w:i/>
          <w:iCs/>
          <w:noProof/>
        </w:rPr>
        <w:t>Macroeconomics and Health: Investing in Health for Economic Development</w:t>
      </w:r>
      <w:r w:rsidRPr="00B22676">
        <w:rPr>
          <w:rFonts w:ascii="Calibri" w:hAnsi="Calibri" w:cs="Calibri"/>
          <w:noProof/>
        </w:rPr>
        <w:t>. Geneva; 2001. http://www1.worldbank.org/publicsector/pe/PEAMMarch2005/CMHReport.pdf. Accessed July 31, 2017.</w:t>
      </w:r>
    </w:p>
    <w:p w14:paraId="47AED14F"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34. </w:t>
      </w:r>
      <w:r w:rsidRPr="00B22676">
        <w:rPr>
          <w:rFonts w:ascii="Calibri" w:hAnsi="Calibri" w:cs="Calibri"/>
          <w:noProof/>
        </w:rPr>
        <w:tab/>
        <w:t xml:space="preserve">Newall AT, Jit M, Hutubessy R. Are current cost-effectiveness thresholds for low- and middle-income countries useful? Examples from the world of vaccines. </w:t>
      </w:r>
      <w:r w:rsidRPr="00B22676">
        <w:rPr>
          <w:rFonts w:ascii="Calibri" w:hAnsi="Calibri" w:cs="Calibri"/>
          <w:i/>
          <w:iCs/>
          <w:noProof/>
        </w:rPr>
        <w:t>Pharmacoeconomics</w:t>
      </w:r>
      <w:r w:rsidRPr="00B22676">
        <w:rPr>
          <w:rFonts w:ascii="Calibri" w:hAnsi="Calibri" w:cs="Calibri"/>
          <w:noProof/>
        </w:rPr>
        <w:t>. 2014;32(6):525-531. doi:10.1007/s40273-014-0162-x</w:t>
      </w:r>
    </w:p>
    <w:p w14:paraId="18A0A4BC"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35. </w:t>
      </w:r>
      <w:r w:rsidRPr="00B22676">
        <w:rPr>
          <w:rFonts w:ascii="Calibri" w:hAnsi="Calibri" w:cs="Calibri"/>
          <w:noProof/>
        </w:rPr>
        <w:tab/>
        <w:t xml:space="preserve">Marseille E, Larson B, Kazi DS, Kahn JG, Rosen S. Thresholds for the cost-effectiveness of interventions: alternative approaches. </w:t>
      </w:r>
      <w:r w:rsidRPr="00B22676">
        <w:rPr>
          <w:rFonts w:ascii="Calibri" w:hAnsi="Calibri" w:cs="Calibri"/>
          <w:i/>
          <w:iCs/>
          <w:noProof/>
        </w:rPr>
        <w:t>Bull World Health Organ</w:t>
      </w:r>
      <w:r w:rsidRPr="00B22676">
        <w:rPr>
          <w:rFonts w:ascii="Calibri" w:hAnsi="Calibri" w:cs="Calibri"/>
          <w:noProof/>
        </w:rPr>
        <w:t>. 2015;93(2):118-124. doi:10.2471/BLT.14.138206</w:t>
      </w:r>
    </w:p>
    <w:p w14:paraId="65DC7C63"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36. </w:t>
      </w:r>
      <w:r w:rsidRPr="00B22676">
        <w:rPr>
          <w:rFonts w:ascii="Calibri" w:hAnsi="Calibri" w:cs="Calibri"/>
          <w:noProof/>
        </w:rPr>
        <w:tab/>
        <w:t xml:space="preserve">Robinson LA, Hammitt JK, Chang AY, Resch S. Understanding and improving the one and three times GDP per capita cost-effectiveness thresholds. </w:t>
      </w:r>
      <w:r w:rsidRPr="00B22676">
        <w:rPr>
          <w:rFonts w:ascii="Calibri" w:hAnsi="Calibri" w:cs="Calibri"/>
          <w:i/>
          <w:iCs/>
          <w:noProof/>
        </w:rPr>
        <w:t>Health Policy Plan</w:t>
      </w:r>
      <w:r w:rsidRPr="00B22676">
        <w:rPr>
          <w:rFonts w:ascii="Calibri" w:hAnsi="Calibri" w:cs="Calibri"/>
          <w:noProof/>
        </w:rPr>
        <w:t>. 2017;32(1):141-145. doi:10.1093/heapol/czw096</w:t>
      </w:r>
    </w:p>
    <w:p w14:paraId="569CD5BA"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37. </w:t>
      </w:r>
      <w:r w:rsidRPr="00B22676">
        <w:rPr>
          <w:rFonts w:ascii="Calibri" w:hAnsi="Calibri" w:cs="Calibri"/>
          <w:noProof/>
        </w:rPr>
        <w:tab/>
        <w:t xml:space="preserve">Bertram MY, Lauer JA, De Joncheere K, et al. Cost-effectiveness thresholds: pros and cons. </w:t>
      </w:r>
      <w:r w:rsidRPr="00B22676">
        <w:rPr>
          <w:rFonts w:ascii="Calibri" w:hAnsi="Calibri" w:cs="Calibri"/>
          <w:i/>
          <w:iCs/>
          <w:noProof/>
        </w:rPr>
        <w:t>Bull World Health Organ</w:t>
      </w:r>
      <w:r w:rsidRPr="00B22676">
        <w:rPr>
          <w:rFonts w:ascii="Calibri" w:hAnsi="Calibri" w:cs="Calibri"/>
          <w:noProof/>
        </w:rPr>
        <w:t>. 2016;94(12):925-930. doi:10.2471/BLT.15.164418</w:t>
      </w:r>
    </w:p>
    <w:p w14:paraId="59C032C3"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38. </w:t>
      </w:r>
      <w:r w:rsidRPr="00B22676">
        <w:rPr>
          <w:rFonts w:ascii="Calibri" w:hAnsi="Calibri" w:cs="Calibri"/>
          <w:noProof/>
        </w:rPr>
        <w:tab/>
        <w:t xml:space="preserve">Karnon J, Afzali H, Edney L. Estimating a Reference ICER for Australia. In: </w:t>
      </w:r>
      <w:r w:rsidRPr="00B22676">
        <w:rPr>
          <w:rFonts w:ascii="Calibri" w:hAnsi="Calibri" w:cs="Calibri"/>
          <w:i/>
          <w:iCs/>
          <w:noProof/>
        </w:rPr>
        <w:t>Boston 2017 Congress - International Health Economics Association</w:t>
      </w:r>
      <w:r w:rsidRPr="00B22676">
        <w:rPr>
          <w:rFonts w:ascii="Calibri" w:hAnsi="Calibri" w:cs="Calibri"/>
          <w:noProof/>
        </w:rPr>
        <w:t>. Boston; 2017.</w:t>
      </w:r>
    </w:p>
    <w:p w14:paraId="3D6835C9"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39. </w:t>
      </w:r>
      <w:r w:rsidRPr="00B22676">
        <w:rPr>
          <w:rFonts w:ascii="Calibri" w:hAnsi="Calibri" w:cs="Calibri"/>
          <w:noProof/>
        </w:rPr>
        <w:tab/>
        <w:t xml:space="preserve">Augustovski F, Colantonio LD, Galante J, et al. Measuring the benefits of healthcare: DALYs and QALYs – Does the choice of measure matter? A case study of two preventive interventions. </w:t>
      </w:r>
      <w:r w:rsidRPr="00B22676">
        <w:rPr>
          <w:rFonts w:ascii="Calibri" w:hAnsi="Calibri" w:cs="Calibri"/>
          <w:i/>
          <w:iCs/>
          <w:noProof/>
        </w:rPr>
        <w:t>Int J Heal Policy Manag</w:t>
      </w:r>
      <w:r w:rsidRPr="00B22676">
        <w:rPr>
          <w:rFonts w:ascii="Calibri" w:hAnsi="Calibri" w:cs="Calibri"/>
          <w:noProof/>
        </w:rPr>
        <w:t>. 2018;7(2):120-136. doi:10.15171/ijhpm.2017.47</w:t>
      </w:r>
    </w:p>
    <w:p w14:paraId="61E43CC7"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40. </w:t>
      </w:r>
      <w:r w:rsidRPr="00B22676">
        <w:rPr>
          <w:rFonts w:ascii="Calibri" w:hAnsi="Calibri" w:cs="Calibri"/>
          <w:noProof/>
        </w:rPr>
        <w:tab/>
        <w:t xml:space="preserve">Appleby J, Devlin N, Parkin D, Buxton M, Chalkidou K. Searching for cost effectiveness thresholds in the NHS. </w:t>
      </w:r>
      <w:r w:rsidRPr="00B22676">
        <w:rPr>
          <w:rFonts w:ascii="Calibri" w:hAnsi="Calibri" w:cs="Calibri"/>
          <w:i/>
          <w:iCs/>
          <w:noProof/>
        </w:rPr>
        <w:t>Health Policy (New York)</w:t>
      </w:r>
      <w:r w:rsidRPr="00B22676">
        <w:rPr>
          <w:rFonts w:ascii="Calibri" w:hAnsi="Calibri" w:cs="Calibri"/>
          <w:noProof/>
        </w:rPr>
        <w:t xml:space="preserve">. 2009;91(3):239-245. </w:t>
      </w:r>
      <w:r w:rsidRPr="00B22676">
        <w:rPr>
          <w:rFonts w:ascii="Calibri" w:hAnsi="Calibri" w:cs="Calibri"/>
          <w:noProof/>
        </w:rPr>
        <w:lastRenderedPageBreak/>
        <w:t>doi:10.1016/j.healthpol.2008.12.010</w:t>
      </w:r>
    </w:p>
    <w:p w14:paraId="0BFC998E"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41. </w:t>
      </w:r>
      <w:r w:rsidRPr="00B22676">
        <w:rPr>
          <w:rFonts w:ascii="Calibri" w:hAnsi="Calibri" w:cs="Calibri"/>
          <w:noProof/>
        </w:rPr>
        <w:tab/>
        <w:t xml:space="preserve">Daniels T, Williams I, Robinson S, Spence K. Tackling disinvestment in health care services. </w:t>
      </w:r>
      <w:r w:rsidRPr="00B22676">
        <w:rPr>
          <w:rFonts w:ascii="Calibri" w:hAnsi="Calibri" w:cs="Calibri"/>
          <w:i/>
          <w:iCs/>
          <w:noProof/>
        </w:rPr>
        <w:t>J Health Organ Manag</w:t>
      </w:r>
      <w:r w:rsidRPr="00B22676">
        <w:rPr>
          <w:rFonts w:ascii="Calibri" w:hAnsi="Calibri" w:cs="Calibri"/>
          <w:noProof/>
        </w:rPr>
        <w:t>. 2013;27(6):762-780. doi:10.1108/JHOM-11-2012-0225</w:t>
      </w:r>
    </w:p>
    <w:p w14:paraId="749B8857"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42. </w:t>
      </w:r>
      <w:r w:rsidRPr="00B22676">
        <w:rPr>
          <w:rFonts w:ascii="Calibri" w:hAnsi="Calibri" w:cs="Calibri"/>
          <w:noProof/>
        </w:rPr>
        <w:tab/>
        <w:t xml:space="preserve">Chen TC, Wanniarachige D, Murphy S, Lockhart K, O’Mahony J. Surveying the Cost-Effectiveness of the 20 Procedures with the Largest Public Health Services Waiting Lists in Ireland: Implications for Ireland’s Cost-Effectiveness Threshold. </w:t>
      </w:r>
      <w:r w:rsidRPr="00B22676">
        <w:rPr>
          <w:rFonts w:ascii="Calibri" w:hAnsi="Calibri" w:cs="Calibri"/>
          <w:i/>
          <w:iCs/>
          <w:noProof/>
        </w:rPr>
        <w:t>Value Heal</w:t>
      </w:r>
      <w:r w:rsidRPr="00B22676">
        <w:rPr>
          <w:rFonts w:ascii="Calibri" w:hAnsi="Calibri" w:cs="Calibri"/>
          <w:noProof/>
        </w:rPr>
        <w:t>. 2018;21(8):897-904. doi:10.1016/J.JVAL.2018.02.013</w:t>
      </w:r>
    </w:p>
    <w:p w14:paraId="0DCA74CF"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43. </w:t>
      </w:r>
      <w:r w:rsidRPr="00B22676">
        <w:rPr>
          <w:rFonts w:ascii="Calibri" w:hAnsi="Calibri" w:cs="Calibri"/>
          <w:noProof/>
        </w:rPr>
        <w:tab/>
        <w:t xml:space="preserve">Vanness DJ. Measuring Opportunity Costs of Health Technology Adoption as Morbidity and Mortality of the Uninsured. In: </w:t>
      </w:r>
      <w:r w:rsidRPr="00B22676">
        <w:rPr>
          <w:rFonts w:ascii="Calibri" w:hAnsi="Calibri" w:cs="Calibri"/>
          <w:i/>
          <w:iCs/>
          <w:noProof/>
        </w:rPr>
        <w:t>International Health Economics Association</w:t>
      </w:r>
      <w:r w:rsidRPr="00B22676">
        <w:rPr>
          <w:rFonts w:ascii="Calibri" w:hAnsi="Calibri" w:cs="Calibri"/>
          <w:noProof/>
        </w:rPr>
        <w:t>. ; 2017.</w:t>
      </w:r>
    </w:p>
    <w:p w14:paraId="2AEFDEC6"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44. </w:t>
      </w:r>
      <w:r w:rsidRPr="00B22676">
        <w:rPr>
          <w:rFonts w:ascii="Calibri" w:hAnsi="Calibri" w:cs="Calibri"/>
          <w:noProof/>
        </w:rPr>
        <w:tab/>
        <w:t xml:space="preserve">Reinhardt UE, Krugman PR, Frist WH. </w:t>
      </w:r>
      <w:r w:rsidRPr="00B22676">
        <w:rPr>
          <w:rFonts w:ascii="Calibri" w:hAnsi="Calibri" w:cs="Calibri"/>
          <w:i/>
          <w:iCs/>
          <w:noProof/>
        </w:rPr>
        <w:t>Priced out : The Economic and Ethical Costs of American Health Care</w:t>
      </w:r>
      <w:r w:rsidRPr="00B22676">
        <w:rPr>
          <w:rFonts w:ascii="Calibri" w:hAnsi="Calibri" w:cs="Calibri"/>
          <w:noProof/>
        </w:rPr>
        <w:t>.; 2019.</w:t>
      </w:r>
    </w:p>
    <w:p w14:paraId="4F4226E6"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45. </w:t>
      </w:r>
      <w:r w:rsidRPr="00B22676">
        <w:rPr>
          <w:rFonts w:ascii="Calibri" w:hAnsi="Calibri" w:cs="Calibri"/>
          <w:noProof/>
        </w:rPr>
        <w:tab/>
        <w:t xml:space="preserve">Lakdawalla DN, Doshi JA, Garrison LP, Phelps CE, Basu A, Danzon PM. Defining Elements of Value in Health Care-A Health Economics Approach: An ISPOR Special Task Force Report [3]. </w:t>
      </w:r>
      <w:r w:rsidRPr="00B22676">
        <w:rPr>
          <w:rFonts w:ascii="Calibri" w:hAnsi="Calibri" w:cs="Calibri"/>
          <w:i/>
          <w:iCs/>
          <w:noProof/>
        </w:rPr>
        <w:t>Value Health</w:t>
      </w:r>
      <w:r w:rsidRPr="00B22676">
        <w:rPr>
          <w:rFonts w:ascii="Calibri" w:hAnsi="Calibri" w:cs="Calibri"/>
          <w:noProof/>
        </w:rPr>
        <w:t>. 2018;21(2):131-139. doi:10.1016/j.jval.2017.12.007</w:t>
      </w:r>
    </w:p>
    <w:p w14:paraId="37DB1EA5" w14:textId="77777777" w:rsidR="00B22676" w:rsidRPr="00B22676" w:rsidRDefault="00B22676" w:rsidP="00B22676">
      <w:pPr>
        <w:widowControl w:val="0"/>
        <w:autoSpaceDE w:val="0"/>
        <w:autoSpaceDN w:val="0"/>
        <w:adjustRightInd w:val="0"/>
        <w:spacing w:line="240" w:lineRule="auto"/>
        <w:ind w:left="640" w:hanging="640"/>
        <w:rPr>
          <w:rFonts w:ascii="Calibri" w:hAnsi="Calibri" w:cs="Calibri"/>
          <w:noProof/>
        </w:rPr>
      </w:pPr>
      <w:r w:rsidRPr="00B22676">
        <w:rPr>
          <w:rFonts w:ascii="Calibri" w:hAnsi="Calibri" w:cs="Calibri"/>
          <w:noProof/>
        </w:rPr>
        <w:t xml:space="preserve">46. </w:t>
      </w:r>
      <w:r w:rsidRPr="00B22676">
        <w:rPr>
          <w:rFonts w:ascii="Calibri" w:hAnsi="Calibri" w:cs="Calibri"/>
          <w:noProof/>
        </w:rPr>
        <w:tab/>
        <w:t xml:space="preserve">Walker S, Griffin S, Asaria M, Tsuchiya A, Sculpher M. Striving for a Societal Perspective: A Framework for Economic Evaluations When Costs and Effects Fall on Multiple Sectors and Decision Makers. </w:t>
      </w:r>
      <w:r w:rsidRPr="00B22676">
        <w:rPr>
          <w:rFonts w:ascii="Calibri" w:hAnsi="Calibri" w:cs="Calibri"/>
          <w:i/>
          <w:iCs/>
          <w:noProof/>
        </w:rPr>
        <w:t>Appl Health Econ Health Policy</w:t>
      </w:r>
      <w:r w:rsidRPr="00B22676">
        <w:rPr>
          <w:rFonts w:ascii="Calibri" w:hAnsi="Calibri" w:cs="Calibri"/>
          <w:noProof/>
        </w:rPr>
        <w:t>. May 2019. doi:10.1007/s40258-019-00481-8</w:t>
      </w:r>
    </w:p>
    <w:p w14:paraId="326E58C8" w14:textId="6C3378A7" w:rsidR="009B12F7" w:rsidRPr="00D54331" w:rsidRDefault="00AD592A" w:rsidP="00B22676">
      <w:pPr>
        <w:widowControl w:val="0"/>
        <w:autoSpaceDE w:val="0"/>
        <w:autoSpaceDN w:val="0"/>
        <w:adjustRightInd w:val="0"/>
        <w:spacing w:line="240" w:lineRule="auto"/>
        <w:ind w:left="640" w:hanging="640"/>
        <w:sectPr w:rsidR="009B12F7" w:rsidRPr="00D54331">
          <w:pgSz w:w="11906" w:h="16838"/>
          <w:pgMar w:top="1440" w:right="1440" w:bottom="1440" w:left="1440" w:header="708" w:footer="708" w:gutter="0"/>
          <w:cols w:space="708"/>
          <w:docGrid w:linePitch="360"/>
        </w:sectPr>
      </w:pPr>
      <w:r>
        <w:fldChar w:fldCharType="end"/>
      </w:r>
    </w:p>
    <w:p w14:paraId="4A3EDE17" w14:textId="77777777" w:rsidR="00366A0B" w:rsidRPr="00EB04AC" w:rsidRDefault="00366A0B" w:rsidP="00366A0B">
      <w:pPr>
        <w:rPr>
          <w:b/>
        </w:rPr>
      </w:pPr>
      <w:r w:rsidRPr="00EB04AC">
        <w:rPr>
          <w:b/>
        </w:rPr>
        <w:lastRenderedPageBreak/>
        <w:t>Table 1. DALY methods and estimated expenditure elasticities of health by source</w:t>
      </w:r>
    </w:p>
    <w:p w14:paraId="54876263" w14:textId="77777777" w:rsidR="006E7B7E" w:rsidRPr="001E62C7" w:rsidRDefault="006E7B7E" w:rsidP="006E7B7E">
      <w:pPr>
        <w:rPr>
          <w:rFonts w:eastAsiaTheme="minorEastAsia"/>
          <w:b/>
          <w:bCs/>
        </w:rPr>
      </w:pPr>
      <w:r w:rsidRPr="001E62C7">
        <w:rPr>
          <w:b/>
          <w:bCs/>
        </w:rPr>
        <w:t>Table 2. Estimates of cost per DALY or QALY averted of marginal government healthcare expenditure</w:t>
      </w:r>
      <w:r w:rsidRPr="001E62C7">
        <w:rPr>
          <w:rFonts w:eastAsiaTheme="minorEastAsia"/>
          <w:b/>
          <w:bCs/>
        </w:rPr>
        <w:t xml:space="preserve"> for each country</w:t>
      </w:r>
    </w:p>
    <w:p w14:paraId="4A4B8DC8" w14:textId="77777777" w:rsidR="00FC3A0C" w:rsidRPr="004056CB" w:rsidRDefault="00FC3A0C" w:rsidP="00FC3A0C">
      <w:pPr>
        <w:rPr>
          <w:b/>
        </w:rPr>
      </w:pPr>
      <w:r w:rsidRPr="00B07860">
        <w:rPr>
          <w:b/>
        </w:rPr>
        <w:t xml:space="preserve">Figure </w:t>
      </w:r>
      <w:r>
        <w:rPr>
          <w:b/>
        </w:rPr>
        <w:t>1</w:t>
      </w:r>
      <w:r w:rsidRPr="00B07860">
        <w:rPr>
          <w:b/>
        </w:rPr>
        <w:t>.</w:t>
      </w:r>
      <w:r>
        <w:rPr>
          <w:b/>
        </w:rPr>
        <w:t xml:space="preserve"> Cost-effectiveness threshold</w:t>
      </w:r>
    </w:p>
    <w:p w14:paraId="61F3B44B" w14:textId="77777777" w:rsidR="00FC3A0C" w:rsidRPr="00B07860" w:rsidRDefault="00FC3A0C" w:rsidP="00FC3A0C">
      <w:pPr>
        <w:rPr>
          <w:b/>
        </w:rPr>
      </w:pPr>
      <w:r w:rsidRPr="00B07860">
        <w:rPr>
          <w:b/>
        </w:rPr>
        <w:t xml:space="preserve">Figure </w:t>
      </w:r>
      <w:r>
        <w:rPr>
          <w:b/>
        </w:rPr>
        <w:t>2</w:t>
      </w:r>
      <w:r w:rsidRPr="00B07860">
        <w:rPr>
          <w:b/>
        </w:rPr>
        <w:t>. Absolute deaths averted and not averted for a hypothetical country</w:t>
      </w:r>
    </w:p>
    <w:p w14:paraId="4F77CED0" w14:textId="77777777" w:rsidR="00FC3A0C" w:rsidRPr="00B07860" w:rsidRDefault="00FC3A0C" w:rsidP="00FC3A0C">
      <w:pPr>
        <w:rPr>
          <w:b/>
        </w:rPr>
      </w:pPr>
      <w:r w:rsidRPr="00B07860">
        <w:rPr>
          <w:b/>
        </w:rPr>
        <w:t>Figure</w:t>
      </w:r>
      <w:r>
        <w:rPr>
          <w:b/>
        </w:rPr>
        <w:t>s</w:t>
      </w:r>
      <w:r w:rsidRPr="00B07860">
        <w:rPr>
          <w:b/>
        </w:rPr>
        <w:t xml:space="preserve"> </w:t>
      </w:r>
      <w:r>
        <w:rPr>
          <w:b/>
        </w:rPr>
        <w:t>3</w:t>
      </w:r>
      <w:r w:rsidRPr="00B07860">
        <w:rPr>
          <w:b/>
        </w:rPr>
        <w:t xml:space="preserve">a and </w:t>
      </w:r>
      <w:r>
        <w:rPr>
          <w:b/>
        </w:rPr>
        <w:t>3</w:t>
      </w:r>
      <w:r w:rsidRPr="00B07860">
        <w:rPr>
          <w:b/>
        </w:rPr>
        <w:t>b. Absolute deaths averted and not averted for a hypothetical country</w:t>
      </w:r>
      <w:r>
        <w:rPr>
          <w:b/>
        </w:rPr>
        <w:t xml:space="preserve"> (females and males)</w:t>
      </w:r>
    </w:p>
    <w:p w14:paraId="4BF5EF16" w14:textId="77777777" w:rsidR="00FC3A0C" w:rsidRPr="00B07860" w:rsidRDefault="00FC3A0C" w:rsidP="00FC3A0C">
      <w:pPr>
        <w:rPr>
          <w:b/>
        </w:rPr>
      </w:pPr>
      <w:r w:rsidRPr="00B07860">
        <w:rPr>
          <w:b/>
        </w:rPr>
        <w:t xml:space="preserve">Figure </w:t>
      </w:r>
      <w:r>
        <w:rPr>
          <w:b/>
        </w:rPr>
        <w:t>4</w:t>
      </w:r>
      <w:r w:rsidRPr="00B07860">
        <w:rPr>
          <w:b/>
        </w:rPr>
        <w:t>. Range of cost per DALY averted or QALY gained estimates by method for each country</w:t>
      </w:r>
      <w:r>
        <w:rPr>
          <w:b/>
        </w:rPr>
        <w:t xml:space="preserve"> and GDP per capita</w:t>
      </w:r>
    </w:p>
    <w:p w14:paraId="412A0E4D" w14:textId="29905BA5" w:rsidR="00834275" w:rsidRPr="00834275" w:rsidRDefault="00834275" w:rsidP="00834275"/>
    <w:sectPr w:rsidR="00834275" w:rsidRPr="00834275" w:rsidSect="0083427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3F9FB" w14:textId="77777777" w:rsidR="006068A7" w:rsidRDefault="006068A7" w:rsidP="001308EC">
      <w:pPr>
        <w:spacing w:after="0" w:line="240" w:lineRule="auto"/>
      </w:pPr>
      <w:r>
        <w:separator/>
      </w:r>
    </w:p>
  </w:endnote>
  <w:endnote w:type="continuationSeparator" w:id="0">
    <w:p w14:paraId="6C47B948" w14:textId="77777777" w:rsidR="006068A7" w:rsidRDefault="006068A7" w:rsidP="0013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1FDF6" w14:textId="77777777" w:rsidR="006068A7" w:rsidRDefault="006068A7" w:rsidP="001308EC">
      <w:pPr>
        <w:spacing w:after="0" w:line="240" w:lineRule="auto"/>
      </w:pPr>
      <w:r>
        <w:separator/>
      </w:r>
    </w:p>
  </w:footnote>
  <w:footnote w:type="continuationSeparator" w:id="0">
    <w:p w14:paraId="4C6EE6F3" w14:textId="77777777" w:rsidR="006068A7" w:rsidRDefault="006068A7" w:rsidP="00130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BD8"/>
    <w:multiLevelType w:val="hybridMultilevel"/>
    <w:tmpl w:val="1512C6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1599B"/>
    <w:multiLevelType w:val="multilevel"/>
    <w:tmpl w:val="99B08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34468"/>
    <w:multiLevelType w:val="hybridMultilevel"/>
    <w:tmpl w:val="26445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E1A10"/>
    <w:multiLevelType w:val="hybridMultilevel"/>
    <w:tmpl w:val="C6B6B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03F9B"/>
    <w:multiLevelType w:val="hybridMultilevel"/>
    <w:tmpl w:val="9418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C4"/>
    <w:rsid w:val="0000265F"/>
    <w:rsid w:val="000041E8"/>
    <w:rsid w:val="00007E3B"/>
    <w:rsid w:val="0001651B"/>
    <w:rsid w:val="00030862"/>
    <w:rsid w:val="000367E0"/>
    <w:rsid w:val="00036E69"/>
    <w:rsid w:val="00036F08"/>
    <w:rsid w:val="0003775E"/>
    <w:rsid w:val="00043A85"/>
    <w:rsid w:val="00044242"/>
    <w:rsid w:val="00054D91"/>
    <w:rsid w:val="00060690"/>
    <w:rsid w:val="00066370"/>
    <w:rsid w:val="00071503"/>
    <w:rsid w:val="0008309A"/>
    <w:rsid w:val="00087E46"/>
    <w:rsid w:val="000A3486"/>
    <w:rsid w:val="000B090C"/>
    <w:rsid w:val="000B1802"/>
    <w:rsid w:val="000B2C29"/>
    <w:rsid w:val="000B32AD"/>
    <w:rsid w:val="000B4E80"/>
    <w:rsid w:val="000B6059"/>
    <w:rsid w:val="000C3065"/>
    <w:rsid w:val="000C3479"/>
    <w:rsid w:val="000C5CBC"/>
    <w:rsid w:val="000E30CC"/>
    <w:rsid w:val="000E3874"/>
    <w:rsid w:val="000F1107"/>
    <w:rsid w:val="000F4D73"/>
    <w:rsid w:val="001029B5"/>
    <w:rsid w:val="00116189"/>
    <w:rsid w:val="00117B03"/>
    <w:rsid w:val="001308EC"/>
    <w:rsid w:val="00131092"/>
    <w:rsid w:val="00142158"/>
    <w:rsid w:val="001424EF"/>
    <w:rsid w:val="00145258"/>
    <w:rsid w:val="00146A8C"/>
    <w:rsid w:val="001648EB"/>
    <w:rsid w:val="00165182"/>
    <w:rsid w:val="00176EFD"/>
    <w:rsid w:val="0019172B"/>
    <w:rsid w:val="001A0ED1"/>
    <w:rsid w:val="001A771B"/>
    <w:rsid w:val="001B1B63"/>
    <w:rsid w:val="001B2107"/>
    <w:rsid w:val="001C0278"/>
    <w:rsid w:val="001C1C06"/>
    <w:rsid w:val="001C3683"/>
    <w:rsid w:val="001C5747"/>
    <w:rsid w:val="001C77C1"/>
    <w:rsid w:val="001D0D40"/>
    <w:rsid w:val="001D2CC3"/>
    <w:rsid w:val="001D2EA6"/>
    <w:rsid w:val="001D3C2E"/>
    <w:rsid w:val="001E62C7"/>
    <w:rsid w:val="001F5190"/>
    <w:rsid w:val="001F5498"/>
    <w:rsid w:val="001F5C7E"/>
    <w:rsid w:val="002016D5"/>
    <w:rsid w:val="00202E01"/>
    <w:rsid w:val="00204A1E"/>
    <w:rsid w:val="00211DF5"/>
    <w:rsid w:val="00217113"/>
    <w:rsid w:val="002271F3"/>
    <w:rsid w:val="002305F2"/>
    <w:rsid w:val="00230652"/>
    <w:rsid w:val="002327E2"/>
    <w:rsid w:val="0023280B"/>
    <w:rsid w:val="00232B2A"/>
    <w:rsid w:val="002338A5"/>
    <w:rsid w:val="00234993"/>
    <w:rsid w:val="002366DA"/>
    <w:rsid w:val="00236FBD"/>
    <w:rsid w:val="00250EF3"/>
    <w:rsid w:val="00252335"/>
    <w:rsid w:val="00253DBB"/>
    <w:rsid w:val="00260A2E"/>
    <w:rsid w:val="00263DF0"/>
    <w:rsid w:val="00265475"/>
    <w:rsid w:val="002673B7"/>
    <w:rsid w:val="002704BC"/>
    <w:rsid w:val="00273B24"/>
    <w:rsid w:val="00277329"/>
    <w:rsid w:val="002813C5"/>
    <w:rsid w:val="002874D9"/>
    <w:rsid w:val="00290208"/>
    <w:rsid w:val="00292119"/>
    <w:rsid w:val="00292B07"/>
    <w:rsid w:val="002970DB"/>
    <w:rsid w:val="002C0341"/>
    <w:rsid w:val="002C0670"/>
    <w:rsid w:val="002C42BA"/>
    <w:rsid w:val="002D4CC2"/>
    <w:rsid w:val="002D682B"/>
    <w:rsid w:val="002E6201"/>
    <w:rsid w:val="002F440F"/>
    <w:rsid w:val="003101B4"/>
    <w:rsid w:val="00311241"/>
    <w:rsid w:val="00326FCA"/>
    <w:rsid w:val="003309DE"/>
    <w:rsid w:val="0033361A"/>
    <w:rsid w:val="00346E1E"/>
    <w:rsid w:val="003531EB"/>
    <w:rsid w:val="00360964"/>
    <w:rsid w:val="00364B82"/>
    <w:rsid w:val="00366A0B"/>
    <w:rsid w:val="00376AA9"/>
    <w:rsid w:val="0038017C"/>
    <w:rsid w:val="0038029C"/>
    <w:rsid w:val="00383936"/>
    <w:rsid w:val="0039308C"/>
    <w:rsid w:val="00394C53"/>
    <w:rsid w:val="00395B46"/>
    <w:rsid w:val="003B656C"/>
    <w:rsid w:val="003B6A98"/>
    <w:rsid w:val="003C151F"/>
    <w:rsid w:val="003C6ABE"/>
    <w:rsid w:val="003C7DBB"/>
    <w:rsid w:val="003D43CC"/>
    <w:rsid w:val="003D594D"/>
    <w:rsid w:val="003D61A9"/>
    <w:rsid w:val="003D69D9"/>
    <w:rsid w:val="003E29CA"/>
    <w:rsid w:val="003E457B"/>
    <w:rsid w:val="003E72E5"/>
    <w:rsid w:val="003F0FFA"/>
    <w:rsid w:val="003F1631"/>
    <w:rsid w:val="003F27D1"/>
    <w:rsid w:val="003F6859"/>
    <w:rsid w:val="00402833"/>
    <w:rsid w:val="00403EC6"/>
    <w:rsid w:val="004056CB"/>
    <w:rsid w:val="0042053F"/>
    <w:rsid w:val="00424349"/>
    <w:rsid w:val="00425A36"/>
    <w:rsid w:val="00426581"/>
    <w:rsid w:val="0043068D"/>
    <w:rsid w:val="00430F90"/>
    <w:rsid w:val="00435862"/>
    <w:rsid w:val="00435B78"/>
    <w:rsid w:val="00443FBB"/>
    <w:rsid w:val="00451903"/>
    <w:rsid w:val="004612B9"/>
    <w:rsid w:val="00462968"/>
    <w:rsid w:val="00471A3C"/>
    <w:rsid w:val="00474539"/>
    <w:rsid w:val="0047473E"/>
    <w:rsid w:val="00477054"/>
    <w:rsid w:val="00477DD4"/>
    <w:rsid w:val="004824F9"/>
    <w:rsid w:val="004861D1"/>
    <w:rsid w:val="00490A6B"/>
    <w:rsid w:val="00490E32"/>
    <w:rsid w:val="004974CC"/>
    <w:rsid w:val="004A3D0A"/>
    <w:rsid w:val="004B19F1"/>
    <w:rsid w:val="004B4459"/>
    <w:rsid w:val="004C5BD8"/>
    <w:rsid w:val="004C5C25"/>
    <w:rsid w:val="004D0173"/>
    <w:rsid w:val="004D2D36"/>
    <w:rsid w:val="004D4A27"/>
    <w:rsid w:val="004F0396"/>
    <w:rsid w:val="004F40C1"/>
    <w:rsid w:val="00500FB4"/>
    <w:rsid w:val="00504CFA"/>
    <w:rsid w:val="005141C6"/>
    <w:rsid w:val="005167DE"/>
    <w:rsid w:val="0051722C"/>
    <w:rsid w:val="0052248B"/>
    <w:rsid w:val="0052404D"/>
    <w:rsid w:val="0053176A"/>
    <w:rsid w:val="00540259"/>
    <w:rsid w:val="0054057B"/>
    <w:rsid w:val="00540612"/>
    <w:rsid w:val="005431C7"/>
    <w:rsid w:val="00543A73"/>
    <w:rsid w:val="005479AF"/>
    <w:rsid w:val="00554F95"/>
    <w:rsid w:val="0055564F"/>
    <w:rsid w:val="0055750E"/>
    <w:rsid w:val="00564569"/>
    <w:rsid w:val="00570406"/>
    <w:rsid w:val="00570837"/>
    <w:rsid w:val="0057136F"/>
    <w:rsid w:val="00576BF6"/>
    <w:rsid w:val="005833F6"/>
    <w:rsid w:val="005909E8"/>
    <w:rsid w:val="0059103A"/>
    <w:rsid w:val="005918FF"/>
    <w:rsid w:val="005A4BC5"/>
    <w:rsid w:val="005A6378"/>
    <w:rsid w:val="005B1ABD"/>
    <w:rsid w:val="005B1E93"/>
    <w:rsid w:val="005B57F2"/>
    <w:rsid w:val="005B616C"/>
    <w:rsid w:val="005C15C3"/>
    <w:rsid w:val="005D0E69"/>
    <w:rsid w:val="005E36C6"/>
    <w:rsid w:val="005F3567"/>
    <w:rsid w:val="005F617A"/>
    <w:rsid w:val="005F6321"/>
    <w:rsid w:val="005F7825"/>
    <w:rsid w:val="0060316C"/>
    <w:rsid w:val="006068A7"/>
    <w:rsid w:val="00611B9E"/>
    <w:rsid w:val="00616389"/>
    <w:rsid w:val="00621AA5"/>
    <w:rsid w:val="006246D2"/>
    <w:rsid w:val="006305F0"/>
    <w:rsid w:val="00631532"/>
    <w:rsid w:val="006325E1"/>
    <w:rsid w:val="00632E40"/>
    <w:rsid w:val="00633616"/>
    <w:rsid w:val="00636743"/>
    <w:rsid w:val="00640160"/>
    <w:rsid w:val="00640761"/>
    <w:rsid w:val="00646531"/>
    <w:rsid w:val="00656723"/>
    <w:rsid w:val="0066640F"/>
    <w:rsid w:val="00670190"/>
    <w:rsid w:val="0067037B"/>
    <w:rsid w:val="00672342"/>
    <w:rsid w:val="006853A9"/>
    <w:rsid w:val="00693B69"/>
    <w:rsid w:val="006A25E6"/>
    <w:rsid w:val="006B1011"/>
    <w:rsid w:val="006C2340"/>
    <w:rsid w:val="006C33F5"/>
    <w:rsid w:val="006C7971"/>
    <w:rsid w:val="006D2D7F"/>
    <w:rsid w:val="006D5279"/>
    <w:rsid w:val="006E186B"/>
    <w:rsid w:val="006E2D96"/>
    <w:rsid w:val="006E655C"/>
    <w:rsid w:val="006E7B7E"/>
    <w:rsid w:val="006F0F89"/>
    <w:rsid w:val="006F1A41"/>
    <w:rsid w:val="006F1D47"/>
    <w:rsid w:val="006F1D83"/>
    <w:rsid w:val="006F5794"/>
    <w:rsid w:val="00705096"/>
    <w:rsid w:val="00710C7D"/>
    <w:rsid w:val="0071485D"/>
    <w:rsid w:val="00720D03"/>
    <w:rsid w:val="0072269E"/>
    <w:rsid w:val="00723F1B"/>
    <w:rsid w:val="00735721"/>
    <w:rsid w:val="00737084"/>
    <w:rsid w:val="007519B1"/>
    <w:rsid w:val="00755ACC"/>
    <w:rsid w:val="00756875"/>
    <w:rsid w:val="007629D8"/>
    <w:rsid w:val="0076450D"/>
    <w:rsid w:val="00770244"/>
    <w:rsid w:val="00771490"/>
    <w:rsid w:val="00771502"/>
    <w:rsid w:val="00772948"/>
    <w:rsid w:val="00785759"/>
    <w:rsid w:val="007901CA"/>
    <w:rsid w:val="00792B74"/>
    <w:rsid w:val="007A57B7"/>
    <w:rsid w:val="007A6E08"/>
    <w:rsid w:val="007B40A3"/>
    <w:rsid w:val="007B755B"/>
    <w:rsid w:val="007C17C8"/>
    <w:rsid w:val="007C532A"/>
    <w:rsid w:val="007D679E"/>
    <w:rsid w:val="007D7F11"/>
    <w:rsid w:val="007E03B2"/>
    <w:rsid w:val="007F7F2F"/>
    <w:rsid w:val="00810CCA"/>
    <w:rsid w:val="008116A2"/>
    <w:rsid w:val="0081627E"/>
    <w:rsid w:val="00817E3B"/>
    <w:rsid w:val="008230E5"/>
    <w:rsid w:val="00824EE6"/>
    <w:rsid w:val="008250EA"/>
    <w:rsid w:val="00832A56"/>
    <w:rsid w:val="00834275"/>
    <w:rsid w:val="008417CD"/>
    <w:rsid w:val="00841EE1"/>
    <w:rsid w:val="008434ED"/>
    <w:rsid w:val="008572DC"/>
    <w:rsid w:val="00857B20"/>
    <w:rsid w:val="00860E95"/>
    <w:rsid w:val="00860ECF"/>
    <w:rsid w:val="0086594C"/>
    <w:rsid w:val="00866376"/>
    <w:rsid w:val="008709C2"/>
    <w:rsid w:val="0087251F"/>
    <w:rsid w:val="00880F87"/>
    <w:rsid w:val="008856A6"/>
    <w:rsid w:val="00891F3A"/>
    <w:rsid w:val="00893531"/>
    <w:rsid w:val="00895692"/>
    <w:rsid w:val="00896815"/>
    <w:rsid w:val="0089789F"/>
    <w:rsid w:val="008A2F3F"/>
    <w:rsid w:val="008A7772"/>
    <w:rsid w:val="008B3EAA"/>
    <w:rsid w:val="008C5A1D"/>
    <w:rsid w:val="008D02B6"/>
    <w:rsid w:val="008D0493"/>
    <w:rsid w:val="008E0DD0"/>
    <w:rsid w:val="008E1794"/>
    <w:rsid w:val="008F46D8"/>
    <w:rsid w:val="00915D9C"/>
    <w:rsid w:val="00916B54"/>
    <w:rsid w:val="00920CEC"/>
    <w:rsid w:val="009231E6"/>
    <w:rsid w:val="00926A10"/>
    <w:rsid w:val="00927CAE"/>
    <w:rsid w:val="00932B53"/>
    <w:rsid w:val="00935E5B"/>
    <w:rsid w:val="00936CD7"/>
    <w:rsid w:val="0093770F"/>
    <w:rsid w:val="009448B6"/>
    <w:rsid w:val="009453B3"/>
    <w:rsid w:val="009477DE"/>
    <w:rsid w:val="00953F95"/>
    <w:rsid w:val="0095445C"/>
    <w:rsid w:val="00960FF0"/>
    <w:rsid w:val="0096286D"/>
    <w:rsid w:val="0096678D"/>
    <w:rsid w:val="00967AF4"/>
    <w:rsid w:val="00970D7D"/>
    <w:rsid w:val="009726B5"/>
    <w:rsid w:val="00975C85"/>
    <w:rsid w:val="00975F4F"/>
    <w:rsid w:val="00980CD2"/>
    <w:rsid w:val="0098516E"/>
    <w:rsid w:val="0098746A"/>
    <w:rsid w:val="00987740"/>
    <w:rsid w:val="00990456"/>
    <w:rsid w:val="00992B5B"/>
    <w:rsid w:val="009966B7"/>
    <w:rsid w:val="009A22AA"/>
    <w:rsid w:val="009A60EE"/>
    <w:rsid w:val="009A755C"/>
    <w:rsid w:val="009B026A"/>
    <w:rsid w:val="009B12F7"/>
    <w:rsid w:val="009B79C6"/>
    <w:rsid w:val="009C0D75"/>
    <w:rsid w:val="009E6332"/>
    <w:rsid w:val="009F12C6"/>
    <w:rsid w:val="009F4559"/>
    <w:rsid w:val="009F68C2"/>
    <w:rsid w:val="00A01AEA"/>
    <w:rsid w:val="00A01D01"/>
    <w:rsid w:val="00A03B5C"/>
    <w:rsid w:val="00A03EF8"/>
    <w:rsid w:val="00A053F7"/>
    <w:rsid w:val="00A0707B"/>
    <w:rsid w:val="00A127D5"/>
    <w:rsid w:val="00A12EDB"/>
    <w:rsid w:val="00A158B5"/>
    <w:rsid w:val="00A1773D"/>
    <w:rsid w:val="00A177C9"/>
    <w:rsid w:val="00A26783"/>
    <w:rsid w:val="00A32D50"/>
    <w:rsid w:val="00A41B03"/>
    <w:rsid w:val="00A42A0D"/>
    <w:rsid w:val="00A4354F"/>
    <w:rsid w:val="00A45E25"/>
    <w:rsid w:val="00A4790C"/>
    <w:rsid w:val="00A50C60"/>
    <w:rsid w:val="00A54C75"/>
    <w:rsid w:val="00A621ED"/>
    <w:rsid w:val="00A64A99"/>
    <w:rsid w:val="00A67DB8"/>
    <w:rsid w:val="00A852D1"/>
    <w:rsid w:val="00A95E30"/>
    <w:rsid w:val="00AA13A4"/>
    <w:rsid w:val="00AA226B"/>
    <w:rsid w:val="00AA46C5"/>
    <w:rsid w:val="00AA6A98"/>
    <w:rsid w:val="00AB3C1F"/>
    <w:rsid w:val="00AB47E9"/>
    <w:rsid w:val="00AB5BDD"/>
    <w:rsid w:val="00AC1844"/>
    <w:rsid w:val="00AC379A"/>
    <w:rsid w:val="00AC4993"/>
    <w:rsid w:val="00AD4281"/>
    <w:rsid w:val="00AD592A"/>
    <w:rsid w:val="00AE0D0B"/>
    <w:rsid w:val="00AF2473"/>
    <w:rsid w:val="00B02A50"/>
    <w:rsid w:val="00B060A0"/>
    <w:rsid w:val="00B07860"/>
    <w:rsid w:val="00B12420"/>
    <w:rsid w:val="00B15C3E"/>
    <w:rsid w:val="00B1626D"/>
    <w:rsid w:val="00B22676"/>
    <w:rsid w:val="00B22948"/>
    <w:rsid w:val="00B32DA4"/>
    <w:rsid w:val="00B341ED"/>
    <w:rsid w:val="00B346B2"/>
    <w:rsid w:val="00B35314"/>
    <w:rsid w:val="00B35502"/>
    <w:rsid w:val="00B44780"/>
    <w:rsid w:val="00B60823"/>
    <w:rsid w:val="00B62E10"/>
    <w:rsid w:val="00B6407F"/>
    <w:rsid w:val="00B67B4B"/>
    <w:rsid w:val="00B70FB7"/>
    <w:rsid w:val="00B73883"/>
    <w:rsid w:val="00B743BD"/>
    <w:rsid w:val="00B758DD"/>
    <w:rsid w:val="00B767CD"/>
    <w:rsid w:val="00B8168E"/>
    <w:rsid w:val="00B841B2"/>
    <w:rsid w:val="00B90783"/>
    <w:rsid w:val="00B9418B"/>
    <w:rsid w:val="00BA21E4"/>
    <w:rsid w:val="00BA44F1"/>
    <w:rsid w:val="00BA5B85"/>
    <w:rsid w:val="00BA6DEC"/>
    <w:rsid w:val="00BB167E"/>
    <w:rsid w:val="00BB4B47"/>
    <w:rsid w:val="00BC08ED"/>
    <w:rsid w:val="00BC4880"/>
    <w:rsid w:val="00BE0442"/>
    <w:rsid w:val="00BE429E"/>
    <w:rsid w:val="00BE470C"/>
    <w:rsid w:val="00BF1903"/>
    <w:rsid w:val="00BF1F1E"/>
    <w:rsid w:val="00C05E22"/>
    <w:rsid w:val="00C060E9"/>
    <w:rsid w:val="00C062E0"/>
    <w:rsid w:val="00C10E53"/>
    <w:rsid w:val="00C12B87"/>
    <w:rsid w:val="00C13893"/>
    <w:rsid w:val="00C176F3"/>
    <w:rsid w:val="00C242E8"/>
    <w:rsid w:val="00C31E35"/>
    <w:rsid w:val="00C3239C"/>
    <w:rsid w:val="00C3586B"/>
    <w:rsid w:val="00C41E59"/>
    <w:rsid w:val="00C43274"/>
    <w:rsid w:val="00C47B60"/>
    <w:rsid w:val="00C50B86"/>
    <w:rsid w:val="00C51924"/>
    <w:rsid w:val="00C54589"/>
    <w:rsid w:val="00C61108"/>
    <w:rsid w:val="00C61972"/>
    <w:rsid w:val="00C61FCB"/>
    <w:rsid w:val="00C632D5"/>
    <w:rsid w:val="00C673E4"/>
    <w:rsid w:val="00C70019"/>
    <w:rsid w:val="00C735CE"/>
    <w:rsid w:val="00C8771F"/>
    <w:rsid w:val="00C9435B"/>
    <w:rsid w:val="00C96E2B"/>
    <w:rsid w:val="00CA0792"/>
    <w:rsid w:val="00CA7075"/>
    <w:rsid w:val="00CA755B"/>
    <w:rsid w:val="00CA77BD"/>
    <w:rsid w:val="00CB30FC"/>
    <w:rsid w:val="00CB7FEC"/>
    <w:rsid w:val="00CC7B42"/>
    <w:rsid w:val="00CD2885"/>
    <w:rsid w:val="00CD4B2F"/>
    <w:rsid w:val="00CE35A9"/>
    <w:rsid w:val="00CE3E3B"/>
    <w:rsid w:val="00CF4BAF"/>
    <w:rsid w:val="00D01D2D"/>
    <w:rsid w:val="00D1677B"/>
    <w:rsid w:val="00D168B5"/>
    <w:rsid w:val="00D178C4"/>
    <w:rsid w:val="00D20557"/>
    <w:rsid w:val="00D2554B"/>
    <w:rsid w:val="00D30564"/>
    <w:rsid w:val="00D351C4"/>
    <w:rsid w:val="00D44A45"/>
    <w:rsid w:val="00D46091"/>
    <w:rsid w:val="00D47054"/>
    <w:rsid w:val="00D521C3"/>
    <w:rsid w:val="00D54331"/>
    <w:rsid w:val="00D54386"/>
    <w:rsid w:val="00D5456F"/>
    <w:rsid w:val="00D546BA"/>
    <w:rsid w:val="00D55D14"/>
    <w:rsid w:val="00D64767"/>
    <w:rsid w:val="00D6664C"/>
    <w:rsid w:val="00D80EC1"/>
    <w:rsid w:val="00DA7636"/>
    <w:rsid w:val="00DB2481"/>
    <w:rsid w:val="00DB776E"/>
    <w:rsid w:val="00DC01FE"/>
    <w:rsid w:val="00DC09B0"/>
    <w:rsid w:val="00DC2085"/>
    <w:rsid w:val="00DC79C1"/>
    <w:rsid w:val="00DD2E7A"/>
    <w:rsid w:val="00DD2E94"/>
    <w:rsid w:val="00DD4BF9"/>
    <w:rsid w:val="00DE4768"/>
    <w:rsid w:val="00DE7348"/>
    <w:rsid w:val="00DF4CD9"/>
    <w:rsid w:val="00E00833"/>
    <w:rsid w:val="00E01438"/>
    <w:rsid w:val="00E14EE5"/>
    <w:rsid w:val="00E15C6E"/>
    <w:rsid w:val="00E16E6B"/>
    <w:rsid w:val="00E173F3"/>
    <w:rsid w:val="00E22526"/>
    <w:rsid w:val="00E238AB"/>
    <w:rsid w:val="00E54E02"/>
    <w:rsid w:val="00E56E2E"/>
    <w:rsid w:val="00E57C36"/>
    <w:rsid w:val="00E60371"/>
    <w:rsid w:val="00E622DC"/>
    <w:rsid w:val="00E64C26"/>
    <w:rsid w:val="00E718FC"/>
    <w:rsid w:val="00E72C54"/>
    <w:rsid w:val="00E8196F"/>
    <w:rsid w:val="00E8222A"/>
    <w:rsid w:val="00E8467D"/>
    <w:rsid w:val="00E85784"/>
    <w:rsid w:val="00E85C20"/>
    <w:rsid w:val="00E935C4"/>
    <w:rsid w:val="00E93DF4"/>
    <w:rsid w:val="00EA4104"/>
    <w:rsid w:val="00EA56D8"/>
    <w:rsid w:val="00EB04AC"/>
    <w:rsid w:val="00EB0A8A"/>
    <w:rsid w:val="00EB27B1"/>
    <w:rsid w:val="00EB49F4"/>
    <w:rsid w:val="00EB6353"/>
    <w:rsid w:val="00EC0D67"/>
    <w:rsid w:val="00EC2A2C"/>
    <w:rsid w:val="00EC2FF2"/>
    <w:rsid w:val="00ED7E8E"/>
    <w:rsid w:val="00EE0B71"/>
    <w:rsid w:val="00EE4AA1"/>
    <w:rsid w:val="00EE531D"/>
    <w:rsid w:val="00EF057B"/>
    <w:rsid w:val="00EF25B3"/>
    <w:rsid w:val="00EF5929"/>
    <w:rsid w:val="00EF6C80"/>
    <w:rsid w:val="00F05BEA"/>
    <w:rsid w:val="00F06551"/>
    <w:rsid w:val="00F14166"/>
    <w:rsid w:val="00F15749"/>
    <w:rsid w:val="00F26326"/>
    <w:rsid w:val="00F32DC2"/>
    <w:rsid w:val="00F33F90"/>
    <w:rsid w:val="00F35721"/>
    <w:rsid w:val="00F358B1"/>
    <w:rsid w:val="00F43109"/>
    <w:rsid w:val="00F434F3"/>
    <w:rsid w:val="00F456FD"/>
    <w:rsid w:val="00F503AE"/>
    <w:rsid w:val="00F736B3"/>
    <w:rsid w:val="00F80B0B"/>
    <w:rsid w:val="00F84018"/>
    <w:rsid w:val="00F8669A"/>
    <w:rsid w:val="00F9177B"/>
    <w:rsid w:val="00FB6114"/>
    <w:rsid w:val="00FC26AA"/>
    <w:rsid w:val="00FC3A0C"/>
    <w:rsid w:val="00FC68E8"/>
    <w:rsid w:val="00FE1211"/>
    <w:rsid w:val="00FE151D"/>
    <w:rsid w:val="00FF2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CF046"/>
  <w15:chartTrackingRefBased/>
  <w15:docId w15:val="{149E1BC8-8015-46A1-9599-A5D348DB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51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51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33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C33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1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351C4"/>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30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8EC"/>
    <w:rPr>
      <w:sz w:val="20"/>
      <w:szCs w:val="20"/>
    </w:rPr>
  </w:style>
  <w:style w:type="character" w:styleId="FootnoteReference">
    <w:name w:val="footnote reference"/>
    <w:basedOn w:val="DefaultParagraphFont"/>
    <w:uiPriority w:val="99"/>
    <w:semiHidden/>
    <w:unhideWhenUsed/>
    <w:rsid w:val="001308EC"/>
    <w:rPr>
      <w:vertAlign w:val="superscript"/>
    </w:rPr>
  </w:style>
  <w:style w:type="paragraph" w:styleId="BalloonText">
    <w:name w:val="Balloon Text"/>
    <w:basedOn w:val="Normal"/>
    <w:link w:val="BalloonTextChar"/>
    <w:uiPriority w:val="99"/>
    <w:semiHidden/>
    <w:unhideWhenUsed/>
    <w:rsid w:val="00FE15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151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67B4B"/>
    <w:rPr>
      <w:sz w:val="16"/>
      <w:szCs w:val="16"/>
    </w:rPr>
  </w:style>
  <w:style w:type="paragraph" w:styleId="CommentText">
    <w:name w:val="annotation text"/>
    <w:basedOn w:val="Normal"/>
    <w:link w:val="CommentTextChar"/>
    <w:uiPriority w:val="99"/>
    <w:semiHidden/>
    <w:unhideWhenUsed/>
    <w:rsid w:val="00B67B4B"/>
    <w:pPr>
      <w:spacing w:line="240" w:lineRule="auto"/>
    </w:pPr>
    <w:rPr>
      <w:sz w:val="20"/>
      <w:szCs w:val="20"/>
    </w:rPr>
  </w:style>
  <w:style w:type="character" w:customStyle="1" w:styleId="CommentTextChar">
    <w:name w:val="Comment Text Char"/>
    <w:basedOn w:val="DefaultParagraphFont"/>
    <w:link w:val="CommentText"/>
    <w:uiPriority w:val="99"/>
    <w:semiHidden/>
    <w:rsid w:val="00B67B4B"/>
    <w:rPr>
      <w:sz w:val="20"/>
      <w:szCs w:val="20"/>
    </w:rPr>
  </w:style>
  <w:style w:type="paragraph" w:styleId="CommentSubject">
    <w:name w:val="annotation subject"/>
    <w:basedOn w:val="CommentText"/>
    <w:next w:val="CommentText"/>
    <w:link w:val="CommentSubjectChar"/>
    <w:uiPriority w:val="99"/>
    <w:semiHidden/>
    <w:unhideWhenUsed/>
    <w:rsid w:val="00B67B4B"/>
    <w:rPr>
      <w:b/>
      <w:bCs/>
    </w:rPr>
  </w:style>
  <w:style w:type="character" w:customStyle="1" w:styleId="CommentSubjectChar">
    <w:name w:val="Comment Subject Char"/>
    <w:basedOn w:val="CommentTextChar"/>
    <w:link w:val="CommentSubject"/>
    <w:uiPriority w:val="99"/>
    <w:semiHidden/>
    <w:rsid w:val="00B67B4B"/>
    <w:rPr>
      <w:b/>
      <w:bCs/>
      <w:sz w:val="20"/>
      <w:szCs w:val="20"/>
    </w:rPr>
  </w:style>
  <w:style w:type="character" w:styleId="PlaceholderText">
    <w:name w:val="Placeholder Text"/>
    <w:basedOn w:val="DefaultParagraphFont"/>
    <w:uiPriority w:val="99"/>
    <w:semiHidden/>
    <w:rsid w:val="00A4790C"/>
    <w:rPr>
      <w:color w:val="808080"/>
    </w:rPr>
  </w:style>
  <w:style w:type="character" w:styleId="Hyperlink">
    <w:name w:val="Hyperlink"/>
    <w:basedOn w:val="DefaultParagraphFont"/>
    <w:uiPriority w:val="99"/>
    <w:unhideWhenUsed/>
    <w:rsid w:val="00554F95"/>
    <w:rPr>
      <w:color w:val="0563C1" w:themeColor="hyperlink"/>
      <w:u w:val="single"/>
    </w:rPr>
  </w:style>
  <w:style w:type="table" w:styleId="TableGrid">
    <w:name w:val="Table Grid"/>
    <w:basedOn w:val="TableNormal"/>
    <w:uiPriority w:val="39"/>
    <w:rsid w:val="00554F9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5B46"/>
    <w:rPr>
      <w:color w:val="954F72" w:themeColor="followedHyperlink"/>
      <w:u w:val="single"/>
    </w:rPr>
  </w:style>
  <w:style w:type="paragraph" w:styleId="ListParagraph">
    <w:name w:val="List Paragraph"/>
    <w:basedOn w:val="Normal"/>
    <w:uiPriority w:val="34"/>
    <w:qFormat/>
    <w:rsid w:val="00F84018"/>
    <w:pPr>
      <w:ind w:left="720"/>
      <w:contextualSpacing/>
    </w:pPr>
  </w:style>
  <w:style w:type="paragraph" w:styleId="NormalWeb">
    <w:name w:val="Normal (Web)"/>
    <w:basedOn w:val="Normal"/>
    <w:uiPriority w:val="99"/>
    <w:unhideWhenUsed/>
    <w:rsid w:val="004B44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semiHidden/>
    <w:unhideWhenUsed/>
    <w:rsid w:val="003D594D"/>
    <w:rPr>
      <w:vertAlign w:val="superscript"/>
    </w:rPr>
  </w:style>
  <w:style w:type="character" w:customStyle="1" w:styleId="Heading3Char">
    <w:name w:val="Heading 3 Char"/>
    <w:basedOn w:val="DefaultParagraphFont"/>
    <w:link w:val="Heading3"/>
    <w:uiPriority w:val="9"/>
    <w:rsid w:val="006C33F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33F5"/>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BC4880"/>
    <w:pPr>
      <w:spacing w:after="0" w:line="240" w:lineRule="auto"/>
    </w:pPr>
  </w:style>
  <w:style w:type="character" w:customStyle="1" w:styleId="UnresolvedMention1">
    <w:name w:val="Unresolved Mention1"/>
    <w:basedOn w:val="DefaultParagraphFont"/>
    <w:uiPriority w:val="99"/>
    <w:semiHidden/>
    <w:unhideWhenUsed/>
    <w:rsid w:val="00BE4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4130">
      <w:bodyDiv w:val="1"/>
      <w:marLeft w:val="0"/>
      <w:marRight w:val="0"/>
      <w:marTop w:val="0"/>
      <w:marBottom w:val="0"/>
      <w:divBdr>
        <w:top w:val="none" w:sz="0" w:space="0" w:color="auto"/>
        <w:left w:val="none" w:sz="0" w:space="0" w:color="auto"/>
        <w:bottom w:val="none" w:sz="0" w:space="0" w:color="auto"/>
        <w:right w:val="none" w:sz="0" w:space="0" w:color="auto"/>
      </w:divBdr>
    </w:div>
    <w:div w:id="167139456">
      <w:bodyDiv w:val="1"/>
      <w:marLeft w:val="0"/>
      <w:marRight w:val="0"/>
      <w:marTop w:val="0"/>
      <w:marBottom w:val="0"/>
      <w:divBdr>
        <w:top w:val="none" w:sz="0" w:space="0" w:color="auto"/>
        <w:left w:val="none" w:sz="0" w:space="0" w:color="auto"/>
        <w:bottom w:val="none" w:sz="0" w:space="0" w:color="auto"/>
        <w:right w:val="none" w:sz="0" w:space="0" w:color="auto"/>
      </w:divBdr>
    </w:div>
    <w:div w:id="227149772">
      <w:bodyDiv w:val="1"/>
      <w:marLeft w:val="0"/>
      <w:marRight w:val="0"/>
      <w:marTop w:val="0"/>
      <w:marBottom w:val="0"/>
      <w:divBdr>
        <w:top w:val="none" w:sz="0" w:space="0" w:color="auto"/>
        <w:left w:val="none" w:sz="0" w:space="0" w:color="auto"/>
        <w:bottom w:val="none" w:sz="0" w:space="0" w:color="auto"/>
        <w:right w:val="none" w:sz="0" w:space="0" w:color="auto"/>
      </w:divBdr>
      <w:divsChild>
        <w:div w:id="852184705">
          <w:marLeft w:val="0"/>
          <w:marRight w:val="0"/>
          <w:marTop w:val="0"/>
          <w:marBottom w:val="0"/>
          <w:divBdr>
            <w:top w:val="none" w:sz="0" w:space="0" w:color="auto"/>
            <w:left w:val="none" w:sz="0" w:space="0" w:color="auto"/>
            <w:bottom w:val="none" w:sz="0" w:space="0" w:color="auto"/>
            <w:right w:val="none" w:sz="0" w:space="0" w:color="auto"/>
          </w:divBdr>
        </w:div>
        <w:div w:id="1194927337">
          <w:marLeft w:val="0"/>
          <w:marRight w:val="0"/>
          <w:marTop w:val="0"/>
          <w:marBottom w:val="0"/>
          <w:divBdr>
            <w:top w:val="none" w:sz="0" w:space="0" w:color="auto"/>
            <w:left w:val="none" w:sz="0" w:space="0" w:color="auto"/>
            <w:bottom w:val="none" w:sz="0" w:space="0" w:color="auto"/>
            <w:right w:val="none" w:sz="0" w:space="0" w:color="auto"/>
          </w:divBdr>
        </w:div>
      </w:divsChild>
    </w:div>
    <w:div w:id="233012576">
      <w:bodyDiv w:val="1"/>
      <w:marLeft w:val="0"/>
      <w:marRight w:val="0"/>
      <w:marTop w:val="0"/>
      <w:marBottom w:val="0"/>
      <w:divBdr>
        <w:top w:val="none" w:sz="0" w:space="0" w:color="auto"/>
        <w:left w:val="none" w:sz="0" w:space="0" w:color="auto"/>
        <w:bottom w:val="none" w:sz="0" w:space="0" w:color="auto"/>
        <w:right w:val="none" w:sz="0" w:space="0" w:color="auto"/>
      </w:divBdr>
      <w:divsChild>
        <w:div w:id="456608494">
          <w:marLeft w:val="0"/>
          <w:marRight w:val="0"/>
          <w:marTop w:val="0"/>
          <w:marBottom w:val="0"/>
          <w:divBdr>
            <w:top w:val="none" w:sz="0" w:space="0" w:color="auto"/>
            <w:left w:val="none" w:sz="0" w:space="0" w:color="auto"/>
            <w:bottom w:val="none" w:sz="0" w:space="0" w:color="auto"/>
            <w:right w:val="none" w:sz="0" w:space="0" w:color="auto"/>
          </w:divBdr>
        </w:div>
        <w:div w:id="1021903102">
          <w:marLeft w:val="0"/>
          <w:marRight w:val="0"/>
          <w:marTop w:val="0"/>
          <w:marBottom w:val="0"/>
          <w:divBdr>
            <w:top w:val="none" w:sz="0" w:space="0" w:color="auto"/>
            <w:left w:val="none" w:sz="0" w:space="0" w:color="auto"/>
            <w:bottom w:val="none" w:sz="0" w:space="0" w:color="auto"/>
            <w:right w:val="none" w:sz="0" w:space="0" w:color="auto"/>
          </w:divBdr>
        </w:div>
      </w:divsChild>
    </w:div>
    <w:div w:id="316495644">
      <w:bodyDiv w:val="1"/>
      <w:marLeft w:val="0"/>
      <w:marRight w:val="0"/>
      <w:marTop w:val="0"/>
      <w:marBottom w:val="0"/>
      <w:divBdr>
        <w:top w:val="none" w:sz="0" w:space="0" w:color="auto"/>
        <w:left w:val="none" w:sz="0" w:space="0" w:color="auto"/>
        <w:bottom w:val="none" w:sz="0" w:space="0" w:color="auto"/>
        <w:right w:val="none" w:sz="0" w:space="0" w:color="auto"/>
      </w:divBdr>
    </w:div>
    <w:div w:id="582760129">
      <w:bodyDiv w:val="1"/>
      <w:marLeft w:val="0"/>
      <w:marRight w:val="0"/>
      <w:marTop w:val="0"/>
      <w:marBottom w:val="0"/>
      <w:divBdr>
        <w:top w:val="none" w:sz="0" w:space="0" w:color="auto"/>
        <w:left w:val="none" w:sz="0" w:space="0" w:color="auto"/>
        <w:bottom w:val="none" w:sz="0" w:space="0" w:color="auto"/>
        <w:right w:val="none" w:sz="0" w:space="0" w:color="auto"/>
      </w:divBdr>
    </w:div>
    <w:div w:id="600337129">
      <w:bodyDiv w:val="1"/>
      <w:marLeft w:val="0"/>
      <w:marRight w:val="0"/>
      <w:marTop w:val="0"/>
      <w:marBottom w:val="0"/>
      <w:divBdr>
        <w:top w:val="none" w:sz="0" w:space="0" w:color="auto"/>
        <w:left w:val="none" w:sz="0" w:space="0" w:color="auto"/>
        <w:bottom w:val="none" w:sz="0" w:space="0" w:color="auto"/>
        <w:right w:val="none" w:sz="0" w:space="0" w:color="auto"/>
      </w:divBdr>
      <w:divsChild>
        <w:div w:id="1577015671">
          <w:marLeft w:val="0"/>
          <w:marRight w:val="0"/>
          <w:marTop w:val="0"/>
          <w:marBottom w:val="0"/>
          <w:divBdr>
            <w:top w:val="none" w:sz="0" w:space="0" w:color="auto"/>
            <w:left w:val="none" w:sz="0" w:space="0" w:color="auto"/>
            <w:bottom w:val="none" w:sz="0" w:space="0" w:color="auto"/>
            <w:right w:val="none" w:sz="0" w:space="0" w:color="auto"/>
          </w:divBdr>
        </w:div>
        <w:div w:id="1603535816">
          <w:marLeft w:val="0"/>
          <w:marRight w:val="0"/>
          <w:marTop w:val="0"/>
          <w:marBottom w:val="0"/>
          <w:divBdr>
            <w:top w:val="none" w:sz="0" w:space="0" w:color="auto"/>
            <w:left w:val="none" w:sz="0" w:space="0" w:color="auto"/>
            <w:bottom w:val="none" w:sz="0" w:space="0" w:color="auto"/>
            <w:right w:val="none" w:sz="0" w:space="0" w:color="auto"/>
          </w:divBdr>
        </w:div>
      </w:divsChild>
    </w:div>
    <w:div w:id="820274303">
      <w:bodyDiv w:val="1"/>
      <w:marLeft w:val="0"/>
      <w:marRight w:val="0"/>
      <w:marTop w:val="0"/>
      <w:marBottom w:val="0"/>
      <w:divBdr>
        <w:top w:val="none" w:sz="0" w:space="0" w:color="auto"/>
        <w:left w:val="none" w:sz="0" w:space="0" w:color="auto"/>
        <w:bottom w:val="none" w:sz="0" w:space="0" w:color="auto"/>
        <w:right w:val="none" w:sz="0" w:space="0" w:color="auto"/>
      </w:divBdr>
    </w:div>
    <w:div w:id="902986095">
      <w:bodyDiv w:val="1"/>
      <w:marLeft w:val="0"/>
      <w:marRight w:val="0"/>
      <w:marTop w:val="0"/>
      <w:marBottom w:val="0"/>
      <w:divBdr>
        <w:top w:val="none" w:sz="0" w:space="0" w:color="auto"/>
        <w:left w:val="none" w:sz="0" w:space="0" w:color="auto"/>
        <w:bottom w:val="none" w:sz="0" w:space="0" w:color="auto"/>
        <w:right w:val="none" w:sz="0" w:space="0" w:color="auto"/>
      </w:divBdr>
      <w:divsChild>
        <w:div w:id="914624924">
          <w:marLeft w:val="0"/>
          <w:marRight w:val="0"/>
          <w:marTop w:val="0"/>
          <w:marBottom w:val="0"/>
          <w:divBdr>
            <w:top w:val="none" w:sz="0" w:space="0" w:color="auto"/>
            <w:left w:val="none" w:sz="0" w:space="0" w:color="auto"/>
            <w:bottom w:val="none" w:sz="0" w:space="0" w:color="auto"/>
            <w:right w:val="none" w:sz="0" w:space="0" w:color="auto"/>
          </w:divBdr>
        </w:div>
        <w:div w:id="176385443">
          <w:marLeft w:val="0"/>
          <w:marRight w:val="0"/>
          <w:marTop w:val="0"/>
          <w:marBottom w:val="0"/>
          <w:divBdr>
            <w:top w:val="none" w:sz="0" w:space="0" w:color="auto"/>
            <w:left w:val="none" w:sz="0" w:space="0" w:color="auto"/>
            <w:bottom w:val="none" w:sz="0" w:space="0" w:color="auto"/>
            <w:right w:val="none" w:sz="0" w:space="0" w:color="auto"/>
          </w:divBdr>
        </w:div>
      </w:divsChild>
    </w:div>
    <w:div w:id="1069111163">
      <w:bodyDiv w:val="1"/>
      <w:marLeft w:val="0"/>
      <w:marRight w:val="0"/>
      <w:marTop w:val="0"/>
      <w:marBottom w:val="0"/>
      <w:divBdr>
        <w:top w:val="none" w:sz="0" w:space="0" w:color="auto"/>
        <w:left w:val="none" w:sz="0" w:space="0" w:color="auto"/>
        <w:bottom w:val="none" w:sz="0" w:space="0" w:color="auto"/>
        <w:right w:val="none" w:sz="0" w:space="0" w:color="auto"/>
      </w:divBdr>
    </w:div>
    <w:div w:id="1214385243">
      <w:bodyDiv w:val="1"/>
      <w:marLeft w:val="0"/>
      <w:marRight w:val="0"/>
      <w:marTop w:val="0"/>
      <w:marBottom w:val="0"/>
      <w:divBdr>
        <w:top w:val="none" w:sz="0" w:space="0" w:color="auto"/>
        <w:left w:val="none" w:sz="0" w:space="0" w:color="auto"/>
        <w:bottom w:val="none" w:sz="0" w:space="0" w:color="auto"/>
        <w:right w:val="none" w:sz="0" w:space="0" w:color="auto"/>
      </w:divBdr>
    </w:div>
    <w:div w:id="1713143549">
      <w:bodyDiv w:val="1"/>
      <w:marLeft w:val="0"/>
      <w:marRight w:val="0"/>
      <w:marTop w:val="0"/>
      <w:marBottom w:val="0"/>
      <w:divBdr>
        <w:top w:val="none" w:sz="0" w:space="0" w:color="auto"/>
        <w:left w:val="none" w:sz="0" w:space="0" w:color="auto"/>
        <w:bottom w:val="none" w:sz="0" w:space="0" w:color="auto"/>
        <w:right w:val="none" w:sz="0" w:space="0" w:color="auto"/>
      </w:divBdr>
    </w:div>
    <w:div w:id="1765958861">
      <w:bodyDiv w:val="1"/>
      <w:marLeft w:val="0"/>
      <w:marRight w:val="0"/>
      <w:marTop w:val="0"/>
      <w:marBottom w:val="0"/>
      <w:divBdr>
        <w:top w:val="none" w:sz="0" w:space="0" w:color="auto"/>
        <w:left w:val="none" w:sz="0" w:space="0" w:color="auto"/>
        <w:bottom w:val="none" w:sz="0" w:space="0" w:color="auto"/>
        <w:right w:val="none" w:sz="0" w:space="0" w:color="auto"/>
      </w:divBdr>
    </w:div>
    <w:div w:id="2027704775">
      <w:bodyDiv w:val="1"/>
      <w:marLeft w:val="0"/>
      <w:marRight w:val="0"/>
      <w:marTop w:val="0"/>
      <w:marBottom w:val="0"/>
      <w:divBdr>
        <w:top w:val="none" w:sz="0" w:space="0" w:color="auto"/>
        <w:left w:val="none" w:sz="0" w:space="0" w:color="auto"/>
        <w:bottom w:val="none" w:sz="0" w:space="0" w:color="auto"/>
        <w:right w:val="none" w:sz="0" w:space="0" w:color="auto"/>
      </w:divBdr>
    </w:div>
    <w:div w:id="2028871217">
      <w:bodyDiv w:val="1"/>
      <w:marLeft w:val="0"/>
      <w:marRight w:val="0"/>
      <w:marTop w:val="0"/>
      <w:marBottom w:val="0"/>
      <w:divBdr>
        <w:top w:val="none" w:sz="0" w:space="0" w:color="auto"/>
        <w:left w:val="none" w:sz="0" w:space="0" w:color="auto"/>
        <w:bottom w:val="none" w:sz="0" w:space="0" w:color="auto"/>
        <w:right w:val="none" w:sz="0" w:space="0" w:color="auto"/>
      </w:divBdr>
      <w:divsChild>
        <w:div w:id="1006714448">
          <w:marLeft w:val="0"/>
          <w:marRight w:val="0"/>
          <w:marTop w:val="0"/>
          <w:marBottom w:val="0"/>
          <w:divBdr>
            <w:top w:val="none" w:sz="0" w:space="0" w:color="auto"/>
            <w:left w:val="none" w:sz="0" w:space="0" w:color="auto"/>
            <w:bottom w:val="none" w:sz="0" w:space="0" w:color="auto"/>
            <w:right w:val="none" w:sz="0" w:space="0" w:color="auto"/>
          </w:divBdr>
        </w:div>
        <w:div w:id="56272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8816714-1F84-44A3-A258-8DE6E383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42693</Words>
  <Characters>243352</Characters>
  <Application>Microsoft Office Word</Application>
  <DocSecurity>0</DocSecurity>
  <Lines>2027</Lines>
  <Paragraphs>570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285475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Ochalek</dc:creator>
  <cp:keywords/>
  <dc:description/>
  <cp:lastModifiedBy>Jessica Ochalek</cp:lastModifiedBy>
  <cp:revision>2</cp:revision>
  <dcterms:created xsi:type="dcterms:W3CDTF">2019-12-05T16:37:00Z</dcterms:created>
  <dcterms:modified xsi:type="dcterms:W3CDTF">2019-12-05T16:37:00Z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b9680440-b836-38dc-acae-39eceb94ebe2</vt:lpwstr>
  </property>
  <property fmtid="{D5CDD505-2E9C-101B-9397-08002B2CF9AE}" pid="24" name="Mendeley Citation Style_1">
    <vt:lpwstr>http://www.zotero.org/styles/american-medical-association</vt:lpwstr>
  </property>
</Properties>
</file>