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F2140C" w14:textId="5801E60B" w:rsidR="00650DC8" w:rsidRDefault="00E80212">
      <w:pPr>
        <w:rPr>
          <w:sz w:val="32"/>
          <w:szCs w:val="32"/>
        </w:rPr>
      </w:pPr>
      <w:bookmarkStart w:id="0" w:name="_GoBack"/>
      <w:bookmarkEnd w:id="0"/>
      <w:r>
        <w:rPr>
          <w:sz w:val="32"/>
          <w:szCs w:val="32"/>
        </w:rPr>
        <w:t xml:space="preserve">Evolutionary dynamics of membrane transporter &amp; channels: enhancing function through fusion </w:t>
      </w:r>
    </w:p>
    <w:p w14:paraId="77F7DAC3" w14:textId="690266A6" w:rsidR="00650DC8" w:rsidRDefault="00650DC8">
      <w:pPr>
        <w:rPr>
          <w:sz w:val="32"/>
          <w:szCs w:val="32"/>
        </w:rPr>
      </w:pPr>
    </w:p>
    <w:p w14:paraId="61D46925" w14:textId="72A2B46B" w:rsidR="00BD17CE" w:rsidRPr="00BD17CE" w:rsidRDefault="00BD17CE" w:rsidP="00BD17CE">
      <w:pPr>
        <w:rPr>
          <w:sz w:val="28"/>
          <w:szCs w:val="32"/>
        </w:rPr>
      </w:pPr>
      <w:r w:rsidRPr="00BD17CE">
        <w:rPr>
          <w:sz w:val="28"/>
          <w:szCs w:val="32"/>
        </w:rPr>
        <w:t>Benjamin J. Willson, Liam N. M. Chapman</w:t>
      </w:r>
      <w:r>
        <w:rPr>
          <w:sz w:val="28"/>
          <w:szCs w:val="32"/>
        </w:rPr>
        <w:t xml:space="preserve"> and </w:t>
      </w:r>
      <w:r w:rsidRPr="00BD17CE">
        <w:rPr>
          <w:sz w:val="28"/>
          <w:szCs w:val="32"/>
        </w:rPr>
        <w:t xml:space="preserve">Gavin H. Thomas </w:t>
      </w:r>
    </w:p>
    <w:p w14:paraId="5158E416" w14:textId="77777777" w:rsidR="00BD17CE" w:rsidRDefault="00BD17CE" w:rsidP="00BD17CE">
      <w:pPr>
        <w:rPr>
          <w:sz w:val="28"/>
          <w:szCs w:val="32"/>
        </w:rPr>
      </w:pPr>
    </w:p>
    <w:p w14:paraId="38A55610" w14:textId="37771377" w:rsidR="00BD17CE" w:rsidRPr="00BD17CE" w:rsidRDefault="00BD17CE" w:rsidP="00BD17CE">
      <w:pPr>
        <w:rPr>
          <w:b/>
          <w:sz w:val="24"/>
          <w:szCs w:val="32"/>
        </w:rPr>
      </w:pPr>
      <w:r w:rsidRPr="00BD17CE">
        <w:rPr>
          <w:b/>
          <w:sz w:val="24"/>
          <w:szCs w:val="32"/>
        </w:rPr>
        <w:t>Address</w:t>
      </w:r>
    </w:p>
    <w:p w14:paraId="1C28CBE5" w14:textId="3FFCAE6F" w:rsidR="00BD17CE" w:rsidRPr="00BD17CE" w:rsidRDefault="00BD17CE" w:rsidP="00BD17CE">
      <w:pPr>
        <w:rPr>
          <w:sz w:val="24"/>
          <w:szCs w:val="32"/>
        </w:rPr>
      </w:pPr>
      <w:r w:rsidRPr="00BD17CE">
        <w:rPr>
          <w:sz w:val="24"/>
          <w:szCs w:val="32"/>
        </w:rPr>
        <w:t>Department of Biology, University of York, Wentworth Way, York YO10 5DD, United Kingdom</w:t>
      </w:r>
      <w:r>
        <w:rPr>
          <w:sz w:val="24"/>
          <w:szCs w:val="32"/>
        </w:rPr>
        <w:t>.</w:t>
      </w:r>
    </w:p>
    <w:p w14:paraId="59BC67E0" w14:textId="34FAC3EA" w:rsidR="00BD17CE" w:rsidRDefault="00BD17CE">
      <w:pPr>
        <w:rPr>
          <w:sz w:val="32"/>
          <w:szCs w:val="32"/>
        </w:rPr>
      </w:pPr>
    </w:p>
    <w:p w14:paraId="133AC9CB" w14:textId="7F5EA054" w:rsidR="00BD17CE" w:rsidRPr="00BD17CE" w:rsidRDefault="00BD17CE">
      <w:pPr>
        <w:rPr>
          <w:sz w:val="24"/>
          <w:szCs w:val="32"/>
        </w:rPr>
      </w:pPr>
      <w:r w:rsidRPr="00BD17CE">
        <w:rPr>
          <w:sz w:val="24"/>
          <w:szCs w:val="32"/>
        </w:rPr>
        <w:t>Corresponding authors: Thomas, Gavin H. (gavin.thomas@york.ac.uk)</w:t>
      </w:r>
    </w:p>
    <w:p w14:paraId="268F435E" w14:textId="47599B7C" w:rsidR="00BD17CE" w:rsidRDefault="00BD17CE">
      <w:pPr>
        <w:rPr>
          <w:sz w:val="32"/>
          <w:szCs w:val="32"/>
        </w:rPr>
      </w:pPr>
    </w:p>
    <w:p w14:paraId="2A8210FE" w14:textId="77777777" w:rsidR="006B4506" w:rsidRPr="006B4506" w:rsidRDefault="006B4506" w:rsidP="006B4506">
      <w:pPr>
        <w:spacing w:after="0" w:line="240" w:lineRule="auto"/>
        <w:rPr>
          <w:rFonts w:ascii="&amp;quot" w:eastAsia="Times New Roman" w:hAnsi="&amp;quot" w:cs="Times New Roman"/>
          <w:color w:val="222222"/>
          <w:sz w:val="20"/>
          <w:szCs w:val="20"/>
        </w:rPr>
      </w:pPr>
    </w:p>
    <w:p w14:paraId="7A9052D6" w14:textId="77777777" w:rsidR="00650DC8" w:rsidRDefault="00E80212">
      <w:pPr>
        <w:pStyle w:val="Heading1"/>
        <w:rPr>
          <w:sz w:val="28"/>
          <w:szCs w:val="28"/>
        </w:rPr>
      </w:pPr>
      <w:bookmarkStart w:id="1" w:name="_rb6taoqv68vl" w:colFirst="0" w:colLast="0"/>
      <w:bookmarkEnd w:id="1"/>
      <w:r>
        <w:rPr>
          <w:sz w:val="28"/>
          <w:szCs w:val="28"/>
        </w:rPr>
        <w:t>Abstract</w:t>
      </w:r>
    </w:p>
    <w:p w14:paraId="219D1CE7" w14:textId="1E2FC298" w:rsidR="00650DC8" w:rsidRDefault="00E80212">
      <w:r>
        <w:t xml:space="preserve">The </w:t>
      </w:r>
      <w:r w:rsidR="00CE29A7">
        <w:t xml:space="preserve">formation </w:t>
      </w:r>
      <w:r w:rsidR="00CC0C85">
        <w:t xml:space="preserve">of </w:t>
      </w:r>
      <w:r>
        <w:t>complex multidomain proteins has occurred many times during evolution. For enzymes, this often confers the addition of new</w:t>
      </w:r>
      <w:r w:rsidR="00CC0C85">
        <w:t xml:space="preserve"> functions or new </w:t>
      </w:r>
      <w:r>
        <w:t>routes to regulate function. Herein we review how this same process has impacted on the function of membrane transporters and channels, protein</w:t>
      </w:r>
      <w:r w:rsidR="00344424">
        <w:t>s</w:t>
      </w:r>
      <w:r>
        <w:t xml:space="preserve"> that</w:t>
      </w:r>
      <w:r w:rsidR="00344424">
        <w:t>,</w:t>
      </w:r>
      <w:r>
        <w:t xml:space="preserve"> due to their integral membrane location</w:t>
      </w:r>
      <w:r w:rsidR="00344424">
        <w:t>,</w:t>
      </w:r>
      <w:r>
        <w:t xml:space="preserve"> are p</w:t>
      </w:r>
      <w:r w:rsidR="00B55440">
        <w:t xml:space="preserve">otentially </w:t>
      </w:r>
      <w:r>
        <w:t xml:space="preserve">more constrained in the fusions they can accommodate. Using examples primarily from bacterial systems, we illustrate diverse </w:t>
      </w:r>
      <w:r w:rsidR="00B55440">
        <w:t xml:space="preserve">instances </w:t>
      </w:r>
      <w:r>
        <w:t>of functional fusions</w:t>
      </w:r>
      <w:r w:rsidR="00344424">
        <w:t xml:space="preserve"> and</w:t>
      </w:r>
      <w:r>
        <w:t xml:space="preserve"> find evidence for promiscuous fusion partners that have fused to many different classes of membrane protein. We consider the evidence that topology and stoichiometry issues might limit the range of fusions that </w:t>
      </w:r>
      <w:r w:rsidR="00B55440">
        <w:t xml:space="preserve">are selected </w:t>
      </w:r>
      <w:r>
        <w:t>in nature and attempt to find examples where a functional benefit of direct fusion over split proteins has been demonstrated. Finally</w:t>
      </w:r>
      <w:r w:rsidR="00E97295">
        <w:t>,</w:t>
      </w:r>
      <w:r>
        <w:t xml:space="preserve"> we consider whether the reverse process of gene fission has been important in membrane transporter evolution. </w:t>
      </w:r>
    </w:p>
    <w:p w14:paraId="236A9932" w14:textId="77777777" w:rsidR="00650DC8" w:rsidRDefault="00E80212">
      <w:pPr>
        <w:pStyle w:val="Heading1"/>
        <w:rPr>
          <w:sz w:val="28"/>
          <w:szCs w:val="28"/>
        </w:rPr>
      </w:pPr>
      <w:bookmarkStart w:id="2" w:name="_ou33ipfhqhrs" w:colFirst="0" w:colLast="0"/>
      <w:bookmarkEnd w:id="2"/>
      <w:r>
        <w:rPr>
          <w:sz w:val="28"/>
          <w:szCs w:val="28"/>
        </w:rPr>
        <w:t xml:space="preserve">Introduction </w:t>
      </w:r>
    </w:p>
    <w:p w14:paraId="4B83CD62" w14:textId="2DEDC676" w:rsidR="00650DC8" w:rsidRDefault="00E80212">
      <w:r>
        <w:t>As organisms evolve, the ability to expand the phenotyp</w:t>
      </w:r>
      <w:r w:rsidR="00B55440">
        <w:t>ic</w:t>
      </w:r>
      <w:r>
        <w:t xml:space="preserve"> repertoire of their cellular functions is essential to move into new niches and to compete against other similarly-evolving organisms, the so</w:t>
      </w:r>
      <w:r w:rsidR="00E97295">
        <w:t>-</w:t>
      </w:r>
      <w:r>
        <w:t xml:space="preserve">called </w:t>
      </w:r>
      <w:r w:rsidR="00E97295">
        <w:t>‘</w:t>
      </w:r>
      <w:r>
        <w:t>Red-Queen</w:t>
      </w:r>
      <w:r w:rsidR="00E97295">
        <w:t>’</w:t>
      </w:r>
      <w:r>
        <w:t xml:space="preserve"> hypothesis. In microbial systems, in particular bacteria and arch</w:t>
      </w:r>
      <w:r w:rsidR="00344424">
        <w:t>aea</w:t>
      </w:r>
      <w:r>
        <w:t>, the major driving force for the evolution of new function</w:t>
      </w:r>
      <w:r w:rsidR="00344424">
        <w:t>s</w:t>
      </w:r>
      <w:r>
        <w:t xml:space="preserve"> is via horizontal gene transfer (HGT) </w:t>
      </w:r>
      <w:r w:rsidR="00D656B2">
        <w:fldChar w:fldCharType="begin" w:fldLock="1"/>
      </w:r>
      <w:r w:rsidR="003C7C67">
        <w:instrText>ADDIN CSL_CITATION {"citationItems":[{"id":"ITEM-1","itemData":{"DOI":"10.1038/35012500","ISSN":"0028-0836","abstract":"Unlike eukaryotes, which evolve principally through the modification of existing genetic information, bacteria have obtained a significant proportion of their genetic diversity through the acquisition of sequences from distantly related organisms. Horizontal gene transfer produces extremely dynamic genomes in which substantial amounts of DNA are introduced into and deleted from the chromosome. These lateral transfers have effectively changed the ecological and pathogenic character of bacterial species.","author":[{"dropping-particle":"","family":"Ochman","given":"Howard","non-dropping-particle":"","parse-names":false,"suffix":""},{"dropping-particle":"","family":"Lawrence","given":"Jeffrey G.","non-dropping-particle":"","parse-names":false,"suffix":""},{"dropping-particle":"","family":"Groisman","given":"Eduardo A.","non-dropping-particle":"","parse-names":false,"suffix":""}],"container-title":"Nature","id":"ITEM-1","issue":"6784","issued":{"date-parts":[["2000","5"]]},"page":"299-304","publisher":"Nature Publishing Group","title":"Lateral gene transfer and the nature of bacterial innovation","type":"article-journal","volume":"405"},"uris":["http://www.mendeley.com/documents/?uuid=3586881c-041e-3a1f-83c8-9fbc8c1c41d9"]},{"id":"ITEM-2","itemData":{"DOI":"10.1093/nar/gkn668","ISSN":"0305-1048","author":[{"dropping-particle":"V.","family":"Koonin","given":"E.","non-dropping-particle":"","parse-names":false,"suffix":""},{"dropping-particle":"","family":"Wolf","given":"Y. I.","non-dropping-particle":"","parse-names":false,"suffix":""}],"container-title":"Nucleic Acids Research","id":"ITEM-2","issue":"21","issued":{"date-parts":[["2008","10","23"]]},"page":"6688-6719","publisher":"Narnia","title":"Genomics of bacteria and archaea: the emerging dynamic view of the prokaryotic world","type":"article-journal","volume":"36"},"uris":["http://www.mendeley.com/documents/?uuid=fd41b6ec-9663-3cc7-9276-bdb9a9e4eb58"]}],"mendeley":{"formattedCitation":"[1,2]","plainTextFormattedCitation":"[1,2]","previouslyFormattedCitation":"[1,2]"},"properties":{"noteIndex":0},"schema":"https://github.com/citation-style-language/schema/raw/master/csl-citation.json"}</w:instrText>
      </w:r>
      <w:r w:rsidR="00D656B2">
        <w:fldChar w:fldCharType="separate"/>
      </w:r>
      <w:r w:rsidR="00127AAA" w:rsidRPr="00127AAA">
        <w:rPr>
          <w:noProof/>
        </w:rPr>
        <w:t>[1,2]</w:t>
      </w:r>
      <w:r w:rsidR="00D656B2">
        <w:fldChar w:fldCharType="end"/>
      </w:r>
      <w:r>
        <w:t>,</w:t>
      </w:r>
      <w:r w:rsidR="00D656B2">
        <w:t xml:space="preserve"> </w:t>
      </w:r>
      <w:r>
        <w:t xml:space="preserve">where innovation generated by another organism is adopted by a genetically unrelated organism. </w:t>
      </w:r>
      <w:r w:rsidR="00B55440">
        <w:t xml:space="preserve">Genes encoding transporters and channels can be moved in this way too, and </w:t>
      </w:r>
      <w:r>
        <w:t xml:space="preserve">there is clear evidence for HGT of these proteins in bacterial systems, for example in sialic acid transporters </w:t>
      </w:r>
      <w:r w:rsidR="00D656B2">
        <w:fldChar w:fldCharType="begin" w:fldLock="1"/>
      </w:r>
      <w:r w:rsidR="003C7C67">
        <w:instrText>ADDIN CSL_CITATION {"citationItems":[{"id":"ITEM-1","itemData":{"DOI":"10.1186/1471-2148-9-118","ISSN":"1471-2148","abstract":"Sialic acids comprise a family of nine-carbon amino sugars that are prevalent in mucus rich environments. Sialic acids from the human host are used by a number of pathogens as an energy source. Here we explore the evolution of the genes involved in the catabolism of sialic acid. The cluster of genes encoding the enzymes N-acetylneuraminate lyase (NanA), epimerase (NanE), and kinase (NanK), necessary for the catabolism of sialic acid (the Nan cluster), are confined 46 bacterial species, 42 of which colonize mammals, 33 as pathogens and 9 as gut commensals. We found a putative sialic acid transporter associated with the Nan cluster in most species. We reconstructed the phylogenetic history of the NanA, NanE, and NanK proteins from the 46 species and compared them to the species tree based on 16S rRNA. Within the NanA phylogeny, Gram-negative and Gram-positive bacteria do not form distinct clades. NanA from Yersinia and Vibrio species was most closely related to the NanA clade from eukaryotes. To examine this further, we reconstructed the phylogeny of all NanA homologues in the databases. In this analysis of 83 NanA sequences, Bacteroidetes, a human commensal group formed a distinct clade with Verrucomicrobia, and branched with the Eukaryotes and the Yersinia/Vibrio clades. We speculate that pathogens such as V. cholerae may have acquired NanA from a commensal aiding their colonization of the human gut. Both the NanE and NanK phylogenies more closely represented the species tree but numerous incidences of incongruence are noted. We confirmed the predicted function of the sialic acid catabolism cluster in members the major intestinal pathogens Salmonella enterica, Vibrio cholerae, V. vulnificus, Yersinia enterocolitica and Y. pestis. The Nan cluster among bacteria is confined to human pathogens and commensals conferring them the ability to utilize a ubiquitous carbon source in mucus rich surfaces of the human body. The Nan region shows a mosaic evolution with NanA from Bacteroidetes, Vibrio and Yersinia branching closely together with NanA from eukaryotes.","author":[{"dropping-particle":"","family":"Almagro-Moreno","given":"Salvador","non-dropping-particle":"","parse-names":false,"suffix":""},{"dropping-particle":"","family":"Boyd","given":"E Fidelma","non-dropping-particle":"","parse-names":false,"suffix":""}],"container-title":"BMC Evolutionary Biology","id":"ITEM-1","issue":"1","issued":{"date-parts":[["2009","5","26"]]},"page":"118","publisher":"BioMed Central","title":"Insights into the evolution of sialic acid catabolism among bacteria","type":"article-journal","volume":"9"},"uris":["http://www.mendeley.com/documents/?uuid=234c487f-6989-37f6-a377-7a998749e24f"]},{"id":"ITEM-2","itemData":{"DOI":"10.1042/BST20160056","ISSN":"0300-5127","PMID":"27284039","abstract":"The sialic acids are a family of 9-carbon sugar acids found predominantly on the cell-surface glycans of humans and other animals within the Deuterostomes and are also used in the biology of a wide range of bacteria that often live in association with these animals. For many bacteria sialic acids are simply a convenient source of food, whereas for some pathogens they are also used in immune evasion strategies. Many bacteria that use sialic acids derive them from the environment and so are dependent on sialic acid uptake. In this mini-review I will describe the discovery and characterization of bacterial sialic acids transporters, revealing that they have evolved multiple times across multiple diverse families of transporters, including the ATP-binding cassette (ABC), tripartite ATP-independent periplasmic (TRAP), major facilitator superfamily (MFS) and sodium solute symporter (SSS) transporter families. In addition there is evidence for protein-mediated transport of sialic acids across the outer membrane of Gram negative bacteria, which can be coupled to periplasmic processing of different sialic acids to the most common form, β-D-N-acetylneuraminic acid (Neu5Ac) that is most frequently taken up into the cell.","author":[{"dropping-particle":"","family":"Thomas","given":"G. H.","non-dropping-particle":"","parse-names":false,"suffix":""}],"container-title":"Biochemical Society Transactions","id":"ITEM-2","issue":"3","issued":{"date-parts":[["2016","6","15"]]},"page":"760-765","title":"Sialic acid acquisition in bacteria-one substrate, many transporters","type":"article-journal","volume":"44"},"uris":["http://www.mendeley.com/documents/?uuid=8d16216a-617e-3380-98bf-f1780c81ac79"]}],"mendeley":{"formattedCitation":"[3,4]","plainTextFormattedCitation":"[3,4]","previouslyFormattedCitation":"[3,4]"},"properties":{"noteIndex":0},"schema":"https://github.com/citation-style-language/schema/raw/master/csl-citation.json"}</w:instrText>
      </w:r>
      <w:r w:rsidR="00D656B2">
        <w:fldChar w:fldCharType="separate"/>
      </w:r>
      <w:r w:rsidR="00127AAA" w:rsidRPr="00127AAA">
        <w:rPr>
          <w:noProof/>
        </w:rPr>
        <w:t>[3,4]</w:t>
      </w:r>
      <w:r w:rsidR="00D656B2">
        <w:fldChar w:fldCharType="end"/>
      </w:r>
      <w:r>
        <w:t>,</w:t>
      </w:r>
      <w:r w:rsidR="00D656B2">
        <w:t xml:space="preserve"> </w:t>
      </w:r>
      <w:r>
        <w:t xml:space="preserve">and more recently in eukaryotes </w:t>
      </w:r>
      <w:r w:rsidR="00D656B2">
        <w:fldChar w:fldCharType="begin" w:fldLock="1"/>
      </w:r>
      <w:r w:rsidR="003C7C67">
        <w:instrText>ADDIN CSL_CITATION {"citationItems":[{"id":"ITEM-1","itemData":{"DOI":"10.1073/pnas.1815994116","ISSN":"0027-8424","PMID":"30842288","abstract":"&lt;p&gt; Many microbes acquire metabolites in a “feeding” process where complex polymers are broken down in the environment to their subunits. The subsequent uptake of soluble metabolites by a cell, sometimes called osmotrophy, is facilitated by transporter proteins. As such, the diversification of osmotrophic microorganisms is closely tied to the diversification of transporter functions. Horizontal gene transfer (HGT) has been suggested to produce genetic variation that can lead to adaptation, allowing lineages to acquire traits and expand niche ranges. Transporter genes often encode single-gene phenotypes and tend to have low protein–protein interaction complexity and, as such, are potential candidates for HGT. Here we test the idea that HGT has underpinned the expansion of metabolic potential and substrate utilization via transfer of transporter-encoding genes. Using phylogenomics, we identify seven cases of transporter-gene HGT between fungal phyla, and investigate compatibility, localization, function, and fitness consequences when these genes are expressed in &lt;italic&gt;Saccharomyces cerevisiae&lt;/italic&gt; . Using this approach, we demonstrate that the transporters identified can alter how fungi utilize a range of metabolites, including peptides, polyols, and sugars. We then show, for one model gene, that transporter gene acquisition by HGT can significantly alter the fitness landscape of &lt;italic&gt;S. cerevisiae&lt;/italic&gt; . We therefore provide evidence that transporter HGT occurs between fungi, alters how fungi can acquire metabolites, and can drive gain in fitness. We propose a “transporter-gene acquisition ratchet,” where transporter repertoires are continually augmented by duplication, HGT, and differential loss, collectively acting to overwrite, fine-tune, and diversify the complement of transporters present in a genome. &lt;/p&gt;","author":[{"dropping-particle":"","family":"Milner","given":"David S.","non-dropping-particle":"","parse-names":false,"suffix":""},{"dropping-particle":"","family":"Attah","given":"Victoria","non-dropping-particle":"","parse-names":false,"suffix":""},{"dropping-particle":"","family":"Cook","given":"Emily","non-dropping-particle":"","parse-names":false,"suffix":""},{"dropping-particle":"","family":"Maguire","given":"Finlay","non-dropping-particle":"","parse-names":false,"suffix":""},{"dropping-particle":"","family":"Savory","given":"Fiona R.","non-dropping-particle":"","parse-names":false,"suffix":""},{"dropping-particle":"","family":"Morrison","given":"Mark","non-dropping-particle":"","parse-names":false,"suffix":""},{"dropping-particle":"","family":"Müller","given":"Carolin A.","non-dropping-particle":"","parse-names":false,"suffix":""},{"dropping-particle":"","family":"Foster","given":"Peter G.","non-dropping-particle":"","parse-names":false,"suffix":""},{"dropping-particle":"","family":"Talbot","given":"Nicholas J.","non-dropping-particle":"","parse-names":false,"suffix":""},{"dropping-particle":"","family":"Leonard","given":"Guy","non-dropping-particle":"","parse-names":false,"suffix":""},{"dropping-particle":"","family":"Richards","given":"Thomas A.","non-dropping-particle":"","parse-names":false,"suffix":""}],"container-title":"Proceedings of the National Academy of Sciences","id":"ITEM-1","issue":"12","issued":{"date-parts":[["2019","3","19"]]},"page":"5613-5622","title":"Environment-dependent fitness gains can be driven by horizontal gene transfer of transporter-encoding genes","type":"article-journal","volume":"116"},"uris":["http://www.mendeley.com/documents/?uuid=899d0d01-1e23-38c8-ab5d-0b7473fa1048"]},{"id":"ITEM-2","itemData":{"DOI":"10.1093/molbev/msy082","ISSN":"0737-4038","author":[{"dropping-particle":"","family":"Savory","given":"Fiona R","non-dropping-particle":"","parse-names":false,"suffix":""},{"dropping-particle":"","family":"Milner","given":"David S","non-dropping-particle":"","parse-names":false,"suffix":""},{"dropping-particle":"","family":"Miles","given":"Daniel C","non-dropping-particle":"","parse-names":false,"suffix":""},{"dropping-particle":"","family":"Richards","given":"Thomas A","non-dropping-particle":"","parse-names":false,"suffix":""}],"container-title":"Molecular Biology and Evolution","editor":[{"dropping-particle":"","family":"Crandall","given":"Keith","non-dropping-particle":"","parse-names":false,"suffix":""}],"id":"ITEM-2","issue":"8","issued":{"date-parts":[["2018","8","1"]]},"page":"1887-1900","publisher":"Narnia","title":"Ancestral Function and Diversification of a Horizontally Acquired Oomycete Carboxylic Acid Transporter","type":"article-journal","volume":"35"},"uris":["http://www.mendeley.com/documents/?uuid=d5ec7505-f223-3fb7-988e-ba317fa286a8"]},{"id":"ITEM-3","itemData":{"DOI":"10.1111/1462-2920.13117","ISSN":"14622912","PMID":"26549518","abstract":"In the past decade, horizontal gene transfer (HGT) has emerged as a major evolutionary process that has shaped the genome of Saccharomyces cerevisiae wine yeasts. We recently showed that a large Torulaspora microellipsoides genomic island carrying two oligopeptide transporters encoded by FOT genes increases the fitness of wine yeast during fermentation of grape must. However, the impact of these genes on the metabolic network of S. cerevisiae remained uncharacterized. Here we show that Fot-mediated peptide uptake substantially affects the glutamate node and the NADPH/NADP(+) balance, resulting in the delayed uptake of free amino acids and altered profiles of metabolites and volatile compounds. Transcriptome analysis revealed that cells using a higher amount of oligopeptides from grape must are less stressed and display substantial variation in the expression of genes in the central pathways of carbon and nitrogen metabolism, amino acid and protein biosynthesis, and the oxidative stress response. These regulations shed light on the molecular and metabolic mechanisms involved in the higher performance and fitness conferred by the HGT-acquired FOT genes, pinpointing metabolic effects that can positively affect the organoleptic balance of wines.","author":[{"dropping-particle":"","family":"Marsit","given":"Souhir","non-dropping-particle":"","parse-names":false,"suffix":""},{"dropping-particle":"","family":"Sanchez","given":"Isabelle","non-dropping-particle":"","parse-names":false,"suffix":""},{"dropping-particle":"","family":"Galeote","given":"Virginie","non-dropping-particle":"","parse-names":false,"suffix":""},{"dropping-particle":"","family":"Dequin","given":"Sylvie","non-dropping-particle":"","parse-names":false,"suffix":""}],"container-title":"Environmental Microbiology","id":"ITEM-3","issue":"4","issued":{"date-parts":[["2016","4"]]},"page":"1148-1161","title":"Horizontally acquired oligopeptide transporters favour adaptation of &lt;i&gt;Saccharomyces cerevisiae&lt;/i&gt; wine yeast to oenological environment","type":"article-journal","volume":"18"},"uris":["http://www.mendeley.com/documents/?uuid=65d0f058-8d1b-3bd8-b0ea-b5096efe5eae"]},{"id":"ITEM-4","itemData":{"DOI":"10.1126/science.1231707","ISSN":"1095-9203","PMID":"23471408","abstract":"Some microbial eukaryotes, such as the extremophilic red alga Galdieria sulphuraria, live in hot, toxic metal-rich, acidic environments. To elucidate the underlying molecular mechanisms of adaptation, we sequenced the 13.7-megabase genome of G. sulphuraria. This alga shows an enormous metabolic flexibility, growing either photoautotrophically or heterotrophically on more than 50 carbon sources. Environmental adaptation seems to have been facilitated by horizontal gene transfer from various bacteria and archaea, often followed by gene family expansion. At least 5% of protein-coding genes of G. sulphuraria were probably acquired horizontally. These proteins are involved in ecologically important processes ranging from heavy-metal detoxification to glycerol uptake and metabolism. Thus, our findings show that a pan-domain gene pool has facilitated environmental adaptation in this unicellular eukaryote.","author":[{"dropping-particle":"","family":"Schönknecht","given":"Gerald","non-dropping-particle":"","parse-names":false,"suffix":""},{"dropping-particle":"","family":"Chen","given":"Wei-Hua","non-dropping-particle":"","parse-names":false,"suffix":""},{"dropping-particle":"","family":"Ternes","given":"Chad M","non-dropping-particle":"","parse-names":false,"suffix":""},{"dropping-particle":"","family":"Barbier","given":"Guillaume G","non-dropping-particle":"","parse-names":false,"suffix":""},{"dropping-particle":"","family":"Shrestha","given":"Roshan P","non-dropping-particle":"","parse-names":false,"suffix":""},{"dropping-particle":"","family":"Stanke","given":"Mario","non-dropping-particle":"","parse-names":false,"suffix":""},{"dropping-particle":"","family":"Bräutigam","given":"Andrea","non-dropping-particle":"","parse-names":false,"suffix":""},{"dropping-particle":"","family":"Baker","given":"Brett J","non-dropping-particle":"","parse-names":false,"suffix":""},{"dropping-particle":"","family":"Banfield","given":"Jillian F","non-dropping-particle":"","parse-names":false,"suffix":""},{"dropping-particle":"","family":"Garavito","given":"R Michael","non-dropping-particle":"","parse-names":false,"suffix":""},{"dropping-particle":"","family":"Carr","given":"Kevin","non-dropping-particle":"","parse-names":false,"suffix":""},{"dropping-particle":"","family":"Wilkerson","given":"Curtis","non-dropping-particle":"","parse-names":false,"suffix":""},{"dropping-particle":"","family":"Rensing","given":"Stefan A","non-dropping-particle":"","parse-names":false,"suffix":""},{"dropping-particle":"","family":"Gagneul","given":"David","non-dropping-particle":"","parse-names":false,"suffix":""},{"dropping-particle":"","family":"Dickenson","given":"Nicholas E","non-dropping-particle":"","parse-names":false,"suffix":""},{"dropping-particle":"","family":"Oesterhelt","given":"Christine","non-dropping-particle":"","parse-names":false,"suffix":""},{"dropping-particle":"","family":"Lercher","given":"Martin J","non-dropping-particle":"","parse-names":false,"suffix":""},{"dropping-particle":"","family":"Weber","given":"Andreas P M","non-dropping-particle":"","parse-names":false,"suffix":""}],"container-title":"Science (New York, N.Y.)","id":"ITEM-4","issue":"6124","issued":{"date-parts":[["2013","3","8"]]},"page":"1207-10","publisher":"American Association for the Advancement of Science","title":"Gene transfer from bacteria and archaea facilitated evolution of an extremophilic eukaryote.","type":"article-journal","volume":"339"},"uris":["http://www.mendeley.com/documents/?uuid=808603b9-3a0f-31fd-a742-57ffa4bd0ab1"]}],"mendeley":{"formattedCitation":"[5–8]","plainTextFormattedCitation":"[5–8]","previouslyFormattedCitation":"[5–8]"},"properties":{"noteIndex":0},"schema":"https://github.com/citation-style-language/schema/raw/master/csl-citation.json"}</w:instrText>
      </w:r>
      <w:r w:rsidR="00D656B2">
        <w:fldChar w:fldCharType="separate"/>
      </w:r>
      <w:r w:rsidR="00127AAA" w:rsidRPr="00127AAA">
        <w:rPr>
          <w:noProof/>
        </w:rPr>
        <w:t>[5–8]</w:t>
      </w:r>
      <w:r w:rsidR="00D656B2">
        <w:fldChar w:fldCharType="end"/>
      </w:r>
      <w:r w:rsidR="00127AAA">
        <w:t>**.</w:t>
      </w:r>
      <w:r w:rsidR="00D656B2">
        <w:t xml:space="preserve"> </w:t>
      </w:r>
    </w:p>
    <w:p w14:paraId="1A6B079D" w14:textId="59A8E522" w:rsidR="00650DC8" w:rsidRDefault="00E80212">
      <w:r>
        <w:t xml:space="preserve">In the absence of an external pool of genes to requisition, </w:t>
      </w:r>
      <w:r w:rsidR="00CC0C85">
        <w:t xml:space="preserve">organisms </w:t>
      </w:r>
      <w:r>
        <w:t xml:space="preserve">can also evolve additional functionality to existing proteins through recombination events that lead to the insertion of one </w:t>
      </w:r>
      <w:r>
        <w:lastRenderedPageBreak/>
        <w:t xml:space="preserve">protein domain within </w:t>
      </w:r>
      <w:r w:rsidR="009045DA">
        <w:t>another</w:t>
      </w:r>
      <w:r>
        <w:t xml:space="preserve"> </w:t>
      </w:r>
      <w:r w:rsidR="00D656B2">
        <w:fldChar w:fldCharType="begin" w:fldLock="1"/>
      </w:r>
      <w:r w:rsidR="00A97363">
        <w:instrText>ADDIN CSL_CITATION {"citationItems":[{"id":"ITEM-1","itemData":{"DOI":"10.1093/bioinformatics/btl135","ISSN":"1367-4803","author":[{"dropping-particle":"","family":"Pasek","given":"S.","non-dropping-particle":"","parse-names":false,"suffix":""},{"dropping-particle":"","family":"Risler","given":"J.-L.","non-dropping-particle":"","parse-names":false,"suffix":""},{"dropping-particle":"","family":"Brezellec","given":"P.","non-dropping-particle":"","parse-names":false,"suffix":""}],"container-title":"Bioinformatics","id":"ITEM-1","issue":"12","issued":{"date-parts":[["2006","6","15"]]},"page":"1418-1423","publisher":"Narnia","title":"Gene fusion/fission is a major contributor to evolution of multi-domain bacterial proteins","type":"article-journal","volume":"22"},"uris":["http://www.mendeley.com/documents/?uuid=ad84f79d-fab7-3c2e-b10c-a5ce118b3da5"]},{"id":"ITEM-2","itemData":{"DOI":"10.1146/annurev.bi.64.070195.001443","ISSN":"0066-4154","PMID":"7574483","abstract":"The domainal nature of proteins is well established. What is less certain is how many domains are evolutionarily mobile in that they occur in otherwise nonhomologous proteins or in different sequential locations in homologous proteins. The combinatorial advantage of shuffling domains around into diverse settings is obvious. Those domains that have been shuffled about in recent evolutionary times, within the last half billion years or so, can usually be identified on the basis of sequence resemblances alone. Contrarily, domains that were rearranged in ancient times may only be apparent after three-dimensional analysis, their sequence resemblances having been eroded over time. The shuffling of domains in recently evolved proteins has been greatly promoted by introns, but this does not imply that all domainal rearrangements involve introns. Only a small fraction of known exons show evidence of having been shuffled. Taken in aggregate, the available data best fit a scenario whereby a relative small number of genes encoding domain-sized polypeptides has been expanded by duplication and modification with a burst of exceptional genomic rearrangement.","author":[{"dropping-particle":"","family":"Doolittle","given":"Russell F.","non-dropping-particle":"","parse-names":false,"suffix":""}],"container-title":"Annual Review of Biochemistry","id":"ITEM-2","issue":"1","issued":{"date-parts":[["1995","6"]]},"page":"287-314","title":"The Multiplicity of Domains in Proteins","type":"article-journal","volume":"64"},"uris":["http://www.mendeley.com/documents/?uuid=749602e9-8a19-3ce6-b89d-b196b4aefdf6"]}],"mendeley":{"formattedCitation":"[9,10]","plainTextFormattedCitation":"[9,10]","previouslyFormattedCitation":"[9,10]"},"properties":{"noteIndex":0},"schema":"https://github.com/citation-style-language/schema/raw/master/csl-citation.json"}</w:instrText>
      </w:r>
      <w:r w:rsidR="00D656B2">
        <w:fldChar w:fldCharType="separate"/>
      </w:r>
      <w:r w:rsidR="00BC6753" w:rsidRPr="00BC6753">
        <w:rPr>
          <w:noProof/>
        </w:rPr>
        <w:t>[9,10]</w:t>
      </w:r>
      <w:r w:rsidR="00D656B2">
        <w:fldChar w:fldCharType="end"/>
      </w:r>
      <w:r>
        <w:t xml:space="preserve">. This could be after the direct </w:t>
      </w:r>
      <w:r w:rsidR="00754EF9">
        <w:t xml:space="preserve">tandem </w:t>
      </w:r>
      <w:r>
        <w:t xml:space="preserve">duplication of a gene where the fusion would double the size of the gene, or the insertion of a totally new sequence somewhere within the existing one. Clearly for a functional protein to emerge, the gene would have to recombine in </w:t>
      </w:r>
      <w:r w:rsidR="00CC0C85">
        <w:t xml:space="preserve">such </w:t>
      </w:r>
      <w:r>
        <w:t xml:space="preserve">a way that translation </w:t>
      </w:r>
      <w:r w:rsidR="00CC0C85">
        <w:t xml:space="preserve">can </w:t>
      </w:r>
      <w:r>
        <w:t>run through from the original coding sequence into the fused partners.</w:t>
      </w:r>
    </w:p>
    <w:p w14:paraId="170FD1CD" w14:textId="7AF9F2D3" w:rsidR="00650DC8" w:rsidRDefault="00E80212">
      <w:r>
        <w:t xml:space="preserve">Membrane transport biologists will be familiar with the concept of gene fusion shaping evolution, as the pioneering work of Milton H. Saier Jnr. </w:t>
      </w:r>
      <w:r w:rsidR="00FB055E">
        <w:t xml:space="preserve">has </w:t>
      </w:r>
      <w:r>
        <w:t xml:space="preserve">demonstrated that many important transporter families, most famously the major facilitator superfamily (MFS) proteins, evolved from smaller ancestors through duplication and fusions, likely through initially forming oligomers before fusing into single proteins </w:t>
      </w:r>
      <w:r w:rsidR="00D656B2">
        <w:fldChar w:fldCharType="begin" w:fldLock="1"/>
      </w:r>
      <w:r w:rsidR="00A97363">
        <w:instrText>ADDIN CSL_CITATION {"citationItems":[{"id":"ITEM-1","itemData":{"DOI":"10.1046/j.1365-2958.2003.03499.x","ISSN":"0950382X","author":[{"dropping-particle":"","family":"Saier","given":"Milton H.","non-dropping-particle":"","parse-names":false,"suffix":""}],"container-title":"Molecular Microbiology","id":"ITEM-1","issue":"5","issued":{"date-parts":[["2003","4","29"]]},"page":"1145-1156","publisher":"John Wiley &amp; Sons, Ltd (10.1111)","title":"Tracing pathways of transport protein evolution","type":"article-journal","volume":"48"},"uris":["http://www.mendeley.com/documents/?uuid=6eb557c4-1c2b-3d29-bccd-48c1218797de"]},{"id":"ITEM-2","itemData":{"DOI":"10.1016/j.sbi.2016.05.001","ISSN":"0959440X","PMID":"27270239","abstract":"The vast majority of well studied transmembrane channels, secondary carriers, primary active transporters and group translocators are believed to have arisen vis intragenic duplication events from simple channel-forming peptides with just 1-3 transmembrane α-helical segments, found ubiquitously in nature. Only a few established channel-forming proteins appear to have evolved via other pathways. The proposed pathway for the evolutionary appearance of the five types of transport proteins involved intragenic duplication of transmembrane pore-forming peptide-encoding genes, giving rise to channel proteins. These gave rise to single protein secondary carriers which upon superimposition of addition protein domains and proteins, including energy-coupling proteins and extracytoplasmic receptors, gave rise to multidomain, multicomponent carriers, primary active transporters and group translocators. Some of the largest and best characterized superfamilies of these transmembrane transport proteins are discussed from topological and evolutionary standpoints.","author":[{"dropping-particle":"","family":"Saier","given":"Milton H","non-dropping-particle":"","parse-names":false,"suffix":""}],"container-title":"Current Opinion in Structural Biology","id":"ITEM-2","issued":{"date-parts":[["2016","6"]]},"page":"9-17","title":"Transport protein evolution deduced from analysis of sequence, topology and structure","type":"article-journal","volume":"38"},"uris":["http://www.mendeley.com/documents/?uuid=55f43f4a-886a-3639-800a-9f857c7713d4"]}],"mendeley":{"formattedCitation":"[11,12]","plainTextFormattedCitation":"[11,12]","previouslyFormattedCitation":"[11,12]"},"properties":{"noteIndex":0},"schema":"https://github.com/citation-style-language/schema/raw/master/csl-citation.json"}</w:instrText>
      </w:r>
      <w:r w:rsidR="00D656B2">
        <w:fldChar w:fldCharType="separate"/>
      </w:r>
      <w:r w:rsidR="00BC6753" w:rsidRPr="00BC6753">
        <w:rPr>
          <w:noProof/>
        </w:rPr>
        <w:t>[11,12]</w:t>
      </w:r>
      <w:r w:rsidR="00D656B2">
        <w:fldChar w:fldCharType="end"/>
      </w:r>
      <w:r>
        <w:t xml:space="preserve">. </w:t>
      </w:r>
      <w:r w:rsidR="00CC0C85">
        <w:t>Developments in s</w:t>
      </w:r>
      <w:r>
        <w:t>tructural biology ha</w:t>
      </w:r>
      <w:r w:rsidR="00CC0C85">
        <w:t>ve allowed the observation of clear structural symmetry in these proteins, giving much weight to these ideas</w:t>
      </w:r>
      <w:r>
        <w:t xml:space="preserve"> </w:t>
      </w:r>
      <w:r w:rsidR="00D656B2">
        <w:fldChar w:fldCharType="begin" w:fldLock="1"/>
      </w:r>
      <w:r w:rsidR="00A97363">
        <w:instrText>ADDIN CSL_CITATION {"citationItems":[{"id":"ITEM-1","itemData":{"DOI":"10.1146/annurev-biophys-051013-023008","ISSN":"1936-1238","PMID":"26098517","abstract":"Symmetry is a common feature among natural systems, including protein structures. A strong propensity toward symmetric architectures has long been recognized for water-soluble proteins, and this propensity has been rationalized from an evolutionary standpoint. Proteins residing in cellular membranes, however, have traditionally been less amenable to structural studies, and thus the prevalence and significance of symmetry in this important class of molecules is not as well understood. In the past two decades, researchers have made great strides in this area, and these advances have provided exciting insights into the range of architectures adopted by membrane proteins. These structural studies have revealed a similarly strong bias toward symmetric arrangements, which were often unexpected and which occurred despite the restrictions imposed by the membrane environment on the possible symmetry groups. Moreover, membrane proteins disproportionately contain internal structural repeats resulting from duplication and fusion of smaller segments. This article discusses the types and origins of symmetry in membrane proteins and the implications of symmetry for protein function.","author":[{"dropping-particle":"","family":"Forrest","given":"Lucy R","non-dropping-particle":"","parse-names":false,"suffix":""}],"container-title":"Annual review of biophysics","id":"ITEM-1","issued":{"date-parts":[["2015"]]},"page":"311-37","publisher":"NIH Public Access","title":"Structural Symmetry in Membrane Proteins.","type":"article-journal","volume":"44"},"uris":["http://www.mendeley.com/documents/?uuid=deacd81d-0450-3607-8b16-306db97b391b"]}],"mendeley":{"formattedCitation":"[13]","plainTextFormattedCitation":"[13]","previouslyFormattedCitation":"[13]"},"properties":{"noteIndex":0},"schema":"https://github.com/citation-style-language/schema/raw/master/csl-citation.json"}</w:instrText>
      </w:r>
      <w:r w:rsidR="00D656B2">
        <w:fldChar w:fldCharType="separate"/>
      </w:r>
      <w:r w:rsidR="00BC6753" w:rsidRPr="00BC6753">
        <w:rPr>
          <w:noProof/>
        </w:rPr>
        <w:t>[13]</w:t>
      </w:r>
      <w:r w:rsidR="00D656B2">
        <w:fldChar w:fldCharType="end"/>
      </w:r>
      <w:r>
        <w:t>.</w:t>
      </w:r>
      <w:r w:rsidR="00D656B2">
        <w:t xml:space="preserve"> </w:t>
      </w:r>
      <w:r w:rsidR="00B55440">
        <w:t>R</w:t>
      </w:r>
      <w:r>
        <w:t>ecent</w:t>
      </w:r>
      <w:r w:rsidR="00B55440">
        <w:t xml:space="preserve"> additional </w:t>
      </w:r>
      <w:r>
        <w:t xml:space="preserve">examples </w:t>
      </w:r>
      <w:r w:rsidR="00B55440">
        <w:t xml:space="preserve">of this </w:t>
      </w:r>
      <w:r>
        <w:t>include the drug/metabolite transporter (DMT) superfamily, which has been proposed to derive from Small Multidrug Resistance proteins, a family of 4</w:t>
      </w:r>
      <w:r w:rsidR="00D73A90">
        <w:t>-transmembrane helix (</w:t>
      </w:r>
      <w:r>
        <w:t>TM</w:t>
      </w:r>
      <w:r w:rsidR="00D73A90">
        <w:t>H)</w:t>
      </w:r>
      <w:r>
        <w:t xml:space="preserve"> transporters </w:t>
      </w:r>
      <w:r w:rsidR="00D656B2">
        <w:fldChar w:fldCharType="begin" w:fldLock="1"/>
      </w:r>
      <w:r w:rsidR="00A97363">
        <w:instrText>ADDIN CSL_CITATION {"citationItems":[{"id":"ITEM-1","itemData":{"DOI":"10.1186/1471-2148-9-140","ISSN":"1471-2148","abstract":"Members of the small multidrug resistance (SMR) protein family are integral membrane proteins characterized by four α-helical transmembrane strands that confer resistance to a broad range of antiseptics and lipophilic quaternary ammonium compounds (QAC) in bacteria. Due to their short length and broad substrate profile, SMR proteins are suggested to be the progenitors for larger α-helical transporters such as the major facilitator superfamily (MFS) and drug/metabolite transporter (DMT) superfamily. To explore their evolutionary association with larger multidrug transporters, an extensive bioinformatics analysis of SMR sequences (&gt; 300 Bacteria taxa) was performed to expand upon previous evolutionary studies of the SMR protein family and its origins. A thorough annotation of unidentified/putative SMR sequences was performed placing sequences into each of the three SMR protein subclass designations, namely small multidrug proteins (SMP), suppressor of groEL mutations (SUG), and paired small multidrug resistance (PSMR) using protein alignments and phylogenetic analysis. Examination of SMR subclass distribution within Bacteria and Archaea taxa identified specific Bacterial classes that uniquely encode for particular SMR subclass members. The extent of selective pressure acting upon each SMR subclass was determined by calculating the rate of synonymous to non-synonymous nucleotide substitutions using Syn-SCAN analysis. SUG and SMP subclasses are maintained under moderate selection pressure in comparison to integron and plasmid encoded SMR homologues. Conversely, PSMR sequences are maintained under lower levels of selection pressure, where one of the two PSMR pairs diverges in sequence more rapidly than the other. SMR genomic loci surveys identified potential SMR efflux substrates based on its gene association to putative operons that encode for genes regulating amino acid biogenesis and QAC-like metabolites. SMR subclass protein transmembrane domain alignments to Bacterial/Archaeal transporters (BAT), DMT, and MFS sequences supports SMR participation in multidrug transport evolution by identifying common TM domains. Based on this study, PSMR sequences originated recently within both SUG and SMP clades through gene duplication events and it appears that SMR members may be evolving towards specific metabolite transport.","author":[{"dropping-particle":"","family":"Bay","given":"Denice C","non-dropping-particle":"","parse-names":false,"suffix":""},{"dropping-particle":"","family":"Turner","given":"Raymond J","non-dropping-particle":"","parse-names":false,"suffix":""}],"container-title":"BMC Evolutionary Biology","id":"ITEM-1","issue":"1","issued":{"date-parts":[["2009","6","23"]]},"page":"140","publisher":"BioMed Central","title":"Diversity and evolution of the small multidrug resistance protein family","type":"article-journal","volume":"9"},"uris":["http://www.mendeley.com/documents/?uuid=d485310c-e329-392d-ad22-9608b2362575"]}],"mendeley":{"formattedCitation":"[14]","plainTextFormattedCitation":"[14]","previouslyFormattedCitation":"[14]"},"properties":{"noteIndex":0},"schema":"https://github.com/citation-style-language/schema/raw/master/csl-citation.json"}</w:instrText>
      </w:r>
      <w:r w:rsidR="00D656B2">
        <w:fldChar w:fldCharType="separate"/>
      </w:r>
      <w:r w:rsidR="00BC6753" w:rsidRPr="00BC6753">
        <w:rPr>
          <w:noProof/>
        </w:rPr>
        <w:t>[14]</w:t>
      </w:r>
      <w:r w:rsidR="00D656B2">
        <w:fldChar w:fldCharType="end"/>
      </w:r>
      <w:r>
        <w:t xml:space="preserve">, and the </w:t>
      </w:r>
      <w:r w:rsidR="00E445A6" w:rsidRPr="00E445A6">
        <w:t>proteobacterial antimicrobial compound efflux</w:t>
      </w:r>
      <w:r w:rsidR="00E445A6">
        <w:t xml:space="preserve"> (</w:t>
      </w:r>
      <w:r>
        <w:t>PACE</w:t>
      </w:r>
      <w:r w:rsidR="00E445A6">
        <w:t>)</w:t>
      </w:r>
      <w:r>
        <w:t xml:space="preserve"> transporters, which have been suggested to derive from an ancestral duplication of the BTP</w:t>
      </w:r>
      <w:r w:rsidR="00E445A6">
        <w:t xml:space="preserve"> (bacterial transmembrane pair)</w:t>
      </w:r>
      <w:r>
        <w:t xml:space="preserve"> domain </w:t>
      </w:r>
      <w:r w:rsidR="00D656B2">
        <w:fldChar w:fldCharType="begin" w:fldLock="1"/>
      </w:r>
      <w:r w:rsidR="00A97363">
        <w:instrText>ADDIN CSL_CITATION {"citationItems":[{"id":"ITEM-1","itemData":{"DOI":"10.1016/j.resmic.2018.01.001","ISSN":"1769-7123","PMID":"29409983","abstract":"The proteobacterial antimicrobial compound efflux (PACE) family of transport proteins was only recently described. PACE family transport proteins can confer resistance to a range of biocides used as disinfectants and antiseptics, and are encoded by many important Gram-negative human pathogens. However, we are only just beginning to appreciate the range of functions and the mechanism(s) of transport operating in these proteins. Genes encoding PACE family proteins are typically conserved in the core genomes of bacterial species rather than on recently acquired mobile genetic elements, suggesting that they confer important core functions in addition to biocide resistance. Three-dimensional structural information is not yet available for PACE family proteins. However, PACE proteins have several very highly conserved amino acid sequence motifs that are likely to be important for substrate transport. PACE proteins also display strong amino acid sequence conservation between their N and C-terminal halves, suggesting that they evolved by duplication of an ancestral protein comprised of two transmembrane helices. In light of their drug resistance functions in Gram-negative pathogens, PACE proteins should be the subject of detailed future investigation.","author":[{"dropping-particle":"","family":"Hassan","given":"Karl A","non-dropping-particle":"","parse-names":false,"suffix":""},{"dropping-particle":"","family":"Liu","given":"Qi","non-dropping-particle":"","parse-names":false,"suffix":""},{"dropping-particle":"","family":"Elbourne","given":"Liam D H","non-dropping-particle":"","parse-names":false,"suffix":""},{"dropping-particle":"","family":"Ahmad","given":"Irshad","non-dropping-particle":"","parse-names":false,"suffix":""},{"dropping-particle":"","family":"Sharples","given":"David","non-dropping-particle":"","parse-names":false,"suffix":""},{"dropping-particle":"","family":"Naidu","given":"Varsha","non-dropping-particle":"","parse-names":false,"suffix":""},{"dropping-particle":"","family":"Chan","given":"Chak Lam","non-dropping-particle":"","parse-names":false,"suffix":""},{"dropping-particle":"","family":"Li","given":"Liping","non-dropping-particle":"","parse-names":false,"suffix":""},{"dropping-particle":"","family":"Harborne","given":"Steven P D","non-dropping-particle":"","parse-names":false,"suffix":""},{"dropping-particle":"","family":"Pokhrel","given":"Alaska","non-dropping-particle":"","parse-names":false,"suffix":""},{"dropping-particle":"","family":"Postis","given":"Vincent L G","non-dropping-particle":"","parse-names":false,"suffix":""},{"dropping-particle":"","family":"Goldman","given":"Adrian","non-dropping-particle":"","parse-names":false,"suffix":""},{"dropping-particle":"","family":"Henderson","given":"Peter J F","non-dropping-particle":"","parse-names":false,"suffix":""},{"dropping-particle":"","family":"Paulsen","given":"Ian T","non-dropping-particle":"","parse-names":false,"suffix":""}],"container-title":"Research in microbiology","id":"ITEM-1","issue":"7-8","issued":{"date-parts":[["2018","9"]]},"page":"450-454","title":"Pacing across the membrane: the novel PACE family of efflux pumps is widespread in Gram-negative pathogens.","type":"article-journal","volume":"169"},"uris":["http://www.mendeley.com/documents/?uuid=7a23fb33-2b96-3a66-aada-2bf1307a81c0"]}],"mendeley":{"formattedCitation":"[15]","plainTextFormattedCitation":"[15]","previouslyFormattedCitation":"[15]"},"properties":{"noteIndex":0},"schema":"https://github.com/citation-style-language/schema/raw/master/csl-citation.json"}</w:instrText>
      </w:r>
      <w:r w:rsidR="00D656B2">
        <w:fldChar w:fldCharType="separate"/>
      </w:r>
      <w:r w:rsidR="00BC6753" w:rsidRPr="00BC6753">
        <w:rPr>
          <w:noProof/>
        </w:rPr>
        <w:t>[15]</w:t>
      </w:r>
      <w:r w:rsidR="00D656B2">
        <w:fldChar w:fldCharType="end"/>
      </w:r>
      <w:r>
        <w:t>.</w:t>
      </w:r>
    </w:p>
    <w:p w14:paraId="54F06F0D" w14:textId="2FA1058B" w:rsidR="00650DC8" w:rsidRDefault="00E80212">
      <w:r>
        <w:t xml:space="preserve">These </w:t>
      </w:r>
      <w:r w:rsidR="00B55440">
        <w:t xml:space="preserve">fusions are exclusively between integral membrane domains, so what mechanisms are required for the fusion of normally soluble domains to these types of proteins? </w:t>
      </w:r>
      <w:r w:rsidR="00492BE2">
        <w:t xml:space="preserve">The </w:t>
      </w:r>
      <w:r>
        <w:t xml:space="preserve">technique of C-terminal </w:t>
      </w:r>
      <w:r w:rsidR="00B55440">
        <w:t xml:space="preserve">fusion </w:t>
      </w:r>
      <w:r>
        <w:t>of the stable green fluorescent protein (GFP) to membrane protein expression targets and the use of in-gel or whole cell fluorescence as a marker of protein expression levels</w:t>
      </w:r>
      <w:r w:rsidR="00D656B2">
        <w:t xml:space="preserve"> </w:t>
      </w:r>
      <w:r w:rsidR="00D656B2">
        <w:fldChar w:fldCharType="begin" w:fldLock="1"/>
      </w:r>
      <w:r w:rsidR="00A97363">
        <w:instrText>ADDIN CSL_CITATION {"citationItems":[{"id":"ITEM-1","itemData":{"DOI":"10.1016/S0014-5793(01)02980-5","ISSN":"00145793","author":[{"dropping-particle":"","family":"Drew","given":"David E","non-dropping-particle":"","parse-names":false,"suffix":""},{"dropping-particle":"","family":"Heijne","given":"Gunnar","non-dropping-particle":"von","parse-names":false,"suffix":""},{"dropping-particle":"","family":"Nordlund","given":"Pär","non-dropping-particle":"","parse-names":false,"suffix":""},{"dropping-particle":"","family":"Gier","given":"Jan-Willem L","non-dropping-particle":"de","parse-names":false,"suffix":""}],"container-title":"FEBS Letters","id":"ITEM-1","issue":"2","issued":{"date-parts":[["2001","10","26"]]},"page":"220-224","publisher":"John Wiley &amp; Sons, Ltd","title":"Green fluorescent protein as an indicator to monitor membrane protein overexpression in &lt;i&gt;Escherichia coli&lt;/i&gt;","type":"article-journal","volume":"507"},"uris":["http://www.mendeley.com/documents/?uuid=06af7784-e068-3d99-91df-e6004ec0d902"]},{"id":"ITEM-2","itemData":{"DOI":"10.1038/nmeth0406-303","ISSN":"1548-7091","author":[{"dropping-particle":"","family":"Drew","given":"David","non-dropping-particle":"","parse-names":false,"suffix":""},{"dropping-particle":"","family":"Lerch","given":"Mirjam","non-dropping-particle":"","parse-names":false,"suffix":""},{"dropping-particle":"","family":"Kunji","given":"Edmund","non-dropping-particle":"","parse-names":false,"suffix":""},{"dropping-particle":"","family":"Slotboom","given":"Dirk-Jan","non-dropping-particle":"","parse-names":false,"suffix":""},{"dropping-particle":"","family":"Gier","given":"Jan-Willem","non-dropping-particle":"de","parse-names":false,"suffix":""}],"container-title":"Nature Methods","id":"ITEM-2","issue":"4","issued":{"date-parts":[["2006","4"]]},"page":"303-313","publisher":"Nature Publishing Group","title":"Optimization of membrane protein overexpression and purification using GFP fusions","type":"article-journal","volume":"3"},"uris":["http://www.mendeley.com/documents/?uuid=943a69d2-9acb-3ecf-baf8-64fd3160ba63"]}],"mendeley":{"formattedCitation":"[16,17]","plainTextFormattedCitation":"[16,17]","previouslyFormattedCitation":"[16,17]"},"properties":{"noteIndex":0},"schema":"https://github.com/citation-style-language/schema/raw/master/csl-citation.json"}</w:instrText>
      </w:r>
      <w:r w:rsidR="00D656B2">
        <w:fldChar w:fldCharType="separate"/>
      </w:r>
      <w:r w:rsidR="00BC6753" w:rsidRPr="00BC6753">
        <w:rPr>
          <w:noProof/>
        </w:rPr>
        <w:t>[16,17]</w:t>
      </w:r>
      <w:r w:rsidR="00D656B2">
        <w:fldChar w:fldCharType="end"/>
      </w:r>
      <w:r w:rsidR="00492BE2">
        <w:t xml:space="preserve"> is widely used by membrane protein biologists</w:t>
      </w:r>
      <w:r w:rsidR="0060018C">
        <w:t>,</w:t>
      </w:r>
      <w:r w:rsidR="00492BE2">
        <w:t xml:space="preserve"> and</w:t>
      </w:r>
      <w:r w:rsidR="0060018C">
        <w:t>,</w:t>
      </w:r>
      <w:r w:rsidR="00492BE2">
        <w:t xml:space="preserve"> as t</w:t>
      </w:r>
      <w:r>
        <w:t>his works in many cases</w:t>
      </w:r>
      <w:r w:rsidR="0060018C">
        <w:t>,</w:t>
      </w:r>
      <w:r>
        <w:t xml:space="preserve"> it appears that the fusion can be well tolerated and not interfere with protein stability and/or function. This permissiveness to C-terminal fusions was also supported in our recent analysis of fusions present in the major facilitator superfamily, the largest family of membrane transporters </w:t>
      </w:r>
      <w:r w:rsidR="00D656B2">
        <w:fldChar w:fldCharType="begin" w:fldLock="1"/>
      </w:r>
      <w:r w:rsidR="00A97363">
        <w:instrText>ADDIN CSL_CITATION {"citationItems":[{"id":"ITEM-1","itemData":{"DOI":"10.1099/mic.0.000771","ISSN":"1350-0872","abstract":"The evolution of gene fusions that result in covalently linked protein domains is widespread in bacteria, where spatially coupling domain functionalities can have functional advantages in vivo. Fusions to integral membrane proteins are less widely studied but could provide routes to enhance membrane function in synthetic biology. We studied the major facilitator superfamily (MFS), as the largest family of transporter proteins in bacteria, to examine the extent and nature of fusions to these proteins. A remarkably diverse variety of fusions are identified and the 8 most abundant examples are described, including additional enzymatic domains and a range of sensory and regulatory domains, many not previously described. Significantly, these fusions are found almost exclusively as C-terminal fusions, revealing that the usually cytoplasmic C-terminal end of MFS protein would the permissive end for engineering synthetic fusions to other cytoplasmic proteins.","author":[{"dropping-particle":"","family":"Willson","given":"Benjamin J.","non-dropping-particle":"","parse-names":false,"suffix":""},{"dropping-particle":"","family":"Dalzell","given":"Lindsey","non-dropping-particle":"","parse-names":false,"suffix":""},{"dropping-particle":"","family":"Chapman","given":"Liam N. M.","non-dropping-particle":"","parse-names":false,"suffix":""},{"dropping-particle":"","family":"Thomas","given":"Gavin H.","non-dropping-particle":"","parse-names":false,"suffix":""}],"container-title":"Microbiology","id":"ITEM-1","issued":{"date-parts":[["2019","1","18"]]},"publisher":"Microbiology Society","title":"Enhanced functionalisation of major facilitator superfamily transporters via fusion of C-terminal protein domains is both extensive and varied in bacteria","type":"article-journal"},"uris":["http://www.mendeley.com/documents/?uuid=0ec74869-c370-3bfc-833f-d6b150ec141b"]}],"mendeley":{"formattedCitation":"[18]","plainTextFormattedCitation":"[18]","previouslyFormattedCitation":"[18]"},"properties":{"noteIndex":0},"schema":"https://github.com/citation-style-language/schema/raw/master/csl-citation.json"}</w:instrText>
      </w:r>
      <w:r w:rsidR="00D656B2">
        <w:fldChar w:fldCharType="separate"/>
      </w:r>
      <w:r w:rsidR="00BC6753" w:rsidRPr="00BC6753">
        <w:rPr>
          <w:noProof/>
        </w:rPr>
        <w:t>[18]</w:t>
      </w:r>
      <w:r w:rsidR="00D656B2">
        <w:fldChar w:fldCharType="end"/>
      </w:r>
      <w:r>
        <w:t>.</w:t>
      </w:r>
      <w:r w:rsidR="00D656B2">
        <w:t xml:space="preserve"> </w:t>
      </w:r>
      <w:r>
        <w:t xml:space="preserve">In this </w:t>
      </w:r>
      <w:r w:rsidR="00CE29A7">
        <w:t>article</w:t>
      </w:r>
      <w:r w:rsidR="0043593B">
        <w:t>,</w:t>
      </w:r>
      <w:r>
        <w:t xml:space="preserve"> we </w:t>
      </w:r>
      <w:r w:rsidR="00CE29A7">
        <w:t xml:space="preserve">review </w:t>
      </w:r>
      <w:r>
        <w:t xml:space="preserve">known examples of fusions to all transporters and channels that have been experimentally characterised, finding numerous </w:t>
      </w:r>
      <w:r w:rsidR="0043593B">
        <w:t xml:space="preserve">membrane transport and channel protein architectures that incorporate many </w:t>
      </w:r>
      <w:r>
        <w:t xml:space="preserve">different types of soluble domains. </w:t>
      </w:r>
    </w:p>
    <w:p w14:paraId="26E12DCD" w14:textId="77777777" w:rsidR="00650DC8" w:rsidRDefault="00E80212">
      <w:pPr>
        <w:pStyle w:val="Heading1"/>
        <w:rPr>
          <w:sz w:val="28"/>
          <w:szCs w:val="28"/>
        </w:rPr>
      </w:pPr>
      <w:bookmarkStart w:id="3" w:name="_g022g9fku6h" w:colFirst="0" w:colLast="0"/>
      <w:bookmarkEnd w:id="3"/>
      <w:r>
        <w:rPr>
          <w:sz w:val="28"/>
          <w:szCs w:val="28"/>
        </w:rPr>
        <w:t>Fixing a contact: fusion of soluble transporter domains</w:t>
      </w:r>
    </w:p>
    <w:p w14:paraId="27A6D06A" w14:textId="1DAFCC5A" w:rsidR="00650DC8" w:rsidRDefault="00E80212">
      <w:r>
        <w:t xml:space="preserve">The </w:t>
      </w:r>
      <w:r w:rsidR="00FB055E">
        <w:t xml:space="preserve">substrate binding proteins (SBPs) are the </w:t>
      </w:r>
      <w:r>
        <w:t xml:space="preserve">most common </w:t>
      </w:r>
      <w:r w:rsidR="00FB055E">
        <w:t xml:space="preserve">soluble </w:t>
      </w:r>
      <w:r w:rsidR="00CE29A7">
        <w:t>domain</w:t>
      </w:r>
      <w:r w:rsidR="00FB055E">
        <w:t xml:space="preserve"> of bacterial transporters</w:t>
      </w:r>
      <w:r>
        <w:t xml:space="preserve">. These are found in ATP-binding cassette (ABC) transporters and also selected secondary transporters </w:t>
      </w:r>
      <w:r w:rsidR="0060018C">
        <w:t xml:space="preserve">such as </w:t>
      </w:r>
      <w:r>
        <w:t xml:space="preserve">the tripartite ATP-independent periplasmic (TRAP) transporters and tripartite tricarboxylate transporters (TTT) </w:t>
      </w:r>
      <w:r w:rsidR="00D656B2">
        <w:fldChar w:fldCharType="begin" w:fldLock="1"/>
      </w:r>
      <w:r w:rsidR="00A97363">
        <w:instrText>ADDIN CSL_CITATION {"citationItems":[{"id":"ITEM-1","itemData":{"DOI":"10.1128/MMBR.00031-07","ISSN":"1092-2172","PMID":"18535149","abstract":"SUMMARY ATP-binding cassette (ABC) systems are universally distributed among living organisms and function in many different aspects of bacterial physiology. ABC transporters are best known for their role in the import of essential nutrients and the export of toxic molecules, but they can also mediate the transport of many other physiological substrates. In a classical transport reaction, two highly conserved ATP-binding domains or subunits couple the binding/hydrolysis of ATP to the translocation of particular substrates across the membrane, through interactions with membrane-spanning domains of the transporter. Variations on this basic theme involve soluble ABC ATP-binding proteins that couple ATP hydrolysis to nontransport processes, such as DNA repair and gene expression regulation. Insights into the structure, function, and mechanism of action of bacterial ABC proteins are reported, based on phylogenetic comparisons as well as classic biochemical and genetic approaches. The availability of an increasing number of high-resolution structures has provided a valuable framework for interpretation of recent studies, and realistic models have been proposed to explain how these fascinating molecular machines use complex dynamic processes to fulfill their numerous biological functions. These advances are also important for elucidating the mechanism of action of eukaryotic ABC proteins, because functional defects in many of them are responsible for severe human inherited diseases.","author":[{"dropping-particle":"","family":"Davidson","given":"A. L.","non-dropping-particle":"","parse-names":false,"suffix":""},{"dropping-particle":"","family":"Dassa","given":"E.","non-dropping-particle":"","parse-names":false,"suffix":""},{"dropping-particle":"","family":"Orelle","given":"C.","non-dropping-particle":"","parse-names":false,"suffix":""},{"dropping-particle":"","family":"Chen","given":"J.","non-dropping-particle":"","parse-names":false,"suffix":""}],"container-title":"Microbiology and Molecular Biology Reviews","id":"ITEM-1","issue":"2","issued":{"date-parts":[["2008","6","1"]]},"page":"317-364","title":"Structure, Function, and Evolution of Bacterial ATP-Binding Cassette Systems","type":"article-journal","volume":"72"},"uris":["http://www.mendeley.com/documents/?uuid=e4d41d37-aea8-39a2-a8a8-a467d9380f31"]},{"id":"ITEM-2","itemData":{"DOI":"10.1111/j.1574-6976.2010.00236.x","ISSN":"1574-6976","PMID":"20584082","abstract":"The tripartite ATP-independent periplasmic (TRAP) transporters are the best-studied family of substrate-binding protein (SBP)-dependent secondary transporters and are ubiquitous in prokaryotes, but absent from eukaryotes. They are comprised of an SBP of the DctP or TAXI families and two integral membrane proteins of unequal sizes that form the DctQ and DctM protein families, respectively. The SBP component has a structure comprised of two domains connected by a hinge that closes upon substrate binding. In DctP-TRAP transporters, substrate binding is mediated through a conserved and specific arginine/carboxylate interaction in the SBP. While the SBP component has now been relatively well characterized, the membrane components of TRAP transporters are still poorly understood both in terms of their structure and function. We review the expanding repertoire of substrates and physiological roles for experimentally characterized TRAP transporters in bacteria and discuss mechanistic aspects of these transporters using data primarily from the sialic acid-specific TRAP transporter SiaPQM from Haemophilus influenzae, which suggest that TRAP transporters are high-affinity, Na(+)-dependent unidirectional secondary transporters.","author":[{"dropping-particle":"","family":"Mulligan","given":"Christopher","non-dropping-particle":"","parse-names":false,"suffix":""},{"dropping-particle":"","family":"Fischer","given":"Marcus","non-dropping-particle":"","parse-names":false,"suffix":""},{"dropping-particle":"","family":"Thomas","given":"Gavin H.","non-dropping-particle":"","parse-names":false,"suffix":""}],"container-title":"FEMS Microbiology Reviews","id":"ITEM-2","issue":"1","issued":{"date-parts":[["2011","1"]]},"page":"68-86","title":"Tripartite ATP-independent periplasmic (TRAP) transporters in bacteria and archaea","type":"article-journal","volume":"35"},"uris":["http://www.mendeley.com/documents/?uuid=003547f3-c2c2-3bd1-983f-a9a7a46cdc41"]},{"id":"ITEM-3","itemData":{"DOI":"10.1042/BST20150135","ISSN":"0300-5127","PMID":"26517916","abstract":"ATP-binding cassette (ABC) transporters, although being ubiquitous in biology, often feature a subunit that is limited primarily to bacteria and archaea. This subunit, the substrate-binding protein (SBP), is a key determinant of the substrate specificity and high affinity of ABC uptake systems in these organisms. Most prokaryotes have many SBP-dependent ABC transporters that recognize a broad range of ligands from metal ions to amino acids, sugars and peptides. Herein, we review the structure and function of a number of more unusual SBPs, including an ABC transporter involved in the transport of rare furanose forms of sugars and an SBP that has evolved to specifically recognize the bacterial cell wall-derived murein tripeptide (Mtp). Both these examples illustrate that subtle changes in binding-site architecture, including changes in side chains not directly involved in ligand co-ordination, can result in significant alteration of substrate range in novel and unpredictable ways.","author":[{"dropping-particle":"","family":"Maqbool","given":"A.","non-dropping-particle":"","parse-names":false,"suffix":""},{"dropping-particle":"","family":"Horler","given":"R. S. P.","non-dropping-particle":"","parse-names":false,"suffix":""},{"dropping-particle":"","family":"Muller","given":"A.","non-dropping-particle":"","parse-names":false,"suffix":""},{"dropping-particle":"","family":"Wilkinson","given":"A. J.","non-dropping-particle":"","parse-names":false,"suffix":""},{"dropping-particle":"","family":"Wilson","given":"K. S.","non-dropping-particle":"","parse-names":false,"suffix":""},{"dropping-particle":"","family":"Thomas","given":"G. H.","non-dropping-particle":"","parse-names":false,"suffix":""}],"container-title":"Biochemical Society Transactions","id":"ITEM-3","issue":"5","issued":{"date-parts":[["2015","10","1"]]},"page":"1011-1017","title":"The substrate-binding protein in bacterial ABC transporters: dissecting roles in the evolution of substrate specificity","type":"article-journal","volume":"43"},"uris":["http://www.mendeley.com/documents/?uuid=6d4af022-2e2e-3de1-b378-f580ffbfc87f"]},{"id":"ITEM-4","itemData":{"DOI":"10.3389/fcimb.2018.00033","ISSN":"2235-2988","PMID":"29479520","abstract":"The ability to efficiently scavenge nutrients in the host is essential for the viability of any pathogen. All catabolic pathways must begin with the transport of substrate from the environment through the cytoplasmic membrane, a role executed by membrane transporters. Although several classes of cytoplasmic membrane transporters are described, high-affinity uptake of substrates occurs through Solute Binding-Protein (SBP) dependent systems. Three families of SBP dependant transporters are known; the primary ATP-binding cassette (ABC) transporters, and the secondary Tripartite ATP-independent periplasmic (TRAP) transporters and Tripartite Tricarboxylate Transporters (TTT). Far less well understood than the ABC family, the TRAP transporters are found to be abundant among bacteria from marine environments, and the TTT transporters are the most abundant family of proteins in many species of β-proteobacteria. In this review, recent knowledge about these families is covered, with emphasis on their physiological and structural mechanisms, relating to several examples of relevant uptake systems in pathogenicity and colonization, using the SiaPQM sialic acid uptake system from Haemophilus influenzae and the TctCBA citrate uptake system of Salmonella typhimurium as the prototypes for the TRAP and TTT transporters, respectively. High-throughput analysis of SBPs has recently expanded considerably the range of putative substrates known for TRAP transporters, while the repertoire for the TTT family has yet to be fully explored but both types of systems most commonly transport carboxylates. Specialized spectroscopic techniques and site-directed mutagenesis have enriched our knowledge of the way TRAP binding proteins capture their substrate, while structural comparisons show conserved regions for substrate coordination in both families. Genomic and protein sequence analyses show TTT SBP genes are strikingly overrepresented in some bacteria, especially in the β-proteobacteria and some α-proteobacteria. The reasons for this are not clear but might be related to a role for these proteins in signaling rather than transport.","author":[{"dropping-particle":"","family":"Rosa","given":"Leonardo T.","non-dropping-particle":"","parse-names":false,"suffix":""},{"dropping-particle":"","family":"Bianconi","given":"Matheus E.","non-dropping-particle":"","parse-names":false,"suffix":""},{"dropping-particle":"","family":"Thomas","given":"Gavin H.","non-dropping-particle":"","parse-names":false,"suffix":""},{"dropping-particle":"","family":"Kelly","given":"David J.","non-dropping-particle":"","parse-names":false,"suffix":""}],"container-title":"Frontiers in Cellular and Infection Microbiology","id":"ITEM-4","issued":{"date-parts":[["2018","2","12"]]},"page":"33","title":"Tripartite ATP-Independent Periplasmic (TRAP) Transporters and Tripartite Tricarboxylate Transporters (TTT): From Uptake to Pathogenicity","type":"article-journal","volume":"8"},"uris":["http://www.mendeley.com/documents/?uuid=ba544749-386a-32c4-8cf2-e3cd50c40cc9"]}],"mendeley":{"formattedCitation":"[19–22]","plainTextFormattedCitation":"[19–22]","previouslyFormattedCitation":"[19–22]"},"properties":{"noteIndex":0},"schema":"https://github.com/citation-style-language/schema/raw/master/csl-citation.json"}</w:instrText>
      </w:r>
      <w:r w:rsidR="00D656B2">
        <w:fldChar w:fldCharType="separate"/>
      </w:r>
      <w:r w:rsidR="00BC6753" w:rsidRPr="00BC6753">
        <w:rPr>
          <w:noProof/>
        </w:rPr>
        <w:t>[19–22]</w:t>
      </w:r>
      <w:r w:rsidR="00D656B2">
        <w:fldChar w:fldCharType="end"/>
      </w:r>
      <w:r>
        <w:t>.</w:t>
      </w:r>
      <w:r w:rsidR="00D656B2">
        <w:t xml:space="preserve"> </w:t>
      </w:r>
      <w:r>
        <w:t xml:space="preserve">In Gram-negative organisms, SBPs are typically abundant periplasmic proteins that sequester substrate in the periplasm and deliver it to the membrane. In Gram-positive bacteria, which lack a periplasm, they are anchored to the membrane and diffuse laterally to contact the transporter after binding ligand </w:t>
      </w:r>
      <w:r w:rsidR="00CA683D">
        <w:fldChar w:fldCharType="begin" w:fldLock="1"/>
      </w:r>
      <w:r w:rsidR="00A97363">
        <w:instrText>ADDIN CSL_CITATION {"citationItems":[{"id":"ITEM-1","itemData":{"DOI":"10.1111/febs.13289","ISSN":"1742464X","PMID":"25846030","abstract":"Microorganisms rely on binding-protein assisted, active transport systems to scavenge for scarce nutrients. Several advantages of using binding proteins in such uptake systems have been proposed. However, a systematic, rigorous and quantitative analysis of the function of binding proteins is lacking. By combining knowledge of selection pressure and physiochemical constraints, we derive kinetic, thermodynamic, and stoichiometric properties of binding-protein dependent transport systems that enable a maximal import activity per amount of transporter. Under the hypothesis that this maximal specific activity of the transport complex is the selection objective, binding protein concentrations should exceed the concentration of both the scarce nutrient and the transporter. This increases the encounter rate of transporter with loaded binding protein at low substrate concentrations, thereby enhancing the affinity and specific uptake rate. These predictions are experimentally testable, and a number of observations confirm them.","author":[{"dropping-particle":"","family":"Bosdriesz","given":"Evert","non-dropping-particle":"","parse-names":false,"suffix":""},{"dropping-particle":"","family":"Magnúsdóttir","given":"Stefanía","non-dropping-particle":"","parse-names":false,"suffix":""},{"dropping-particle":"","family":"Bruggeman","given":"Frank J.","non-dropping-particle":"","parse-names":false,"suffix":""},{"dropping-particle":"","family":"Teusink","given":"Bas","non-dropping-particle":"","parse-names":false,"suffix":""},{"dropping-particle":"","family":"Molenaar","given":"Douwe","non-dropping-particle":"","parse-names":false,"suffix":""}],"container-title":"FEBS Journal","id":"ITEM-1","issue":"12","issued":{"date-parts":[["2015","6"]]},"page":"2394-2407","title":"Binding proteins enhance specific uptake rate by increasing the substrate-transporter encounter rate","type":"article-journal","volume":"282"},"uris":["http://www.mendeley.com/documents/?uuid=f4ebac61-964c-3067-90dc-c25eb274fefc"]}],"mendeley":{"formattedCitation":"[23]","plainTextFormattedCitation":"[23]","previouslyFormattedCitation":"[23]"},"properties":{"noteIndex":0},"schema":"https://github.com/citation-style-language/schema/raw/master/csl-citation.json"}</w:instrText>
      </w:r>
      <w:r w:rsidR="00CA683D">
        <w:fldChar w:fldCharType="separate"/>
      </w:r>
      <w:r w:rsidR="00BC6753" w:rsidRPr="00BC6753">
        <w:rPr>
          <w:noProof/>
        </w:rPr>
        <w:t>[23]</w:t>
      </w:r>
      <w:r w:rsidR="00CA683D">
        <w:fldChar w:fldCharType="end"/>
      </w:r>
      <w:r>
        <w:t>.</w:t>
      </w:r>
    </w:p>
    <w:p w14:paraId="45963C2A" w14:textId="646FF29D" w:rsidR="00650DC8" w:rsidRDefault="00E80212">
      <w:r>
        <w:t>Fusions of the SBP to the transmembrane domains (TMDs) of the transporter are now recognised as being particularly common in</w:t>
      </w:r>
      <w:r w:rsidR="00492BE2">
        <w:t xml:space="preserve"> selected families of A</w:t>
      </w:r>
      <w:r>
        <w:t>BC transporters from Gram-positive bacteria</w:t>
      </w:r>
      <w:r w:rsidR="00CA683D">
        <w:t xml:space="preserve"> </w:t>
      </w:r>
      <w:r w:rsidR="00CA683D">
        <w:fldChar w:fldCharType="begin" w:fldLock="1"/>
      </w:r>
      <w:r w:rsidR="00A97363">
        <w:instrText>ADDIN CSL_CITATION {"citationItems":[{"id":"ITEM-1","itemData":{"DOI":"10.1093/embo-reports/kvf201","ISSN":"1469-221X","PMID":"12370206","abstract":"Two families of ATP-binding cassette (ABC) transporters in which one or two extracytoplasmic substrate-binding domains are fused to either the N- or C-terminus of the translocator protein have been detected. This suggests that two, or even four, substrate-binding sites may function in the ABC transporter complex. This domain organization in ABC transporters, widely represented among microorganisms, raises new possibilities for how the substrate-binding protein(s) (SBPs) might interact with the translocator. One appealing hypothesis is that multiple substrate-binding sites in proximity to the entry site of the translocation pore enhance the transport capacity. We also discuss the implications of multiple substrate-binding sites in close proximity to the translocator in terms of broadened substrate specificity and possible cooperative interactions between SBPs and the translocator.","author":[{"dropping-particle":"","family":"Heide","given":"Tiemen","non-dropping-particle":"van der","parse-names":false,"suffix":""},{"dropping-particle":"","family":"Poolman","given":"Bert","non-dropping-particle":"","parse-names":false,"suffix":""}],"container-title":"EMBO reports","id":"ITEM-1","issue":"10","issued":{"date-parts":[["2002","10","1"]]},"page":"938-43","title":"ABC transporters: one, two or four extracytoplasmic substrate-binding sites?","type":"article-journal","volume":"3"},"uris":["http://www.mendeley.com/documents/?uuid=a2587456-2fbe-3c49-ab68-888228327fd2"]}],"mendeley":{"formattedCitation":"[24]","plainTextFormattedCitation":"[24]","previouslyFormattedCitation":"[24]"},"properties":{"noteIndex":0},"schema":"https://github.com/citation-style-language/schema/raw/master/csl-citation.json"}</w:instrText>
      </w:r>
      <w:r w:rsidR="00CA683D">
        <w:fldChar w:fldCharType="separate"/>
      </w:r>
      <w:r w:rsidR="00BC6753" w:rsidRPr="00BC6753">
        <w:rPr>
          <w:noProof/>
        </w:rPr>
        <w:t>[24]</w:t>
      </w:r>
      <w:r w:rsidR="00CA683D">
        <w:fldChar w:fldCharType="end"/>
      </w:r>
      <w:r w:rsidR="00492BE2">
        <w:t xml:space="preserve"> (</w:t>
      </w:r>
      <w:r w:rsidR="00492BE2">
        <w:rPr>
          <w:b/>
          <w:i/>
        </w:rPr>
        <w:t>Fig</w:t>
      </w:r>
      <w:r>
        <w:rPr>
          <w:b/>
          <w:i/>
        </w:rPr>
        <w:t>. 1</w:t>
      </w:r>
      <w:r>
        <w:t>). Two examples are the glycine betaine transporter (OpuA)</w:t>
      </w:r>
      <w:r w:rsidR="00344424">
        <w:t xml:space="preserve"> of</w:t>
      </w:r>
      <w:r>
        <w:t xml:space="preserve"> </w:t>
      </w:r>
      <w:r>
        <w:rPr>
          <w:i/>
        </w:rPr>
        <w:t xml:space="preserve">Lactococcus lactis </w:t>
      </w:r>
      <w:r w:rsidR="00CA683D">
        <w:fldChar w:fldCharType="begin" w:fldLock="1"/>
      </w:r>
      <w:r w:rsidR="00A97363">
        <w:instrText>ADDIN CSL_CITATION {"citationItems":[{"id":"ITEM-1","itemData":{"ISSN":"0021-9193","PMID":"10515910","abstract":"The cytoplasmic accumulation of exogenous betaine stimulates the growth of Lactococcus lactis cultivated under hyperosmotic conditions. We report that L. lactis possesses a single betaine transport system that belongs to the ATP-binding cassette (ABC) superfamily of transporters. Through transposon mutagenesis, a mutant deficient in betaine transport was isolated. We identified two genes, busAA and busAB, grouped in an operon, busA (betaine uptake system). The transcription of busA is strongly regulated by the external osmolality of the medium. The busAA gene codes for the ATP-binding protein. busAB encodes a 573-residue polypeptide which presents two striking features: (i) a fusion between the regions encoding the transmembrane domain (TMD) and the substrate-binding domain (SBD) and (ii) a swapping of the SBD subdomains when compared to the Bacillus subtilis betaine-binding protein, OpuAC. BusA of L. lactis displays a high affinity towards betaine (K(m) = 1.7 microM) and is an osmosensor whose activity is tightly regulated by external osmolality, leading the betaine uptake capacity of L. lactis to be under dual control at the biochemical and genetic levels. A protein presenting the characteristics predicted for BusAB was detected in the membrane fraction of L. lactis. The fusion between the TMD and the SBD is the first example of a new organization within prokaryotic ABC transporters.","author":[{"dropping-particle":"","family":"Obis","given":"D","non-dropping-particle":"","parse-names":false,"suffix":""},{"dropping-particle":"","family":"Guillot","given":"A","non-dropping-particle":"","parse-names":false,"suffix":""},{"dropping-particle":"","family":"Gripon","given":"J C","non-dropping-particle":"","parse-names":false,"suffix":""},{"dropping-particle":"","family":"Renault","given":"P","non-dropping-particle":"","parse-names":false,"suffix":""},{"dropping-particle":"","family":"Bolotin","given":"A","non-dropping-particle":"","parse-names":false,"suffix":""},{"dropping-particle":"","family":"Mistou","given":"M Y","non-dropping-particle":"","parse-names":false,"suffix":""}],"container-title":"Journal of bacteriology","id":"ITEM-1","issue":"20","issued":{"date-parts":[["1999","10"]]},"page":"6238-46","publisher":"American Society for Microbiology (ASM)","title":"Genetic and biochemical characterization of a high-affinity betaine uptake system (BusA) in Lactococcus lactis reveals a new functional organization within bacterial ABC transporters.","type":"article-journal","volume":"181"},"uris":["http://www.mendeley.com/documents/?uuid=f5a48725-2246-377d-b333-7274ec6ba9cc"]},{"id":"ITEM-2","itemData":{"ISSN":"1464-1801","PMID":"10939245","abstract":"A Lactococcus lactis glycine-betaine transport system was identified by functional complementation of an Escherichia coli proP proU mutant with a gene library from L. lactis sbsp. cremoris. The cloned locus forms an operon highly homologous to opuA, encoding a glycine-betaine uptake system of Bacillus subtilis. Disruption of opuA in L. lactis abolished protection by glycine-betaine against elevated osmolarity. OpuA belongs to the so-called \"ABC transporters\" family, which comprise an extracellularly localized substrate-binding protein. In B. subtilis OpuA system, this binding protein is a lipoprotein, attached to the external face of the cytoplasmic membrane by its lipidic moiety. In contrast, in the L. lactis opuA operon, and in other gram-positive homologues as well, a fusion between the gene encoding the integral membrane protein and the substrate-binding protein components gave rise to a hybrid protein presumably attaching the substrate-binding protein to the surface of the cell via its covalent link to the integral membrane component. Mapping of L. lactis opuA transcription start identified one mRNA, more abundant in cells grown at elevated osmolarity. Construction of an opuA-gusA fusion confirmed that opuA transcription is directed by a promoter osmotically inducible in L. lactis. When recombined upstream from a lac transcriptional fusion in the chromosome of E. coli, the opuA promoter appeared as very strong, and only poorly stimulated by elevated osmotic pressure, suggesting the existence of a specific machinery involved in the osmotic signal transduction in L. lactis.","author":[{"dropping-particle":"","family":"Bouvier","given":"J","non-dropping-particle":"","parse-names":false,"suffix":""},{"dropping-particle":"","family":"Bordes","given":"P","non-dropping-particle":"","parse-names":false,"suffix":""},{"dropping-particle":"","family":"Romeo","given":"Y","non-dropping-particle":"","parse-names":false,"suffix":""},{"dropping-particle":"","family":"Fourçans","given":"A","non-dropping-particle":"","parse-names":false,"suffix":""},{"dropping-particle":"","family":"Bouvier","given":"I","non-dropping-particle":"","parse-names":false,"suffix":""},{"dropping-particle":"","family":"Gutierrez","given":"C","non-dropping-particle":"","parse-names":false,"suffix":""}],"container-title":"Journal of molecular microbiology and biotechnology","id":"ITEM-2","issue":"2","issued":{"date-parts":[["2000","4"]]},"page":"199-205","title":"Characterization of OpuA, a glycine-betaine uptake system of Lactococcus lactis.","type":"article-journal","volume":"2"},"uris":["http://www.mendeley.com/documents/?uuid=4c78110f-90ec-3b86-86ba-24c905adb3d4"]},{"id":"ITEM-3","itemData":{"DOI":"10.1093/embo-reports/kvf201","ISSN":"1469-221X","PMID":"12370206","abstract":"Two families of ATP-binding cassette (ABC) transporters in which one or two extracytoplasmic substrate-binding domains are fused to either the N- or C-terminus of the translocator protein have been detected. This suggests that two, or even four, substrate-binding sites may function in the ABC transporter complex. This domain organization in ABC transporters, widely represented among microorganisms, raises new possibilities for how the substrate-binding protein(s) (SBPs) might interact with the translocator. One appealing hypothesis is that multiple substrate-binding sites in proximity to the entry site of the translocation pore enhance the transport capacity. We also discuss the implications of multiple substrate-binding sites in close proximity to the translocator in terms of broadened substrate specificity and possible cooperative interactions between SBPs and the translocator.","author":[{"dropping-particle":"","family":"Heide","given":"Tiemen","non-dropping-particle":"van der","parse-names":false,"suffix":""},{"dropping-particle":"","family":"Poolman","given":"Bert","non-dropping-particle":"","parse-names":false,"suffix":""}],"container-title":"EMBO reports","id":"ITEM-3","issue":"10","issued":{"date-parts":[["2002","10","1"]]},"page":"938-43","title":"ABC transporters: one, two or four extracytoplasmic substrate-binding sites?","type":"article-journal","volume":"3"},"uris":["http://www.mendeley.com/documents/?uuid=a2587456-2fbe-3c49-ab68-888228327fd2"]},{"id":"ITEM-4","itemData":{"DOI":"10.1074/jbc.M304796200","ISSN":"0021-9258","PMID":"12766159","abstract":"ATP-binding cassette (ABC) transport proteins catalyze the translocation of substrates at the expense of hydrolysis of ATP, but the actual ATP/substrate stoichiometry is still controversial. In the osmoregulated ABC transporter (OpuA) from Lactococcus lactis, ATP hydrolysis and substrate translocation are tightly coupled, and the activity of right-side-in and inside-out reconstituted OpuA can be determined accurately. Although the ATP/substrate stoichiometry determined from the uptake of glycine betaine and intravesicular ATP hydrolysis tends to increase with decreasing average size of the liposomes, the data from inside-out reconstituted OpuA indicate that the mechanistic stoichiometry is 2. Moreover, the two orientations of OpuA in proteoliposomes allowed possible contributions from substrate (glycine betaine) inhibition on the trans-side of the membrane and inhibition by ADP to be determined. Here we show that OpuA is not inhibited by up to 400 mm glycine betaine on the trans-side of the membrane. ADP is an inhibitor, but accumulation of ADP was negligible in the assays with inside-out-oriented OpuA, and potential effects of the ATP/ADP ratio on the ATP/substrate stoichiometry determinations could be eliminated.","author":[{"dropping-particle":"","family":"Patzlaff","given":"Jason S","non-dropping-particle":"","parse-names":false,"suffix":""},{"dropping-particle":"","family":"Heide","given":"Tiemen","non-dropping-particle":"van der","parse-names":false,"suffix":""},{"dropping-particle":"","family":"Poolman","given":"Bert","non-dropping-particle":"","parse-names":false,"suffix":""}],"container-title":"The Journal of biological chemistry","id":"ITEM-4","issue":"32","issued":{"date-parts":[["2003","8","8"]]},"page":"29546-51","title":"The ATP/substrate stoichiometry of the ATP-binding cassette (ABC) transporter OpuA.","type":"article-journal","volume":"278"},"uris":["http://www.mendeley.com/documents/?uuid=ae7b7d35-3f36-31cd-8701-9afdee5cdf9c"]},{"id":"ITEM-5","itemData":{"DOI":"10.1021/bi300451a","ISSN":"1520-4995","PMID":"22656643","abstract":"The ATP-binding-cassette transporter OpuA from Lactococcus lactis is composed of two ATPase subunits (OpuAA) and two subunits (OpuABC) with the transmembrane domain fused to an extracellular substrate-binding protein. Of the almost 1900 homologues of OpuA known to date, a subset has an amino-terminal amphipathic helix (plus extra transmembrane segment) fused to the core of the transmembrane domain of the OpuABC subunit. FRET measurements indicate that the amphipathic α-helix is located close to the membrane surface, where its hydrophobic face interacts with the transport protein rather than the membrane lipids. Next, we determined the functional role of this accessory region by engineering the amphipathic α-helix. We analyzed the consequence of the mutations in intact cells by monitoring growth and transport of glycine betaine under normal and osmotic stress conditions. More detailed studies were performed in hybrid membrane vesicles, proteoliposomes, and bilayer nanodisks. We show that the amphipathic α-helix of OpuA is necessary for high activity of OpuA but is not critical for the biogenesis of the protein or the ionic regulation of transport.","author":[{"dropping-particle":"","family":"Gul","given":"Nadia","non-dropping-particle":"","parse-names":false,"suffix":""},{"dropping-particle":"","family":"Schuurman-Wolters","given":"Gea","non-dropping-particle":"","parse-names":false,"suffix":""},{"dropping-particle":"","family":"Karasawa","given":"Akira","non-dropping-particle":"","parse-names":false,"suffix":""},{"dropping-particle":"","family":"Poolman","given":"Bert","non-dropping-particle":"","parse-names":false,"suffix":""}],"container-title":"Biochemistry","id":"ITEM-5","issue":"25","issued":{"date-parts":[["2012","6","26"]]},"page":"5142-52","title":"Functional characterization of amphipathic α-helix in the osmoregulatory ABC transporter OpuA.","type":"article-journal","volume":"51"},"uris":["http://www.mendeley.com/documents/?uuid=567ba64c-6119-3894-a4cf-5344d83ee047"]}],"mendeley":{"formattedCitation":"[24–28]","plainTextFormattedCitation":"[24–28]","previouslyFormattedCitation":"[24–28]"},"properties":{"noteIndex":0},"schema":"https://github.com/citation-style-language/schema/raw/master/csl-citation.json"}</w:instrText>
      </w:r>
      <w:r w:rsidR="00CA683D">
        <w:fldChar w:fldCharType="separate"/>
      </w:r>
      <w:r w:rsidR="00BC6753" w:rsidRPr="00BC6753">
        <w:rPr>
          <w:noProof/>
        </w:rPr>
        <w:t>[24–28]</w:t>
      </w:r>
      <w:r w:rsidR="00CA683D">
        <w:fldChar w:fldCharType="end"/>
      </w:r>
      <w:r>
        <w:t xml:space="preserve">, and the recently identified compatible solute transporter OpuF, which is widespread in the genus </w:t>
      </w:r>
      <w:r>
        <w:rPr>
          <w:i/>
        </w:rPr>
        <w:t xml:space="preserve">Bacillus </w:t>
      </w:r>
      <w:r w:rsidR="00CA683D" w:rsidRPr="00650E54">
        <w:fldChar w:fldCharType="begin" w:fldLock="1"/>
      </w:r>
      <w:r w:rsidR="00A97363">
        <w:instrText>ADDIN CSL_CITATION {"citationItems":[{"id":"ITEM-1","itemData":{"DOI":"10.1128/AEM.01728-18","ISSN":"1098-5336","PMID":"30097444","abstract":"The accumulation of compatible solutes is a common defense of bacteria against the detrimental effects of high osmolarity. Uptake systems for these compounds are cornerstones in cellular osmostress responses because they allow the energy-preserving scavenging of osmostress protectants from environmental sources. Bacillus subtilis is well studied with respect to the import of compatible solutes and its five transport systems (OpuA, OpuB, OpuC, OpuD, and OpuE), for these stress protectants have previously been comprehensively studied. Building on this knowledge and taking advantage of the unabated appearance of new genome sequences of members of the genus Bacillus, we report here the discovery, physiological characterization, and phylogenomics of a new member of the Opu family of transporters, OpuF (OpuFA-OpuFB). OpuF is not present in B. subtilis but it is widely distributed in members of the large genus Bacillus OpuF is a representative of a subgroup of ATP-binding cassette (ABC) transporters in which the substrate-binding protein (SBP) is fused to the transmembrane domain (TMD). We studied the salient features of the OpuF transporters from Bacillus infantis and Bacillus panaciterrae by functional reconstitution in a B. subtilis chassis strain lacking known Opu transporters. A common property of the examined OpuF systems is their substrate profile; OpuF mediates the import of glycine betaine, proline betaine, homobetaine, and the marine osmolyte dimethylsulfoniopropionate (DMSP). An in silico model of the SBP domain of the TMD-SBP hybrid protein OpuFB was established. It revealed the presence of an aromatic cage, a structural feature commonly present in ligand-binding sites of compatible solute importers.IMPORTANCE The high-affinity import of compatible solutes from environmental sources is an important aspect of the cellular defense of many bacteria and archaea against the harmful effects of high external osmolarity. The accumulation of these osmostress protectants counteracts high-osmolarity-instigated water efflux, a drop in turgor to nonphysiological values, and an undue increase in molecular crowding of the cytoplasm; they thereby foster microbial growth under osmotically unfavorable conditions. Importers for compatible solutes allow the energy-preserving scavenging of osmoprotective and physiologically compliant organic solutes from environmental sources. We report here the discovery, exemplary physiological characterization, and phylogenomics of …","author":[{"dropping-particle":"","family":"Teichmann","given":"Laura","non-dropping-particle":"","parse-names":false,"suffix":""},{"dropping-particle":"","family":"Kümmel","given":"Henriette","non-dropping-particle":"","parse-names":false,"suffix":""},{"dropping-particle":"","family":"Warmbold","given":"Bianca","non-dropping-particle":"","parse-names":false,"suffix":""},{"dropping-particle":"","family":"Bremer","given":"Erhard","non-dropping-particle":"","parse-names":false,"suffix":""}],"container-title":"Applied and environmental microbiology","editor":[{"dropping-particle":"","family":"Kivisaar","given":"Maia","non-dropping-particle":"","parse-names":false,"suffix":""}],"id":"ITEM-1","issue":"20","issued":{"date-parts":[["2018","10","15"]]},"title":"OpuF, a New Bacillus Compatible Solute ABC Transporter with a Substrate-Binding Protein Fused to the Transmembrane Domain.","type":"article-journal","volume":"84"},"uris":["http://www.mendeley.com/documents/?uuid=7a821ffd-c2c1-36c9-bad4-54bbb7d47709"]}],"mendeley":{"formattedCitation":"[29]","plainTextFormattedCitation":"[29]","previouslyFormattedCitation":"[29]"},"properties":{"noteIndex":0},"schema":"https://github.com/citation-style-language/schema/raw/master/csl-citation.json"}</w:instrText>
      </w:r>
      <w:r w:rsidR="00CA683D" w:rsidRPr="00650E54">
        <w:fldChar w:fldCharType="separate"/>
      </w:r>
      <w:r w:rsidR="00BC6753" w:rsidRPr="00BC6753">
        <w:rPr>
          <w:noProof/>
        </w:rPr>
        <w:t>[29]</w:t>
      </w:r>
      <w:r w:rsidR="00CA683D" w:rsidRPr="00650E54">
        <w:fldChar w:fldCharType="end"/>
      </w:r>
      <w:r w:rsidR="009045DA" w:rsidRPr="00142B38">
        <w:t>*</w:t>
      </w:r>
      <w:r>
        <w:rPr>
          <w:i/>
        </w:rPr>
        <w:t>.</w:t>
      </w:r>
      <w:r>
        <w:t xml:space="preserve"> OpuF contains a TMD-SBP fusion in all observed cases, suggesting an ancestral fusion of these components; conversely, fusions of OpuA may have arisen multiple times, as a phylogenetic tree shows fused transporters clusteri</w:t>
      </w:r>
      <w:r w:rsidR="009045DA">
        <w:t>ng amongst the unfused examples</w:t>
      </w:r>
      <w:r>
        <w:t xml:space="preserve"> </w:t>
      </w:r>
      <w:r w:rsidR="00CA683D">
        <w:fldChar w:fldCharType="begin" w:fldLock="1"/>
      </w:r>
      <w:r w:rsidR="00A97363">
        <w:instrText>ADDIN CSL_CITATION {"citationItems":[{"id":"ITEM-1","itemData":{"DOI":"10.1093/embo-reports/kvf201","ISSN":"1469-221X","PMID":"12370206","abstract":"Two families of ATP-binding cassette (ABC) transporters in which one or two extracytoplasmic substrate-binding domains are fused to either the N- or C-terminus of the translocator protein have been detected. This suggests that two, or even four, substrate-binding sites may function in the ABC transporter complex. This domain organization in ABC transporters, widely represented among microorganisms, raises new possibilities for how the substrate-binding protein(s) (SBPs) might interact with the translocator. One appealing hypothesis is that multiple substrate-binding sites in proximity to the entry site of the translocation pore enhance the transport capacity. We also discuss the implications of multiple substrate-binding sites in close proximity to the translocator in terms of broadened substrate specificity and possible cooperative interactions between SBPs and the translocator.","author":[{"dropping-particle":"","family":"Heide","given":"Tiemen","non-dropping-particle":"van der","parse-names":false,"suffix":""},{"dropping-particle":"","family":"Poolman","given":"Bert","non-dropping-particle":"","parse-names":false,"suffix":""}],"container-title":"EMBO reports","id":"ITEM-1","issue":"10","issued":{"date-parts":[["2002","10","1"]]},"page":"938-43","title":"ABC transporters: one, two or four extracytoplasmic substrate-binding sites?","type":"article-journal","volume":"3"},"uris":["http://www.mendeley.com/documents/?uuid=a2587456-2fbe-3c49-ab68-888228327fd2"]}],"mendeley":{"formattedCitation":"[24]","plainTextFormattedCitation":"[24]","previouslyFormattedCitation":"[24]"},"properties":{"noteIndex":0},"schema":"https://github.com/citation-style-language/schema/raw/master/csl-citation.json"}</w:instrText>
      </w:r>
      <w:r w:rsidR="00CA683D">
        <w:fldChar w:fldCharType="separate"/>
      </w:r>
      <w:r w:rsidR="00BC6753" w:rsidRPr="00BC6753">
        <w:rPr>
          <w:noProof/>
        </w:rPr>
        <w:t>[24]</w:t>
      </w:r>
      <w:r w:rsidR="00CA683D">
        <w:fldChar w:fldCharType="end"/>
      </w:r>
      <w:r>
        <w:t xml:space="preserve">. </w:t>
      </w:r>
      <w:r w:rsidR="00492BE2">
        <w:t>Th</w:t>
      </w:r>
      <w:r>
        <w:t xml:space="preserve">e GlnPQ amino acid transporter from </w:t>
      </w:r>
      <w:r>
        <w:rPr>
          <w:i/>
        </w:rPr>
        <w:t>L. lactis</w:t>
      </w:r>
      <w:r>
        <w:t xml:space="preserve">, </w:t>
      </w:r>
      <w:r>
        <w:rPr>
          <w:i/>
        </w:rPr>
        <w:t>Enterococcus faecalis</w:t>
      </w:r>
      <w:r>
        <w:t xml:space="preserve"> and </w:t>
      </w:r>
      <w:r>
        <w:rPr>
          <w:i/>
        </w:rPr>
        <w:t xml:space="preserve">Streptococcus </w:t>
      </w:r>
      <w:r w:rsidR="009045DA">
        <w:rPr>
          <w:i/>
        </w:rPr>
        <w:t>pneumonia</w:t>
      </w:r>
      <w:r>
        <w:rPr>
          <w:i/>
        </w:rPr>
        <w:t xml:space="preserve"> </w:t>
      </w:r>
      <w:r w:rsidR="00CA683D">
        <w:fldChar w:fldCharType="begin" w:fldLock="1"/>
      </w:r>
      <w:r w:rsidR="00A97363">
        <w:instrText>ADDIN CSL_CITATION {"citationItems":[{"id":"ITEM-1","itemData":{"DOI":"10.1016/j.str.2013.07.020","ISSN":"09692126","author":[{"dropping-particle":"","family":"Fulyani","given":"Faizah","non-dropping-particle":"","parse-names":false,"suffix":""},{"dropping-particle":"","family":"Schuurman-Wolters","given":"Gea K.","non-dropping-particle":"","parse-names":false,"suffix":""},{"dropping-particle":"","family":"Žagar","given":"Andreja Vujičić","non-dropping-particle":"","parse-names":false,"suffix":""},{"dropping-particle":"","family":"Guskov","given":"Albert","non-dropping-particle":"","parse-names":false,"suffix":""},{"dropping-particle":"","family":"Slotboom","given":"Dirk-Jan","non-dropping-particle":"","parse-names":false,"suffix":""},{"dropping-particle":"","family":"Poolman","given":"Bert","non-dropping-particle":"","parse-names":false,"suffix":""}],"container-title":"Structure","id":"ITEM-1","issue":"10","issued":{"date-parts":[["2013","10"]]},"page":"1879-1888","title":"Functional Diversity of Tandem Substrate-Binding Domains in ABC Transporters from Pathogenic Bacteria","type":"article-journal","volume":"21"},"uris":["http://www.mendeley.com/documents/?uuid=555a24f2-ba7e-313c-a4fa-e679b2fefa86"]}],"mendeley":{"formattedCitation":"[30]","plainTextFormattedCitation":"[30]","previouslyFormattedCitation":"[30]"},"properties":{"noteIndex":0},"schema":"https://github.com/citation-style-language/schema/raw/master/csl-citation.json"}</w:instrText>
      </w:r>
      <w:r w:rsidR="00CA683D">
        <w:fldChar w:fldCharType="separate"/>
      </w:r>
      <w:r w:rsidR="00BC6753" w:rsidRPr="00BC6753">
        <w:rPr>
          <w:noProof/>
        </w:rPr>
        <w:t>[30]</w:t>
      </w:r>
      <w:r w:rsidR="00CA683D">
        <w:fldChar w:fldCharType="end"/>
      </w:r>
      <w:r w:rsidR="00492BE2">
        <w:t xml:space="preserve"> is unusual as it contains </w:t>
      </w:r>
      <w:r>
        <w:t>two fused SBPs per TM</w:t>
      </w:r>
      <w:r w:rsidR="00C4672F">
        <w:t>D</w:t>
      </w:r>
      <w:r>
        <w:t xml:space="preserve">. While the fusion is unnecessary for transporter activity in </w:t>
      </w:r>
      <w:r>
        <w:rPr>
          <w:i/>
        </w:rPr>
        <w:t>L. lactis</w:t>
      </w:r>
      <w:r>
        <w:t xml:space="preserve">, </w:t>
      </w:r>
      <w:r>
        <w:lastRenderedPageBreak/>
        <w:t>the linker between the SBPs and TMD domain plays an impor</w:t>
      </w:r>
      <w:r w:rsidR="009045DA">
        <w:t xml:space="preserve">tant role </w:t>
      </w:r>
      <w:r w:rsidR="00CA683D" w:rsidRPr="00650E54">
        <w:fldChar w:fldCharType="begin" w:fldLock="1"/>
      </w:r>
      <w:r w:rsidR="00A97363">
        <w:instrText>ADDIN CSL_CITATION {"citationItems":[{"id":"ITEM-1","itemData":{"DOI":"10.1016/j.jmb.2018.02.014","ISSN":"1089-8638","PMID":"29486154","abstract":"GlnPQ is an ATP-binding cassette importer with a unique domain organization and intricate transport behavior. The protein has two extracytoplamic substrate-binding domains (SBDs) per membrane subunit, each with different specificity for amino acids and different spacing to the translocator domain. We determined the effect of the length and structure of the linkers, which connect the SBDs to each other and to the membrane-embedded translocator domain, on the transport by GlnPQ. We reveal that varying the linker length impacts transport in a dual manner that depends on the conformational dynamics of the SBD. Varying the linker length not only changes the time for the SBD to find the translocator (docking) but also changes the probability to release the substrate again, thus altering the transport efficiency. On the basis of the experimental data and mathematical modeling, we calculate the docking efficiency as function of linker length and lifetime of the closed conformation. Importantly, not only linker length but also features in the sequence are important for efficient delivery of substrate from SBD to the translocator. We show that the linkers provide a platform for SBD docking and are not merely flexible structures.","author":[{"dropping-particle":"","family":"Schuurman-Wolters","given":"Gea K","non-dropping-particle":"","parse-names":false,"suffix":""},{"dropping-particle":"","family":"Boer","given":"Marijn","non-dropping-particle":"de","parse-names":false,"suffix":""},{"dropping-particle":"","family":"Pietrzyk","given":"Martyna K","non-dropping-particle":"","parse-names":false,"suffix":""},{"dropping-particle":"","family":"Poolman","given":"Bert","non-dropping-particle":"","parse-names":false,"suffix":""}],"container-title":"Journal of molecular biology","id":"ITEM-1","issue":"8","issued":{"date-parts":[["2018","4","13"]]},"page":"1249-1262","title":"Protein Linkers Provide Limits on the Domain Interactions in the ABC Importer GlnPQ and Determine the Rate of Transport.","type":"article-journal","volume":"430"},"uris":["http://www.mendeley.com/documents/?uuid=8d80bad4-7ff0-3599-a31c-58bdb7feb66b"]}],"mendeley":{"formattedCitation":"[31]","plainTextFormattedCitation":"[31]","previouslyFormattedCitation":"[31]"},"properties":{"noteIndex":0},"schema":"https://github.com/citation-style-language/schema/raw/master/csl-citation.json"}</w:instrText>
      </w:r>
      <w:r w:rsidR="00CA683D" w:rsidRPr="00650E54">
        <w:fldChar w:fldCharType="separate"/>
      </w:r>
      <w:r w:rsidR="00BC6753" w:rsidRPr="00BC6753">
        <w:rPr>
          <w:noProof/>
        </w:rPr>
        <w:t>[31]</w:t>
      </w:r>
      <w:r w:rsidR="00CA683D" w:rsidRPr="00650E54">
        <w:fldChar w:fldCharType="end"/>
      </w:r>
      <w:r w:rsidR="009045DA" w:rsidRPr="00142B38">
        <w:t>*</w:t>
      </w:r>
      <w:r>
        <w:t xml:space="preserve">. SBP fusions are rare in Gram-negative bacteria </w:t>
      </w:r>
      <w:r w:rsidR="00CA683D">
        <w:fldChar w:fldCharType="begin" w:fldLock="1"/>
      </w:r>
      <w:r w:rsidR="00A97363">
        <w:instrText>ADDIN CSL_CITATION {"citationItems":[{"id":"ITEM-1","itemData":{"DOI":"10.1093/embo-reports/kvf201","ISSN":"1469-221X","PMID":"12370206","abstract":"Two families of ATP-binding cassette (ABC) transporters in which one or two extracytoplasmic substrate-binding domains are fused to either the N- or C-terminus of the translocator protein have been detected. This suggests that two, or even four, substrate-binding sites may function in the ABC transporter complex. This domain organization in ABC transporters, widely represented among microorganisms, raises new possibilities for how the substrate-binding protein(s) (SBPs) might interact with the translocator. One appealing hypothesis is that multiple substrate-binding sites in proximity to the entry site of the translocation pore enhance the transport capacity. We also discuss the implications of multiple substrate-binding sites in close proximity to the translocator in terms of broadened substrate specificity and possible cooperative interactions between SBPs and the translocator.","author":[{"dropping-particle":"","family":"Heide","given":"Tiemen","non-dropping-particle":"van der","parse-names":false,"suffix":""},{"dropping-particle":"","family":"Poolman","given":"Bert","non-dropping-particle":"","parse-names":false,"suffix":""}],"container-title":"EMBO reports","id":"ITEM-1","issue":"10","issued":{"date-parts":[["2002","10","1"]]},"page":"938-43","title":"ABC transporters: one, two or four extracytoplasmic substrate-binding sites?","type":"article-journal","volume":"3"},"uris":["http://www.mendeley.com/documents/?uuid=a2587456-2fbe-3c49-ab68-888228327fd2"]}],"mendeley":{"formattedCitation":"[24]","plainTextFormattedCitation":"[24]","previouslyFormattedCitation":"[24]"},"properties":{"noteIndex":0},"schema":"https://github.com/citation-style-language/schema/raw/master/csl-citation.json"}</w:instrText>
      </w:r>
      <w:r w:rsidR="00CA683D">
        <w:fldChar w:fldCharType="separate"/>
      </w:r>
      <w:r w:rsidR="00BC6753" w:rsidRPr="00BC6753">
        <w:rPr>
          <w:noProof/>
        </w:rPr>
        <w:t>[24]</w:t>
      </w:r>
      <w:r w:rsidR="00CA683D">
        <w:fldChar w:fldCharType="end"/>
      </w:r>
      <w:r>
        <w:t xml:space="preserve">, </w:t>
      </w:r>
      <w:r w:rsidR="00492BE2">
        <w:t xml:space="preserve">although a study of the transporters in the </w:t>
      </w:r>
      <w:r>
        <w:t xml:space="preserve">predatory δ-proteobacterium </w:t>
      </w:r>
      <w:r>
        <w:rPr>
          <w:i/>
        </w:rPr>
        <w:t>Bdellovibrio bacteriovorus</w:t>
      </w:r>
      <w:r>
        <w:t xml:space="preserve"> identified a fusion of an SBP for a maltose ABC transporter t</w:t>
      </w:r>
      <w:r w:rsidR="009045DA">
        <w:t>o one of the TMD proteins</w:t>
      </w:r>
      <w:r>
        <w:t xml:space="preserve"> </w:t>
      </w:r>
      <w:r w:rsidR="00CA683D">
        <w:fldChar w:fldCharType="begin" w:fldLock="1"/>
      </w:r>
      <w:r w:rsidR="00A97363">
        <w:instrText>ADDIN CSL_CITATION {"citationItems":[{"id":"ITEM-1","itemData":{"DOI":"10.1016/j.ygeno.2007.06.002","ISSN":"0888-7543","PMID":"17706914","abstract":"Bdellovibrio bacteriovorus is a bacterial parasite with an unusual lifestyle. It grows and reproduces in the periplasm of a host prey bacterium. The complete genome sequence of B. bacteriovorus has recently been reported. We have reanalyzed the transport proteins encoded within the B. bacteriovorus genome according to the current content of the Transporter Classification Database. A comprehensive analysis is given on the types and numbers of transport systems that B. bacteriovorus has. In this regard, the potential protein secretory capabilities of at least four types of inner-membrane secretion systems and five types of outer-membrane secretion systems are described. Surprisingly, B. bacteriovorus has a disproportionate percentage of cytoplasmic membrane channels and outer-membrane porins. It has far more TonB/ExbBD-type systems and MotAB-type systems for energizing outer-membrane transport and motility than does Escherichia coli. Analysis of probable substrate specificities of its transporters provides clues to its metabolic preferences. Interesting examples of gene fusions and of potentially overlapping genes are also noted. Our analyses provide a comprehensive, detailed appreciation of the transport capabilities of B. bacteriovorus. They should serve as a guide for functional experimental analyses.","author":[{"dropping-particle":"","family":"Barabote","given":"Ravi D","non-dropping-particle":"","parse-names":false,"suffix":""},{"dropping-particle":"","family":"Rendulic","given":"Snjezana","non-dropping-particle":"","parse-names":false,"suffix":""},{"dropping-particle":"","family":"Schuster","given":"Stephan C","non-dropping-particle":"","parse-names":false,"suffix":""},{"dropping-particle":"","family":"Saier","given":"Milton H","non-dropping-particle":"","parse-names":false,"suffix":""}],"container-title":"Genomics","id":"ITEM-1","issue":"4","issued":{"date-parts":[["2007","10"]]},"page":"424-46","title":"Comprehensive analysis of transport proteins encoded within the genome of Bdellovibrio bacteriovorus.","type":"article-journal","volume":"90"},"uris":["http://www.mendeley.com/documents/?uuid=de3fbe37-8d0e-3aaa-a59d-cf6368375ecc"]}],"mendeley":{"formattedCitation":"[32]","plainTextFormattedCitation":"[32]","previouslyFormattedCitation":"[32]"},"properties":{"noteIndex":0},"schema":"https://github.com/citation-style-language/schema/raw/master/csl-citation.json"}</w:instrText>
      </w:r>
      <w:r w:rsidR="00CA683D">
        <w:fldChar w:fldCharType="separate"/>
      </w:r>
      <w:r w:rsidR="00BC6753" w:rsidRPr="00BC6753">
        <w:rPr>
          <w:noProof/>
        </w:rPr>
        <w:t>[32]</w:t>
      </w:r>
      <w:r w:rsidR="00CA683D">
        <w:fldChar w:fldCharType="end"/>
      </w:r>
      <w:r w:rsidR="007E13FA">
        <w:t>, whos</w:t>
      </w:r>
      <w:r w:rsidR="00DB6DAE">
        <w:t>e</w:t>
      </w:r>
      <w:r w:rsidR="007E13FA">
        <w:t xml:space="preserve"> structure has shed light on how this fusion has occurred </w:t>
      </w:r>
      <w:r w:rsidR="00CA683D">
        <w:fldChar w:fldCharType="begin" w:fldLock="1"/>
      </w:r>
      <w:r w:rsidR="00A97363">
        <w:instrText>ADDIN CSL_CITATION {"citationItems":[{"id":"ITEM-1","itemData":{"DOI":"10.1016/j.resmic.2018.08.006","ISSN":"1769-7123","PMID":"30193862","abstract":"Canonical ATP-binding cassette import systems rely on extracellular substrate binding proteins (SBP) for function. In gram-negative bacteria, SBPs are usually freely diffusible in the periplasm and, where studied, exist in excess over their cognate transporters. However, in vitro studies with the maltose transporter of Escherichia coli (MalFGK2) have demonstrated that mechanistically one copy of its SBP (MalE) per transport complex is sufficient for activity. To address whether such a condition is physiologically relevant, we have characterized a homolog of the E. coli system from the gram-negative bacterium Bdellovibrio bacteriovorus which has a single copy of a maltose binding domain fused to the MalF subunit. Both transporters share substrate specificity for maltose and linear maltodextrins. Specific ATPase and transport activities of the B. bacteriovorus transporter were comparable to those of the E. coli system assayed at a 1:1 M ratio of MalE to the transport complex. While MalEEc was able to additionally increase ATPase activity of MalFGK2Bb, the isolated MalE domain of B. bacteriovorus failed to stimulate the E. coli system. Strikingly, interactions of the MalE domain with the transmembrane subunits during the transport cycle as studied by site-specific cross-linking were found to differ from those observed for E. coli MalE-FGK2.","author":[{"dropping-particle":"","family":"Licht","given":"Anke","non-dropping-particle":"","parse-names":false,"suffix":""},{"dropping-particle":"","family":"Bommer","given":"Martin","non-dropping-particle":"","parse-names":false,"suffix":""},{"dropping-particle":"","family":"Werther","given":"Tobias","non-dropping-particle":"","parse-names":false,"suffix":""},{"dropping-particle":"","family":"Neumann","given":"Kristin","non-dropping-particle":"","parse-names":false,"suffix":""},{"dropping-particle":"","family":"Hobe","given":"Carolin","non-dropping-particle":"","parse-names":false,"suffix":""},{"dropping-particle":"","family":"Schneider","given":"Erwin","non-dropping-particle":"","parse-names":false,"suffix":""}],"container-title":"Research in microbiology","id":"ITEM-1","issue":"1","issued":{"date-parts":[["2019","1"]]},"page":"1-12","title":"Structural and functional characterization of a maltose/maltodextrin ABC transporter comprising a single solute binding domain (MalE) fused to the transmembrane subunit MalF.","type":"article-journal","volume":"170"},"uris":["http://www.mendeley.com/documents/?uuid=b1b9515d-353d-39b7-b6a4-6ce607d97065"]}],"mendeley":{"formattedCitation":"[33]","plainTextFormattedCitation":"[33]","previouslyFormattedCitation":"[33]"},"properties":{"noteIndex":0},"schema":"https://github.com/citation-style-language/schema/raw/master/csl-citation.json"}</w:instrText>
      </w:r>
      <w:r w:rsidR="00CA683D">
        <w:fldChar w:fldCharType="separate"/>
      </w:r>
      <w:r w:rsidR="00BC6753" w:rsidRPr="00BC6753">
        <w:rPr>
          <w:noProof/>
        </w:rPr>
        <w:t>[33]</w:t>
      </w:r>
      <w:r w:rsidR="00CA683D">
        <w:fldChar w:fldCharType="end"/>
      </w:r>
      <w:r>
        <w:t xml:space="preserve">. </w:t>
      </w:r>
    </w:p>
    <w:p w14:paraId="1731DB5F" w14:textId="7F40FD38" w:rsidR="00650DC8" w:rsidRDefault="00E80212">
      <w:r>
        <w:t xml:space="preserve">These represent fusions of </w:t>
      </w:r>
      <w:r w:rsidR="00FB055E">
        <w:t>SBPs</w:t>
      </w:r>
      <w:r>
        <w:t xml:space="preserve"> to their cognate integral membrane components, where the physical connection presumably provides some physiological advantage </w:t>
      </w:r>
      <w:r w:rsidR="00B84820">
        <w:t xml:space="preserve">over </w:t>
      </w:r>
      <w:r>
        <w:t xml:space="preserve">the unfused version. There are other examples of the SBP being recruited to non-cognate transporter/channel architectures to provide a possible ligand-gating mechanism. An early example of this was seen from biochemical and structural work on glutamate receptor ion channels (iGluRs) in eukaryotes that revealed glutamate-binding domains fused to the channel subunit which were involved in agonist binding and channel opening </w:t>
      </w:r>
      <w:r w:rsidR="00CA683D">
        <w:fldChar w:fldCharType="begin" w:fldLock="1"/>
      </w:r>
      <w:r w:rsidR="00A97363">
        <w:instrText>ADDIN CSL_CITATION {"citationItems":[{"id":"ITEM-1","itemData":{"DOI":"10.1038/nrn725","ISSN":"1471-003X","abstract":"New insights into the structures of glutamate receptor ion channels (iGluRs), combined with functional and biochemical data, can help us to understand how agonist binding triggers their activation and subsequent desensitization. Studies of related channels also provide valuable insights into the molecular basis of ion selectivity and transport. \n                  \n                  \n                     iGluRs are important for fast excitatory neural signalling and for synaptic plasticity. They are constructed from subunits that include an amino-terminal domain (NTD), a ligand-binding domain (S1S2), three transmembrane domains, a P-loop domain and a carboxy-terminal domain. \n                  \n                  \n                     The ligand-binding domain, S1S2, can be expressed and studied in isolation. It consists of two lobes that form a cleft, which is open at rest. When it binds agonist, the cleft closes around the ligand through a conformational change involving the formation of hydrogen bonds between the agonist and S1S2. The mechanism of closure involves an open</w:instrText>
      </w:r>
      <w:r w:rsidR="00A97363">
        <w:rPr>
          <w:rFonts w:ascii="Cambria Math" w:hAnsi="Cambria Math" w:cs="Cambria Math"/>
        </w:rPr>
        <w:instrText>⇔</w:instrText>
      </w:r>
      <w:r w:rsidR="00A97363">
        <w:instrText>closed equilibrium for the ligand-binding domain. The balance of equilibrium shifts from the open to the closed state when it interacts with agonist. \n                  \n                  \n                     The ligand-binding site seems to possess several 'subsites' that participate in ligand binding. Not all of these subsites need to be occupied for agonist binding, providing the flexibility to bind various agents. Vibrational spectroscopy shows that electronegative ligand moieties interact with electronegative groups in the binding site. \n                  \n                  \n                     It is not clear how the receptor subunits combine to form an ion channel. It is proposed that tetrameric channels form as a 'dimer of dimers', with initial dimerization being mediated by the NTDs, and the second dimerization of dimers requiring compatibility between the S2 and transmembrane domains. \n                  \n                  \n                     Current models of channel activation and desensitization involve cleft closure in each subunit, pulling the transmembrane domains of the subunit away from the pore axis, and thus opening the channel. The channel then closes by slippage between subunits. \n                  \n                  \n                    Glutamate receptors are permeable to both K+ and Na+, and in some cases to divalent cations. It seems likely that the channe…","author":[{"dropping-particle":"","family":"Madden","given":"Dean R.","non-dropping-particle":"","parse-names":false,"suffix":""}],"container-title":"Nature Reviews Neuroscience","id":"ITEM-1","issue":"2","issued":{"date-parts":[["2002","2"]]},"page":"91-101","publisher":"Nature Publishing Group","title":"The structure and function of glutamate receptor ion channels","type":"article-journal","volume":"3"},"uris":["http://www.mendeley.com/documents/?uuid=3a7673b0-baa7-3851-ba4b-c092cb35bcaa"]}],"mendeley":{"formattedCitation":"[34]","plainTextFormattedCitation":"[34]","previouslyFormattedCitation":"[34]"},"properties":{"noteIndex":0},"schema":"https://github.com/citation-style-language/schema/raw/master/csl-citation.json"}</w:instrText>
      </w:r>
      <w:r w:rsidR="00CA683D">
        <w:fldChar w:fldCharType="separate"/>
      </w:r>
      <w:r w:rsidR="00BC6753" w:rsidRPr="00BC6753">
        <w:rPr>
          <w:noProof/>
        </w:rPr>
        <w:t>[34]</w:t>
      </w:r>
      <w:r w:rsidR="00CA683D">
        <w:fldChar w:fldCharType="end"/>
      </w:r>
      <w:r>
        <w:t xml:space="preserve">; more recent work on small conductance mechanosensitive channels in bacteria have found multiple examples of SBPs fused to the channel protein </w:t>
      </w:r>
      <w:r w:rsidR="00CA683D">
        <w:fldChar w:fldCharType="begin" w:fldLock="1"/>
      </w:r>
      <w:r w:rsidR="00A97363">
        <w:instrText>ADDIN CSL_CITATION {"citationItems":[{"id":"ITEM-1","itemData":{"DOI":"10.1002/cbic.201200410","ISSN":"1439-7633","PMID":"22915507","abstract":"A family of many talents: The mechanosensitive channel of small conductance (MscS) superfamily of ion channels is composed of 15 unique subfamilies. Many of these subfamilies are predicted to be nonmechanosensitive and to have evolved to play critical roles in bacterial signal transduction.","author":[{"dropping-particle":"","family":"Malcolm","given":"Hannah R","non-dropping-particle":"","parse-names":false,"suffix":""},{"dropping-particle":"","family":"Maurer","given":"Joshua A","non-dropping-particle":"","parse-names":false,"suffix":""}],"container-title":"Chembiochem : a European journal of chemical biology","id":"ITEM-1","issue":"14","issued":{"date-parts":[["2012","9","24"]]},"page":"2037-43","title":"The mechanosensitive channel of small conductance (MscS) superfamily: not just mechanosensitive channels anymore.","type":"article-journal","volume":"13"},"uris":["http://www.mendeley.com/documents/?uuid=588bd93e-83cc-3597-b4ff-51156dcd537c"]},{"id":"ITEM-2","itemData":{"DOI":"10.1016/j.ceca.2014.12.011","ISSN":"01434160","PMID":"25591932","abstract":"Mechanosensitive channels are ubiquitous and highly studied. However, the evolution of the bacterial channels remains enigmatic. It can be argued that mechanosensitivity might be a feature of all membrane proteins with some becoming progressively less sensitive to membrane tension over the course of evolution. Bacteria and archaea exhibit two main classes of channels, MscS and MscL. Present day channels suggest that the evolution of MscL may be highly constrained, whereas MscS has undergone elaboration via gene fusion (and potentially gene fission) events to generate a diversity of channel structures. Some of these channel variants are constrained to a small number of genera or species. Some are only found in higher organisms. Only exceptionally have these diverse channels been investigated in any detail. In this review we consider both the processes that might have led to the evolved complexity but also some of the methods exploiting the explosion of genome sequences to understand (and/or track) their distribution. The role of MscS-related channels in calcium-mediated cell biology events is considered.","author":[{"dropping-particle":"","family":"Booth","given":"Ian R.","non-dropping-particle":"","parse-names":false,"suffix":""},{"dropping-particle":"","family":"Miller","given":"Samantha","non-dropping-particle":"","parse-names":false,"suffix":""},{"dropping-particle":"","family":"Müller","given":"Axel","non-dropping-particle":"","parse-names":false,"suffix":""},{"dropping-particle":"","family":"Lehtovirta-Morley","given":"Laura","non-dropping-particle":"","parse-names":false,"suffix":""}],"container-title":"Cell Calcium","id":"ITEM-2","issue":"3","issued":{"date-parts":[["2015","3"]]},"page":"140-150","title":"The evolution of bacterial mechanosensitive channels","type":"article-journal","volume":"57"},"uris":["http://www.mendeley.com/documents/?uuid=222e712f-3a0e-35f1-9ada-0db51ebf7220"]}],"mendeley":{"formattedCitation":"[35,36]","plainTextFormattedCitation":"[35,36]","previouslyFormattedCitation":"[35,36]"},"properties":{"noteIndex":0},"schema":"https://github.com/citation-style-language/schema/raw/master/csl-citation.json"}</w:instrText>
      </w:r>
      <w:r w:rsidR="00CA683D">
        <w:fldChar w:fldCharType="separate"/>
      </w:r>
      <w:r w:rsidR="00BC6753" w:rsidRPr="00BC6753">
        <w:rPr>
          <w:noProof/>
        </w:rPr>
        <w:t>[35,36]</w:t>
      </w:r>
      <w:r w:rsidR="00CA683D">
        <w:fldChar w:fldCharType="end"/>
      </w:r>
      <w:r>
        <w:t xml:space="preserve">, where again they might have a function in ligand-induced channel gating. </w:t>
      </w:r>
    </w:p>
    <w:p w14:paraId="6EB9958A" w14:textId="77777777" w:rsidR="00650DC8" w:rsidRDefault="00650DC8"/>
    <w:p w14:paraId="60AABAA7" w14:textId="6765E5D3" w:rsidR="00650DC8" w:rsidRPr="005C5643" w:rsidRDefault="005C5643">
      <w:pPr>
        <w:rPr>
          <w:shd w:val="clear" w:color="auto" w:fill="FF9900"/>
        </w:rPr>
      </w:pPr>
      <w:r w:rsidRPr="005C5643">
        <w:rPr>
          <w:noProof/>
          <w:shd w:val="clear" w:color="auto" w:fill="FF9900"/>
        </w:rPr>
        <w:drawing>
          <wp:inline distT="0" distB="0" distL="0" distR="0" wp14:anchorId="0ECCF22C" wp14:editId="0456A93C">
            <wp:extent cx="5948681" cy="3821502"/>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 v1.tif"/>
                    <pic:cNvPicPr/>
                  </pic:nvPicPr>
                  <pic:blipFill rotWithShape="1">
                    <a:blip r:embed="rId7" cstate="print">
                      <a:extLst>
                        <a:ext uri="{28A0092B-C50C-407E-A947-70E740481C1C}">
                          <a14:useLocalDpi xmlns:a14="http://schemas.microsoft.com/office/drawing/2010/main" val="0"/>
                        </a:ext>
                      </a:extLst>
                    </a:blip>
                    <a:srcRect l="3937" t="19753" r="1876" b="19524"/>
                    <a:stretch/>
                  </pic:blipFill>
                  <pic:spPr bwMode="auto">
                    <a:xfrm>
                      <a:off x="0" y="0"/>
                      <a:ext cx="5961790" cy="3829923"/>
                    </a:xfrm>
                    <a:prstGeom prst="rect">
                      <a:avLst/>
                    </a:prstGeom>
                    <a:ln>
                      <a:noFill/>
                    </a:ln>
                    <a:extLst>
                      <a:ext uri="{53640926-AAD7-44D8-BBD7-CCE9431645EC}">
                        <a14:shadowObscured xmlns:a14="http://schemas.microsoft.com/office/drawing/2010/main"/>
                      </a:ext>
                    </a:extLst>
                  </pic:spPr>
                </pic:pic>
              </a:graphicData>
            </a:graphic>
          </wp:inline>
        </w:drawing>
      </w:r>
    </w:p>
    <w:p w14:paraId="10C78BB0" w14:textId="0082759B" w:rsidR="00492BE2" w:rsidRDefault="00E80212">
      <w:pPr>
        <w:pStyle w:val="Heading1"/>
        <w:rPr>
          <w:i/>
          <w:sz w:val="20"/>
          <w:szCs w:val="20"/>
        </w:rPr>
      </w:pPr>
      <w:r w:rsidRPr="005C5643">
        <w:rPr>
          <w:i/>
          <w:sz w:val="20"/>
          <w:szCs w:val="20"/>
        </w:rPr>
        <w:lastRenderedPageBreak/>
        <w:t xml:space="preserve">Figure 1: </w:t>
      </w:r>
      <w:r w:rsidRPr="005C5643">
        <w:rPr>
          <w:b w:val="0"/>
          <w:i/>
          <w:sz w:val="20"/>
          <w:szCs w:val="20"/>
        </w:rPr>
        <w:t xml:space="preserve">Diversity of fused transporter architectures. A: fusions of the ABC transporter superfamily. </w:t>
      </w:r>
      <w:r w:rsidR="008225FA">
        <w:rPr>
          <w:b w:val="0"/>
          <w:i/>
          <w:sz w:val="20"/>
          <w:szCs w:val="20"/>
        </w:rPr>
        <w:t>Represented fusions:</w:t>
      </w:r>
      <w:r w:rsidR="00710C75">
        <w:rPr>
          <w:b w:val="0"/>
          <w:i/>
          <w:sz w:val="20"/>
          <w:szCs w:val="20"/>
        </w:rPr>
        <w:t xml:space="preserve"> fusions of the OTCN and PAO families to substrate-binding proteins (SBPs);</w:t>
      </w:r>
      <w:r w:rsidR="008225FA">
        <w:rPr>
          <w:b w:val="0"/>
          <w:i/>
          <w:sz w:val="20"/>
          <w:szCs w:val="20"/>
        </w:rPr>
        <w:t xml:space="preserve"> fusion of NukT to a peptidase domain, which is involved in</w:t>
      </w:r>
      <w:r w:rsidR="00710C75">
        <w:rPr>
          <w:b w:val="0"/>
          <w:i/>
          <w:sz w:val="20"/>
          <w:szCs w:val="20"/>
        </w:rPr>
        <w:t xml:space="preserve"> cleavage and maturation of the </w:t>
      </w:r>
      <w:r w:rsidR="00637186">
        <w:rPr>
          <w:b w:val="0"/>
          <w:i/>
          <w:sz w:val="20"/>
          <w:szCs w:val="20"/>
        </w:rPr>
        <w:t>lantibiotic substrate of the transporter</w:t>
      </w:r>
      <w:r w:rsidR="00710C75">
        <w:rPr>
          <w:b w:val="0"/>
          <w:i/>
          <w:sz w:val="20"/>
          <w:szCs w:val="20"/>
        </w:rPr>
        <w:t>; fusion of MetN to a domain with a ferredoxin-like fold, which modifies transporter activity by binding methionine; fusion of Rv1747 to two Forkhea</w:t>
      </w:r>
      <w:r w:rsidR="00850260">
        <w:rPr>
          <w:b w:val="0"/>
          <w:i/>
          <w:sz w:val="20"/>
          <w:szCs w:val="20"/>
        </w:rPr>
        <w:t>d-associated domains, which bind</w:t>
      </w:r>
      <w:r w:rsidR="00710C75">
        <w:rPr>
          <w:b w:val="0"/>
          <w:i/>
          <w:sz w:val="20"/>
          <w:szCs w:val="20"/>
        </w:rPr>
        <w:t xml:space="preserve"> phosphorylated peptides and may mediate transporter </w:t>
      </w:r>
      <w:r w:rsidR="00850260">
        <w:rPr>
          <w:b w:val="0"/>
          <w:i/>
          <w:sz w:val="20"/>
          <w:szCs w:val="20"/>
        </w:rPr>
        <w:t>activity in response to phosphorylation</w:t>
      </w:r>
      <w:r w:rsidR="00710C75">
        <w:rPr>
          <w:b w:val="0"/>
          <w:i/>
          <w:sz w:val="20"/>
          <w:szCs w:val="20"/>
        </w:rPr>
        <w:t>; and fusion of TagH to a C-terminal extension, which is associated with tolerance to high temperatures.</w:t>
      </w:r>
      <w:r w:rsidR="008225FA">
        <w:rPr>
          <w:b w:val="0"/>
          <w:i/>
          <w:sz w:val="20"/>
          <w:szCs w:val="20"/>
        </w:rPr>
        <w:t xml:space="preserve"> </w:t>
      </w:r>
      <w:r w:rsidRPr="005C5643">
        <w:rPr>
          <w:b w:val="0"/>
          <w:i/>
          <w:sz w:val="20"/>
          <w:szCs w:val="20"/>
        </w:rPr>
        <w:t xml:space="preserve">B: fusions of the MFS transporter superfamily. </w:t>
      </w:r>
      <w:r w:rsidR="008225FA">
        <w:rPr>
          <w:b w:val="0"/>
          <w:i/>
          <w:sz w:val="20"/>
          <w:szCs w:val="20"/>
        </w:rPr>
        <w:t>Represented fusions: fusion of ProP to an osmosensory coiled coil (Osmo_CC) domain, which is involved in osmoregulation; fusion of LplT to PlsC, ACS and ACS C</w:t>
      </w:r>
      <w:r w:rsidR="000E2F58">
        <w:rPr>
          <w:b w:val="0"/>
          <w:i/>
          <w:sz w:val="20"/>
          <w:szCs w:val="20"/>
        </w:rPr>
        <w:t>-</w:t>
      </w:r>
      <w:r w:rsidR="008225FA">
        <w:rPr>
          <w:b w:val="0"/>
          <w:i/>
          <w:sz w:val="20"/>
          <w:szCs w:val="20"/>
        </w:rPr>
        <w:t xml:space="preserve">terminal (ACS_Cterm) domains, which are involved in lysophospholipid repair; fusion of MamZ to a YedZ domain, which may be involved in ferric iron reduction; and fusion of PepT1/PepT2 to immunoglobulin-like domains, which may recruit trypsin to the transporter. </w:t>
      </w:r>
      <w:r w:rsidRPr="005C5643">
        <w:rPr>
          <w:b w:val="0"/>
          <w:i/>
          <w:sz w:val="20"/>
          <w:szCs w:val="20"/>
        </w:rPr>
        <w:t>C: fusion of the aquaglyceroporin family to arsenate reductase</w:t>
      </w:r>
      <w:r w:rsidR="00710C75">
        <w:rPr>
          <w:b w:val="0"/>
          <w:i/>
          <w:sz w:val="20"/>
          <w:szCs w:val="20"/>
        </w:rPr>
        <w:t>, which reduces arsenate to arsenite, the substrate of the transporter</w:t>
      </w:r>
      <w:r w:rsidRPr="005C5643">
        <w:rPr>
          <w:b w:val="0"/>
          <w:i/>
          <w:sz w:val="20"/>
          <w:szCs w:val="20"/>
        </w:rPr>
        <w:t>. D: fusion</w:t>
      </w:r>
      <w:r w:rsidR="00C71B0C" w:rsidRPr="005C5643">
        <w:rPr>
          <w:b w:val="0"/>
          <w:i/>
          <w:sz w:val="20"/>
          <w:szCs w:val="20"/>
        </w:rPr>
        <w:t>s of the PTS channel subunit EIIC</w:t>
      </w:r>
      <w:r w:rsidR="00710C75">
        <w:rPr>
          <w:b w:val="0"/>
          <w:i/>
          <w:sz w:val="20"/>
          <w:szCs w:val="20"/>
        </w:rPr>
        <w:t xml:space="preserve"> to EIIA and EIIB</w:t>
      </w:r>
      <w:r w:rsidR="00C71B0C" w:rsidRPr="005C5643">
        <w:rPr>
          <w:b w:val="0"/>
          <w:i/>
          <w:sz w:val="20"/>
          <w:szCs w:val="20"/>
        </w:rPr>
        <w:t xml:space="preserve">. </w:t>
      </w:r>
      <w:r w:rsidRPr="005C5643">
        <w:rPr>
          <w:b w:val="0"/>
          <w:i/>
          <w:sz w:val="20"/>
          <w:szCs w:val="20"/>
        </w:rPr>
        <w:t>Blue highlights represent additional fused sequences; pale grey represents separate proteins which form a complex with the transporter; dashed lines represent domains which are found in some, but not all, examples of the transporter.</w:t>
      </w:r>
      <w:r w:rsidR="00FB055E">
        <w:rPr>
          <w:i/>
          <w:sz w:val="20"/>
          <w:szCs w:val="20"/>
        </w:rPr>
        <w:t xml:space="preserve"> </w:t>
      </w:r>
    </w:p>
    <w:p w14:paraId="48D74C45" w14:textId="6BF84361" w:rsidR="00650DC8" w:rsidRDefault="00E80212">
      <w:pPr>
        <w:pStyle w:val="Heading1"/>
        <w:rPr>
          <w:sz w:val="28"/>
          <w:szCs w:val="28"/>
        </w:rPr>
      </w:pPr>
      <w:bookmarkStart w:id="4" w:name="_3yvcbtz70e0" w:colFirst="0" w:colLast="0"/>
      <w:bookmarkStart w:id="5" w:name="_m9yt9xbzdcnl" w:colFirst="0" w:colLast="0"/>
      <w:bookmarkStart w:id="6" w:name="_wvj0msroqgrx" w:colFirst="0" w:colLast="0"/>
      <w:bookmarkEnd w:id="4"/>
      <w:bookmarkEnd w:id="5"/>
      <w:bookmarkEnd w:id="6"/>
      <w:r>
        <w:rPr>
          <w:sz w:val="28"/>
          <w:szCs w:val="28"/>
        </w:rPr>
        <w:t xml:space="preserve">Fusions of transporters and channels to ‘regulatory’ domains </w:t>
      </w:r>
    </w:p>
    <w:p w14:paraId="0695C4D1" w14:textId="09487E19" w:rsidR="00650DC8" w:rsidRDefault="0001050F">
      <w:r>
        <w:t>T</w:t>
      </w:r>
      <w:r w:rsidR="00E80212">
        <w:t xml:space="preserve">ransporters can </w:t>
      </w:r>
      <w:r>
        <w:t xml:space="preserve">also </w:t>
      </w:r>
      <w:r w:rsidR="00E80212">
        <w:t>be fused to other ‘accessory’ domains</w:t>
      </w:r>
      <w:r>
        <w:t>,</w:t>
      </w:r>
      <w:r w:rsidR="00E80212">
        <w:t xml:space="preserve"> introduc</w:t>
      </w:r>
      <w:r>
        <w:t>ing</w:t>
      </w:r>
      <w:r w:rsidR="00E80212">
        <w:t xml:space="preserve"> novel functions to the transporter, either through the introduction of regulatory domains, allowing post-translational regulation of transporter activity, or of catalytic domains, combining enzymatic conversion of the transporter substrate to the process of transport. </w:t>
      </w:r>
      <w:r w:rsidR="00344424">
        <w:t>T</w:t>
      </w:r>
      <w:r w:rsidR="00E80212">
        <w:t>he addition of regulatory domains to ABC transporters has be</w:t>
      </w:r>
      <w:r w:rsidR="009045DA">
        <w:t>en studied in a number of cases</w:t>
      </w:r>
      <w:r w:rsidR="00E80212">
        <w:t xml:space="preserve"> </w:t>
      </w:r>
      <w:r w:rsidR="000D5827">
        <w:fldChar w:fldCharType="begin" w:fldLock="1"/>
      </w:r>
      <w:r w:rsidR="00A97363">
        <w:instrText>ADDIN CSL_CITATION {"citationItems":[{"id":"ITEM-1","itemData":{"DOI":"10.1016/j.febslet.2005.11.079","ISSN":"00145793","PMID":"16375896","abstract":"We present an overview of the architecture of ATP-binding cassette (ABC) transporters and dissect the systems in core and accessory domains. The ABC transporter core is formed by the transmembrane domains (TMDs) and the nucleotide binding domains (NBDs) that constitute the actual translocator. The accessory domains include the substrate-binding proteins, that function as high affinity receptors in ABC type uptake systems, and regulatory or catalytic domains that can be fused to either the TMDs or NBDs. The regulatory domains add unique functions to the transporters allowing the systems to act as channel conductance regulators, osmosensors/regulators, and assemble into macromolecular complexes with specific properties.","author":[{"dropping-particle":"","family":"Biemans-Oldehinkel","given":"Esther","non-dropping-particle":"","parse-names":false,"suffix":""},{"dropping-particle":"","family":"Doeven","given":"Mark K.","non-dropping-particle":"","parse-names":false,"suffix":""},{"dropping-particle":"","family":"Poolman","given":"Bert","non-dropping-particle":"","parse-names":false,"suffix":""}],"container-title":"FEBS Letters","id":"ITEM-1","issue":"4","issued":{"date-parts":[["2006","2","13"]]},"page":"1023-1035","title":"ABC transporter architecture and regulatory roles of accessory domains","type":"article-journal","volume":"580"},"uris":["http://www.mendeley.com/documents/?uuid=f99e1e9a-a7d5-30f1-a7e1-61387d8027c8"]}],"mendeley":{"formattedCitation":"[37]","plainTextFormattedCitation":"[37]","previouslyFormattedCitation":"[37]"},"properties":{"noteIndex":0},"schema":"https://github.com/citation-style-language/schema/raw/master/csl-citation.json"}</w:instrText>
      </w:r>
      <w:r w:rsidR="000D5827">
        <w:fldChar w:fldCharType="separate"/>
      </w:r>
      <w:r w:rsidR="00BC6753" w:rsidRPr="00BC6753">
        <w:rPr>
          <w:noProof/>
        </w:rPr>
        <w:t>[37]</w:t>
      </w:r>
      <w:r w:rsidR="000D5827">
        <w:fldChar w:fldCharType="end"/>
      </w:r>
      <w:r w:rsidR="00E80212">
        <w:t xml:space="preserve">, Barabote et al. identified a range of fusions to different transporter families </w:t>
      </w:r>
      <w:r w:rsidR="000D5827">
        <w:fldChar w:fldCharType="begin" w:fldLock="1"/>
      </w:r>
      <w:r w:rsidR="00A97363">
        <w:instrText>ADDIN CSL_CITATION {"citationItems":[{"id":"ITEM-1","itemData":{"DOI":"10.1016/J.BBAMEM.2006.06.018","ISSN":"0005-2736","abstract":"“Extra” domains in members of the families of secondary transport carrier and channel proteins provide secondary functions that expand, amplify or restrict the functional nature of these proteins. Domains in secondary carriers include TrkA and SPX domains in DASS family members, DedA domains in TRAP-T family members (both of the IT superfamily), Kazal-2 and PDZ domains in OAT family members (of the MF superfamily), USP, IIAFru and TrkA domains in ABT family members (of the APC superfamily), ricin domains in OST family members, and TrkA domains in AAE family members. Some transporters contain highly hydrophilic domains consisting of multiple repeat units that can also be found in proteins of dissimilar function. Similarly, transmembrane α-helical channel-forming proteins contain unique, conserved, hydrophilic domains, most of which are not found in carriers. In some cases the functions of these domains are known. They may be ligand binding domains, phosphorylation domains, signal transduction domains, protein/protein interaction domains or complex carbohydrate-binding domains. These domains mediate regulation, subunit interactions, or subcellular targeting. Phylogenetic analyses show that while some of these domains are restricted to closely related proteins derived from specific organismal types, others are nearly ubiquitous within a particular family of transporters and occur in a tremendous diversity of organisms. The former probably became associated with the transporters late in the evolutionary process; the latter probably became associated with the carriers much earlier. These domains can be located at either end of the transporter or in a central region, depending on the domain and transporter family. These studies provide useful information about the evolution of extra domains in channels and secondary carriers and provide novel clues concerning function.","author":[{"dropping-particle":"","family":"Barabote","given":"Ravi D.","non-dropping-particle":"","parse-names":false,"suffix":""},{"dropping-particle":"","family":"Tamang","given":"Dorjee G.","non-dropping-particle":"","parse-names":false,"suffix":""},{"dropping-particle":"","family":"Abeywardena","given":"Shannon N.","non-dropping-particle":"","parse-names":false,"suffix":""},{"dropping-particle":"","family":"Fallah","given":"Neda S.","non-dropping-particle":"","parse-names":false,"suffix":""},{"dropping-particle":"","family":"Fu","given":"Jeffrey Yu Chung","non-dropping-particle":"","parse-names":false,"suffix":""},{"dropping-particle":"","family":"Lio","given":"Jeffrey K.","non-dropping-particle":"","parse-names":false,"suffix":""},{"dropping-particle":"","family":"Mirhosseini","given":"Pegah","non-dropping-particle":"","parse-names":false,"suffix":""},{"dropping-particle":"","family":"Pezeshk","given":"Ronnie","non-dropping-particle":"","parse-names":false,"suffix":""},{"dropping-particle":"","family":"Podell","given":"Sheila","non-dropping-particle":"","parse-names":false,"suffix":""},{"dropping-particle":"","family":"Salampessy","given":"Marnae L.","non-dropping-particle":"","parse-names":false,"suffix":""},{"dropping-particle":"","family":"Thever","given":"Mark D.","non-dropping-particle":"","parse-names":false,"suffix":""},{"dropping-particle":"","family":"Saier","given":"Milton H.","non-dropping-particle":"","parse-names":false,"suffix":""}],"container-title":"Biochimica et Biophysica Acta (BBA) - Biomembranes","id":"ITEM-1","issue":"10","issued":{"date-parts":[["2006","10","1"]]},"page":"1557-1579","publisher":"Elsevier","title":"Extra domains in secondary transport carriers and channel proteins","type":"article-journal","volume":"1758"},"uris":["http://www.mendeley.com/documents/?uuid=1700b144-7968-3e69-a7fe-85fe967ae60b"]}],"mendeley":{"formattedCitation":"[38]","plainTextFormattedCitation":"[38]","previouslyFormattedCitation":"[38]"},"properties":{"noteIndex":0},"schema":"https://github.com/citation-style-language/schema/raw/master/csl-citation.json"}</w:instrText>
      </w:r>
      <w:r w:rsidR="000D5827">
        <w:fldChar w:fldCharType="separate"/>
      </w:r>
      <w:r w:rsidR="00BC6753" w:rsidRPr="00BC6753">
        <w:rPr>
          <w:noProof/>
        </w:rPr>
        <w:t>[38]</w:t>
      </w:r>
      <w:r w:rsidR="000D5827">
        <w:fldChar w:fldCharType="end"/>
      </w:r>
      <w:r w:rsidR="00E80212">
        <w:t xml:space="preserve">, and in our recent review, we discuss a number of fusions to the MFS transporters </w:t>
      </w:r>
      <w:r w:rsidR="000D5827">
        <w:fldChar w:fldCharType="begin" w:fldLock="1"/>
      </w:r>
      <w:r w:rsidR="00A97363">
        <w:instrText>ADDIN CSL_CITATION {"citationItems":[{"id":"ITEM-1","itemData":{"DOI":"10.1099/mic.0.000771","ISSN":"1350-0872","abstract":"The evolution of gene fusions that result in covalently linked protein domains is widespread in bacteria, where spatially coupling domain functionalities can have functional advantages in vivo. Fusions to integral membrane proteins are less widely studied but could provide routes to enhance membrane function in synthetic biology. We studied the major facilitator superfamily (MFS), as the largest family of transporter proteins in bacteria, to examine the extent and nature of fusions to these proteins. A remarkably diverse variety of fusions are identified and the 8 most abundant examples are described, including additional enzymatic domains and a range of sensory and regulatory domains, many not previously described. Significantly, these fusions are found almost exclusively as C-terminal fusions, revealing that the usually cytoplasmic C-terminal end of MFS protein would the permissive end for engineering synthetic fusions to other cytoplasmic proteins.","author":[{"dropping-particle":"","family":"Willson","given":"Benjamin J.","non-dropping-particle":"","parse-names":false,"suffix":""},{"dropping-particle":"","family":"Dalzell","given":"Lindsey","non-dropping-particle":"","parse-names":false,"suffix":""},{"dropping-particle":"","family":"Chapman","given":"Liam N. M.","non-dropping-particle":"","parse-names":false,"suffix":""},{"dropping-particle":"","family":"Thomas","given":"Gavin H.","non-dropping-particle":"","parse-names":false,"suffix":""}],"container-title":"Microbiology","id":"ITEM-1","issued":{"date-parts":[["2019","1","18"]]},"publisher":"Microbiology Society","title":"Enhanced functionalisation of major facilitator superfamily transporters via fusion of C-terminal protein domains is both extensive and varied in bacteria","type":"article-journal"},"uris":["http://www.mendeley.com/documents/?uuid=0ec74869-c370-3bfc-833f-d6b150ec141b"]}],"mendeley":{"formattedCitation":"[18]","plainTextFormattedCitation":"[18]","previouslyFormattedCitation":"[18]"},"properties":{"noteIndex":0},"schema":"https://github.com/citation-style-language/schema/raw/master/csl-citation.json"}</w:instrText>
      </w:r>
      <w:r w:rsidR="000D5827">
        <w:fldChar w:fldCharType="separate"/>
      </w:r>
      <w:r w:rsidR="00BC6753" w:rsidRPr="00BC6753">
        <w:rPr>
          <w:noProof/>
        </w:rPr>
        <w:t>[18]</w:t>
      </w:r>
      <w:r w:rsidR="000D5827">
        <w:fldChar w:fldCharType="end"/>
      </w:r>
      <w:r w:rsidR="00E80212">
        <w:t xml:space="preserve">. However, while the increasing number of sequenced bacterial genomes reveals increasing new examples of these fusions, </w:t>
      </w:r>
      <w:r w:rsidR="00492BE2">
        <w:t xml:space="preserve">still only </w:t>
      </w:r>
      <w:r w:rsidR="00E80212">
        <w:t>few have been studied experimentally</w:t>
      </w:r>
      <w:r w:rsidR="00492BE2">
        <w:t xml:space="preserve">. Examples of fusions mentioned in the text are shown schematically in </w:t>
      </w:r>
      <w:r w:rsidR="00492BE2">
        <w:rPr>
          <w:b/>
          <w:i/>
        </w:rPr>
        <w:t>Fig</w:t>
      </w:r>
      <w:r w:rsidR="000E2F58">
        <w:rPr>
          <w:b/>
          <w:i/>
        </w:rPr>
        <w:t>.</w:t>
      </w:r>
      <w:r w:rsidR="00492BE2">
        <w:rPr>
          <w:b/>
          <w:i/>
        </w:rPr>
        <w:t xml:space="preserve"> 1</w:t>
      </w:r>
      <w:r w:rsidR="00E80212">
        <w:t xml:space="preserve">. </w:t>
      </w:r>
    </w:p>
    <w:p w14:paraId="3AAC3FEC" w14:textId="540A4701" w:rsidR="00650DC8" w:rsidRDefault="00E80212">
      <w:pPr>
        <w:spacing w:line="276" w:lineRule="auto"/>
      </w:pPr>
      <w:r>
        <w:t xml:space="preserve">One mechanism of regulation is the introduction of small molecule binding domains, allowing modulation of transporter activity by intracellular metabolites. This has been observed in the </w:t>
      </w:r>
      <w:r>
        <w:rPr>
          <w:i/>
        </w:rPr>
        <w:t xml:space="preserve">Escherichia coli </w:t>
      </w:r>
      <w:r>
        <w:t>ABC tran</w:t>
      </w:r>
      <w:r w:rsidR="009045DA">
        <w:t>sporter for L-methionine, MetNI</w:t>
      </w:r>
      <w:r>
        <w:t xml:space="preserve"> </w:t>
      </w:r>
      <w:r w:rsidR="000D5827">
        <w:fldChar w:fldCharType="begin" w:fldLock="1"/>
      </w:r>
      <w:r w:rsidR="00A97363">
        <w:instrText>ADDIN CSL_CITATION {"citationItems":[{"id":"ITEM-1","itemData":{"ISSN":"0021-9193","PMID":"1091617","abstract":"Methionine transport activity in cells of Escherichia coli K-12 is regulated by the level of the internal methionine pool. Transport activity is depressed either in cells grown in the presence of methionine or in cells exposed to methionine immediately prior to harvest. Alpha-Keto-gamma-methiol-butyrate, D-methionine, or methionine sulfoxide have little effect on the initial rate of uptake of L-methionine when they are added simultaneously with the substrate. However, methionine transport is markedly reduced in cells exposed to these sources of L-methionine before the addition of substrate. This reduction is prevented if the cells are treated with amino oxyacetic acid. The initial rate of uptake into L-methionine-loaded cells was lower than that into unloaded cells. This inhibition affected both methionine transport systems and the inhibition by the internal pool appeared to be non-competitive with the external methionine concentration. Two classes of mutants with increased methionine pools have decreased rates of uptake. Conversely, starvation for methionine in a methionine auxotroph with high rates of methionine degradation resulted in a substantial increase in the rate of methionine transport. Thus, these transport systems are subject to regulation by the internal pool size and possibly by repression.","author":[{"dropping-particle":"","family":"Kadner","given":"R J","non-dropping-particle":"","parse-names":false,"suffix":""}],"container-title":"Journal of bacteriology","id":"ITEM-1","issue":"1","issued":{"date-parts":[["1975","4"]]},"page":"110-9","publisher":"American Society for Microbiology (ASM)","title":"Regulation of methionine transport activity in Escherichia coli.","type":"article-journal","volume":"122"},"uris":["http://www.mendeley.com/documents/?uuid=7b89c84f-f185-3110-a5fd-bc2a8b6ad6e1"]},{"id":"ITEM-2","itemData":{"DOI":"10.1126/science.1157987","ISSN":"1095-9203","PMID":"18621668","abstract":"The crystal structure of the high-affinity Escherichia coli MetNI methionine uptake transporter, a member of the adenosine triphosphate (ATP)-binding cassette (ABC) family, has been solved to 3.7 angstrom resolution. The overall architecture of MetNI reveals two copies of the adenosine triphosphatase (ATPase) MetN in complex with two copies of the transmembrane domain MetI, with the transporter adopting an inward-facing conformation exhibiting widely separated nucleotide binding domains. Each MetI subunit is organized around a core of five transmembrane helices that correspond to a subset of the helices observed in the larger membrane-spanning subunits of the molybdate (ModBC) and maltose (MalFGK) ABC transporters. In addition to the conserved nucleotide binding domain of the ABC family, MetN contains a carboxyl-terminal extension with a ferredoxin-like fold previously assigned to a conserved family of regulatory ligand-binding domains. These domains separate the nucleotide binding domains and would interfere with their association required for ATP binding and hydrolysis. Methionine binds to the dimerized carboxyl-terminal domain and is shown to inhibit ATPase activity. These observations are consistent with an allosteric regulatory mechanism operating at the level of transport activity, where increased intracellular levels of the transported ligand stabilize an inward-facing, ATPase-inactive state of MetNI to inhibit further ligand translocation into the cell.","author":[{"dropping-particle":"","family":"Kadaba","given":"Neena S","non-dropping-particle":"","parse-names":false,"suffix":""},{"dropping-particle":"","family":"Kaiser","given":"Jens T","non-dropping-particle":"","parse-names":false,"suffix":""},{"dropping-particle":"","family":"Johnson","given":"Eric","non-dropping-particle":"","parse-names":false,"suffix":""},{"dropping-particle":"","family":"Lee","given":"Allen","non-dropping-particle":"","parse-names":false,"suffix":""},{"dropping-particle":"","family":"Rees","given":"Douglas C","non-dropping-particle":"","parse-names":false,"suffix":""}],"container-title":"Science (New York, N.Y.)","id":"ITEM-2","issue":"5886","issued":{"date-parts":[["2008","7","11"]]},"page":"250-3","publisher":"Howard Hughes Medical Institute","title":"The high-affinity E. coli methionine ABC transporter: structure and allosteric regulation.","type":"article-journal","volume":"321"},"uris":["http://www.mendeley.com/documents/?uuid=148644e1-7d56-3861-ad5c-105fcff88ed7"]},{"id":"ITEM-3","itemData":{"DOI":"10.1074/jbc.M114.603365","ISSN":"1083-351X","PMID":"25678706","abstract":"The MetNI methionine importer of Escherichia coli, an ATP binding cassette (ABC) transporter, uses the energy of ATP binding and hydrolysis to catalyze the high affinity uptake of D- and L-methionine. Early in vivo studies showed that the uptake of external methionine is repressed by the level of the internal methionine pool, a phenomenon termed transinhibition. Our understanding of the MetNI mechanism has thus far been limited to a series of crystal structures in an inward-facing conformation. To understand the molecular mechanism of transinhibition, we studied the kinetics of ATP hydrolysis using detergent-solubilized MetNI. We find that transinhibition is due to noncompetitive inhibition by L-methionine, much like a negative feedback loop. Thermodynamic analyses revealed two allosteric methionine binding sites per transporter. This quantitative analysis of transinhibition, the first to our knowledge for a structurally defined transporter, builds upon the previously proposed structurally based model for regulation. This mechanism of regulation at the transporter activity level could be applicable to not only ABC transporters but other types of membrane transporters as well.","author":[{"dropping-particle":"","family":"Yang","given":"Janet G","non-dropping-particle":"","parse-names":false,"suffix":""},{"dropping-particle":"","family":"Rees","given":"Douglas C","non-dropping-particle":"","parse-names":false,"suffix":""}],"container-title":"The Journal of biological chemistry","id":"ITEM-3","issue":"14","issued":{"date-parts":[["2015","4","3"]]},"page":"9135-40","publisher":"American Society for Biochemistry and Molecular Biology","title":"The allosteric regulatory mechanism of the Escherichia coli MetNI methionine ATP binding cassette (ABC) transporter.","type":"article-journal","volume":"290"},"uris":["http://www.mendeley.com/documents/?uuid=59b8adbc-1795-30f7-a5e8-a23da3533fef"]}],"mendeley":{"formattedCitation":"[39–41]","plainTextFormattedCitation":"[39–41]","previouslyFormattedCitation":"[39–41]"},"properties":{"noteIndex":0},"schema":"https://github.com/citation-style-language/schema/raw/master/csl-citation.json"}</w:instrText>
      </w:r>
      <w:r w:rsidR="000D5827">
        <w:fldChar w:fldCharType="separate"/>
      </w:r>
      <w:r w:rsidR="00BC6753" w:rsidRPr="00BC6753">
        <w:rPr>
          <w:noProof/>
        </w:rPr>
        <w:t>[39–41]</w:t>
      </w:r>
      <w:r w:rsidR="000D5827">
        <w:fldChar w:fldCharType="end"/>
      </w:r>
      <w:r>
        <w:t xml:space="preserve">, and the </w:t>
      </w:r>
      <w:r>
        <w:rPr>
          <w:i/>
          <w:highlight w:val="white"/>
        </w:rPr>
        <w:t xml:space="preserve">Methanosarcina acetivorans </w:t>
      </w:r>
      <w:r>
        <w:t xml:space="preserve">molybdate/tungstate importer </w:t>
      </w:r>
      <w:r w:rsidR="009045DA">
        <w:rPr>
          <w:highlight w:val="white"/>
        </w:rPr>
        <w:t>ModBC</w:t>
      </w:r>
      <w:r>
        <w:rPr>
          <w:highlight w:val="white"/>
        </w:rPr>
        <w:t xml:space="preserve"> </w:t>
      </w:r>
      <w:r w:rsidR="000D5827">
        <w:rPr>
          <w:highlight w:val="white"/>
        </w:rPr>
        <w:fldChar w:fldCharType="begin" w:fldLock="1"/>
      </w:r>
      <w:r w:rsidR="00A97363">
        <w:rPr>
          <w:highlight w:val="white"/>
        </w:rPr>
        <w:instrText>ADDIN CSL_CITATION {"citationItems":[{"id":"ITEM-1","itemData":{"DOI":"10.1126/science.1156213","ISSN":"0036-8075","PMID":"18511655","abstract":"Transport across cellular membranes is an essential process that is catalyzed by diverse membrane transport proteins. The turnover rates of certain transporters are inhibited by their substrates in a process termed trans-inhibition, whose structural basis is poorly understood. We present the crystal structure of a molybdate/tungstate ABC transporter (ModBC) from Methanosarcina acetivorans in a trans-inhibited state. The regulatory domains of the nucleotide-binding subunits are in close contact and provide two oxyanion binding pockets at the shared interface. By specifically binding to these pockets, molybdate or tungstate prevent adenosine triphosphatase activity and lock the transporter in an inward-facing conformation, with the catalytic motifs of the nucleotide-binding domains separated. This allosteric effect prevents the transporter from switching between the inward-facing and the outward-facing states, thus interfering with the alternating access and release mechanism.","author":[{"dropping-particle":"","family":"Gerber","given":"S.","non-dropping-particle":"","parse-names":false,"suffix":""},{"dropping-particle":"","family":"Comellas-Bigler","given":"M.","non-dropping-particle":"","parse-names":false,"suffix":""},{"dropping-particle":"","family":"Goetz","given":"B. A.","non-dropping-particle":"","parse-names":false,"suffix":""},{"dropping-particle":"","family":"Locher","given":"K. P.","non-dropping-particle":"","parse-names":false,"suffix":""}],"container-title":"Science","id":"ITEM-1","issue":"5886","issued":{"date-parts":[["2008","7","11"]]},"page":"246-250","title":"Structural Basis of Trans-Inhibition in a Molybdate/Tungstate ABC Transporter","type":"article-journal","volume":"321"},"uris":["http://www.mendeley.com/documents/?uuid=50ee2f91-0c8c-3bcf-add8-a175e07a4c34"]}],"mendeley":{"formattedCitation":"[42]","plainTextFormattedCitation":"[42]","previouslyFormattedCitation":"[42]"},"properties":{"noteIndex":0},"schema":"https://github.com/citation-style-language/schema/raw/master/csl-citation.json"}</w:instrText>
      </w:r>
      <w:r w:rsidR="000D5827">
        <w:rPr>
          <w:highlight w:val="white"/>
        </w:rPr>
        <w:fldChar w:fldCharType="separate"/>
      </w:r>
      <w:r w:rsidR="00BC6753" w:rsidRPr="00BC6753">
        <w:rPr>
          <w:noProof/>
          <w:highlight w:val="white"/>
        </w:rPr>
        <w:t>[42]</w:t>
      </w:r>
      <w:r w:rsidR="000D5827">
        <w:rPr>
          <w:highlight w:val="white"/>
        </w:rPr>
        <w:fldChar w:fldCharType="end"/>
      </w:r>
      <w:r>
        <w:rPr>
          <w:highlight w:val="white"/>
        </w:rPr>
        <w:t>, which are both inhibited by high concentrations of their respective substrates.</w:t>
      </w:r>
      <w:r>
        <w:t xml:space="preserve"> </w:t>
      </w:r>
      <w:r w:rsidR="00A85C4A">
        <w:t xml:space="preserve">In MetNI </w:t>
      </w:r>
      <w:r w:rsidR="00650E54">
        <w:fldChar w:fldCharType="begin" w:fldLock="1"/>
      </w:r>
      <w:r w:rsidR="00A97363">
        <w:instrText>ADDIN CSL_CITATION {"citationItems":[{"id":"ITEM-1","itemData":{"DOI":"10.1126/science.1157987","ISSN":"1095-9203","PMID":"18621668","abstract":"The crystal structure of the high-affinity Escherichia coli MetNI methionine uptake transporter, a member of the adenosine triphosphate (ATP)-binding cassette (ABC) family, has been solved to 3.7 angstrom resolution. The overall architecture of MetNI reveals two copies of the adenosine triphosphatase (ATPase) MetN in complex with two copies of the transmembrane domain MetI, with the transporter adopting an inward-facing conformation exhibiting widely separated nucleotide binding domains. Each MetI subunit is organized around a core of five transmembrane helices that correspond to a subset of the helices observed in the larger membrane-spanning subunits of the molybdate (ModBC) and maltose (MalFGK) ABC transporters. In addition to the conserved nucleotide binding domain of the ABC family, MetN contains a carboxyl-terminal extension with a ferredoxin-like fold previously assigned to a conserved family of regulatory ligand-binding domains. These domains separate the nucleotide binding domains and would interfere with their association required for ATP binding and hydrolysis. Methionine binds to the dimerized carboxyl-terminal domain and is shown to inhibit ATPase activity. These observations are consistent with an allosteric regulatory mechanism operating at the level of transport activity, where increased intracellular levels of the transported ligand stabilize an inward-facing, ATPase-inactive state of MetNI to inhibit further ligand translocation into the cell.","author":[{"dropping-particle":"","family":"Kadaba","given":"Neena S","non-dropping-particle":"","parse-names":false,"suffix":""},{"dropping-particle":"","family":"Kaiser","given":"Jens T","non-dropping-particle":"","parse-names":false,"suffix":""},{"dropping-particle":"","family":"Johnson","given":"Eric","non-dropping-particle":"","parse-names":false,"suffix":""},{"dropping-particle":"","family":"Lee","given":"Allen","non-dropping-particle":"","parse-names":false,"suffix":""},{"dropping-particle":"","family":"Rees","given":"Douglas C","non-dropping-particle":"","parse-names":false,"suffix":""}],"container-title":"Science (New York, N.Y.)","id":"ITEM-1","issue":"5886","issued":{"date-parts":[["2008","7","11"]]},"page":"250-3","publisher":"Howard Hughes Medical Institute","title":"The high-affinity E. coli methionine ABC transporter: structure and allosteric regulation.","type":"article-journal","volume":"321"},"uris":["http://www.mendeley.com/documents/?uuid=148644e1-7d56-3861-ad5c-105fcff88ed7"]}],"mendeley":{"formattedCitation":"[40]","plainTextFormattedCitation":"[40]","previouslyFormattedCitation":"[40]"},"properties":{"noteIndex":0},"schema":"https://github.com/citation-style-language/schema/raw/master/csl-citation.json"}</w:instrText>
      </w:r>
      <w:r w:rsidR="00650E54">
        <w:fldChar w:fldCharType="separate"/>
      </w:r>
      <w:r w:rsidR="00BC6753" w:rsidRPr="00BC6753">
        <w:rPr>
          <w:noProof/>
        </w:rPr>
        <w:t>[40]</w:t>
      </w:r>
      <w:r w:rsidR="00650E54">
        <w:fldChar w:fldCharType="end"/>
      </w:r>
      <w:r w:rsidR="00A85C4A">
        <w:t>, this is mediated by the fusion of the ATPase to a domain with a ferredoxin-like fold (</w:t>
      </w:r>
      <w:r w:rsidR="00A85C4A" w:rsidRPr="00CC0C85">
        <w:rPr>
          <w:b/>
          <w:i/>
        </w:rPr>
        <w:t>Fig.</w:t>
      </w:r>
      <w:r w:rsidR="000E2F58">
        <w:rPr>
          <w:b/>
          <w:i/>
        </w:rPr>
        <w:t xml:space="preserve"> </w:t>
      </w:r>
      <w:r w:rsidR="00A85C4A" w:rsidRPr="00CC0C85">
        <w:rPr>
          <w:b/>
          <w:i/>
        </w:rPr>
        <w:t>1</w:t>
      </w:r>
      <w:r w:rsidR="00A85C4A">
        <w:t xml:space="preserve">); in ModBC, </w:t>
      </w:r>
      <w:r w:rsidR="00461E32">
        <w:t>this is mediated by a different domain, albeit with a similar mechanism</w:t>
      </w:r>
      <w:r w:rsidR="00AA628C">
        <w:t xml:space="preserve"> </w:t>
      </w:r>
      <w:r w:rsidR="00650E54">
        <w:fldChar w:fldCharType="begin" w:fldLock="1"/>
      </w:r>
      <w:r w:rsidR="00A97363">
        <w:instrText>ADDIN CSL_CITATION {"citationItems":[{"id":"ITEM-1","itemData":{"DOI":"10.1126/science.1156213","ISSN":"0036-8075","PMID":"18511655","abstract":"Transport across cellular membranes is an essential process that is catalyzed by diverse membrane transport proteins. The turnover rates of certain transporters are inhibited by their substrates in a process termed trans-inhibition, whose structural basis is poorly understood. We present the crystal structure of a molybdate/tungstate ABC transporter (ModBC) from Methanosarcina acetivorans in a trans-inhibited state. The regulatory domains of the nucleotide-binding subunits are in close contact and provide two oxyanion binding pockets at the shared interface. By specifically binding to these pockets, molybdate or tungstate prevent adenosine triphosphatase activity and lock the transporter in an inward-facing conformation, with the catalytic motifs of the nucleotide-binding domains separated. This allosteric effect prevents the transporter from switching between the inward-facing and the outward-facing states, thus interfering with the alternating access and release mechanism.","author":[{"dropping-particle":"","family":"Gerber","given":"S.","non-dropping-particle":"","parse-names":false,"suffix":""},{"dropping-particle":"","family":"Comellas-Bigler","given":"M.","non-dropping-particle":"","parse-names":false,"suffix":""},{"dropping-particle":"","family":"Goetz","given":"B. A.","non-dropping-particle":"","parse-names":false,"suffix":""},{"dropping-particle":"","family":"Locher","given":"K. P.","non-dropping-particle":"","parse-names":false,"suffix":""}],"container-title":"Science","id":"ITEM-1","issue":"5886","issued":{"date-parts":[["2008","7","11"]]},"page":"246-250","title":"Structural Basis of Trans-Inhibition in a Molybdate/Tungstate ABC Transporter","type":"article-journal","volume":"321"},"uris":["http://www.mendeley.com/documents/?uuid=50ee2f91-0c8c-3bcf-add8-a175e07a4c34"]}],"mendeley":{"formattedCitation":"[42]","plainTextFormattedCitation":"[42]","previouslyFormattedCitation":"[42]"},"properties":{"noteIndex":0},"schema":"https://github.com/citation-style-language/schema/raw/master/csl-citation.json"}</w:instrText>
      </w:r>
      <w:r w:rsidR="00650E54">
        <w:fldChar w:fldCharType="separate"/>
      </w:r>
      <w:r w:rsidR="00BC6753" w:rsidRPr="00BC6753">
        <w:rPr>
          <w:noProof/>
        </w:rPr>
        <w:t>[42]</w:t>
      </w:r>
      <w:r w:rsidR="00650E54">
        <w:fldChar w:fldCharType="end"/>
      </w:r>
      <w:r w:rsidR="00A85C4A">
        <w:t xml:space="preserve">. </w:t>
      </w:r>
      <w:r>
        <w:t xml:space="preserve">Another mechanism of regulation is the introduction of regions that can be post-translationally modified, leading to a structural change. A particularly interesting example of this is Rv1747 from </w:t>
      </w:r>
      <w:r>
        <w:rPr>
          <w:i/>
        </w:rPr>
        <w:t>Mycobacterium tuberculosis</w:t>
      </w:r>
      <w:r>
        <w:t xml:space="preserve">, which has an N-terminal extension with two Forkhead-associated (FHA) domains connected by a linker. Phosphorylation of the linker leads to self-binding by the FHA domains, </w:t>
      </w:r>
      <w:r w:rsidR="008B3DD4">
        <w:t>potentially modulating the activity</w:t>
      </w:r>
      <w:r w:rsidR="009045DA">
        <w:t xml:space="preserve"> of the transporter</w:t>
      </w:r>
      <w:r>
        <w:t xml:space="preserve"> </w:t>
      </w:r>
      <w:r w:rsidR="00AC6980" w:rsidRPr="00650E54">
        <w:fldChar w:fldCharType="begin" w:fldLock="1"/>
      </w:r>
      <w:r w:rsidR="00A97363">
        <w:instrText>ADDIN CSL_CITATION {"citationItems":[{"id":"ITEM-1","itemData":{"DOI":"10.1016/j.str.2018.04.018","ISSN":"09692126","PMID":"29861345","abstract":"The Mycobacterium tuberculosis ATP-binding cassette transporter Rv1747 is a putative exporter of cell wall biosynthesis intermediates. Rv1747 has a cytoplasmic regulatory module consisting of two pThr-interacting Forkhead-associated (FHA) domains connected by a conformationally disordered linker with two phospho-acceptor threonines (pThr). The structures of FHA-1 and FHA-2 were determined by X-ray crystallography and nuclear magnetic resonance (NMR) spectroscopy, respectively. Relative to the canonical 11-strand β-sandwich FHA domain fold of FHA-1, FHA-2 is circularly permuted and lacking one β-strand. Nevertheless, the two share a conserved pThr-binding cleft. FHA-2 is less stable and more dynamic than FHA-1, yet binds model pThr peptides with moderately higher affinity (</w:instrText>
      </w:r>
      <w:r w:rsidR="00A97363">
        <w:rPr>
          <w:rFonts w:ascii="Cambria Math" w:hAnsi="Cambria Math" w:cs="Cambria Math"/>
        </w:rPr>
        <w:instrText>∼</w:instrText>
      </w:r>
      <w:r w:rsidR="00A97363">
        <w:instrText>50 μM versus 500 μM equilibrium dissociation constants). Based on NMR relaxation and chemical shift perturbation measurements, when joined within a polypeptide chain, either FHA domain can bind either linker pThr to form intra- and intermolecular complexes. We hypothesize that this enables tunable phosphorylation-dependent multimerization to regulate Rv1747 transporter activity.","author":[{"dropping-particle":"","family":"Heinkel","given":"Florian","non-dropping-particle":"","parse-names":false,"suffix":""},{"dropping-particle":"","family":"Shen","given":"Leo","non-dropping-particle":"","parse-names":false,"suffix":""},{"dropping-particle":"","family":"Richard-Greenblatt","given":"Melissa","non-dropping-particle":"","parse-names":false,"suffix":""},{"dropping-particle":"","family":"Okon","given":"Mark","non-dropping-particle":"","parse-names":false,"suffix":""},{"dropping-particle":"","family":"Bui","given":"Jennifer M.","non-dropping-particle":"","parse-names":false,"suffix":""},{"dropping-particle":"","family":"Gee","given":"Christine L.","non-dropping-particle":"","parse-names":false,"suffix":""},{"dropping-particle":"","family":"Gay","given":"Laurie M.","non-dropping-particle":"","parse-names":false,"suffix":""},{"dropping-particle":"","family":"Alber","given":"Tom","non-dropping-particle":"","parse-names":false,"suffix":""},{"dropping-particle":"","family":"Av-Gay","given":"Yossef","non-dropping-particle":"","parse-names":false,"suffix":""},{"dropping-particle":"","family":"Gsponer","given":"Jörg","non-dropping-particle":"","parse-names":false,"suffix":""},{"dropping-particle":"","family":"McIntosh","given":"Lawrence P.","non-dropping-particle":"","parse-names":false,"suffix":""}],"container-title":"Structure","id":"ITEM-1","issue":"7","issued":{"date-parts":[["2018","7","3"]]},"page":"972-986.e6","title":"Biophysical Characterization of the Tandem FHA Domain Regulatory Module from the Mycobacterium tuberculosis ABC Transporter Rv1747","type":"article-journal","volume":"26"},"uris":["http://www.mendeley.com/documents/?uuid=2d555507-2951-3e4d-8d43-bd17fe81b624"]}],"mendeley":{"formattedCitation":"[43]","plainTextFormattedCitation":"[43]","previouslyFormattedCitation":"[43]"},"properties":{"noteIndex":0},"schema":"https://github.com/citation-style-language/schema/raw/master/csl-citation.json"}</w:instrText>
      </w:r>
      <w:r w:rsidR="00AC6980" w:rsidRPr="00650E54">
        <w:fldChar w:fldCharType="separate"/>
      </w:r>
      <w:r w:rsidR="00BC6753" w:rsidRPr="00BC6753">
        <w:rPr>
          <w:noProof/>
        </w:rPr>
        <w:t>[43]</w:t>
      </w:r>
      <w:r w:rsidR="00AC6980" w:rsidRPr="00650E54">
        <w:fldChar w:fldCharType="end"/>
      </w:r>
      <w:r w:rsidR="009045DA" w:rsidRPr="00142B38">
        <w:t>*</w:t>
      </w:r>
      <w:r w:rsidRPr="00142B38">
        <w:t>.</w:t>
      </w:r>
      <w:r>
        <w:t xml:space="preserve"> Finally, a third mechanism is to link activity of the transporter to a physical change inside the cell. For example, orthologs of the osmoprotectant transporter ProP have a C-terminal extension which has been proposed to interact with the membrane under low osmolarity, but is released under conditions of high osmolar</w:t>
      </w:r>
      <w:r w:rsidR="009045DA">
        <w:t>ity, activating the transporter</w:t>
      </w:r>
      <w:r>
        <w:t xml:space="preserve"> </w:t>
      </w:r>
      <w:r w:rsidR="00AC6980">
        <w:fldChar w:fldCharType="begin" w:fldLock="1"/>
      </w:r>
      <w:r w:rsidR="00A97363">
        <w:instrText>ADDIN CSL_CITATION {"citationItems":[{"id":"ITEM-1","itemData":{"DOI":"10.1074/jbc.M508362200","ISSN":"0021-9258","PMID":"16239220","abstract":"Transporter ProP of Escherichia coli (ProPEc) senses extracellular osmolality and mediates osmoprotectant uptake when it is rising or high. A replica of the ProPEc C terminus (Asp468-Arg497) forms an intermolecular alpha-helical coiled-coil. This structure is implicated in the osmoregulation of intact ProPEc, in vivo. Like that from Corynebacterium glutamicum (ProPCg), the ProP orthologue from Agrobacterium tumefaciens (ProPAt) sensed and responded to extracellular osmolality after expression in E. coli. The osmotic activation profiles of all three orthologues depended on the osmolality of the bacterial growth medium, the osmolality required for activation rising as the growth osmolality approached 0.7 mol/kg. Thus, each could undergo osmotic adaptation. The proportion of cardiolipin in a polar lipid extract from E. coli increased with extracellular osmolality so that the osmolality activating ProPEc was a direct function of membrane cardiolipin content. Group A ProP orthologues (ProPEc, ProPAt) share the C-terminal coiled-coil domain and were activated at low osmolalities. Like variant ProPEc-R488I, in which the C-terminal coiled-coil is disrupted, ProPEc derivatives that lack the coiled-coil and Group B orthologue ProPCg required a higher osmolality to activate. The amplitude of ProPEc activation was reduced 10-fold in its deletion derivatives. The coiled-coil structure is not essential for osmotic activation of ProP per se. However, it tunes Group A orthologues to osmoregulate over a low osmolality range. Coiled-coil lesions may impair both coiled-coil formation and interaction of ProPEc with amplifier protein ProQ. Cardiolipin may contribute to ProP adaptation by altering bulk membrane properties or by acting as a ProP ligand.","author":[{"dropping-particle":"","family":"Tsatskis","given":"Yonit","non-dropping-particle":"","parse-names":false,"suffix":""},{"dropping-particle":"","family":"Khambati","given":"Jumana","non-dropping-particle":"","parse-names":false,"suffix":""},{"dropping-particle":"","family":"Dobson","given":"Martina","non-dropping-particle":"","parse-names":false,"suffix":""},{"dropping-particle":"","family":"Bogdanov","given":"Mikhail","non-dropping-particle":"","parse-names":false,"suffix":""},{"dropping-particle":"","family":"Dowhan","given":"William","non-dropping-particle":"","parse-names":false,"suffix":""},{"dropping-particle":"","family":"Wood","given":"Janet M.","non-dropping-particle":"","parse-names":false,"suffix":""}],"container-title":"Journal of Biological Chemistry","id":"ITEM-1","issue":"50","issued":{"date-parts":[["2005","12","16"]]},"page":"41387-41394","title":"The Osmotic Activation of Transporter ProP Is Tuned by Both Its C-terminal Coiled-coil and Osmotically Induced Changes in Phospholipid Composition","type":"article-journal","volume":"280"},"uris":["http://www.mendeley.com/documents/?uuid=fffaf952-c90a-3f0b-84d0-16cc6f919794"]},{"id":"ITEM-2","itemData":{"DOI":"10.1016/j.bpj.2018.10.023","ISSN":"00063495","PMID":"30448037","abstract":"ProP is a member of the major facilitator superfamily, a proton-osmolyte symporter, and an osmosensing transporter. ProP proteins share extended cytoplasmic carboxyl terminal domains (CTDs) implicated in osmosensing. The CTDs of the best characterized, group A ProP orthologs, terminate in sequences that form intermolecular, antiparallel α-helical coiled coils (e.g., ProPEc, from Escherichia coli). Group B orthologs lack that feature (e.g., ProPXc, from Xanthomonas campestris). ProPXc was expressed and characterized in E. coli to further elucidate the role of the coiled coil in osmosensing. The activity of ProPXc was a sigmoid function of the osmolality in cells and proteoliposomes. ProPEc and ProPXc attained similar activities at the same expression level in E. coli. ProPEc transports proline and glycine betaine with comparable high affinities at low osmolality. In contrast, proline weakly inhibited high-affinity glycine-betaine uptake via ProPXc. The KM for proline uptake via ProPEc increases dramatically with the osmolality. The KM for glycine-betaine uptake via ProPXc did not. Thus, ProPXc is an osmosensing transporter, and the C-terminal coiled coil is not essential for osmosensing. The role of CTD-membrane interaction in osmosensing was examined further. As for ProPEc, the ProPXc CTD co-sedimented with liposomes comprising E. coli phospholipid. Molecular dynamics simulations illustrated association of the monomeric ProPEc CTD with the membrane surface. Comparison with the available NMR structure for the homodimeric coiled coil formed by the ProPEc-CTD suggested that membrane association and homodimeric coiled-coil formation by that peptide are mutually exclusive. The membrane fluidity in liposomes comprising E. coli phospholipid decreased with increasing osmolality in the range relevant for ProP activation. These data support the proposal that ProP activates as cellular dehydration increases cytoplasmic cation concentration, releasing the CTD from the membrane surface. For group A orthologs, this also favors α-helical coiled-coil formation that stabilizes the transporter in an active form.","author":[{"dropping-particle":"","family":"Culham","given":"Doreen E.","non-dropping-particle":"","parse-names":false,"suffix":""},{"dropping-particle":"","family":"Marom","given":"David","non-dropping-particle":"","parse-names":false,"suffix":""},{"dropping-particle":"","family":"Boutin","given":"Rebecca","non-dropping-particle":"","parse-names":false,"suffix":""},{"dropping-particle":"","family":"Garner","given":"Jennifer","non-dropping-particle":"","parse-names":false,"suffix":""},{"dropping-particle":"","family":"Ozturk","given":"Tugba Nur","non-dropping-particle":"","parse-names":false,"suffix":""},{"dropping-particle":"","family":"Sahtout","given":"Naheda","non-dropping-particle":"","parse-names":false,"suffix":""},{"dropping-particle":"","family":"Tempelhagen","given":"Laura","non-dropping-particle":"","parse-names":false,"suffix":""},{"dropping-particle":"","family":"Lamoureux","given":"Guillaume","non-dropping-particle":"","parse-names":false,"suffix":""},{"dropping-particle":"","family":"Wood","given":"Janet M.","non-dropping-particle":"","parse-names":false,"suffix":""}],"container-title":"Biophysical Journal","id":"ITEM-2","issue":"11","issued":{"date-parts":[["2018","12","4"]]},"page":"2152-2166","title":"Dual Role of the C-Terminal Domain in Osmosensing by Bacterial Osmolyte Transporter ProP","type":"article-journal","volume":"115"},"uris":["http://www.mendeley.com/documents/?uuid=2c0ce663-784b-3cbc-a124-db073f26fb2a"]}],"mendeley":{"formattedCitation":"[44,45]","plainTextFormattedCitation":"[44,45]","previouslyFormattedCitation":"[44,45]"},"properties":{"noteIndex":0},"schema":"https://github.com/citation-style-language/schema/raw/master/csl-citation.json"}</w:instrText>
      </w:r>
      <w:r w:rsidR="00AC6980">
        <w:fldChar w:fldCharType="separate"/>
      </w:r>
      <w:r w:rsidR="00BC6753" w:rsidRPr="00BC6753">
        <w:rPr>
          <w:noProof/>
        </w:rPr>
        <w:t>[44,45]</w:t>
      </w:r>
      <w:r w:rsidR="00AC6980">
        <w:fldChar w:fldCharType="end"/>
      </w:r>
      <w:r>
        <w:t>. In one group of ProP orthologs, the C terminal region also contains a coiled coil region, which is suggested to form dimers with other ProP C termini under high osmolarity, thereby stabilising the active conformation</w:t>
      </w:r>
      <w:r w:rsidR="007E13FA">
        <w:t xml:space="preserve"> </w:t>
      </w:r>
      <w:r w:rsidR="00AC6980">
        <w:fldChar w:fldCharType="begin" w:fldLock="1"/>
      </w:r>
      <w:r w:rsidR="00A97363">
        <w:instrText>ADDIN CSL_CITATION {"citationItems":[{"id":"ITEM-1","itemData":{"DOI":"10.1016/j.bpj.2018.10.023","ISSN":"00063495","PMID":"30448037","abstract":"ProP is a member of the major facilitator superfamily, a proton-osmolyte symporter, and an osmosensing transporter. ProP proteins share extended cytoplasmic carboxyl terminal domains (CTDs) implicated in osmosensing. The CTDs of the best characterized, group A ProP orthologs, terminate in sequences that form intermolecular, antiparallel α-helical coiled coils (e.g., ProPEc, from Escherichia coli). Group B orthologs lack that feature (e.g., ProPXc, from Xanthomonas campestris). ProPXc was expressed and characterized in E. coli to further elucidate the role of the coiled coil in osmosensing. The activity of ProPXc was a sigmoid function of the osmolality in cells and proteoliposomes. ProPEc and ProPXc attained similar activities at the same expression level in E. coli. ProPEc transports proline and glycine betaine with comparable high affinities at low osmolality. In contrast, proline weakly inhibited high-affinity glycine-betaine uptake via ProPXc. The KM for proline uptake via ProPEc increases dramatically with the osmolality. The KM for glycine-betaine uptake via ProPXc did not. Thus, ProPXc is an osmosensing transporter, and the C-terminal coiled coil is not essential for osmosensing. The role of CTD-membrane interaction in osmosensing was examined further. As for ProPEc, the ProPXc CTD co-sedimented with liposomes comprising E. coli phospholipid. Molecular dynamics simulations illustrated association of the monomeric ProPEc CTD with the membrane surface. Comparison with the available NMR structure for the homodimeric coiled coil formed by the ProPEc-CTD suggested that membrane association and homodimeric coiled-coil formation by that peptide are mutually exclusive. The membrane fluidity in liposomes comprising E. coli phospholipid decreased with increasing osmolality in the range relevant for ProP activation. These data support the proposal that ProP activates as cellular dehydration increases cytoplasmic cation concentration, releasing the CTD from the membrane surface. For group A orthologs, this also favors α-helical coiled-coil formation that stabilizes the transporter in an active form.","author":[{"dropping-particle":"","family":"Culham","given":"Doreen E.","non-dropping-particle":"","parse-names":false,"suffix":""},{"dropping-particle":"","family":"Marom","given":"David","non-dropping-particle":"","parse-names":false,"suffix":""},{"dropping-particle":"","family":"Boutin","given":"Rebecca","non-dropping-particle":"","parse-names":false,"suffix":""},{"dropping-particle":"","family":"Garner","given":"Jennifer","non-dropping-particle":"","parse-names":false,"suffix":""},{"dropping-particle":"","family":"Ozturk","given":"Tugba Nur","non-dropping-particle":"","parse-names":false,"suffix":""},{"dropping-particle":"","family":"Sahtout","given":"Naheda","non-dropping-particle":"","parse-names":false,"suffix":""},{"dropping-particle":"","family":"Tempelhagen","given":"Laura","non-dropping-particle":"","parse-names":false,"suffix":""},{"dropping-particle":"","family":"Lamoureux","given":"Guillaume","non-dropping-particle":"","parse-names":false,"suffix":""},{"dropping-particle":"","family":"Wood","given":"Janet M.","non-dropping-particle":"","parse-names":false,"suffix":""}],"container-title":"Biophysical Journal","id":"ITEM-1","issue":"11","issued":{"date-parts":[["2018","12","4"]]},"page":"2152-2166","title":"Dual Role of the C-Terminal Domain in Osmosensing by Bacterial Osmolyte Transporter ProP","type":"article-journal","volume":"115"},"uris":["http://www.mendeley.com/documents/?uuid=2c0ce663-784b-3cbc-a124-db073f26fb2a"]}],"mendeley":{"formattedCitation":"[45]","plainTextFormattedCitation":"[45]","previouslyFormattedCitation":"[45]"},"properties":{"noteIndex":0},"schema":"https://github.com/citation-style-language/schema/raw/master/csl-citation.json"}</w:instrText>
      </w:r>
      <w:r w:rsidR="00AC6980">
        <w:fldChar w:fldCharType="separate"/>
      </w:r>
      <w:r w:rsidR="00BC6753" w:rsidRPr="00BC6753">
        <w:rPr>
          <w:noProof/>
        </w:rPr>
        <w:t>[45]</w:t>
      </w:r>
      <w:r w:rsidR="00AC6980">
        <w:fldChar w:fldCharType="end"/>
      </w:r>
      <w:r>
        <w:t>.</w:t>
      </w:r>
    </w:p>
    <w:p w14:paraId="5E35A63B" w14:textId="3C7060A0" w:rsidR="00650DC8" w:rsidRDefault="00E80212" w:rsidP="00CC0C85">
      <w:pPr>
        <w:spacing w:line="276" w:lineRule="auto"/>
        <w:rPr>
          <w:highlight w:val="cyan"/>
        </w:rPr>
      </w:pPr>
      <w:r>
        <w:lastRenderedPageBreak/>
        <w:t xml:space="preserve">While not a regulatory fusion per se, the TagH ATPase from </w:t>
      </w:r>
      <w:r>
        <w:rPr>
          <w:i/>
        </w:rPr>
        <w:t>Bacillus subtilis</w:t>
      </w:r>
      <w:r>
        <w:t xml:space="preserve"> has a C-terminal extension with a </w:t>
      </w:r>
      <w:r w:rsidR="00D73A90">
        <w:t>TMH</w:t>
      </w:r>
      <w:r>
        <w:t xml:space="preserve"> that </w:t>
      </w:r>
      <w:r w:rsidR="00AA1FF1">
        <w:t>is</w:t>
      </w:r>
      <w:r>
        <w:t xml:space="preserve"> required for protei</w:t>
      </w:r>
      <w:r w:rsidR="009045DA">
        <w:t>n activity at high temperatures</w:t>
      </w:r>
      <w:r>
        <w:t xml:space="preserve"> </w:t>
      </w:r>
      <w:r w:rsidR="00AC6980">
        <w:fldChar w:fldCharType="begin" w:fldLock="1"/>
      </w:r>
      <w:r w:rsidR="00A97363">
        <w:instrText>ADDIN CSL_CITATION {"citationItems":[{"id":"ITEM-1","itemData":{"DOI":"10.1099/mic.0.000674","ISSN":"1350-0872","abstract":"Wall teichoic acids (WTAs) are anionic polymers that are covalently linked to peptidoglycan and play important roles in cell shape determination, cell division, autolysis, pathogenesis and antibiotic resistance in Gram-positive bacteria. In Bacillus subtilis, WTA is synthesized in the cytoplasm and translocated by an ABC transporter, TagGH. In this study, we found that the transmembrane segment of TagH is required for WTA transport under high temperatures. Cells expressing TagH302-FL (a construct fused to the 6×FLAG tag after the transmembrane segment, which lacks the C-terminal extracellular domain) grew normally at high temperatures, similar to those expressing the full-length TagH-FL fusion. In contrast, cells expressing TagH275-FL, which lacks both the transmembrane segment and the extracellular domain, exhibited a temperature-sensitive phenotype at temperatures above 49 °C and a growth defect at 50 °C. Interestingly, this growth defect was dissolved by an additional incubation at 37 °C. A similar temperature-sensitive phenotype was observed in cells expressing an N-terminal 6×FLAG tag fusion of TagH275. Immunofluorescence microscopy (IFM) indicated that TagG and TagH are localized on the cytoplasmic membrane in a patch-like manner. In addition, the C-terminal-truncated forms, TagH275-FL and TagH302-FL, were localized in similar patch-like patterns at 37 °C; only foci for TagH275-FL were remarkably reduced at high temperatures. Moreover, cell surface decoration with WTA was considerably reduced in cells harbouring TagH275-FL at high temperature, supporting the results of IFM observation. These results suggest that the transmembrane segment of TagH plays an important role in WTA export at high temperatures.","author":[{"dropping-particle":"","family":"Yamada","given":"Takeshi","non-dropping-particle":"","parse-names":false,"suffix":""},{"dropping-particle":"","family":"Miyashita","given":"Mari","non-dropping-particle":"","parse-names":false,"suffix":""},{"dropping-particle":"","family":"Kasahara","given":"Jun","non-dropping-particle":"","parse-names":false,"suffix":""},{"dropping-particle":"","family":"Tanaka","given":"Tatsuhito","non-dropping-particle":"","parse-names":false,"suffix":""},{"dropping-particle":"","family":"Hashimoto","given":"Masayuki","non-dropping-particle":"","parse-names":false,"suffix":""},{"dropping-particle":"","family":"Yamamoto","given":"Hiroki","non-dropping-particle":"","parse-names":false,"suffix":""}],"container-title":"Microbiology","id":"ITEM-1","issue":"7","issued":{"date-parts":[["2018","7","1"]]},"page":"935-945","publisher":"Microbiology Society","title":"The transmembrane segment of TagH is required for wall teichoic acid transport under heat stress in Bacillus subtilis","type":"article-journal","volume":"164"},"uris":["http://www.mendeley.com/documents/?uuid=3b4a3bcf-cc0b-3fff-b483-4cc5324fb3b2"]}],"mendeley":{"formattedCitation":"[46]","plainTextFormattedCitation":"[46]","previouslyFormattedCitation":"[46]"},"properties":{"noteIndex":0},"schema":"https://github.com/citation-style-language/schema/raw/master/csl-citation.json"}</w:instrText>
      </w:r>
      <w:r w:rsidR="00AC6980">
        <w:fldChar w:fldCharType="separate"/>
      </w:r>
      <w:r w:rsidR="00BC6753" w:rsidRPr="00BC6753">
        <w:rPr>
          <w:noProof/>
        </w:rPr>
        <w:t>[46]</w:t>
      </w:r>
      <w:r w:rsidR="00AC6980">
        <w:fldChar w:fldCharType="end"/>
      </w:r>
      <w:r>
        <w:t xml:space="preserve">. The extension also contains a 225 </w:t>
      </w:r>
      <w:r w:rsidR="009D7E58">
        <w:t xml:space="preserve">amino acid </w:t>
      </w:r>
      <w:r>
        <w:t xml:space="preserve">extracellular region with unknown function. </w:t>
      </w:r>
    </w:p>
    <w:p w14:paraId="1B10CDE5" w14:textId="522A7A9C" w:rsidR="00650DC8" w:rsidRDefault="00E80212">
      <w:pPr>
        <w:pStyle w:val="Heading2"/>
        <w:rPr>
          <w:sz w:val="28"/>
          <w:szCs w:val="28"/>
        </w:rPr>
      </w:pPr>
      <w:bookmarkStart w:id="7" w:name="_c99o6751cotf" w:colFirst="0" w:colLast="0"/>
      <w:bookmarkStart w:id="8" w:name="_hs2swo199btd" w:colFirst="0" w:colLast="0"/>
      <w:bookmarkEnd w:id="7"/>
      <w:bookmarkEnd w:id="8"/>
      <w:r>
        <w:rPr>
          <w:sz w:val="28"/>
          <w:szCs w:val="28"/>
        </w:rPr>
        <w:t xml:space="preserve">Promiscuous partners </w:t>
      </w:r>
      <w:r w:rsidR="006C5548">
        <w:rPr>
          <w:sz w:val="28"/>
          <w:szCs w:val="28"/>
        </w:rPr>
        <w:t>–</w:t>
      </w:r>
      <w:r>
        <w:rPr>
          <w:sz w:val="28"/>
          <w:szCs w:val="28"/>
        </w:rPr>
        <w:t xml:space="preserve"> </w:t>
      </w:r>
      <w:r w:rsidR="006C5548">
        <w:rPr>
          <w:sz w:val="28"/>
          <w:szCs w:val="28"/>
        </w:rPr>
        <w:t xml:space="preserve">RCK, </w:t>
      </w:r>
      <w:r>
        <w:rPr>
          <w:sz w:val="28"/>
          <w:szCs w:val="28"/>
        </w:rPr>
        <w:t>CBS and UspA domain fusions are found in many contexts</w:t>
      </w:r>
    </w:p>
    <w:p w14:paraId="6EB77A38" w14:textId="5F69FD88" w:rsidR="00650DC8" w:rsidRDefault="00E80212">
      <w:r>
        <w:t xml:space="preserve">While we have described a number of distinct experimentally studied systems, most are limited to unique combinations of particular domains with particular membrane architectures. </w:t>
      </w:r>
      <w:r w:rsidR="006C5548">
        <w:t xml:space="preserve">Here we find that some domains appear to have a </w:t>
      </w:r>
      <w:r>
        <w:t xml:space="preserve">propensity to fuse with </w:t>
      </w:r>
      <w:r w:rsidR="006C5548">
        <w:t xml:space="preserve">multiple </w:t>
      </w:r>
      <w:r>
        <w:t>membrane transporters and channels</w:t>
      </w:r>
      <w:r w:rsidR="000F484B">
        <w:t>.</w:t>
      </w:r>
      <w:r w:rsidR="009D7E58">
        <w:t xml:space="preserve"> </w:t>
      </w:r>
    </w:p>
    <w:p w14:paraId="049B702B" w14:textId="35A17C1D" w:rsidR="00650DC8" w:rsidRDefault="00AA1FF1">
      <w:r>
        <w:t>One</w:t>
      </w:r>
      <w:r w:rsidR="00FE2067">
        <w:t xml:space="preserve"> example</w:t>
      </w:r>
      <w:r>
        <w:t xml:space="preserve"> is the </w:t>
      </w:r>
      <w:r w:rsidR="00E445A6">
        <w:t>‘</w:t>
      </w:r>
      <w:r w:rsidR="00FE2067">
        <w:t>regulation of conductance of K</w:t>
      </w:r>
      <w:r w:rsidR="00FE2067" w:rsidRPr="00CC0C85">
        <w:rPr>
          <w:vertAlign w:val="superscript"/>
        </w:rPr>
        <w:t>+</w:t>
      </w:r>
      <w:r w:rsidR="00E445A6">
        <w:t>’</w:t>
      </w:r>
      <w:r w:rsidR="00FE2067" w:rsidRPr="00CC0C85">
        <w:t xml:space="preserve"> (</w:t>
      </w:r>
      <w:r>
        <w:t>RCK</w:t>
      </w:r>
      <w:r w:rsidR="00FE2067">
        <w:t>)</w:t>
      </w:r>
      <w:r>
        <w:t xml:space="preserve"> domain, which</w:t>
      </w:r>
      <w:r w:rsidR="00CA4861">
        <w:t xml:space="preserve"> is involved in regulation of potassium</w:t>
      </w:r>
      <w:r w:rsidR="00FE2067">
        <w:t xml:space="preserve"> transport in response to Ca</w:t>
      </w:r>
      <w:r w:rsidR="00FE2067" w:rsidRPr="00CC0C85">
        <w:rPr>
          <w:vertAlign w:val="superscript"/>
        </w:rPr>
        <w:t>2+</w:t>
      </w:r>
      <w:r w:rsidR="00FE2067" w:rsidRPr="00FE2067">
        <w:t xml:space="preserve"> </w:t>
      </w:r>
      <w:r w:rsidR="00FE2067">
        <w:t>concentration, and</w:t>
      </w:r>
      <w:r>
        <w:t xml:space="preserve"> has been observed in a range of different </w:t>
      </w:r>
      <w:r w:rsidR="00CA4861">
        <w:t>K</w:t>
      </w:r>
      <w:r w:rsidR="00CA4861" w:rsidRPr="00CC0C85">
        <w:rPr>
          <w:vertAlign w:val="superscript"/>
        </w:rPr>
        <w:t>+</w:t>
      </w:r>
      <w:r>
        <w:t xml:space="preserve"> channel families, including the </w:t>
      </w:r>
      <w:r w:rsidR="00CA4861">
        <w:t xml:space="preserve">archaeal </w:t>
      </w:r>
      <w:r>
        <w:t xml:space="preserve">MthK channel, the mammalian BK channel, </w:t>
      </w:r>
      <w:r w:rsidR="00385760">
        <w:t xml:space="preserve">and the </w:t>
      </w:r>
      <w:r w:rsidR="00385760" w:rsidRPr="00CC0C85">
        <w:rPr>
          <w:i/>
        </w:rPr>
        <w:t>E. coli</w:t>
      </w:r>
      <w:r w:rsidR="00385760">
        <w:t xml:space="preserve"> Kch channel</w:t>
      </w:r>
      <w:r w:rsidR="00650E54">
        <w:t xml:space="preserve"> </w:t>
      </w:r>
      <w:r w:rsidR="00650E54">
        <w:fldChar w:fldCharType="begin" w:fldLock="1"/>
      </w:r>
      <w:r w:rsidR="00A97363">
        <w:instrText>ADDIN CSL_CITATION {"citationItems":[{"id":"ITEM-1","itemData":{"ISSN":"0896-6273","PMID":"11301020","abstract":"The intracellular C-terminal domain structure of a six-transmembrane K+ channel from Escherichia coli has been solved by X-ray crystallography at 2.4 A resolution. The structure is representative of a broad class of domains/proteins that regulate the conductance of K+ (here referred to as RCK domains) in prokaryotic K+ transporters and K+ channels. The RCK domain has a Rossmann-fold topology with unique positions, not commonly conserved among Rossmann-fold proteins, composing a well-conserved salt bridge and a hydrophobic dimer interface. Structure-based amino acid sequence alignments and mutational analysis are used to demonstrate that an RCK domain is also present and is an important component of the gating machinery in eukaryotic large-conductance Ca2+ activated K+ channels.","author":[{"dropping-particle":"","family":"Jiang","given":"Y","non-dropping-particle":"","parse-names":false,"suffix":""},{"dropping-particle":"","family":"Pico","given":"A","non-dropping-particle":"","parse-names":false,"suffix":""},{"dropping-particle":"","family":"Cadene","given":"M","non-dropping-particle":"","parse-names":false,"suffix":""},{"dropping-particle":"","family":"Chait","given":"B T","non-dropping-particle":"","parse-names":false,"suffix":""},{"dropping-particle":"","family":"MacKinnon","given":"R","non-dropping-particle":"","parse-names":false,"suffix":""}],"container-title":"Neuron","id":"ITEM-1","issue":"3","issued":{"date-parts":[["2001","3"]]},"page":"593-601","title":"Structure of the RCK domain from the E. coli K+ channel and demonstration of its presence in the human BK channel.","type":"article-journal","volume":"29"},"uris":["http://www.mendeley.com/documents/?uuid=f16f8853-8d1d-33a5-8db9-4ceb47ca2ea8"]}],"mendeley":{"formattedCitation":"[47]","plainTextFormattedCitation":"[47]","previouslyFormattedCitation":"[47]"},"properties":{"noteIndex":0},"schema":"https://github.com/citation-style-language/schema/raw/master/csl-citation.json"}</w:instrText>
      </w:r>
      <w:r w:rsidR="00650E54">
        <w:fldChar w:fldCharType="separate"/>
      </w:r>
      <w:r w:rsidR="00BC6753" w:rsidRPr="00BC6753">
        <w:rPr>
          <w:noProof/>
        </w:rPr>
        <w:t>[47]</w:t>
      </w:r>
      <w:r w:rsidR="00650E54">
        <w:fldChar w:fldCharType="end"/>
      </w:r>
      <w:r w:rsidR="00385760">
        <w:t>, as well as in K</w:t>
      </w:r>
      <w:r w:rsidR="00385760" w:rsidRPr="00CC0C85">
        <w:rPr>
          <w:vertAlign w:val="superscript"/>
        </w:rPr>
        <w:t>+</w:t>
      </w:r>
      <w:r w:rsidR="00385760">
        <w:t>/H</w:t>
      </w:r>
      <w:r w:rsidR="00385760" w:rsidRPr="00CC0C85">
        <w:rPr>
          <w:vertAlign w:val="superscript"/>
        </w:rPr>
        <w:t>+</w:t>
      </w:r>
      <w:r w:rsidR="00385760">
        <w:t xml:space="preserve"> antiporters such as </w:t>
      </w:r>
      <w:r w:rsidR="00385760" w:rsidRPr="00CC0C85">
        <w:rPr>
          <w:i/>
        </w:rPr>
        <w:t>E. coli</w:t>
      </w:r>
      <w:r w:rsidR="00385760">
        <w:t xml:space="preserve"> KefC </w:t>
      </w:r>
      <w:r w:rsidR="00650E54">
        <w:fldChar w:fldCharType="begin" w:fldLock="1"/>
      </w:r>
      <w:r w:rsidR="00A97363">
        <w:instrText>ADDIN CSL_CITATION {"citationItems":[{"id":"ITEM-1","itemData":{"DOI":"10.1016/j.str.2009.03.018","ISSN":"09692126","PMID":"19523906","abstract":"KTN (RCK) domains are nucleotide-binding folds that form the cytoplasmic regulatory complexes of various K+ channels and transporters. The mechanisms these proteins use to control their transmembrane pore-forming counterparts remains unclear despite numerous electrophysiological and structural studies. KTN (RCK) domains consistently crystallize as dimers within the asymmetric unit, forming a pronounced hinge between two Rossmann folds. We have previously proposed that modification of the hinge angle plays an important role in activating the associated membrane-integrated components of the channel or transporter. Here we report the structure of the C-terminal, KTN-bearing domain of the E. coli KefC K+ efflux system in association with the ancillary subunit, KefF, which is known to stabilize the conductive state. The structure of the complex and functional analysis of KefC variants reveal that control of the conformational flexibility inherent in the KTN dimer hinge is modulated by KefF and essential for regulation of KefC ion flux.","author":[{"dropping-particle":"","family":"Roosild","given":"Tarmo P.","non-dropping-particle":"","parse-names":false,"suffix":""},{"dropping-particle":"","family":"Castronovo","given":"Samantha","non-dropping-particle":"","parse-names":false,"suffix":""},{"dropping-particle":"","family":"Miller","given":"Samantha","non-dropping-particle":"","parse-names":false,"suffix":""},{"dropping-particle":"","family":"Li","given":"Chan","non-dropping-particle":"","parse-names":false,"suffix":""},{"dropping-particle":"","family":"Rasmussen","given":"Tim","non-dropping-particle":"","parse-names":false,"suffix":""},{"dropping-particle":"","family":"Bartlett","given":"Wendy","non-dropping-particle":"","parse-names":false,"suffix":""},{"dropping-particle":"","family":"Gunasekera","given":"Banuri","non-dropping-particle":"","parse-names":false,"suffix":""},{"dropping-particle":"","family":"Choe","given":"Senyon","non-dropping-particle":"","parse-names":false,"suffix":""},{"dropping-particle":"","family":"Booth","given":"Ian R.","non-dropping-particle":"","parse-names":false,"suffix":""}],"container-title":"Structure","id":"ITEM-1","issue":"6","issued":{"date-parts":[["2009","6","10"]]},"page":"893-903","title":"KTN (RCK) Domains Regulate K+ Channels and Transporters by Controlling the Dimer-Hinge Conformation","type":"article-journal","volume":"17"},"uris":["http://www.mendeley.com/documents/?uuid=1d6df04a-9875-3886-8b25-dcd9bbb5a8f5"]}],"mendeley":{"formattedCitation":"[48]","plainTextFormattedCitation":"[48]","previouslyFormattedCitation":"[48]"},"properties":{"noteIndex":0},"schema":"https://github.com/citation-style-language/schema/raw/master/csl-citation.json"}</w:instrText>
      </w:r>
      <w:r w:rsidR="00650E54">
        <w:fldChar w:fldCharType="separate"/>
      </w:r>
      <w:r w:rsidR="00BC6753" w:rsidRPr="00BC6753">
        <w:rPr>
          <w:noProof/>
        </w:rPr>
        <w:t>[48]</w:t>
      </w:r>
      <w:r w:rsidR="00650E54">
        <w:fldChar w:fldCharType="end"/>
      </w:r>
      <w:r w:rsidR="00FE2067">
        <w:t>.</w:t>
      </w:r>
      <w:r w:rsidR="00385760">
        <w:t xml:space="preserve"> </w:t>
      </w:r>
      <w:r w:rsidR="00D9696A">
        <w:t>However, we will discuss these examples in a later section, as the interesting stoichiometry of these fusions warrants special attention.</w:t>
      </w:r>
    </w:p>
    <w:p w14:paraId="5A2ADE9D" w14:textId="5135A328" w:rsidR="00650DC8" w:rsidRDefault="00E80212">
      <w:r>
        <w:t>The CBS</w:t>
      </w:r>
      <w:r w:rsidR="00E445A6">
        <w:t xml:space="preserve"> (named after cystathionine β-synthase)</w:t>
      </w:r>
      <w:r>
        <w:t xml:space="preserve"> domain, which is</w:t>
      </w:r>
      <w:r w:rsidR="009045DA">
        <w:t xml:space="preserve"> involved in nucleotide binding</w:t>
      </w:r>
      <w:r>
        <w:t xml:space="preserve"> </w:t>
      </w:r>
      <w:r w:rsidR="00AC6980">
        <w:fldChar w:fldCharType="begin" w:fldLock="1"/>
      </w:r>
      <w:r w:rsidR="00A97363">
        <w:instrText>ADDIN CSL_CITATION {"citationItems":[{"id":"ITEM-1","itemData":{"DOI":"10.1021/cb200231c","ISSN":"1554-8929","PMID":"21958115","abstract":"Regulatory CBS (cystathionine β-synthase) domains exist as two or four tandem copies in thousands of cytosolic and membrane-associated proteins from all kingdoms of life. Mutations in the CBS domains of human enzymes and membrane channels are associated with an array of hereditary diseases. Four CBS domains encoded within a single polypeptide or two identical polypeptides (each having a pair of CBS domains at the subunit interface) form a highly conserved disk-like structure. CBS domains act as autoinhibitory regulatory units in some proteins and activate or further inhibit protein function upon binding to adenosine nucleotides (AMP, ADP, ATP, S-adenosyl methionine, NAD, diadenosine polyphosphates). As a result of the differential effects of the nucleotides, CBS domain-containing proteins can sense cell energy levels. Significant conformational changes are induced in CBS domains by bound ligands, highlighting the structural basis for their effects.","author":[{"dropping-particle":"","family":"Baykov","given":"Alexander A.","non-dropping-particle":"","parse-names":false,"suffix":""},{"dropping-particle":"","family":"Tuominen","given":"Heidi K.","non-dropping-particle":"","parse-names":false,"suffix":""},{"dropping-particle":"","family":"Lahti","given":"Reijo","non-dropping-particle":"","parse-names":false,"suffix":""}],"container-title":"ACS Chemical Biology","id":"ITEM-1","issue":"11","issued":{"date-parts":[["2011","11","18"]]},"page":"1156-1163","title":"The CBS Domain: A Protein Module with an Emerging Prominent Role in Regulation","type":"article-journal","volume":"6"},"uris":["http://www.mendeley.com/documents/?uuid=877c2958-3162-31d1-9203-54c84713ba54"]}],"mendeley":{"formattedCitation":"[49]","plainTextFormattedCitation":"[49]","previouslyFormattedCitation":"[49]"},"properties":{"noteIndex":0},"schema":"https://github.com/citation-style-language/schema/raw/master/csl-citation.json"}</w:instrText>
      </w:r>
      <w:r w:rsidR="00AC6980">
        <w:fldChar w:fldCharType="separate"/>
      </w:r>
      <w:r w:rsidR="00BC6753" w:rsidRPr="00BC6753">
        <w:rPr>
          <w:noProof/>
        </w:rPr>
        <w:t>[49]</w:t>
      </w:r>
      <w:r w:rsidR="00AC6980">
        <w:fldChar w:fldCharType="end"/>
      </w:r>
      <w:r w:rsidR="00AC6980">
        <w:t xml:space="preserve"> </w:t>
      </w:r>
      <w:r>
        <w:t>appears to be fused to a variety of different transporters and channels. These were first seen in th</w:t>
      </w:r>
      <w:r w:rsidR="009045DA">
        <w:t>e human chloride channel, CLC-5</w:t>
      </w:r>
      <w:r w:rsidR="00B22235">
        <w:t xml:space="preserve"> </w:t>
      </w:r>
      <w:r w:rsidR="00AC6980">
        <w:fldChar w:fldCharType="begin" w:fldLock="1"/>
      </w:r>
      <w:r w:rsidR="00A97363">
        <w:instrText>ADDIN CSL_CITATION {"citationItems":[{"id":"ITEM-1","itemData":{"DOI":"10.1016/j.str.2005.10.008","ISSN":"09692126","author":[{"dropping-particle":"","family":"Meyer","given":"Sebastian","non-dropping-particle":"","parse-names":false,"suffix":""},{"dropping-particle":"","family":"Dutzler","given":"Raimund","non-dropping-particle":"","parse-names":false,"suffix":""}],"container-title":"Structure","id":"ITEM-1","issue":"2","issued":{"date-parts":[["2006","2"]]},"page":"299-307","title":"Crystal Structure of the Cytoplasmic Domain of the Chloride Channel ClC-0","type":"article-journal","volume":"14"},"uris":["http://www.mendeley.com/documents/?uuid=50542b04-79b5-3d1a-a4c4-183d301a777e"]},{"id":"ITEM-2","itemData":{"DOI":"10.1038/nsmb1188","ISSN":"1545-9993","PMID":"17195847","abstract":"The ubiquitous CBS domains, which are found as part of cytoplasmic domains in the ClC family of chloride channels and transporters, have previously been identified as building blocks for regulatory nucleotide-binding sites. Here we report the structures of the cytoplasmic domain of the human transporter ClC-5 in complex with ATP and ADP. The nucleotides bind to a specific site in the protein. As determined by equilibrium dialysis, the affinities for ATP, ADP and AMP are in the high micromolar range. Point mutations that interfere with nucleotide binding change the transport behavior of a ClC-5 mutant expressed in Xenopus laevis oocytes. Our results establish the structural and energetic basis for the interaction of ClC-5 with nucleotides and provide a framework for future investigations.","author":[{"dropping-particle":"","family":"Meyer","given":"Sebastian","non-dropping-particle":"","parse-names":false,"suffix":""},{"dropping-particle":"","family":"Savaresi","given":"Sara","non-dropping-particle":"","parse-names":false,"suffix":""},{"dropping-particle":"","family":"Forster","given":"Ian C","non-dropping-particle":"","parse-names":false,"suffix":""},{"dropping-particle":"","family":"Dutzler","given":"Raimund","non-dropping-particle":"","parse-names":false,"suffix":""}],"container-title":"Nature Structural &amp; Molecular Biology","id":"ITEM-2","issue":"1","issued":{"date-parts":[["2007","1","31"]]},"page":"60-67","title":"Nucleotide recognition by the cytoplasmic domain of the human chloride transporter ClC-5","type":"article-journal","volume":"14"},"uris":["http://www.mendeley.com/documents/?uuid=a0513a2f-82bc-32f8-abe5-2bc54f5521b6"]}],"mendeley":{"formattedCitation":"[50,51]","plainTextFormattedCitation":"[50,51]","previouslyFormattedCitation":"[50,51]"},"properties":{"noteIndex":0},"schema":"https://github.com/citation-style-language/schema/raw/master/csl-citation.json"}</w:instrText>
      </w:r>
      <w:r w:rsidR="00AC6980">
        <w:fldChar w:fldCharType="separate"/>
      </w:r>
      <w:r w:rsidR="00BC6753" w:rsidRPr="00BC6753">
        <w:rPr>
          <w:noProof/>
        </w:rPr>
        <w:t>[50,51]</w:t>
      </w:r>
      <w:r w:rsidR="00AC6980">
        <w:fldChar w:fldCharType="end"/>
      </w:r>
      <w:r>
        <w:t xml:space="preserve"> through the elegant work of Dutzler and colleagues, where they occur in tandem pairs and are involved in channel gating (</w:t>
      </w:r>
      <w:r w:rsidRPr="000F484B">
        <w:rPr>
          <w:b/>
          <w:i/>
        </w:rPr>
        <w:t>Fig. 2</w:t>
      </w:r>
      <w:r w:rsidR="006C5548" w:rsidRPr="000F484B">
        <w:rPr>
          <w:b/>
          <w:i/>
        </w:rPr>
        <w:t>A</w:t>
      </w:r>
      <w:r>
        <w:t xml:space="preserve">). Recent work on the </w:t>
      </w:r>
      <w:r w:rsidR="006D6859">
        <w:t xml:space="preserve">bacterial </w:t>
      </w:r>
      <w:r>
        <w:t>MgtE Mg</w:t>
      </w:r>
      <w:r w:rsidRPr="00B22235">
        <w:rPr>
          <w:vertAlign w:val="superscript"/>
        </w:rPr>
        <w:t>2+</w:t>
      </w:r>
      <w:r>
        <w:t xml:space="preserve"> channel </w:t>
      </w:r>
      <w:r w:rsidR="003C7C67">
        <w:fldChar w:fldCharType="begin" w:fldLock="1"/>
      </w:r>
      <w:r w:rsidR="00A97363">
        <w:instrText>ADDIN CSL_CITATION {"citationItems":[{"id":"ITEM-1","itemData":{"DOI":"10.1038/nature06093","ISSN":"0028-0836","PMID":"17700703","abstract":"The magnesium ion Mg2+ is a vital element involved in numerous physiological processes. Mg2+ has the largest hydrated radius among all cations, whereas its ionic radius is the smallest. It remains obscure how Mg2+ transporters selectively recognize and dehydrate the large, fully hydrated Mg2+ cation for transport. Recently the crystal structures of the CorA Mg2+ transporter were reported. The MgtE family of Mg2+ transporters is ubiquitously distributed in all phylogenetic domains, and human homologues have been functionally characterized and suggested to be involved in magnesium homeostasis. However, the MgtE transporters have not been thoroughly characterized. Here we determine the crystal structures of the full-length Thermus thermophilus MgtE at 3.5 A resolution, and of the cytosolic domain in the presence and absence of Mg2+ at 2.3 A and 3.9 A resolutions, respectively. The transporter adopts a homodimeric architecture, consisting of the carboxy-terminal five transmembrane domains and the amino-terminal cytosolic domains, which are composed of the superhelical N domain and tandemly repeated cystathionine-beta-synthase domains. A solvent-accessible pore nearly traverses the transmembrane domains, with one potential Mg2+ bound to the conserved Asp 432 within the pore. The transmembrane (TM)5 helices from both subunits close the pore through interactions with the 'connecting helices', which connect the cystathionine-beta-synthase and transmembrane domains. Four putative Mg2+ ions are bound at the interface between the connecting helices and the other domains, and this may lock the closed conformation of the pore. A structural comparison of the two states of the cytosolic domains showed the Mg2+-dependent movement of the connecting helices, which might reorganize the transmembrane helices to open the pore. These findings suggest a homeostasis mechanism, in which Mg2+ bound between cytosolic domains regulates Mg2+ flux by sensing the intracellular Mg2+ concentration. Whether this presumed regulation controls gating of an ion channel or opening of a secondary active transporter remains to be determined.","author":[{"dropping-particle":"","family":"Hattori","given":"Motoyuki","non-dropping-particle":"","parse-names":false,"suffix":""},{"dropping-particle":"","family":"Tanaka","given":"Yoshiki","non-dropping-particle":"","parse-names":false,"suffix":""},{"dropping-particle":"","family":"Fukai","given":"Shuya","non-dropping-particle":"","parse-names":false,"suffix":""},{"dropping-particle":"","family":"Ishitani","given":"Ryuichiro","non-dropping-particle":"","parse-names":false,"suffix":""},{"dropping-particle":"","family":"Nureki","given":"Osamu","non-dropping-particle":"","parse-names":false,"suffix":""}],"container-title":"Nature","id":"ITEM-1","issue":"7157","issued":{"date-parts":[["2007","8","15"]]},"page":"1072-1075","title":"Crystal structure of the MgtE Mg2+ transporter","type":"article-journal","volume":"448"},"uris":["http://www.mendeley.com/documents/?uuid=a9b15556-2fac-37a9-ad3b-5f206b8f4f91"]}],"mendeley":{"formattedCitation":"[52]","plainTextFormattedCitation":"[52]","previouslyFormattedCitation":"[52]"},"properties":{"noteIndex":0},"schema":"https://github.com/citation-style-language/schema/raw/master/csl-citation.json"}</w:instrText>
      </w:r>
      <w:r w:rsidR="003C7C67">
        <w:fldChar w:fldCharType="separate"/>
      </w:r>
      <w:r w:rsidR="00BC6753" w:rsidRPr="00BC6753">
        <w:rPr>
          <w:noProof/>
        </w:rPr>
        <w:t>[52]</w:t>
      </w:r>
      <w:r w:rsidR="003C7C67">
        <w:fldChar w:fldCharType="end"/>
      </w:r>
      <w:r>
        <w:t>(TC 1.A.26 family) has elegantly demonstrated both biochemically and structurally that tandem CBS domains bind ATP which modifies the Mg</w:t>
      </w:r>
      <w:r>
        <w:rPr>
          <w:vertAlign w:val="superscript"/>
        </w:rPr>
        <w:t>2+</w:t>
      </w:r>
      <w:r>
        <w:t xml:space="preserve">-dependent gating of the channel </w:t>
      </w:r>
      <w:r w:rsidR="00AC6980" w:rsidRPr="00650E54">
        <w:fldChar w:fldCharType="begin" w:fldLock="1"/>
      </w:r>
      <w:r w:rsidR="00A97363">
        <w:instrText>ADDIN CSL_CITATION {"citationItems":[{"id":"ITEM-1","itemData":{"DOI":"10.1038/s41467-017-00082-w","ISSN":"2041-1723","PMID":"28747715","abstract":"Magnesium is an essential ion for numerous physiological processes. MgtE is a Mg2+ selective channel involved in the maintenance of intracellular Mg2+ homeostasis, whose gating is regulated by intracellular Mg2+ levels. Here, we report that ATP binds to MgtE, regulating its Mg2+-dependent gating. Crystal structures of MgtE-ATP complex show that ATP binds to the intracellular CBS domain of MgtE. Functional studies support that ATP binding to MgtE enhances the intracellular domain affinity for Mg2+ within physiological concentrations of this divalent cation, enabling MgtE to function as an in vivo Mg2+ sensor. ATP dissociation from MgtE upregulates Mg2+ influx at both high and low intracellular Mg2+ concentrations. Using site-directed mutagenesis and structure based-electrophysiological and biochemical analyses, we identify key residues and main structural changes involved in the process. This work provides the molecular basis of ATP-dependent modulation of MgtE in Mg2+ homeostasis.MgtE is an Mg2+ transporter involved in Mg2+ homeostasis. Here, the authors report that ATP regulates the Mg+2-dependent gating of MgtE and use X-ray crystallography combined with functional studies to propose the molecular mechanisms involved in this process.","author":[{"dropping-particle":"","family":"Tomita","given":"Atsuhiro","non-dropping-particle":"","parse-names":false,"suffix":""},{"dropping-particle":"","family":"Zhang","given":"Mingfeng","non-dropping-particle":"","parse-names":false,"suffix":""},{"dropping-particle":"","family":"Jin","given":"Fei","non-dropping-particle":"","parse-names":false,"suffix":""},{"dropping-particle":"","family":"Zhuang","given":"Wenhui","non-dropping-particle":"","parse-names":false,"suffix":""},{"dropping-particle":"","family":"Takeda","given":"Hironori","non-dropping-particle":"","parse-names":false,"suffix":""},{"dropping-particle":"","family":"Maruyama","given":"Tatsuro","non-dropping-particle":"","parse-names":false,"suffix":""},{"dropping-particle":"","family":"Osawa","given":"Masanori","non-dropping-particle":"","parse-names":false,"suffix":""},{"dropping-particle":"","family":"Hashimoto","given":"Ken-Ichi","non-dropping-particle":"","parse-names":false,"suffix":""},{"dropping-particle":"","family":"Kawasaki","given":"Hisashi","non-dropping-particle":"","parse-names":false,"suffix":""},{"dropping-particle":"","family":"Ito","given":"Koichi","non-dropping-particle":"","parse-names":false,"suffix":""},{"dropping-particle":"","family":"Dohmae","given":"Naoshi","non-dropping-particle":"","parse-names":false,"suffix":""},{"dropping-particle":"","family":"Ishitani","given":"Ryuichiro","non-dropping-particle":"","parse-names":false,"suffix":""},{"dropping-particle":"","family":"Shimada","given":"Ichio","non-dropping-particle":"","parse-names":false,"suffix":""},{"dropping-particle":"","family":"Yan","given":"Zhiqiang","non-dropping-particle":"","parse-names":false,"suffix":""},{"dropping-particle":"","family":"Hattori","given":"Motoyuki","non-dropping-particle":"","parse-names":false,"suffix":""},{"dropping-particle":"","family":"Nureki","given":"Osamu","non-dropping-particle":"","parse-names":false,"suffix":""}],"container-title":"Nature communications","id":"ITEM-1","issue":"1","issued":{"date-parts":[["2017","12","27"]]},"page":"148","title":"ATP-dependent modulation of MgtE in Mg2+ homeostasis.","type":"article-journal","volume":"8"},"uris":["http://www.mendeley.com/documents/?uuid=f15f8137-57d0-348f-b1c8-5f3dca3aa40b"]}],"mendeley":{"formattedCitation":"[53]","plainTextFormattedCitation":"[53]","previouslyFormattedCitation":"[53]"},"properties":{"noteIndex":0},"schema":"https://github.com/citation-style-language/schema/raw/master/csl-citation.json"}</w:instrText>
      </w:r>
      <w:r w:rsidR="00AC6980" w:rsidRPr="00650E54">
        <w:fldChar w:fldCharType="separate"/>
      </w:r>
      <w:r w:rsidR="00BC6753" w:rsidRPr="00BC6753">
        <w:rPr>
          <w:noProof/>
        </w:rPr>
        <w:t>[53]</w:t>
      </w:r>
      <w:r w:rsidR="00AC6980" w:rsidRPr="00650E54">
        <w:fldChar w:fldCharType="end"/>
      </w:r>
      <w:r w:rsidRPr="00142B38">
        <w:t>*</w:t>
      </w:r>
      <w:r>
        <w:t xml:space="preserve"> (</w:t>
      </w:r>
      <w:r w:rsidRPr="000F484B">
        <w:rPr>
          <w:b/>
          <w:i/>
        </w:rPr>
        <w:t>Fig. 2</w:t>
      </w:r>
      <w:r w:rsidR="006C5548" w:rsidRPr="000F484B">
        <w:rPr>
          <w:b/>
          <w:i/>
        </w:rPr>
        <w:t>A</w:t>
      </w:r>
      <w:r>
        <w:t>). Moving into classical secondary transporters, the CNNM metal transporters (TC 1.A.112), studied primarily in mice, but with bacterial homologs, contain CBS domains that bind ATP, which appears to be a prerequisite for Mg</w:t>
      </w:r>
      <w:r>
        <w:rPr>
          <w:vertAlign w:val="superscript"/>
        </w:rPr>
        <w:t>2+</w:t>
      </w:r>
      <w:r w:rsidR="009045DA">
        <w:t xml:space="preserve"> binding during transport </w:t>
      </w:r>
      <w:r w:rsidR="00AC6980" w:rsidRPr="00650E54">
        <w:fldChar w:fldCharType="begin" w:fldLock="1"/>
      </w:r>
      <w:r w:rsidR="00A97363">
        <w:instrText>ADDIN CSL_CITATION {"citationItems":[{"id":"ITEM-1","itemData":{"DOI":"10.1074/jbc.M114.551176","ISSN":"0021-9258","PMID":"24706765","abstract":"Ancient conserved domain protein/cyclin M (CNNM) family proteins are evolutionarily conserved Mg(2+) transporters. However, their biochemical mechanism of action remains unknown. Here, we show the functional importance of the commonly conserved cystathionine-β-synthase (CBS) domains and reveal their unique binding ability to ATP. Deletion mutants of CNNM2 and CNNM4, lacking the CBS domains, are unable to promote Mg(2+) efflux. Furthermore, the substitution of one amino acid residue in the CBS domains of CNNM2, which is associated with human hereditary hypomagnesemia, abrogates Mg(2+) efflux. Binding analyses reveal that the CBS domains of CNNM2 bind directly to ATP and not AMP in a manner dependent on the presence of Mg(2+), which is inhibited in a similar pattern by the disease-associated amino acid substitution. The requirement of Mg(2+) for these interactions is a unique feature among CBS domains, which can be explained by the presence of highly electronegative surface potentials around the ATP binding site on CNNM2. These results demonstrate that the CBS domains play essential roles in Mg(2+) efflux, probably through interactions with ATP. Interactions with ATP, which mostly forms complexes with Mg(2+) in cells, may account for the rapid Mg(2+) transport by CNNM family proteins.","author":[{"dropping-particle":"","family":"Hirata","given":"Yusuke","non-dropping-particle":"","parse-names":false,"suffix":""},{"dropping-particle":"","family":"Funato","given":"Yosuke","non-dropping-particle":"","parse-names":false,"suffix":""},{"dropping-particle":"","family":"Takano","given":"Yu","non-dropping-particle":"","parse-names":false,"suffix":""},{"dropping-particle":"","family":"Miki","given":"Hiroaki","non-dropping-particle":"","parse-names":false,"suffix":""}],"container-title":"Journal of Biological Chemistry","id":"ITEM-1","issue":"21","issued":{"date-parts":[["2014","5","23"]]},"page":"14731-14739","title":"Mg &lt;sup&gt;2+&lt;/sup&gt; -dependent Interactions of ATP with the Cystathionine-β-Synthase (CBS) Domains of a Magnesium Transporter","type":"article-journal","volume":"289"},"uris":["http://www.mendeley.com/documents/?uuid=2743f913-fa53-37bd-8c0f-046e870e3af2"]}],"mendeley":{"formattedCitation":"[54]","plainTextFormattedCitation":"[54]","previouslyFormattedCitation":"[54]"},"properties":{"noteIndex":0},"schema":"https://github.com/citation-style-language/schema/raw/master/csl-citation.json"}</w:instrText>
      </w:r>
      <w:r w:rsidR="00AC6980" w:rsidRPr="00650E54">
        <w:fldChar w:fldCharType="separate"/>
      </w:r>
      <w:r w:rsidR="00BC6753" w:rsidRPr="00BC6753">
        <w:rPr>
          <w:noProof/>
        </w:rPr>
        <w:t>[54]</w:t>
      </w:r>
      <w:r w:rsidR="00AC6980" w:rsidRPr="00650E54">
        <w:fldChar w:fldCharType="end"/>
      </w:r>
      <w:r>
        <w:t xml:space="preserve"> (</w:t>
      </w:r>
      <w:r w:rsidRPr="000F484B">
        <w:rPr>
          <w:b/>
          <w:i/>
        </w:rPr>
        <w:t>Fig. 2</w:t>
      </w:r>
      <w:r w:rsidR="006C5548" w:rsidRPr="000F484B">
        <w:rPr>
          <w:b/>
          <w:i/>
        </w:rPr>
        <w:t>A</w:t>
      </w:r>
      <w:r>
        <w:t>). Likewise</w:t>
      </w:r>
      <w:r w:rsidR="009A27D5">
        <w:t>,</w:t>
      </w:r>
      <w:r>
        <w:t xml:space="preserve"> we identified C-terminal fusions of CBS domains to MFS transporters in bacteria, where the role of </w:t>
      </w:r>
      <w:r w:rsidR="009045DA">
        <w:t>the CBS domain is still unknown</w:t>
      </w:r>
      <w:r>
        <w:t xml:space="preserve"> </w:t>
      </w:r>
      <w:r w:rsidR="00AC6980">
        <w:fldChar w:fldCharType="begin" w:fldLock="1"/>
      </w:r>
      <w:r w:rsidR="00A97363">
        <w:instrText>ADDIN CSL_CITATION {"citationItems":[{"id":"ITEM-1","itemData":{"DOI":"10.1099/mic.0.000771","ISSN":"1350-0872","abstract":"The evolution of gene fusions that result in covalently linked protein domains is widespread in bacteria, where spatially coupling domain functionalities can have functional advantages in vivo. Fusions to integral membrane proteins are less widely studied but could provide routes to enhance membrane function in synthetic biology. We studied the major facilitator superfamily (MFS), as the largest family of transporter proteins in bacteria, to examine the extent and nature of fusions to these proteins. A remarkably diverse variety of fusions are identified and the 8 most abundant examples are described, including additional enzymatic domains and a range of sensory and regulatory domains, many not previously described. Significantly, these fusions are found almost exclusively as C-terminal fusions, revealing that the usually cytoplasmic C-terminal end of MFS protein would the permissive end for engineering synthetic fusions to other cytoplasmic proteins.","author":[{"dropping-particle":"","family":"Willson","given":"Benjamin J.","non-dropping-particle":"","parse-names":false,"suffix":""},{"dropping-particle":"","family":"Dalzell","given":"Lindsey","non-dropping-particle":"","parse-names":false,"suffix":""},{"dropping-particle":"","family":"Chapman","given":"Liam N. M.","non-dropping-particle":"","parse-names":false,"suffix":""},{"dropping-particle":"","family":"Thomas","given":"Gavin H.","non-dropping-particle":"","parse-names":false,"suffix":""}],"container-title":"Microbiology","id":"ITEM-1","issued":{"date-parts":[["2019","1","18"]]},"publisher":"Microbiology Society","title":"Enhanced functionalisation of major facilitator superfamily transporters via fusion of C-terminal protein domains is both extensive and varied in bacteria","type":"article-journal"},"uris":["http://www.mendeley.com/documents/?uuid=0ec74869-c370-3bfc-833f-d6b150ec141b"]}],"mendeley":{"formattedCitation":"[18]","plainTextFormattedCitation":"[18]","previouslyFormattedCitation":"[18]"},"properties":{"noteIndex":0},"schema":"https://github.com/citation-style-language/schema/raw/master/csl-citation.json"}</w:instrText>
      </w:r>
      <w:r w:rsidR="00AC6980">
        <w:fldChar w:fldCharType="separate"/>
      </w:r>
      <w:r w:rsidR="00BC6753" w:rsidRPr="00BC6753">
        <w:rPr>
          <w:noProof/>
        </w:rPr>
        <w:t>[18]</w:t>
      </w:r>
      <w:r w:rsidR="00AC6980">
        <w:fldChar w:fldCharType="end"/>
      </w:r>
      <w:r>
        <w:t xml:space="preserve"> (</w:t>
      </w:r>
      <w:r w:rsidRPr="000F484B">
        <w:rPr>
          <w:b/>
          <w:i/>
        </w:rPr>
        <w:t>Fig. 2</w:t>
      </w:r>
      <w:r w:rsidR="006C5548" w:rsidRPr="000F484B">
        <w:rPr>
          <w:b/>
          <w:i/>
        </w:rPr>
        <w:t>A</w:t>
      </w:r>
      <w:r>
        <w:t>). There are also good examples in primary transporters. In the bacterial ABC transporter OpuCA, the fusion of tandem CBS domains is required for the osmoregulat</w:t>
      </w:r>
      <w:r w:rsidR="009045DA">
        <w:t>ory function of the transporter</w:t>
      </w:r>
      <w:r>
        <w:t xml:space="preserve"> </w:t>
      </w:r>
      <w:r w:rsidR="00AC6980">
        <w:fldChar w:fldCharType="begin" w:fldLock="1"/>
      </w:r>
      <w:r w:rsidR="00A97363">
        <w:instrText>ADDIN CSL_CITATION {"citationItems":[{"id":"ITEM-1","itemData":{"DOI":"10.1128/JB.00763-07","ISSN":"0021-9193","PMID":"17660277","abstract":"The plant pathogen Pseudomonas syringae may cope with osmotic stress on plants, in part, by importing osmoprotective compounds. In this study, we found that P. syringae pv. tomato strain DC3000 was distinct from most bacterial species in deriving greater osmoprotection from exogenous choline than from glycine betaine. This superior osmoprotection was correlated with a higher capacity for uptake of choline than for uptake of glycine betaine. Of four putative osmoregulatory ABC transporters in DC3000, one, designated OpuC, functioned as the primary or sole transporter for glycine betaine and as one of multiple transporters for choline under high osmolarity. Surprisingly, the homolog of the well-characterized ProU transporter from Escherichia coli and Salmonella enterica serovar Typhimurium did not function in osmoprotection. The P. syringae pv. tomato OpuC transporter was more closely related to the Bacillus subtilis and Listeria monocytogenes OpuC transporters than to known osmoprotectant transporters in gram-negative bacteria based on sequence similarity and genetic arrangement. The P. syringae pv. tomato OpuC transporter had a high affinity for glycine betaine, a low affinity for choline, and a broad substrate specificity that included acetylcholine, carnitine, and proline betaine. Tandem cystathionine-beta-synthase (CBS) domains in the ATP-binding component of OpuC were required for transporter function. The presence of these CBS domains was correlated with osmoregulatory function among the putative transporters examined in DC3000 and was found to be predictive of functional osmoregulatory transporters in other pseudomonads. These results provide the first functional evaluation of an osmoprotectant transporter in a Pseudomonas species and demonstrate the usefulness of the CBS domains as predictors of osmoregulatory activity.","author":[{"dropping-particle":"","family":"Chen","given":"Chiliang","non-dropping-particle":"","parse-names":false,"suffix":""},{"dropping-particle":"","family":"Beattie","given":"Gwyn A","non-dropping-particle":"","parse-names":false,"suffix":""}],"container-title":"Journal of bacteriology","id":"ITEM-1","issue":"19","issued":{"date-parts":[["2007","10","1"]]},"page":"6901-12","title":"Characterization of the osmoprotectant transporter OpuC from Pseudomonas syringae and demonstration that cystathionine-beta-synthase domains are required for its osmoregulatory function.","type":"article-journal","volume":"189"},"uris":["http://www.mendeley.com/documents/?uuid=ef42d01a-46ab-3cbb-aaad-66c4cf4cdb9d"]}],"mendeley":{"formattedCitation":"[55]","plainTextFormattedCitation":"[55]","previouslyFormattedCitation":"[55]"},"properties":{"noteIndex":0},"schema":"https://github.com/citation-style-language/schema/raw/master/csl-citation.json"}</w:instrText>
      </w:r>
      <w:r w:rsidR="00AC6980">
        <w:fldChar w:fldCharType="separate"/>
      </w:r>
      <w:r w:rsidR="00BC6753" w:rsidRPr="00BC6753">
        <w:rPr>
          <w:noProof/>
        </w:rPr>
        <w:t>[55]</w:t>
      </w:r>
      <w:r w:rsidR="00AC6980">
        <w:fldChar w:fldCharType="end"/>
      </w:r>
      <w:r w:rsidR="00B10E34">
        <w:t xml:space="preserve">. </w:t>
      </w:r>
      <w:r>
        <w:t xml:space="preserve">There is now emerging evidence that these CBS domains, fused to similar Opu-like ABC transporters in other bacteria including pathogenic </w:t>
      </w:r>
      <w:r>
        <w:rPr>
          <w:i/>
        </w:rPr>
        <w:t>Staphylococcus aureus</w:t>
      </w:r>
      <w:r>
        <w:t xml:space="preserve"> and </w:t>
      </w:r>
      <w:r>
        <w:rPr>
          <w:i/>
        </w:rPr>
        <w:t>Listeria monocytogenes</w:t>
      </w:r>
      <w:r>
        <w:t>, sens</w:t>
      </w:r>
      <w:r w:rsidR="009A27D5">
        <w:t>e</w:t>
      </w:r>
      <w:r>
        <w:t xml:space="preserve"> cyclic di-AMP, allowing an additional cytoplasmic regulatory signal to couple alloster</w:t>
      </w:r>
      <w:r w:rsidR="009045DA">
        <w:t>ically to membrane transporters</w:t>
      </w:r>
      <w:r>
        <w:t xml:space="preserve"> </w:t>
      </w:r>
      <w:r w:rsidR="00AC6980">
        <w:fldChar w:fldCharType="begin" w:fldLock="1"/>
      </w:r>
      <w:r w:rsidR="00A97363">
        <w:instrText>ADDIN CSL_CITATION {"citationItems":[{"id":"ITEM-1","itemData":{"DOI":"10.1111/mmi.13456","ISSN":"0950382X","PMID":"27378384","abstract":"Cellular turgor is of fundamental importance to bacterial growth and survival. Changes in external osmolarity as a consequence of fluctuating environmental conditions and colonization of diverse environments can significantly impact cytoplasmic water content, resulting in cellular lysis or plasmolysis. To ensure maintenance of appropriate cellular turgor, bacteria import ions and small organic osmolytes, deemed compatible solutes, to equilibrate cytoplasmic osmolarity with the extracellular environment. Here, we show that elevated levels of c-di-AMP, a ubiquitous second messenger among bacteria, result in significant susceptibility to elevated osmotic stress in the bacterial pathogen Listeria monocytogenes. We found that levels of import of the compatible solute carnitine show an inverse correlation with intracellular c-di-AMP content and that c-di-AMP directly binds to the CBS domain of the ATPase subunit of the carnitine importer OpuC. Biochemical and structural studies identify conserved residues required for this interaction and transport activity in bacterial cells. Overall, these studies reveal a role for c-di-AMP mediated regulation of compatible solute import and provide new insight into the molecular mechanisms by which this essential second messenger impacts bacterial physiology and adaptation to changing environmental conditions.","author":[{"dropping-particle":"","family":"Huynh","given":"TuAnh Ngoc","non-dropping-particle":"","parse-names":false,"suffix":""},{"dropping-particle":"","family":"Choi","given":"Philip H.","non-dropping-particle":"","parse-names":false,"suffix":""},{"dropping-particle":"","family":"Sureka","given":"Kamakshi","non-dropping-particle":"","parse-names":false,"suffix":""},{"dropping-particle":"","family":"Ledvina","given":"Hannah E.","non-dropping-particle":"","parse-names":false,"suffix":""},{"dropping-particle":"","family":"Campillo","given":"Julian","non-dropping-particle":"","parse-names":false,"suffix":""},{"dropping-particle":"","family":"Tong","given":"Liang","non-dropping-particle":"","parse-names":false,"suffix":""},{"dropping-particle":"","family":"Woodward","given":"Joshua J.","non-dropping-particle":"","parse-names":false,"suffix":""}],"container-title":"Molecular Microbiology","id":"ITEM-1","issue":"2","issued":{"date-parts":[["2016","10"]]},"page":"233-243","title":"Cyclic di-AMP targets the cystathionine beta-synthase domain of the osmolyte transporter OpuC","type":"article-journal","volume":"102"},"uris":["http://www.mendeley.com/documents/?uuid=f1b554b7-367e-3062-a5da-761e766dd9aa"]},{"id":"ITEM-2","itemData":{"DOI":"10.1126/scisignal.aaf7279","ISSN":"1937-9145","PMID":"27531650","abstract":"Staphylococcus aureus is an important opportunistic human pathogen that is highly resistant to osmotic stresses. To survive an increase in osmolarity, bacteria immediately take up potassium ions and small organic compounds known as compatible solutes. The second messenger cyclic diadenosine monophosphate (c-di-AMP) reduces the ability of bacteria to withstand osmotic stress by binding to and inhibiting several proteins that promote potassium uptake. We identified OpuCA, the adenosine triphosphatase (ATPase) component of an uptake system for the compatible solute carnitine, as a c-di-AMP target protein in S aureus and found that the LAC*ΔgdpP strain of S aureus, which overproduces c-di-AMP, showed reduced carnitine uptake. The paired cystathionine-β-synthase (CBS) domains of OpuCA bound to c-di-AMP, and a crystal structure revealed a putative binding pocket for c-di-AMP in the cleft between the two CBS domains. Thus, c-di-AMP inhibits osmoprotection through multiple mechanisms.","author":[{"dropping-particle":"","family":"Schuster","given":"Christopher F","non-dropping-particle":"","parse-names":false,"suffix":""},{"dropping-particle":"","family":"Bellows","given":"Lauren E","non-dropping-particle":"","parse-names":false,"suffix":""},{"dropping-particle":"","family":"Tosi","given":"Tommaso","non-dropping-particle":"","parse-names":false,"suffix":""},{"dropping-particle":"","family":"Campeotto","given":"Ivan","non-dropping-particle":"","parse-names":false,"suffix":""},{"dropping-particle":"","family":"Corrigan","given":"Rebecca M","non-dropping-particle":"","parse-names":false,"suffix":""},{"dropping-particle":"","family":"Freemont","given":"Paul","non-dropping-particle":"","parse-names":false,"suffix":""},{"dropping-particle":"","family":"Gründling","given":"Angelika","non-dropping-particle":"","parse-names":false,"suffix":""}],"container-title":"Science signaling","id":"ITEM-2","issue":"441","issued":{"date-parts":[["2016","8","16"]]},"page":"ra81","title":"The second messenger c-di-AMP inhibits the osmolyte uptake system OpuC in Staphylococcus aureus.","type":"article-journal","volume":"9"},"uris":["http://www.mendeley.com/documents/?uuid=11560f7b-50ea-34f0-9648-61594af25cd7"]}],"mendeley":{"formattedCitation":"[56,57]","plainTextFormattedCitation":"[56,57]","previouslyFormattedCitation":"[56,57]"},"properties":{"noteIndex":0},"schema":"https://github.com/citation-style-language/schema/raw/master/csl-citation.json"}</w:instrText>
      </w:r>
      <w:r w:rsidR="00AC6980">
        <w:fldChar w:fldCharType="separate"/>
      </w:r>
      <w:r w:rsidR="00BC6753" w:rsidRPr="00BC6753">
        <w:rPr>
          <w:noProof/>
        </w:rPr>
        <w:t>[56,57]</w:t>
      </w:r>
      <w:r w:rsidR="00AC6980">
        <w:fldChar w:fldCharType="end"/>
      </w:r>
      <w:r>
        <w:t xml:space="preserve">. </w:t>
      </w:r>
      <w:r w:rsidR="00B10E34">
        <w:t>The previously mentioned OpuF transporters have a similar fusion of one o</w:t>
      </w:r>
      <w:r w:rsidR="00CE6077">
        <w:t>r two CBS domains, although no data is available for the function of these domains in these proteins</w:t>
      </w:r>
      <w:r w:rsidR="00B10E34">
        <w:t xml:space="preserve"> </w:t>
      </w:r>
      <w:r w:rsidR="00A97363">
        <w:fldChar w:fldCharType="begin" w:fldLock="1"/>
      </w:r>
      <w:r w:rsidR="00A97363">
        <w:instrText>ADDIN CSL_CITATION {"citationItems":[{"id":"ITEM-1","itemData":{"DOI":"10.1128/AEM.01728-18","ISSN":"1098-5336","PMID":"30097444","abstract":"The accumulation of compatible solutes is a common defense of bacteria against the detrimental effects of high osmolarity. Uptake systems for these compounds are cornerstones in cellular osmostress responses because they allow the energy-preserving scavenging of osmostress protectants from environmental sources. Bacillus subtilis is well studied with respect to the import of compatible solutes and its five transport systems (OpuA, OpuB, OpuC, OpuD, and OpuE), for these stress protectants have previously been comprehensively studied. Building on this knowledge and taking advantage of the unabated appearance of new genome sequences of members of the genus Bacillus, we report here the discovery, physiological characterization, and phylogenomics of a new member of the Opu family of transporters, OpuF (OpuFA-OpuFB). OpuF is not present in B. subtilis but it is widely distributed in members of the large genus Bacillus OpuF is a representative of a subgroup of ATP-binding cassette (ABC) transporters in which the substrate-binding protein (SBP) is fused to the transmembrane domain (TMD). We studied the salient features of the OpuF transporters from Bacillus infantis and Bacillus panaciterrae by functional reconstitution in a B. subtilis chassis strain lacking known Opu transporters. A common property of the examined OpuF systems is their substrate profile; OpuF mediates the import of glycine betaine, proline betaine, homobetaine, and the marine osmolyte dimethylsulfoniopropionate (DMSP). An in silico model of the SBP domain of the TMD-SBP hybrid protein OpuFB was established. It revealed the presence of an aromatic cage, a structural feature commonly present in ligand-binding sites of compatible solute importers.IMPORTANCE The high-affinity import of compatible solutes from environmental sources is an important aspect of the cellular defense of many bacteria and archaea against the harmful effects of high external osmolarity. The accumulation of these osmostress protectants counteracts high-osmolarity-instigated water efflux, a drop in turgor to nonphysiological values, and an undue increase in molecular crowding of the cytoplasm; they thereby foster microbial growth under osmotically unfavorable conditions. Importers for compatible solutes allow the energy-preserving scavenging of osmoprotective and physiologically compliant organic solutes from environmental sources. We report here the discovery, exemplary physiological characterization, and phylogenomics of …","author":[{"dropping-particle":"","family":"Teichmann","given":"Laura","non-dropping-particle":"","parse-names":false,"suffix":""},{"dropping-particle":"","family":"Kümmel","given":"Henriette","non-dropping-particle":"","parse-names":false,"suffix":""},{"dropping-particle":"","family":"Warmbold","given":"Bianca","non-dropping-particle":"","parse-names":false,"suffix":""},{"dropping-particle":"","family":"Bremer","given":"Erhard","non-dropping-particle":"","parse-names":false,"suffix":""}],"container-title":"Applied and environmental microbiology","editor":[{"dropping-particle":"","family":"Kivisaar","given":"Maia","non-dropping-particle":"","parse-names":false,"suffix":""}],"id":"ITEM-1","issue":"20","issued":{"date-parts":[["2018","10","15"]]},"title":"OpuF, a New Bacillus Compatible Solute ABC Transporter with a Substrate-Binding Protein Fused to the Transmembrane Domain.","type":"article-journal","volume":"84"},"uris":["http://www.mendeley.com/documents/?uuid=7a821ffd-c2c1-36c9-bad4-54bbb7d47709"]}],"mendeley":{"formattedCitation":"[29]","plainTextFormattedCitation":"[29]"},"properties":{"noteIndex":0},"schema":"https://github.com/citation-style-language/schema/raw/master/csl-citation.json"}</w:instrText>
      </w:r>
      <w:r w:rsidR="00A97363">
        <w:fldChar w:fldCharType="separate"/>
      </w:r>
      <w:r w:rsidR="00A97363" w:rsidRPr="00A97363">
        <w:rPr>
          <w:noProof/>
        </w:rPr>
        <w:t>[29]</w:t>
      </w:r>
      <w:r w:rsidR="00A97363">
        <w:fldChar w:fldCharType="end"/>
      </w:r>
      <w:r w:rsidR="00B10E34">
        <w:t xml:space="preserve">. </w:t>
      </w:r>
      <w:r>
        <w:t>Cyclic d</w:t>
      </w:r>
      <w:r w:rsidR="00AA628C">
        <w:t>i</w:t>
      </w:r>
      <w:r>
        <w:t>-AMP has also recently been shown to regulate the Kup potassium channels, which contain a C-terminal soluble domain, suggesting that there ar</w:t>
      </w:r>
      <w:r w:rsidR="009045DA">
        <w:t>e more examples yet to be found</w:t>
      </w:r>
      <w:r>
        <w:t xml:space="preserve"> </w:t>
      </w:r>
      <w:r w:rsidR="00AC6980">
        <w:fldChar w:fldCharType="begin" w:fldLock="1"/>
      </w:r>
      <w:r w:rsidR="00A97363">
        <w:instrText>ADDIN CSL_CITATION {"citationItems":[{"id":"ITEM-1","itemData":{"DOI":"10.1128/JB.00028-19","ISSN":"1098-5530","PMID":"30745376","abstract":"Cyclic di-AMP (c-di-AMP) is a second messenger involved in diverse metabolic processes, including osmolyte uptake, cell wall homeostasis, and antibiotic and heat resistance. In Lactococcus lactis, a lactic acid bacterium which is used in the dairy industry and as a cell factory in biotechnological processes, the only reported interaction partners of c-di-AMP are the pyruvate carboxylase and BusR, the transcription regulator of the busAB operon for glycine betaine uptake. However, recent studies uncovered a major role of c-di-AMP in the control of potassium homeostasis, and potassium is the signal that triggers c-di-AMP synthesis. In this study, we have identified KupA and KupB, which belong to the Kup/HAK/KT family, as novel c-di-AMP binding proteins. Both proteins are high-affinity potassium transporters, and their transport activities are inhibited by binding of c-di-AMP. Thus, in addition to the well-studied Ktr/Trk potassium channels, KupA and KupB represent a second class of potassium transporters that are subject to inhibition by c-di-AMP.IMPORTANCE Potassium is an essential ion in every living cell. Even though potassium is the most abundant cation in cells, its accumulation can be toxic. Therefore, the level of potassium has to be tightly controlled. In many Gram-positive bacteria, the second messenger cyclic di-AMP plays a key role in the control of potassium homeostasis by binding to potassium transporters and regulatory proteins and RNA molecules. In the lactic acid bacterium Lactococcus lactis, none of these conserved c-di-AMP-responsive molecules are present. In this study, we demonstrate that the KupA and KupB proteins of L. lactis IL1403 are high-affinity potassium transporters and that their transport activity is inhibited by the second messenger c-di-AMP.","author":[{"dropping-particle":"","family":"Quintana","given":"Ingrid M","non-dropping-particle":"","parse-names":false,"suffix":""},{"dropping-particle":"","family":"Gibhardt","given":"Johannes","non-dropping-particle":"","parse-names":false,"suffix":""},{"dropping-particle":"","family":"Turdiev","given":"Asan","non-dropping-particle":"","parse-names":false,"suffix":""},{"dropping-particle":"","family":"Hammer","given":"Elke","non-dropping-particle":"","parse-names":false,"suffix":""},{"dropping-particle":"","family":"Commichau","given":"Fabian M","non-dropping-particle":"","parse-names":false,"suffix":""},{"dropping-particle":"","family":"Lee","given":"Vincent T","non-dropping-particle":"","parse-names":false,"suffix":""},{"dropping-particle":"","family":"Magni","given":"Christian","non-dropping-particle":"","parse-names":false,"suffix":""},{"dropping-particle":"","family":"Stülke","given":"Jörg","non-dropping-particle":"","parse-names":false,"suffix":""}],"container-title":"Journal of bacteriology","id":"ITEM-1","issue":"10","issued":{"date-parts":[["2019","5","15"]]},"page":"e00028-19","publisher":"American Society for Microbiology Journals","title":"The KupA and KupB Proteins of Lactococcus lactis IL1403 Are Novel c-di-AMP Receptor Proteins Responsible for Potassium Uptake.","type":"article-journal","volume":"201"},"uris":["http://www.mendeley.com/documents/?uuid=25ec8172-0035-3c75-9be1-29106bea7442"]}],"mendeley":{"formattedCitation":"[58]","plainTextFormattedCitation":"[58]","previouslyFormattedCitation":"[58]"},"properties":{"noteIndex":0},"schema":"https://github.com/citation-style-language/schema/raw/master/csl-citation.json"}</w:instrText>
      </w:r>
      <w:r w:rsidR="00AC6980">
        <w:fldChar w:fldCharType="separate"/>
      </w:r>
      <w:r w:rsidR="00BC6753" w:rsidRPr="00BC6753">
        <w:rPr>
          <w:noProof/>
        </w:rPr>
        <w:t>[58]</w:t>
      </w:r>
      <w:r w:rsidR="00AC6980">
        <w:fldChar w:fldCharType="end"/>
      </w:r>
      <w:r>
        <w:t>.</w:t>
      </w:r>
    </w:p>
    <w:p w14:paraId="39AB0155" w14:textId="71149DBA" w:rsidR="00650DC8" w:rsidRDefault="00FE2067">
      <w:r>
        <w:t>Another</w:t>
      </w:r>
      <w:r w:rsidR="00E80212">
        <w:t>, less well understood example is the Usp</w:t>
      </w:r>
      <w:r w:rsidR="000D26A6">
        <w:t xml:space="preserve"> (universal stress protein)</w:t>
      </w:r>
      <w:r w:rsidR="00E80212">
        <w:t xml:space="preserve"> domain</w:t>
      </w:r>
      <w:r w:rsidR="006C5548">
        <w:t xml:space="preserve"> (</w:t>
      </w:r>
      <w:r w:rsidR="006C5548" w:rsidRPr="00CC0C85">
        <w:rPr>
          <w:b/>
          <w:i/>
        </w:rPr>
        <w:t>Fig 2B</w:t>
      </w:r>
      <w:r w:rsidR="006C5548">
        <w:t>)</w:t>
      </w:r>
      <w:r w:rsidR="00E80212">
        <w:t>. The biological function of this protein family, exemplified by UspA, remains elusive even 25 years after its discovery and despite its ubiquitous pres</w:t>
      </w:r>
      <w:r w:rsidR="009045DA">
        <w:t>ence across all domains of life</w:t>
      </w:r>
      <w:r w:rsidR="00E80212">
        <w:t xml:space="preserve"> </w:t>
      </w:r>
      <w:r w:rsidR="00474FB0">
        <w:fldChar w:fldCharType="begin" w:fldLock="1"/>
      </w:r>
      <w:r w:rsidR="00A97363">
        <w:instrText>ADDIN CSL_CITATION {"citationItems":[{"id":"ITEM-1","itemData":{"DOI":"10.1016/bs.aambs.2017.10.001","ISSN":"0065-2164","PMID":"29680123","abstract":"Since the initial discovery of universal stress protein A (UspA) 25 years ago, remarkable advances in molecular and biochemical technologies have revolutionized our understanding of biology. Many studies using these technologies have focused on characterization of the uspA gene and Usp-type proteins. These studies have identified the conservation of Usp-like proteins across bacteria, archaea, plants, and even some invertebrate animals. Regulation of these proteins under diverse stresses has been associated with different stress-response genes including spoT and relA in the stringent response and the dosR two-component signaling pathways. These and other foundational studies suggest Usps serve regulatory and protective roles to enable adaptation and survival under external stresses. Despite these foundational studies, many bacterial species have multiple paralogs of genes encoding these proteins and ablation of the genes does not provide a distinct phenotype. This outcome has limited our understanding of the biochemical functions of these proteins. Here, we summarize the current knowledge of Usps in general and UspA in particular across different genera as well as conclusions about their functions from seminal studies in diverse organisms. Our objective has been to organize the foundational studies in this field to identify the significant impediments to further understanding of Usp functions at the molecular level. We propose ideas and experimental approaches that may overcome these impediments and drive future development of molecular approaches to understand and target Usps as central regulators of stress adaptation and survival. Despite the fact that the full functions of Usps are still not known, creative many applications have already been proposed, tested, and used. The complementary approaches of basic research and applications, along with new technology and analytic tools, may yield the elusive yet critical functions of universal stress proteins in diverse systems.","author":[{"dropping-particle":"","family":"Vollmer","given":"Amy C.","non-dropping-particle":"","parse-names":false,"suffix":""},{"dropping-particle":"","family":"Bark","given":"Steven J.","non-dropping-particle":"","parse-names":false,"suffix":""}],"container-title":"Advances in applied microbiology","id":"ITEM-1","issued":{"date-parts":[["2018"]]},"page":"1-36","title":"Twenty-Five Years of Investigating the Universal Stress Protein: Function, Structure, and Applications","type":"chapter","volume":"102"},"uris":["http://www.mendeley.com/documents/?uuid=fa4a7b45-671f-3505-8860-096153c9e511"]}],"mendeley":{"formattedCitation":"[59]","plainTextFormattedCitation":"[59]","previouslyFormattedCitation":"[59]"},"properties":{"noteIndex":0},"schema":"https://github.com/citation-style-language/schema/raw/master/csl-citation.json"}</w:instrText>
      </w:r>
      <w:r w:rsidR="00474FB0">
        <w:fldChar w:fldCharType="separate"/>
      </w:r>
      <w:r w:rsidR="00BC6753" w:rsidRPr="00BC6753">
        <w:rPr>
          <w:noProof/>
        </w:rPr>
        <w:t>[59]</w:t>
      </w:r>
      <w:r w:rsidR="00474FB0">
        <w:fldChar w:fldCharType="end"/>
      </w:r>
      <w:r w:rsidR="00474FB0">
        <w:t>.</w:t>
      </w:r>
      <w:r w:rsidR="00E80212">
        <w:t xml:space="preserve"> Fusions have been described to the C-termini of various cyanobacterial Na</w:t>
      </w:r>
      <w:r w:rsidR="00E80212">
        <w:rPr>
          <w:vertAlign w:val="superscript"/>
        </w:rPr>
        <w:t>+</w:t>
      </w:r>
      <w:r w:rsidR="00E80212">
        <w:t>/H</w:t>
      </w:r>
      <w:r w:rsidR="00E80212">
        <w:rPr>
          <w:vertAlign w:val="superscript"/>
        </w:rPr>
        <w:t>+</w:t>
      </w:r>
      <w:r w:rsidR="00E80212">
        <w:t xml:space="preserve"> exchangers</w:t>
      </w:r>
      <w:r w:rsidR="009C2183">
        <w:t xml:space="preserve"> </w:t>
      </w:r>
      <w:r w:rsidR="003C7C67">
        <w:fldChar w:fldCharType="begin" w:fldLock="1"/>
      </w:r>
      <w:r w:rsidR="00A97363">
        <w:instrText>ADDIN CSL_CITATION {"citationItems":[{"id":"ITEM-1","itemData":{"DOI":"10.1101/344416","abstract":"Na+/H+ antiporters mediated pH regulation is one of the known mechanism(s), which advocates a possible role of the antiporters in the alkaline pH tolerance of Arthrospira platensis NIES-39 too. Seven putative Na+/H+ antiporters have been reported in A. platensis . We have characterized these seven antiporters, where A1, Q2, L2 and L6 belong to the CPA1 family whereas C5, D5 and O6 belong to CPA2 family through various In-silico analysis. Conserved domain analysis of these seven putative antiporters indicate the presence of nine different kinds of domains. Out of these nine domains, six domains function as monovalent cation-proton antiporters and two as the universal stress protein (Usp) category. Transcription profile of these seven antiporters was also generated at three different pH and time frames which showed a significant difference in the m-RNA levels at pH 7, 9 and at 11 along with a temporal pattern of the expression profile. The Insilico and the real time PCR analysis, put together, suggest the active participation of these seven putative Na+/H+ antiporters in alkaline pH homeostasis of this cyanobacterial strain where CPA1 subfamily antiporters play a major role.","author":[{"dropping-particle":"","family":"Jangir","given":"Monika M.","non-dropping-particle":"","parse-names":false,"suffix":""},{"dropping-particle":"","family":"Vani","given":"B.","non-dropping-particle":"","parse-names":false,"suffix":""},{"dropping-particle":"","family":"Chowdhury","given":"Shibasish","non-dropping-particle":"","parse-names":false,"suffix":""}],"container-title":"bioRxiv","id":"ITEM-1","issued":{"date-parts":[["2018","6","11"]]},"page":"344416","publisher":"Cold Spring Harbor Laboratory","title":"Analysis of seven putative Na+/H+ antiporters of Arthrospira platensis NIES-39 using transcription profiling and In-silico studies: an indication towards alkaline pH acclimation","type":"article-journal"},"uris":["http://www.mendeley.com/documents/?uuid=c12c2521-1839-3e9a-bec3-816621385826"]}],"mendeley":{"formattedCitation":"[60]","plainTextFormattedCitation":"[60]","previouslyFormattedCitation":"[60]"},"properties":{"noteIndex":0},"schema":"https://github.com/citation-style-language/schema/raw/master/csl-citation.json"}</w:instrText>
      </w:r>
      <w:r w:rsidR="003C7C67">
        <w:fldChar w:fldCharType="separate"/>
      </w:r>
      <w:r w:rsidR="00BC6753" w:rsidRPr="00BC6753">
        <w:rPr>
          <w:noProof/>
        </w:rPr>
        <w:t>[60]</w:t>
      </w:r>
      <w:r w:rsidR="003C7C67">
        <w:fldChar w:fldCharType="end"/>
      </w:r>
      <w:r w:rsidR="00E80212">
        <w:t xml:space="preserve">, </w:t>
      </w:r>
      <w:r w:rsidR="002607F2">
        <w:t xml:space="preserve">to </w:t>
      </w:r>
      <w:r w:rsidR="00E80212">
        <w:t>voltage gated Cl</w:t>
      </w:r>
      <w:r w:rsidR="00E80212">
        <w:rPr>
          <w:vertAlign w:val="superscript"/>
        </w:rPr>
        <w:t>-</w:t>
      </w:r>
      <w:r w:rsidR="00E80212">
        <w:t xml:space="preserve"> channels an</w:t>
      </w:r>
      <w:r w:rsidR="009045DA">
        <w:t>d archaeal amino acid permeases</w:t>
      </w:r>
      <w:r w:rsidR="00E80212">
        <w:t xml:space="preserve"> </w:t>
      </w:r>
      <w:r w:rsidR="00474FB0">
        <w:fldChar w:fldCharType="begin" w:fldLock="1"/>
      </w:r>
      <w:r w:rsidR="00A97363">
        <w:instrText>ADDIN CSL_CITATION {"citationItems":[{"id":"ITEM-1","itemData":{"DOI":"10.1016/S1369-5274(03)00025-0","ISSN":"1369-5274","abstract":"The universal stress protein A (UspA) superfamily encompasses an ancient and conserved group of proteins that are found in bacteria, Archea, fungi, flies and plants. The Escherichia coli UspA is produced in response to a large number of different environmental onslaughts and UspA is one of the most abundant proteins in growth-arrested cells. Although insights into the regulation of the E. coli uspA gene have been gained, the exact roles of the Usp proteins and Usp domains remain enigmatic; they appear, in some cases, to be linked to resistance to DNA-damaging agents and to respiratory uncouplers.","author":[{"dropping-particle":"","family":"Kvint","given":"Kristian","non-dropping-particle":"","parse-names":false,"suffix":""},{"dropping-particle":"","family":"Nachin","given":"Laurence","non-dropping-particle":"","parse-names":false,"suffix":""},{"dropping-particle":"","family":"Diez","given":"Alfredo","non-dropping-particle":"","parse-names":false,"suffix":""},{"dropping-particle":"","family":"Nyström","given":"Thomas","non-dropping-particle":"","parse-names":false,"suffix":""}],"container-title":"Current Opinion in Microbiology","id":"ITEM-1","issue":"2","issued":{"date-parts":[["2003","4","1"]]},"page":"140-145","publisher":"Elsevier Current Trends","title":"The bacterial universal stress protein: function and regulation","type":"article-journal","volume":"6"},"uris":["http://www.mendeley.com/documents/?uuid=09281250-7f70-3112-9d04-ef48b842b52b"]}],"mendeley":{"formattedCitation":"[61]","plainTextFormattedCitation":"[61]","previouslyFormattedCitation":"[61]"},"properties":{"noteIndex":0},"schema":"https://github.com/citation-style-language/schema/raw/master/csl-citation.json"}</w:instrText>
      </w:r>
      <w:r w:rsidR="00474FB0">
        <w:fldChar w:fldCharType="separate"/>
      </w:r>
      <w:r w:rsidR="00BC6753" w:rsidRPr="00BC6753">
        <w:rPr>
          <w:noProof/>
        </w:rPr>
        <w:t>[61]</w:t>
      </w:r>
      <w:r w:rsidR="00474FB0">
        <w:fldChar w:fldCharType="end"/>
      </w:r>
      <w:r w:rsidR="00E80212">
        <w:t>, to the</w:t>
      </w:r>
      <w:r w:rsidR="009045DA">
        <w:t xml:space="preserve"> ABT</w:t>
      </w:r>
      <w:r w:rsidR="002607F2">
        <w:t xml:space="preserve"> (archaeal/bacterial transporter)</w:t>
      </w:r>
      <w:r w:rsidR="009045DA">
        <w:t xml:space="preserve"> family of APC transporters</w:t>
      </w:r>
      <w:r w:rsidR="00E80212">
        <w:t xml:space="preserve"> </w:t>
      </w:r>
      <w:r w:rsidR="00474FB0">
        <w:fldChar w:fldCharType="begin" w:fldLock="1"/>
      </w:r>
      <w:r w:rsidR="00A97363">
        <w:instrText>ADDIN CSL_CITATION {"citationItems":[{"id":"ITEM-1","itemData":{"DOI":"10.1016/J.BBAMEM.2006.06.018","ISSN":"0005-2736","abstract":"“Extra” domains in members of the families of secondary transport carrier and channel proteins provide secondary functions that expand, amplify or restrict the functional nature of these proteins. Domains in secondary carriers include TrkA and SPX domains in DASS family members, DedA domains in TRAP-T family members (both of the IT superfamily), Kazal-2 and PDZ domains in OAT family members (of the MF superfamily), USP, IIAFru and TrkA domains in ABT family members (of the APC superfamily), ricin domains in OST family members, and TrkA domains in AAE family members. Some transporters contain highly hydrophilic domains consisting of multiple repeat units that can also be found in proteins of dissimilar function. Similarly, transmembrane α-helical channel-forming proteins contain unique, conserved, hydrophilic domains, most of which are not found in carriers. In some cases the functions of these domains are known. They may be ligand binding domains, phosphorylation domains, signal transduction domains, protein/protein interaction domains or complex carbohydrate-binding domains. These domains mediate regulation, subunit interactions, or subcellular targeting. Phylogenetic analyses show that while some of these domains are restricted to closely related proteins derived from specific organismal types, others are nearly ubiquitous within a particular family of transporters and occur in a tremendous diversity of organisms. The former probably became associated with the transporters late in the evolutionary process; the latter probably became associated with the carriers much earlier. These domains can be located at either end of the transporter or in a central region, depending on the domain and transporter family. These studies provide useful information about the evolution of extra domains in channels and secondary carriers and provide novel clues concerning function.","author":[{"dropping-particle":"","family":"Barabote","given":"Ravi D.","non-dropping-particle":"","parse-names":false,"suffix":""},{"dropping-particle":"","family":"Tamang","given":"Dorjee G.","non-dropping-particle":"","parse-names":false,"suffix":""},{"dropping-particle":"","family":"Abeywardena","given":"Shannon N.","non-dropping-particle":"","parse-names":false,"suffix":""},{"dropping-particle":"","family":"Fallah","given":"Neda S.","non-dropping-particle":"","parse-names":false,"suffix":""},{"dropping-particle":"","family":"Fu","given":"Jeffrey Yu Chung","non-dropping-particle":"","parse-names":false,"suffix":""},{"dropping-particle":"","family":"Lio","given":"Jeffrey K.","non-dropping-particle":"","parse-names":false,"suffix":""},{"dropping-particle":"","family":"Mirhosseini","given":"Pegah","non-dropping-particle":"","parse-names":false,"suffix":""},{"dropping-particle":"","family":"Pezeshk","given":"Ronnie","non-dropping-particle":"","parse-names":false,"suffix":""},{"dropping-particle":"","family":"Podell","given":"Sheila","non-dropping-particle":"","parse-names":false,"suffix":""},{"dropping-particle":"","family":"Salampessy","given":"Marnae L.","non-dropping-particle":"","parse-names":false,"suffix":""},{"dropping-particle":"","family":"Thever","given":"Mark D.","non-dropping-particle":"","parse-names":false,"suffix":""},{"dropping-particle":"","family":"Saier","given":"Milton H.","non-dropping-particle":"","parse-names":false,"suffix":""}],"container-title":"Biochimica et Biophysica Acta (BBA) - Biomembranes","id":"ITEM-1","issue":"10","issued":{"date-parts":[["2006","10","1"]]},"page":"1557-1579","publisher":"Elsevier","title":"Extra domains in secondary transport carriers and channel proteins","type":"article-journal","volume":"1758"},"uris":["http://www.mendeley.com/documents/?uuid=1700b144-7968-3e69-a7fe-85fe967ae60b"]}],"mendeley":{"formattedCitation":"[38]","plainTextFormattedCitation":"[38]","previouslyFormattedCitation":"[38]"},"properties":{"noteIndex":0},"schema":"https://github.com/citation-style-language/schema/raw/master/csl-citation.json"}</w:instrText>
      </w:r>
      <w:r w:rsidR="00474FB0">
        <w:fldChar w:fldCharType="separate"/>
      </w:r>
      <w:r w:rsidR="00BC6753" w:rsidRPr="00BC6753">
        <w:rPr>
          <w:noProof/>
        </w:rPr>
        <w:t>[38]</w:t>
      </w:r>
      <w:r w:rsidR="00474FB0">
        <w:fldChar w:fldCharType="end"/>
      </w:r>
      <w:r w:rsidR="00AA628C">
        <w:t>,</w:t>
      </w:r>
      <w:r w:rsidR="00E80212">
        <w:t xml:space="preserve"> and to MFS transporters</w:t>
      </w:r>
      <w:r w:rsidR="009045DA">
        <w:t>, typically from Actinobacteria</w:t>
      </w:r>
      <w:r w:rsidR="00E80212">
        <w:t xml:space="preserve"> </w:t>
      </w:r>
      <w:r w:rsidR="00474FB0">
        <w:fldChar w:fldCharType="begin" w:fldLock="1"/>
      </w:r>
      <w:r w:rsidR="00A97363">
        <w:instrText>ADDIN CSL_CITATION {"citationItems":[{"id":"ITEM-1","itemData":{"DOI":"10.1099/mic.0.000771","ISSN":"1350-0872","abstract":"The evolution of gene fusions that result in covalently linked protein domains is widespread in bacteria, where spatially coupling domain functionalities can have functional advantages in vivo. Fusions to integral membrane proteins are less widely studied but could provide routes to enhance membrane function in synthetic biology. We studied the major facilitator superfamily (MFS), as the largest family of transporter proteins in bacteria, to examine the extent and nature of fusions to these proteins. A remarkably diverse variety of fusions are identified and the 8 most abundant examples are described, including additional enzymatic domains and a range of sensory and regulatory domains, many not previously described. Significantly, these fusions are found almost exclusively as C-terminal fusions, revealing that the usually cytoplasmic C-terminal end of MFS protein would the permissive end for engineering synthetic fusions to other cytoplasmic proteins.","author":[{"dropping-particle":"","family":"Willson","given":"Benjamin J.","non-dropping-particle":"","parse-names":false,"suffix":""},{"dropping-particle":"","family":"Dalzell","given":"Lindsey","non-dropping-particle":"","parse-names":false,"suffix":""},{"dropping-particle":"","family":"Chapman","given":"Liam N. M.","non-dropping-particle":"","parse-names":false,"suffix":""},{"dropping-particle":"","family":"Thomas","given":"Gavin H.","non-dropping-particle":"","parse-names":false,"suffix":""}],"container-title":"Microbiology","id":"ITEM-1","issued":{"date-parts":[["2019","1","18"]]},"publisher":"Microbiology Society","title":"Enhanced functionalisation of major facilitator superfamily transporters via fusion of C-terminal protein domains is both extensive and varied in bacteria","type":"article-journal"},"uris":["http://www.mendeley.com/documents/?uuid=0ec74869-c370-3bfc-833f-d6b150ec141b"]}],"mendeley":{"formattedCitation":"[18]","plainTextFormattedCitation":"[18]","previouslyFormattedCitation":"[18]"},"properties":{"noteIndex":0},"schema":"https://github.com/citation-style-language/schema/raw/master/csl-citation.json"}</w:instrText>
      </w:r>
      <w:r w:rsidR="00474FB0">
        <w:fldChar w:fldCharType="separate"/>
      </w:r>
      <w:r w:rsidR="00BC6753" w:rsidRPr="00BC6753">
        <w:rPr>
          <w:noProof/>
        </w:rPr>
        <w:t>[18]</w:t>
      </w:r>
      <w:r w:rsidR="00474FB0">
        <w:fldChar w:fldCharType="end"/>
      </w:r>
      <w:r w:rsidR="00E80212">
        <w:t>. Interesting hybrid examples have been noted with an archaeal Usp fused to a bacterial Na</w:t>
      </w:r>
      <w:r w:rsidR="00E80212">
        <w:rPr>
          <w:vertAlign w:val="superscript"/>
        </w:rPr>
        <w:t>+</w:t>
      </w:r>
      <w:r w:rsidR="00E80212">
        <w:t>/H</w:t>
      </w:r>
      <w:r w:rsidR="00E80212">
        <w:rPr>
          <w:vertAlign w:val="superscript"/>
        </w:rPr>
        <w:t>+</w:t>
      </w:r>
      <w:r w:rsidR="009045DA">
        <w:t xml:space="preserve"> exchanger</w:t>
      </w:r>
      <w:r w:rsidR="00E80212">
        <w:t xml:space="preserve"> </w:t>
      </w:r>
      <w:r w:rsidR="00474FB0">
        <w:fldChar w:fldCharType="begin" w:fldLock="1"/>
      </w:r>
      <w:r w:rsidR="00A97363">
        <w:instrText>ADDIN CSL_CITATION {"citationItems":[{"id":"ITEM-1","itemData":{"DOI":"10.1186/s13059-018-1454-9","ISSN":"1474-760X","PMID":"29880023","abstract":"BACKGROUND Haloarchaea, a major group of archaea, are able to metabolize sugars and to live in oxygenated salty environments. Their physiology and lifestyle strongly contrast with that of their archaeal ancestors. Amino acid optimizations, which lowered the isoelectric point of haloarchaeal proteins, and abundant lateral gene transfers from bacteria have been invoked to explain this deep evolutionary transition. We use network analyses to show that the evolution of novel genes exclusive to Haloarchaea also contributed to the evolution of this group. RESULTS We report the creation of 320 novel composite genes, both early in the evolution of Haloarchaea during haloarchaeal genesis and later in diverged haloarchaeal groups. One hundred and twenty-six of these novel composite genes derived from genetic material from bacterial genomes. These latter genes, largely involved in metabolic functions but also in oxygenic lifestyle, constitute a different gene pool from the laterally acquired bacterial genes formerly identified. These novel composite genes were likely advantageous for their hosts, since they show significant residence times in haloarchaeal genomes-consistent with a long phylogenetic history involving vertical descent and lateral gene transfer-and encode proteins with optimized isoelectric points. CONCLUSIONS Overall, our work encourages a systematic search for composite genes across all archaeal major groups, in order to better understand the origins of novel prokaryotic genes, and in order to test to what extent archaea might have adjusted their lifestyles by incorporating and recycling laterally acquired bacterial genetic fragments into new archaeal genes.","author":[{"dropping-particle":"","family":"Méheust","given":"Raphaël","non-dropping-particle":"","parse-names":false,"suffix":""},{"dropping-particle":"","family":"Watson","given":"Andrew K","non-dropping-particle":"","parse-names":false,"suffix":""},{"dropping-particle":"","family":"Lapointe","given":"François-Joseph","non-dropping-particle":"","parse-names":false,"suffix":""},{"dropping-particle":"","family":"Papke","given":"R Thane","non-dropping-particle":"","parse-names":false,"suffix":""},{"dropping-particle":"","family":"Lopez","given":"Philippe","non-dropping-particle":"","parse-names":false,"suffix":""},{"dropping-particle":"","family":"Bapteste","given":"Eric","non-dropping-particle":"","parse-names":false,"suffix":""}],"container-title":"Genome biology","id":"ITEM-1","issue":"1","issued":{"date-parts":[["2018","12","7"]]},"page":"75","title":"Hundreds of novel composite genes and chimeric genes with bacterial origins contributed to haloarchaeal evolution.","type":"article-journal","volume":"19"},"uris":["http://www.mendeley.com/documents/?uuid=e354020b-7856-302a-8f63-0a3eb5b53353"]}],"mendeley":{"formattedCitation":"[62]","plainTextFormattedCitation":"[62]","previouslyFormattedCitation":"[62]"},"properties":{"noteIndex":0},"schema":"https://github.com/citation-style-language/schema/raw/master/csl-citation.json"}</w:instrText>
      </w:r>
      <w:r w:rsidR="00474FB0">
        <w:fldChar w:fldCharType="separate"/>
      </w:r>
      <w:r w:rsidR="00BC6753" w:rsidRPr="00BC6753">
        <w:rPr>
          <w:noProof/>
        </w:rPr>
        <w:t>[62]</w:t>
      </w:r>
      <w:r w:rsidR="00474FB0">
        <w:fldChar w:fldCharType="end"/>
      </w:r>
      <w:r w:rsidR="009045DA">
        <w:t>*</w:t>
      </w:r>
      <w:r w:rsidR="00E80212">
        <w:t>. Usp proteins have also been noted as being located in operons with other transporter</w:t>
      </w:r>
      <w:r w:rsidR="009045DA">
        <w:t>s such as the TRAP transporters</w:t>
      </w:r>
      <w:r w:rsidR="00AA628C">
        <w:t xml:space="preserve"> </w:t>
      </w:r>
      <w:r w:rsidR="00474FB0">
        <w:fldChar w:fldCharType="begin" w:fldLock="1"/>
      </w:r>
      <w:r w:rsidR="00A97363">
        <w:instrText>ADDIN CSL_CITATION {"citationItems":[{"id":"ITEM-1","itemData":{"DOI":"10.1159/000099643","ISSN":"1464-1801","PMID":"17587870","abstract":"Tripartite ATP-independent periplasmic (TRAP) transporters are a family of extracytoplasmic solute receptor-dependent secondary transporters that are widespread in the prokaryotic world but which have not been extensively studied. Here, we present results of a genome-wide analysis of TRAP sequences and genome organization from application of TRAPDb, a relational database created for the collection, curation and analysis of TRAP sequences. This has revealed a specific enrichment in the number of TRAP transporters in several bacteria which is consistent with increased use of TRAP transporters in saline environments. Additionally, we report a number of new organizations of TRAP transporter genes and proteins which suggest the recruitment of TRAP transporter components for use in other biological contexts.","author":[{"dropping-particle":"","family":"Mulligan","given":"Christopher","non-dropping-particle":"","parse-names":false,"suffix":""},{"dropping-particle":"","family":"Kelly","given":"David J","non-dropping-particle":"","parse-names":false,"suffix":""},{"dropping-particle":"","family":"Thomas","given":"Gavin H","non-dropping-particle":"","parse-names":false,"suffix":""}],"container-title":"Journal of molecular microbiology and biotechnology","id":"ITEM-1","issue":"3-4","issued":{"date-parts":[["2007"]]},"page":"218-26","title":"Tripartite ATP-independent periplasmic transporters: application of a relational database for genome-wide analysis of transporter gene frequency and organization.","type":"article-journal","volume":"12"},"uris":["http://www.mendeley.com/documents/?uuid=6f5a4ce9-e5bd-3761-90d3-1ab55e20a06a"]}],"mendeley":{"formattedCitation":"[63]","plainTextFormattedCitation":"[63]","previouslyFormattedCitation":"[63]"},"properties":{"noteIndex":0},"schema":"https://github.com/citation-style-language/schema/raw/master/csl-citation.json"}</w:instrText>
      </w:r>
      <w:r w:rsidR="00474FB0">
        <w:fldChar w:fldCharType="separate"/>
      </w:r>
      <w:r w:rsidR="00BC6753" w:rsidRPr="00BC6753">
        <w:rPr>
          <w:noProof/>
        </w:rPr>
        <w:t>[63]</w:t>
      </w:r>
      <w:r w:rsidR="00474FB0">
        <w:fldChar w:fldCharType="end"/>
      </w:r>
      <w:r w:rsidR="00E80212">
        <w:t xml:space="preserve">. Despite this, their precise function is unknown; however, as the UspFG </w:t>
      </w:r>
      <w:r w:rsidR="00E80212">
        <w:lastRenderedPageBreak/>
        <w:t xml:space="preserve">proteins, which the fused domains most resemble, are known to bind ATP, then perhaps this is another solution that Nature has stumbled across to allosterically regulate transporter and channel function by </w:t>
      </w:r>
      <w:r w:rsidR="009045DA">
        <w:t>nucleotide triphosphate binding</w:t>
      </w:r>
      <w:r w:rsidR="00E80212">
        <w:t xml:space="preserve"> </w:t>
      </w:r>
      <w:r w:rsidR="00F61FF4">
        <w:fldChar w:fldCharType="begin" w:fldLock="1"/>
      </w:r>
      <w:r w:rsidR="00A97363">
        <w:instrText>ADDIN CSL_CITATION {"citationItems":[{"id":"ITEM-1","itemData":{"DOI":"10.1016/S1369-5274(03)00025-0","ISSN":"1369-5274","abstract":"The universal stress protein A (UspA) superfamily encompasses an ancient and conserved group of proteins that are found in bacteria, Archea, fungi, flies and plants. The Escherichia coli UspA is produced in response to a large number of different environmental onslaughts and UspA is one of the most abundant proteins in growth-arrested cells. Although insights into the regulation of the E. coli uspA gene have been gained, the exact roles of the Usp proteins and Usp domains remain enigmatic; they appear, in some cases, to be linked to resistance to DNA-damaging agents and to respiratory uncouplers.","author":[{"dropping-particle":"","family":"Kvint","given":"Kristian","non-dropping-particle":"","parse-names":false,"suffix":""},{"dropping-particle":"","family":"Nachin","given":"Laurence","non-dropping-particle":"","parse-names":false,"suffix":""},{"dropping-particle":"","family":"Diez","given":"Alfredo","non-dropping-particle":"","parse-names":false,"suffix":""},{"dropping-particle":"","family":"Nyström","given":"Thomas","non-dropping-particle":"","parse-names":false,"suffix":""}],"container-title":"Current Opinion in Microbiology","id":"ITEM-1","issue":"2","issued":{"date-parts":[["2003","4","1"]]},"page":"140-145","publisher":"Elsevier Current Trends","title":"The bacterial universal stress protein: function and regulation","type":"article-journal","volume":"6"},"uris":["http://www.mendeley.com/documents/?uuid=09281250-7f70-3112-9d04-ef48b842b52b"]},{"id":"ITEM-2","itemData":{"DOI":"10.1016/J.BBAMEM.2006.06.018","ISSN":"0005-2736","abstract":"“Extra” domains in members of the families of secondary transport carrier and channel proteins provide secondary functions that expand, amplify or restrict the functional nature of these proteins. Domains in secondary carriers include TrkA and SPX domains in DASS family members, DedA domains in TRAP-T family members (both of the IT superfamily), Kazal-2 and PDZ domains in OAT family members (of the MF superfamily), USP, IIAFru and TrkA domains in ABT family members (of the APC superfamily), ricin domains in OST family members, and TrkA domains in AAE family members. Some transporters contain highly hydrophilic domains consisting of multiple repeat units that can also be found in proteins of dissimilar function. Similarly, transmembrane α-helical channel-forming proteins contain unique, conserved, hydrophilic domains, most of which are not found in carriers. In some cases the functions of these domains are known. They may be ligand binding domains, phosphorylation domains, signal transduction domains, protein/protein interaction domains or complex carbohydrate-binding domains. These domains mediate regulation, subunit interactions, or subcellular targeting. Phylogenetic analyses show that while some of these domains are restricted to closely related proteins derived from specific organismal types, others are nearly ubiquitous within a particular family of transporters and occur in a tremendous diversity of organisms. The former probably became associated with the transporters late in the evolutionary process; the latter probably became associated with the carriers much earlier. These domains can be located at either end of the transporter or in a central region, depending on the domain and transporter family. These studies provide useful information about the evolution of extra domains in channels and secondary carriers and provide novel clues concerning function.","author":[{"dropping-particle":"","family":"Barabote","given":"Ravi D.","non-dropping-particle":"","parse-names":false,"suffix":""},{"dropping-particle":"","family":"Tamang","given":"Dorjee G.","non-dropping-particle":"","parse-names":false,"suffix":""},{"dropping-particle":"","family":"Abeywardena","given":"Shannon N.","non-dropping-particle":"","parse-names":false,"suffix":""},{"dropping-particle":"","family":"Fallah","given":"Neda S.","non-dropping-particle":"","parse-names":false,"suffix":""},{"dropping-particle":"","family":"Fu","given":"Jeffrey Yu Chung","non-dropping-particle":"","parse-names":false,"suffix":""},{"dropping-particle":"","family":"Lio","given":"Jeffrey K.","non-dropping-particle":"","parse-names":false,"suffix":""},{"dropping-particle":"","family":"Mirhosseini","given":"Pegah","non-dropping-particle":"","parse-names":false,"suffix":""},{"dropping-particle":"","family":"Pezeshk","given":"Ronnie","non-dropping-particle":"","parse-names":false,"suffix":""},{"dropping-particle":"","family":"Podell","given":"Sheila","non-dropping-particle":"","parse-names":false,"suffix":""},{"dropping-particle":"","family":"Salampessy","given":"Marnae L.","non-dropping-particle":"","parse-names":false,"suffix":""},{"dropping-particle":"","family":"Thever","given":"Mark D.","non-dropping-particle":"","parse-names":false,"suffix":""},{"dropping-particle":"","family":"Saier","given":"Milton H.","non-dropping-particle":"","parse-names":false,"suffix":""}],"container-title":"Biochimica et Biophysica Acta (BBA) - Biomembranes","id":"ITEM-2","issue":"10","issued":{"date-parts":[["2006","10","1"]]},"page":"1557-1579","publisher":"Elsevier","title":"Extra domains in secondary transport carriers and channel proteins","type":"article-journal","volume":"1758"},"uris":["http://www.mendeley.com/documents/?uuid=1700b144-7968-3e69-a7fe-85fe967ae60b"]}],"mendeley":{"formattedCitation":"[38,61]","plainTextFormattedCitation":"[38,61]","previouslyFormattedCitation":"[38,61]"},"properties":{"noteIndex":0},"schema":"https://github.com/citation-style-language/schema/raw/master/csl-citation.json"}</w:instrText>
      </w:r>
      <w:r w:rsidR="00F61FF4">
        <w:fldChar w:fldCharType="separate"/>
      </w:r>
      <w:r w:rsidR="00BC6753" w:rsidRPr="00BC6753">
        <w:rPr>
          <w:noProof/>
        </w:rPr>
        <w:t>[38,61]</w:t>
      </w:r>
      <w:r w:rsidR="00F61FF4">
        <w:fldChar w:fldCharType="end"/>
      </w:r>
      <w:r w:rsidR="00E80212">
        <w:t xml:space="preserve">. </w:t>
      </w:r>
    </w:p>
    <w:p w14:paraId="663DAA23" w14:textId="6D06B522" w:rsidR="00650DC8" w:rsidRDefault="00E80212">
      <w:r>
        <w:t>To conclude this section</w:t>
      </w:r>
      <w:r w:rsidR="009A27D5">
        <w:t>,</w:t>
      </w:r>
      <w:r>
        <w:t xml:space="preserve"> we note the sll1864 chloride channel of </w:t>
      </w:r>
      <w:r>
        <w:rPr>
          <w:i/>
        </w:rPr>
        <w:t>Synechocystis</w:t>
      </w:r>
      <w:r>
        <w:t xml:space="preserve"> sp. (strain PCC 6803 / Kazusa) is fu</w:t>
      </w:r>
      <w:r w:rsidR="009045DA">
        <w:t>sed to both CBS and Usp domains</w:t>
      </w:r>
      <w:r>
        <w:t xml:space="preserve"> </w:t>
      </w:r>
      <w:r w:rsidR="00F61FF4">
        <w:fldChar w:fldCharType="begin" w:fldLock="1"/>
      </w:r>
      <w:r w:rsidR="00A97363">
        <w:instrText>ADDIN CSL_CITATION {"citationItems":[{"id":"ITEM-1","itemData":{"DOI":"10.1006/JMBI.2001.4508","ISSN":"0022-2836","abstract":"Central cellular functions such as metabolism, solute transport and signal transduction are regulated, in part, via binding of small molecules by specialized domains. Using sensitive methods for sequence profile analysis and protein structure comparison, we exhaustively surveyed the protein sets from completely sequenced genomes for all occurrences of 21 intracellular small-molecule-binding domains (SMBDs) that are represented in at least two of the three major divisions of life (bacteria, archaea and eukaryotes). These included previously characterized domains such as PAS, GAF, ACT and ferredoxins, as well as three newly predicted SMBDs, namely the 4-vinyl reductase (4VR) domain, the NIFX domain and the 3-histidines (3H) domain. Although there are only a limited number of different superfamilies of these ancient SMBDs, they are present in numerous distinct proteins combined with various enzymatic, transport and signal-transducing domains. Most of the SMBDs show considerable evolutionary mobility and are involved in the generation of many lineage-specific domain architectures. Frequent re-invention of analogous architectures involving functionally related, but not homologous, domains was detected, such as, fusion of different SMBDs to several types of DNA-binding domains to form diverse transcription regulators in prokaryotes and eukaryotes. This is suggestive of similar selective forces affecting the diverse SMBDs and resulting in the formation of multidomain proteins that fit a limited number of functional stereotypes. Using the “guilt by association approach”, the identification of SMBDs allowed prediction of functions and mode of regulation for a variety of previously uncharacterized proteins.","author":[{"dropping-particle":"","family":"Anantharaman","given":"Vivek","non-dropping-particle":"","parse-names":false,"suffix":""},{"dropping-particle":"V","family":"Koonin","given":"Eugene","non-dropping-particle":"","parse-names":false,"suffix":""},{"dropping-particle":"","family":"Aravind","given":"L","non-dropping-particle":"","parse-names":false,"suffix":""}],"container-title":"Journal of Molecular Biology","id":"ITEM-1","issue":"5","issued":{"date-parts":[["2001","4","13"]]},"page":"1271-1292","publisher":"Academic Press","title":"Regulatory potential, phyletic distribution and evolution of ancient, intracellular small-molecule-binding domains","type":"article-journal","volume":"307"},"uris":["http://www.mendeley.com/documents/?uuid=4364b741-5994-3be8-b64a-43d99cab7bf3"]}],"mendeley":{"formattedCitation":"[64]","plainTextFormattedCitation":"[64]","previouslyFormattedCitation":"[64]"},"properties":{"noteIndex":0},"schema":"https://github.com/citation-style-language/schema/raw/master/csl-citation.json"}</w:instrText>
      </w:r>
      <w:r w:rsidR="00F61FF4">
        <w:fldChar w:fldCharType="separate"/>
      </w:r>
      <w:r w:rsidR="00BC6753" w:rsidRPr="00BC6753">
        <w:rPr>
          <w:noProof/>
        </w:rPr>
        <w:t>[64]</w:t>
      </w:r>
      <w:r w:rsidR="00F61FF4">
        <w:fldChar w:fldCharType="end"/>
      </w:r>
      <w:r w:rsidR="009A27D5">
        <w:t>,</w:t>
      </w:r>
      <w:r>
        <w:t xml:space="preserve"> but, like the other systems, remains functionally uncharacterized</w:t>
      </w:r>
      <w:r w:rsidR="006C5548">
        <w:t xml:space="preserve"> (</w:t>
      </w:r>
      <w:r w:rsidR="006C5548" w:rsidRPr="00CC0C85">
        <w:rPr>
          <w:b/>
          <w:i/>
        </w:rPr>
        <w:t>Fig. 2C</w:t>
      </w:r>
      <w:r w:rsidR="006C5548">
        <w:t>)</w:t>
      </w:r>
      <w:r>
        <w:t xml:space="preserve">. </w:t>
      </w:r>
    </w:p>
    <w:p w14:paraId="355FE59F" w14:textId="2FA58BDB" w:rsidR="00907255" w:rsidRDefault="007F5EAB">
      <w:r>
        <w:rPr>
          <w:noProof/>
        </w:rPr>
        <w:drawing>
          <wp:inline distT="0" distB="0" distL="0" distR="0" wp14:anchorId="7CF32D17" wp14:editId="632F3766">
            <wp:extent cx="6257925" cy="66173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2_v2.tif"/>
                    <pic:cNvPicPr/>
                  </pic:nvPicPr>
                  <pic:blipFill rotWithShape="1">
                    <a:blip r:embed="rId8">
                      <a:extLst>
                        <a:ext uri="{28A0092B-C50C-407E-A947-70E740481C1C}">
                          <a14:useLocalDpi xmlns:a14="http://schemas.microsoft.com/office/drawing/2010/main" val="0"/>
                        </a:ext>
                      </a:extLst>
                    </a:blip>
                    <a:srcRect l="17450" t="10507" r="18901" b="21949"/>
                    <a:stretch/>
                  </pic:blipFill>
                  <pic:spPr bwMode="auto">
                    <a:xfrm>
                      <a:off x="0" y="0"/>
                      <a:ext cx="6259199" cy="6618735"/>
                    </a:xfrm>
                    <a:prstGeom prst="rect">
                      <a:avLst/>
                    </a:prstGeom>
                    <a:ln>
                      <a:noFill/>
                    </a:ln>
                    <a:extLst>
                      <a:ext uri="{53640926-AAD7-44D8-BBD7-CCE9431645EC}">
                        <a14:shadowObscured xmlns:a14="http://schemas.microsoft.com/office/drawing/2010/main"/>
                      </a:ext>
                    </a:extLst>
                  </pic:spPr>
                </pic:pic>
              </a:graphicData>
            </a:graphic>
          </wp:inline>
        </w:drawing>
      </w:r>
    </w:p>
    <w:p w14:paraId="6E12158F" w14:textId="3D9177C7" w:rsidR="00C71B0C" w:rsidRDefault="00C71B0C">
      <w:pPr>
        <w:rPr>
          <w:shd w:val="clear" w:color="auto" w:fill="FF9900"/>
        </w:rPr>
      </w:pPr>
    </w:p>
    <w:p w14:paraId="66B4FC32" w14:textId="6E0FCA98" w:rsidR="00650DC8" w:rsidRDefault="00E80212">
      <w:pPr>
        <w:rPr>
          <w:i/>
          <w:sz w:val="20"/>
          <w:szCs w:val="20"/>
          <w:highlight w:val="white"/>
        </w:rPr>
      </w:pPr>
      <w:r>
        <w:rPr>
          <w:b/>
          <w:i/>
          <w:sz w:val="20"/>
          <w:szCs w:val="20"/>
          <w:highlight w:val="white"/>
        </w:rPr>
        <w:t xml:space="preserve">Figure 2. </w:t>
      </w:r>
      <w:r>
        <w:rPr>
          <w:i/>
          <w:sz w:val="20"/>
          <w:szCs w:val="20"/>
          <w:highlight w:val="white"/>
        </w:rPr>
        <w:t>Architectures of CBS</w:t>
      </w:r>
      <w:r w:rsidR="0053471F">
        <w:rPr>
          <w:i/>
          <w:sz w:val="20"/>
          <w:szCs w:val="20"/>
          <w:highlight w:val="white"/>
        </w:rPr>
        <w:t xml:space="preserve"> (‘cystathionine </w:t>
      </w:r>
      <w:r w:rsidR="0053471F" w:rsidRPr="00850260">
        <w:rPr>
          <w:i/>
          <w:sz w:val="20"/>
          <w:szCs w:val="20"/>
          <w:highlight w:val="white"/>
        </w:rPr>
        <w:t>β</w:t>
      </w:r>
      <w:r w:rsidR="0053471F">
        <w:rPr>
          <w:i/>
          <w:sz w:val="20"/>
          <w:szCs w:val="20"/>
          <w:highlight w:val="white"/>
        </w:rPr>
        <w:t>-synthase’)</w:t>
      </w:r>
      <w:r w:rsidR="00956813">
        <w:rPr>
          <w:i/>
          <w:sz w:val="20"/>
          <w:szCs w:val="20"/>
          <w:highlight w:val="white"/>
        </w:rPr>
        <w:t>, Usp</w:t>
      </w:r>
      <w:r w:rsidR="0053471F">
        <w:rPr>
          <w:i/>
          <w:sz w:val="20"/>
          <w:szCs w:val="20"/>
          <w:highlight w:val="white"/>
        </w:rPr>
        <w:t xml:space="preserve"> (‘universal stress protein’)</w:t>
      </w:r>
      <w:r w:rsidR="00956813">
        <w:rPr>
          <w:i/>
          <w:sz w:val="20"/>
          <w:szCs w:val="20"/>
          <w:highlight w:val="white"/>
        </w:rPr>
        <w:t xml:space="preserve"> and RCK</w:t>
      </w:r>
      <w:r w:rsidR="0053471F" w:rsidRPr="0053471F">
        <w:rPr>
          <w:i/>
          <w:sz w:val="20"/>
          <w:szCs w:val="20"/>
        </w:rPr>
        <w:t xml:space="preserve"> </w:t>
      </w:r>
      <w:r w:rsidR="0053471F">
        <w:rPr>
          <w:i/>
          <w:sz w:val="20"/>
          <w:szCs w:val="20"/>
        </w:rPr>
        <w:t>(</w:t>
      </w:r>
      <w:r w:rsidR="0053471F" w:rsidRPr="0053471F">
        <w:rPr>
          <w:i/>
          <w:sz w:val="20"/>
          <w:szCs w:val="20"/>
        </w:rPr>
        <w:t>‘regulation of conductance of K</w:t>
      </w:r>
      <w:r w:rsidR="0053471F" w:rsidRPr="009D7E58">
        <w:rPr>
          <w:i/>
          <w:sz w:val="20"/>
          <w:szCs w:val="20"/>
          <w:vertAlign w:val="superscript"/>
        </w:rPr>
        <w:t>+</w:t>
      </w:r>
      <w:r w:rsidR="0053471F" w:rsidRPr="0053471F">
        <w:rPr>
          <w:i/>
          <w:sz w:val="20"/>
          <w:szCs w:val="20"/>
        </w:rPr>
        <w:t>’</w:t>
      </w:r>
      <w:r w:rsidR="0053471F">
        <w:rPr>
          <w:i/>
          <w:sz w:val="20"/>
          <w:szCs w:val="20"/>
        </w:rPr>
        <w:t>)</w:t>
      </w:r>
      <w:r>
        <w:rPr>
          <w:i/>
          <w:sz w:val="20"/>
          <w:szCs w:val="20"/>
          <w:highlight w:val="white"/>
        </w:rPr>
        <w:t xml:space="preserve"> fused transporters. A: fusions with CBS domains</w:t>
      </w:r>
      <w:r w:rsidR="00E6383D">
        <w:rPr>
          <w:i/>
          <w:sz w:val="20"/>
          <w:szCs w:val="20"/>
          <w:highlight w:val="white"/>
        </w:rPr>
        <w:t>, which are able to interact with n</w:t>
      </w:r>
      <w:r w:rsidR="0053471F">
        <w:rPr>
          <w:i/>
          <w:sz w:val="20"/>
          <w:szCs w:val="20"/>
          <w:highlight w:val="white"/>
        </w:rPr>
        <w:t>ucleotides such as ATP or cyclic-di-ATP.</w:t>
      </w:r>
      <w:r>
        <w:rPr>
          <w:i/>
          <w:sz w:val="20"/>
          <w:szCs w:val="20"/>
          <w:highlight w:val="white"/>
        </w:rPr>
        <w:t xml:space="preserve"> B: fusions with Usp domains</w:t>
      </w:r>
      <w:r w:rsidR="00E6383D">
        <w:rPr>
          <w:i/>
          <w:sz w:val="20"/>
          <w:szCs w:val="20"/>
          <w:highlight w:val="white"/>
        </w:rPr>
        <w:t xml:space="preserve">, which </w:t>
      </w:r>
      <w:r w:rsidR="00ED64DB">
        <w:rPr>
          <w:i/>
          <w:sz w:val="20"/>
          <w:szCs w:val="20"/>
          <w:highlight w:val="white"/>
        </w:rPr>
        <w:t xml:space="preserve">are of unknown function, but may </w:t>
      </w:r>
      <w:r w:rsidR="00E6383D">
        <w:rPr>
          <w:i/>
          <w:sz w:val="20"/>
          <w:szCs w:val="20"/>
          <w:highlight w:val="white"/>
        </w:rPr>
        <w:lastRenderedPageBreak/>
        <w:t>be involved in ATP binding</w:t>
      </w:r>
      <w:r>
        <w:rPr>
          <w:i/>
          <w:sz w:val="20"/>
          <w:szCs w:val="20"/>
          <w:highlight w:val="white"/>
        </w:rPr>
        <w:t xml:space="preserve">. C: Synechocystis sp. </w:t>
      </w:r>
      <w:r w:rsidR="00AA628C">
        <w:rPr>
          <w:i/>
          <w:sz w:val="20"/>
          <w:szCs w:val="20"/>
          <w:highlight w:val="white"/>
        </w:rPr>
        <w:t>s</w:t>
      </w:r>
      <w:r>
        <w:rPr>
          <w:i/>
          <w:sz w:val="20"/>
          <w:szCs w:val="20"/>
          <w:highlight w:val="white"/>
        </w:rPr>
        <w:t xml:space="preserve">ll1864, which is fused to both CBS and Usp domains. </w:t>
      </w:r>
      <w:r w:rsidR="00C71B0C">
        <w:rPr>
          <w:i/>
          <w:sz w:val="20"/>
          <w:szCs w:val="20"/>
          <w:highlight w:val="white"/>
        </w:rPr>
        <w:t>D: fusions to RCK domains</w:t>
      </w:r>
      <w:r w:rsidR="0053471F">
        <w:rPr>
          <w:i/>
          <w:sz w:val="20"/>
          <w:szCs w:val="20"/>
          <w:highlight w:val="white"/>
        </w:rPr>
        <w:t>, which regulate the transporter in response to the levels of Ca</w:t>
      </w:r>
      <w:r w:rsidR="0053471F" w:rsidRPr="009D7E58">
        <w:rPr>
          <w:i/>
          <w:sz w:val="20"/>
          <w:szCs w:val="20"/>
          <w:highlight w:val="white"/>
          <w:vertAlign w:val="superscript"/>
        </w:rPr>
        <w:t>2+</w:t>
      </w:r>
      <w:r w:rsidR="00C71B0C">
        <w:rPr>
          <w:i/>
          <w:sz w:val="20"/>
          <w:szCs w:val="20"/>
          <w:highlight w:val="white"/>
        </w:rPr>
        <w:t xml:space="preserve">. </w:t>
      </w:r>
      <w:r>
        <w:rPr>
          <w:i/>
          <w:sz w:val="20"/>
          <w:szCs w:val="20"/>
          <w:highlight w:val="white"/>
        </w:rPr>
        <w:t xml:space="preserve">Green highlights represent CBS domains; purple highlights represent Usp domains; blue highlights represent other fused regions; </w:t>
      </w:r>
      <w:r w:rsidR="00AC36A6">
        <w:rPr>
          <w:i/>
          <w:sz w:val="20"/>
          <w:szCs w:val="20"/>
        </w:rPr>
        <w:t xml:space="preserve">yellow highlights represent </w:t>
      </w:r>
      <w:r w:rsidR="009A0EF3">
        <w:rPr>
          <w:i/>
          <w:sz w:val="20"/>
          <w:szCs w:val="20"/>
        </w:rPr>
        <w:t xml:space="preserve">fused </w:t>
      </w:r>
      <w:r w:rsidR="00AC36A6">
        <w:rPr>
          <w:i/>
          <w:sz w:val="20"/>
          <w:szCs w:val="20"/>
        </w:rPr>
        <w:t xml:space="preserve">RCK domains; </w:t>
      </w:r>
      <w:r>
        <w:rPr>
          <w:i/>
          <w:sz w:val="20"/>
          <w:szCs w:val="20"/>
        </w:rPr>
        <w:t>pale grey represents separate proteins which form a complex with the transporter; dashed lines represent domains which are found in some, but not all, examples of the transporter.</w:t>
      </w:r>
    </w:p>
    <w:p w14:paraId="46C39B4E" w14:textId="5E30C174" w:rsidR="00650DC8" w:rsidRPr="00CC0C85" w:rsidRDefault="00E80212">
      <w:pPr>
        <w:rPr>
          <w:b/>
          <w:sz w:val="28"/>
          <w:szCs w:val="24"/>
        </w:rPr>
      </w:pPr>
      <w:r w:rsidRPr="00CC0C85">
        <w:rPr>
          <w:b/>
          <w:sz w:val="28"/>
          <w:szCs w:val="24"/>
        </w:rPr>
        <w:t>Fusions of transporters and channels to enzymes is relatively scarce</w:t>
      </w:r>
    </w:p>
    <w:p w14:paraId="5929EB75" w14:textId="4297759D" w:rsidR="00650DC8" w:rsidRDefault="006C5548">
      <w:r>
        <w:t>T</w:t>
      </w:r>
      <w:r w:rsidR="00E80212">
        <w:t xml:space="preserve">here </w:t>
      </w:r>
      <w:r>
        <w:t xml:space="preserve">are </w:t>
      </w:r>
      <w:r w:rsidR="00E80212">
        <w:t>many examples of regulatory domain fusions,</w:t>
      </w:r>
      <w:r>
        <w:t xml:space="preserve"> but </w:t>
      </w:r>
      <w:r w:rsidR="00E80212">
        <w:t xml:space="preserve">those adding full functional enzymes that would work on the substrate of the importer/exporter they are linked to are much scarcer. Some of the clearest examples are seen in bacterial ABC exporters used in lantibiotic biosynthesis </w:t>
      </w:r>
      <w:r w:rsidR="00F61FF4">
        <w:fldChar w:fldCharType="begin" w:fldLock="1"/>
      </w:r>
      <w:r w:rsidR="00A97363">
        <w:instrText>ADDIN CSL_CITATION {"citationItems":[{"id":"ITEM-1","itemData":{"DOI":"10.1099/mic.0.000794","ISSN":"1350-0872","PMID":"30964430","abstract":"In the fight against antimicrobial resistance (AMR), antibiotic biosynthetic gene clusters are constantly being discovered. These clusters often include genes for membrane transporters that are involved in the export of the produced natural product during biosynthesis and/or subsequent resistance through active efflux. Despite transporter genes being integral parts of these clusters, study of the function of antibiotic export in natural producers such as Streptomyces spp. remains underexplored, in many cases lagging far behind our understanding of the biosynthetic enzymes. More efficient release of antibiotics by producing cells has potential benefits to industrial biotechnology and understanding the relationships between exporters in natural producers and resistance-associated efflux pumps in pathogens can inform our efforts to understand how AMR spreads. Herein we compile and critically assess the literature on the identification and characterization of antibiotic exporters and their contribution to production in natural antibiotic producers. We evaluate examples of how this knowledge could be used in biotechnology to increase yields of the final product or modulate its chemical nature. Finally, we consider the evidence that natural exporters form a reservoir of protein functions that could be hijacked by pathogens as efflux pumps and emphasize the need for much greater understanding of these exporters to fully exploit their potential for applications around human health.","author":[{"dropping-particle":"","family":"Severi","given":"Emmanuele","non-dropping-particle":"","parse-names":false,"suffix":""},{"dropping-particle":"","family":"Thomas","given":"Gavin H.","non-dropping-particle":"","parse-names":false,"suffix":""}],"container-title":"Microbiology","id":"ITEM-1","issued":{"date-parts":[["2019","4","9"]]},"title":"Antibiotic export: transporters involved in the final step of natural product production","type":"article-journal"},"uris":["http://www.mendeley.com/documents/?uuid=da574eea-23f9-38db-bdb4-e18267165bba"]}],"mendeley":{"formattedCitation":"[65]","plainTextFormattedCitation":"[65]","previouslyFormattedCitation":"[65]"},"properties":{"noteIndex":0},"schema":"https://github.com/citation-style-language/schema/raw/master/csl-citation.json"}</w:instrText>
      </w:r>
      <w:r w:rsidR="00F61FF4">
        <w:fldChar w:fldCharType="separate"/>
      </w:r>
      <w:r w:rsidR="00BC6753" w:rsidRPr="00BC6753">
        <w:rPr>
          <w:noProof/>
        </w:rPr>
        <w:t>[65]</w:t>
      </w:r>
      <w:r w:rsidR="00F61FF4">
        <w:fldChar w:fldCharType="end"/>
      </w:r>
      <w:r w:rsidR="00E80212">
        <w:t xml:space="preserve">. A number of these peptide-based antibiotics require a proteolytic cleavage during the final stages of their synthesis, and in some cases this is mediated concomitantly with efflux through the fusion of the peptidase directly to the transporter </w:t>
      </w:r>
      <w:r w:rsidR="00F61FF4">
        <w:fldChar w:fldCharType="begin" w:fldLock="1"/>
      </w:r>
      <w:r w:rsidR="00A97363">
        <w:instrText>ADDIN CSL_CITATION {"citationItems":[{"id":"ITEM-1","itemData":{"ISSN":"0950-382X","PMID":"7565085","abstract":"Lantibiotic and non-lantibiotic bacteriocins are synthesized as precursor peptides containing N-terminal extensions (leader peptides) which are cleaved off during maturation. Most non-lantibiotics and also some lantibiotics have leader peptides of the so-called double-glycine type. These leader peptides share consensus sequences and also a common processing site with two conserved glycine residues in positions -1 and -2. The double-glycine-type leader peptides are unrelated to the N-terminal signal sequences which direct proteins across the cytoplasmic membrane via the sec pathway. Their processing sites are also different from typical signal peptidase cleavage sites, suggesting that a different processing enzyme is involved. Peptide bacteriocins are exported across the cytoplasmic membrane by a dedicated ATP-binding cassette (ABC) transporter. Here we show that the ABC transporter is the maturation protease and that its proteolytic domain resides in the N-terminal part of the protein. This result demonstrates that the ABC transporter has a dual function: (i) removal of the leader peptide from its substrate, and (ii) translocation of its substrate across the cytoplasmic membrane. This represents a novel strategy for secretion of bacterial proteins.","author":[{"dropping-particle":"","family":"Håvarstein","given":"L S","non-dropping-particle":"","parse-names":false,"suffix":""},{"dropping-particle":"","family":"Diep","given":"D B","non-dropping-particle":"","parse-names":false,"suffix":""},{"dropping-particle":"","family":"Nes","given":"I F","non-dropping-particle":"","parse-names":false,"suffix":""}],"container-title":"Molecular microbiology","id":"ITEM-1","issue":"2","issued":{"date-parts":[["1995","4"]]},"page":"229-40","title":"A family of bacteriocin ABC transporters carry out proteolytic processing of their substrates concomitant with export.","type":"article-journal","volume":"16"},"uris":["http://www.mendeley.com/documents/?uuid=330c403f-050e-3d32-826d-5b8efe23d0a6"]},{"id":"ITEM-2","itemData":{"DOI":"10.1016/j.jbiosc.2009.06.002","ISSN":"13891723","PMID":"19914576","abstract":"NukT, a possible ABC transporter maturation and secretion (AMS) protein, may contribute to the cleavage of the leader peptide of NukA, which is the prepeptide of the lantibiotic nukacin ISK-1, and to nukacin ISK-1 transport. In this study, we reconstituted in vitro peptidase activity of the full-length NukT overexpressed in inside-out membrane vesicles of Staphylococcus carnosus TM300. We found that the presence of unusual amino acids in NukA is required for leader peptide cleavage. Furthermore, NukT peptidase activity was inhibited by phenylmethylsulfonyl fluoride, a serine/cysteine protease inhibitor; this finding strongly suggests that NukT, like other AMS proteins, is a cysteine protease. Interestingly, NukT peptidase activity depended on ATP hydrolysis. These results suggest that the N-terminal peptidase domain of NukT may cooperatively function with the C-terminal ATP-binding domain. This is the first in vitro study on lantibiotics that reports the processing mechanism of a full-length bifunctional ABC transporter.","author":[{"dropping-particle":"","family":"Nishie","given":"Mami","non-dropping-particle":"","parse-names":false,"suffix":""},{"dropping-particle":"","family":"Shioya","given":"Kouki","non-dropping-particle":"","parse-names":false,"suffix":""},{"dropping-particle":"","family":"Nagao","given":"Jun-ichi","non-dropping-particle":"","parse-names":false,"suffix":""},{"dropping-particle":"","family":"Jikuya","given":"Hiroyuki","non-dropping-particle":"","parse-names":false,"suffix":""},{"dropping-particle":"","family":"Sonomoto","given":"Kenji","non-dropping-particle":"","parse-names":false,"suffix":""}],"container-title":"Journal of Bioscience and Bioengineering","id":"ITEM-2","issue":"6","issued":{"date-parts":[["2009","12"]]},"page":"460-464","title":"ATP-dependent leader peptide cleavage by NukT, a bifunctional ABC transporter, during lantibiotic biosynthesis","type":"article-journal","volume":"108"},"uris":["http://www.mendeley.com/documents/?uuid=31cb67ad-b002-3e55-bfa8-ac2a816d2c60"]}],"mendeley":{"formattedCitation":"[66,67]","plainTextFormattedCitation":"[66,67]","previouslyFormattedCitation":"[66,67]"},"properties":{"noteIndex":0},"schema":"https://github.com/citation-style-language/schema/raw/master/csl-citation.json"}</w:instrText>
      </w:r>
      <w:r w:rsidR="00F61FF4">
        <w:fldChar w:fldCharType="separate"/>
      </w:r>
      <w:r w:rsidR="00BC6753" w:rsidRPr="00BC6753">
        <w:rPr>
          <w:noProof/>
        </w:rPr>
        <w:t>[66,67]</w:t>
      </w:r>
      <w:r w:rsidR="00F61FF4">
        <w:fldChar w:fldCharType="end"/>
      </w:r>
      <w:r w:rsidR="00E80212">
        <w:t xml:space="preserve">. These fused domains have evolved to function cooperatively during the cleavage of the lantibiotic leader peptide and subsequent transport </w:t>
      </w:r>
      <w:r w:rsidR="00F61FF4">
        <w:fldChar w:fldCharType="begin" w:fldLock="1"/>
      </w:r>
      <w:r w:rsidR="00A97363">
        <w:instrText>ADDIN CSL_CITATION {"citationItems":[{"id":"ITEM-1","itemData":{"DOI":"10.1007/s00253-017-8645-2","ISSN":"0175-7598","PMID":"29167920","abstract":"Lantibiotic nukacin ISK-1 is produced by Staphylococcus warneri ISK-1. The dual functional transporter NukT, an ABC transporter maturation and secretion protein, contributes to cleavage of the leader peptide from the prepeptide (modified NukA) and the final transport of nukacin ISK-1. NukT consists of an N-terminal peptidase domain (PEP), a C-terminal nucleotide-binding domain (NBD), and a transmembrane domain (TMD). In this study, NukT and its peptidase-inactive mutant were expressed, purified, and reconstituted into liposomes for analysis of their peptidase and ATPase activities. The ATPase activity of the NBD region was shown to be required for the peptidase activity of the PEP region. Furthermore, we demonstrated for the first time that leader peptide cleavage by the PEP region significantly enhanced the ATPase activity of the NBD region. Taken together, the presented results offer new insights into the processing mechanism of lantibiotic transporters and the necessity of interdomain cooperation.","author":[{"dropping-particle":"","family":"Zheng","given":"Sen","non-dropping-particle":"","parse-names":false,"suffix":""},{"dropping-particle":"","family":"Nagao","given":"Jun-ichi","non-dropping-particle":"","parse-names":false,"suffix":""},{"dropping-particle":"","family":"Nishie","given":"Mami","non-dropping-particle":"","parse-names":false,"suffix":""},{"dropping-particle":"","family":"Zendo","given":"Takeshi","non-dropping-particle":"","parse-names":false,"suffix":""},{"dropping-particle":"","family":"Sonomoto","given":"Kenji","non-dropping-particle":"","parse-names":false,"suffix":""}],"container-title":"Applied Microbiology and Biotechnology","id":"ITEM-1","issue":"2","issued":{"date-parts":[["2018","1","22"]]},"page":"763-772","title":"ATPase activity regulation by leader peptide processing of ABC transporter maturation and secretion protein, NukT, for lantibiotic nukacin ISK-1","type":"article-journal","volume":"102"},"uris":["http://www.mendeley.com/documents/?uuid=71cafd06-5a8f-3b9f-bc50-9d1da6cc32b3"]}],"mendeley":{"formattedCitation":"[68]","plainTextFormattedCitation":"[68]","previouslyFormattedCitation":"[68]"},"properties":{"noteIndex":0},"schema":"https://github.com/citation-style-language/schema/raw/master/csl-citation.json"}</w:instrText>
      </w:r>
      <w:r w:rsidR="00F61FF4">
        <w:fldChar w:fldCharType="separate"/>
      </w:r>
      <w:r w:rsidR="00BC6753" w:rsidRPr="00BC6753">
        <w:rPr>
          <w:noProof/>
        </w:rPr>
        <w:t>[68]</w:t>
      </w:r>
      <w:r w:rsidR="00F61FF4">
        <w:fldChar w:fldCharType="end"/>
      </w:r>
      <w:r w:rsidR="00E80212">
        <w:t>, exemplifying the potential for fusions to not only co-localise catalysis and transport, but also to allow novel interactions by enabling cross-talk between domains.</w:t>
      </w:r>
    </w:p>
    <w:p w14:paraId="383AC577" w14:textId="1FCCB648" w:rsidR="00650DC8" w:rsidRDefault="00E80212">
      <w:r>
        <w:t xml:space="preserve">Within the MFS superfamily, one of the best experimentally characterised fusions is the lysophospholipid repair system, where the flippase LplT is fused to one or both of the subsequent enzymes that work on the transported lysophospholipid </w:t>
      </w:r>
      <w:r w:rsidR="00F61FF4">
        <w:fldChar w:fldCharType="begin" w:fldLock="1"/>
      </w:r>
      <w:r w:rsidR="00A97363">
        <w:instrText>ADDIN CSL_CITATION {"citationItems":[{"id":"ITEM-1","itemData":{"DOI":"10.1074/jbc.M414368200","ISSN":"0021-9258","PMID":"15661733","abstract":"The transfer of phospholipids across membrane bilayers is protein-mediated, and most of the established transporters catalyze the energy-dependent efflux of phospholipids from cells. This work identifies and characterizes a lysophospholipid transporter gene (lplT, formally ygeD) in Escherichia coli that is an integral component in the 2-acylglycerophosphoethanolamine (2-acyl-GPE) metabolic cycle for membrane protein acylation. The lplT gene is adjacent to and in the same operon as the aas gene, which encodes the bifunctional enzyme 2-acyl-GPE acyltransferase/acyl-acyl carrier protein synthetase. In some bacteria, acyltransferase/acyl-ACP synthetase (Aas) and LplT homologues are fused in a single polypeptide chain. 2-Acyl-GPE transport to the inside of the cell was assessed by measuring the Aas-dependent formation of phosphatidylethanolamine. The Aas-dependent incorporation of [3H]palmitate into phosphatidylethanolamine was significantly diminished in deltalplT mutants, and the LplT-Aas transport/acylation activity was independent of the proton motive force. The deltalplT mutants accumulated acyl-GPE in vivo and had a diminished capacity to transport exogenous 2-acylglycerophosphocholine into the cell. Spheroplasts prepared from wild-type E. coli transported and acylated fluorescent 2-acyl-GPE with an apparent K(d) of 7.5 microM, whereas this high-affinity process was absent in deltalplT mutants. Thus, LplT catalyzes the transbilayer movement of lysophospholipids and is the first example of a phospholipid flippase that belongs to the major facilitator superfamily.","author":[{"dropping-particle":"","family":"Harvat","given":"Edgar M","non-dropping-particle":"","parse-names":false,"suffix":""},{"dropping-particle":"","family":"Zhang","given":"Yong-Mei","non-dropping-particle":"","parse-names":false,"suffix":""},{"dropping-particle":"V","family":"Tran","given":"Can","non-dropping-particle":"","parse-names":false,"suffix":""},{"dropping-particle":"","family":"Zhang","given":"Zhongge","non-dropping-particle":"","parse-names":false,"suffix":""},{"dropping-particle":"","family":"Frank","given":"Matthew W","non-dropping-particle":"","parse-names":false,"suffix":""},{"dropping-particle":"","family":"Rock","given":"Charles O","non-dropping-particle":"","parse-names":false,"suffix":""},{"dropping-particle":"","family":"Saier","given":"Milton H","non-dropping-particle":"","parse-names":false,"suffix":""}],"container-title":"The Journal of biological chemistry","id":"ITEM-1","issue":"12","issued":{"date-parts":[["2005","3","25"]]},"page":"12028-34","publisher":"American Society for Biochemistry and Molecular Biology","title":"Lysophospholipid flipping across the Escherichia coli inner membrane catalyzed by a transporter (LplT) belonging to the major facilitator superfamily.","type":"article-journal","volume":"280"},"uris":["http://www.mendeley.com/documents/?uuid=f1842d6b-0ea4-3b5d-abc6-d25f8f3ac9bf"]},{"id":"ITEM-2","itemData":{"DOI":"10.1016/j.bbalip.2016.11.015","ISSN":"1388-1981","PMID":"27956138","abstract":"Lysophospholipids (LPLs) are metabolic intermediates in bacterial phospholipid turnover. Distinct from their diacyl counterparts, these inverted cone-shaped molecules share physical characteristics of detergents, enabling modification of local membrane properties such as curvature. The functions of LPLs as cellular growth factors or potent lipid mediators have been extensively demonstrated in eukaryotic cells but are still undefined in bacteria. In the envelope of Gram-negative bacteria, LPLs are derived from multiple endogenous and exogenous sources. Although several flippases that move non-glycerophospholipids across the bacterial inner membrane were characterized, lysophospholipid transporter LplT appears to be the first example of a bacterial protein capable of facilitating rapid retrograde translocation of lyso forms of glycerophospholipids across the cytoplasmic membrane in Gram-negative bacteria. LplT transports lyso forms of the three bacterial membrane phospholipids with comparable efficiency, but excludes other lysolipid species. Once a LPL is flipped by LplT to the cytoplasmic side of the inner membrane, its diacyl form is effectively regenerated by the action of a peripheral enzyme, acyl-ACP synthetase/LPL acyltransferase (Aas). LplT-Aas also mediates a novel cardiolipin remodeling by converting its two lyso derivatives, diacyl or deacylated cardiolipin, to a triacyl form. This coupled remodeling system provides a unique bacterial membrane phospholipid repair mechanism. Strict selectivity of LplT for lyso lipids allows this system to fulfill efficient lipid repair in an environment containing mostly diacyl phospholipids. A rocker-switch model engaged by a pair of symmetric ion-locks may facilitate alternating substrate access to drive LPL flipping into bacterial cells. This article is part of a Special Issue entitled: Bacterial Lipids edited by Russell E. Bishop.","author":[{"dropping-particle":"","family":"Zheng","given":"Lei","non-dropping-particle":"","parse-names":false,"suffix":""},{"dropping-particle":"","family":"Lin","given":"Yibin","non-dropping-particle":"","parse-names":false,"suffix":""},{"dropping-particle":"","family":"Lu","given":"Shuo","non-dropping-particle":"","parse-names":false,"suffix":""},{"dropping-particle":"","family":"Zhang","given":"Jiazhe","non-dropping-particle":"","parse-names":false,"suffix":""},{"dropping-particle":"","family":"Bogdanov","given":"Mikhail","non-dropping-particle":"","parse-names":false,"suffix":""}],"container-title":"Biochimica et biophysica acta. Molecular and cell biology of lipids","id":"ITEM-2","issue":"11","issued":{"date-parts":[["2017","11"]]},"page":"1404-1413","title":"Biogenesis, transport and remodeling of lysophospholipids in Gram-negative bacteria.","type":"article-journal","volume":"1862"},"uris":["http://www.mendeley.com/documents/?uuid=cc14486a-f598-3caf-b2d0-1ff924caad90"]},{"id":"ITEM-3","itemData":{"DOI":"10.1099/mic.0.000771","ISSN":"1350-0872","abstract":"The evolution of gene fusions that result in covalently linked protein domains is widespread in bacteria, where spatially coupling domain functionalities can have functional advantages in vivo. Fusions to integral membrane proteins are less widely studied but could provide routes to enhance membrane function in synthetic biology. We studied the major facilitator superfamily (MFS), as the largest family of transporter proteins in bacteria, to examine the extent and nature of fusions to these proteins. A remarkably diverse variety of fusions are identified and the 8 most abundant examples are described, including additional enzymatic domains and a range of sensory and regulatory domains, many not previously described. Significantly, these fusions are found almost exclusively as C-terminal fusions, revealing that the usually cytoplasmic C-terminal end of MFS protein would the permissive end for engineering synthetic fusions to other cytoplasmic proteins.","author":[{"dropping-particle":"","family":"Willson","given":"Benjamin J.","non-dropping-particle":"","parse-names":false,"suffix":""},{"dropping-particle":"","family":"Dalzell","given":"Lindsey","non-dropping-particle":"","parse-names":false,"suffix":""},{"dropping-particle":"","family":"Chapman","given":"Liam N. M.","non-dropping-particle":"","parse-names":false,"suffix":""},{"dropping-particle":"","family":"Thomas","given":"Gavin H.","non-dropping-particle":"","parse-names":false,"suffix":""}],"container-title":"Microbiology","id":"ITEM-3","issued":{"date-parts":[["2019","1","18"]]},"publisher":"Microbiology Society","title":"Enhanced functionalisation of major facilitator superfamily transporters via fusion of C-terminal protein domains is both extensive and varied in bacteria","type":"article-journal"},"uris":["http://www.mendeley.com/documents/?uuid=0ec74869-c370-3bfc-833f-d6b150ec141b"]}],"mendeley":{"formattedCitation":"[18,69,70]","plainTextFormattedCitation":"[18,69,70]","previouslyFormattedCitation":"[18,69,70]"},"properties":{"noteIndex":0},"schema":"https://github.com/citation-style-language/schema/raw/master/csl-citation.json"}</w:instrText>
      </w:r>
      <w:r w:rsidR="00F61FF4">
        <w:fldChar w:fldCharType="separate"/>
      </w:r>
      <w:r w:rsidR="00BC6753" w:rsidRPr="00BC6753">
        <w:rPr>
          <w:noProof/>
        </w:rPr>
        <w:t>[18,69,70]</w:t>
      </w:r>
      <w:r w:rsidR="00F61FF4">
        <w:fldChar w:fldCharType="end"/>
      </w:r>
      <w:r w:rsidR="00F61FF4">
        <w:t xml:space="preserve"> </w:t>
      </w:r>
      <w:r>
        <w:t>(</w:t>
      </w:r>
      <w:r>
        <w:rPr>
          <w:b/>
        </w:rPr>
        <w:t>Fig. 1</w:t>
      </w:r>
      <w:r>
        <w:t xml:space="preserve">). Another example is </w:t>
      </w:r>
      <w:r>
        <w:rPr>
          <w:i/>
        </w:rPr>
        <w:t xml:space="preserve">Magnetospirillum gryphiswaldense </w:t>
      </w:r>
      <w:r>
        <w:t xml:space="preserve">MamZ, which contains a ferric reductase (YedZ)-like domain. This bacterium contains a structure called the magnetosome, consisting of biosynthesised magnetite, which allows it to align with magnetic fields; the YedZ domain is important for correct magnetosome formation, likely by combining ferric iron transport with its immediate reduction </w:t>
      </w:r>
      <w:r w:rsidR="00F61FF4">
        <w:fldChar w:fldCharType="begin" w:fldLock="1"/>
      </w:r>
      <w:r w:rsidR="00A97363">
        <w:instrText>ADDIN CSL_CITATION {"citationItems":[{"id":"ITEM-1","itemData":{"DOI":"10.1111/mmi.12317","ISSN":"1365-2958","PMID":"23889511","abstract":"Magnetospirillum gryphiswaldense uses intracellular chains of membrane-enveloped magnetite crystals, the magnetosomes, to navigate within magnetic fields. The biomineralization of magnetite nanocrystals requires several magnetosome-associated proteins, whose precise functions so far have remained mostly unknown. Here, we analysed the functions of MamX and the Major Facilitator Superfamily (MFS) proteins MamZ and MamH. Deletion of either the entire mamX gene or elimination of its putative haem c-binding magnetochrome domains, and deletion of either mamZ or its C-terminal ferric reductase-like component resulted in an identical phenotype. All mutants displayed WT-like magnetite crystals, flanked within the magnetosome chains by poorly crystalline flake-like particles partly consisting of haematite. Double deletions of both mamZ and its homologue mamH further impaired magnetite crystallization in an additive manner, indicating that the two MFS proteins have partially redundant functions. Deprivation of ΔmamX and ΔmamZ cells from nitrate, or additional loss of the respiratory nitrate reductase Nap from ΔmamX severely exacerbated the magnetosome defects and entirely inhibited the formation of regular crystals, suggesting that MamXZ and Nap have similar, but independent roles in redox control of biomineralization. We propose a model in which MamX, MamZ and MamH functionally interact to balance the redox state of iron within the magnetosome compartment.","author":[{"dropping-particle":"","family":"Raschdorf","given":"Oliver","non-dropping-particle":"","parse-names":false,"suffix":""},{"dropping-particle":"","family":"Müller","given":"Frank D","non-dropping-particle":"","parse-names":false,"suffix":""},{"dropping-particle":"","family":"Pósfai","given":"Mihály","non-dropping-particle":"","parse-names":false,"suffix":""},{"dropping-particle":"","family":"Plitzko","given":"Jürgen M","non-dropping-particle":"","parse-names":false,"suffix":""},{"dropping-particle":"","family":"Schüler","given":"Dirk","non-dropping-particle":"","parse-names":false,"suffix":""}],"container-title":"Molecular microbiology","id":"ITEM-1","issue":"5","issued":{"date-parts":[["2013","9"]]},"page":"872-86","title":"The magnetosome proteins MamX, MamZ and MamH are involved in redox control of magnetite biomineralization in Magnetospirillum gryphiswaldense.","type":"article-journal","volume":"89"},"uris":["http://www.mendeley.com/documents/?uuid=53ec8b7f-a238-3b2b-bfd1-470107f8a24f"]}],"mendeley":{"formattedCitation":"[71]","plainTextFormattedCitation":"[71]","previouslyFormattedCitation":"[71]"},"properties":{"noteIndex":0},"schema":"https://github.com/citation-style-language/schema/raw/master/csl-citation.json"}</w:instrText>
      </w:r>
      <w:r w:rsidR="00F61FF4">
        <w:fldChar w:fldCharType="separate"/>
      </w:r>
      <w:r w:rsidR="00BC6753" w:rsidRPr="00BC6753">
        <w:rPr>
          <w:noProof/>
        </w:rPr>
        <w:t>[71]</w:t>
      </w:r>
      <w:r w:rsidR="00F61FF4">
        <w:fldChar w:fldCharType="end"/>
      </w:r>
      <w:r>
        <w:t>. The human PepT1 and PepT2 transporters are also particularly interesting as they contain two additional immunoglobulin-like domains between helices 9 and 10, rather than at the N- or C-terminus. These domains are therefore on the external side of the membrane, and were found to associate with trypsin</w:t>
      </w:r>
      <w:r w:rsidR="00A27122">
        <w:t>; they</w:t>
      </w:r>
      <w:r>
        <w:t xml:space="preserve"> may therefore have a role in recruiting the protease to the transporter, colocalising production of di- and tripeptides and subsequent uptake </w:t>
      </w:r>
      <w:r w:rsidR="00F61FF4">
        <w:fldChar w:fldCharType="begin" w:fldLock="1"/>
      </w:r>
      <w:r w:rsidR="00A97363">
        <w:instrText>ADDIN CSL_CITATION {"citationItems":[{"id":"ITEM-1","itemData":{"DOI":"10.1016/j.str.2015.07.016","ISSN":"09692126","PMID":"26320580","abstract":"Mammals obtain nitrogen via the uptake of di- and tri-peptides in the gastrointestinal tract through the action of PepT1 and PepT2, which are members of the POT family of proton-coupled oligopeptide transporters. PepT1 and PepT2 also play an important role in drug transport in the human body. Recent crystal structures of bacterial homologs revealed a conserved peptide-binding site and mechanism of transport. However, a key structural difference exists between bacterial and mammalian homologs with only the latter containing a large extracellular domain, the function of which is currently unknown. Here, we present the crystal structure of the extracellular domain from both PepT1 and PepT2 that reveal two immunoglobulin-like folds connected in tandem, providing structural insight into mammalian peptide transport. Functional and biophysical studies demonstrate that these domains interact with the intestinal protease trypsin, suggesting a role in clustering proteolytic activity to the site of peptide transport in eukaryotic cells.","author":[{"dropping-particle":"","family":"Beale","given":"John H.","non-dropping-particle":"","parse-names":false,"suffix":""},{"dropping-particle":"","family":"Parker","given":"Joanne L.","non-dropping-particle":"","parse-names":false,"suffix":""},{"dropping-particle":"","family":"Samsudin","given":"Firdaus","non-dropping-particle":"","parse-names":false,"suffix":""},{"dropping-particle":"","family":"Barrett","given":"Anne L.","non-dropping-particle":"","parse-names":false,"suffix":""},{"dropping-particle":"","family":"Senan","given":"Anish","non-dropping-particle":"","parse-names":false,"suffix":""},{"dropping-particle":"","family":"Bird","given":"Louise E.","non-dropping-particle":"","parse-names":false,"suffix":""},{"dropping-particle":"","family":"Scott","given":"David","non-dropping-particle":"","parse-names":false,"suffix":""},{"dropping-particle":"","family":"Owens","given":"Raymond J.","non-dropping-particle":"","parse-names":false,"suffix":""},{"dropping-particle":"","family":"Sansom","given":"Mark S.P.","non-dropping-particle":"","parse-names":false,"suffix":""},{"dropping-particle":"","family":"Tucker","given":"Stephen J.","non-dropping-particle":"","parse-names":false,"suffix":""},{"dropping-particle":"","family":"Meredith","given":"David","non-dropping-particle":"","parse-names":false,"suffix":""},{"dropping-particle":"","family":"Fowler","given":"Philip W.","non-dropping-particle":"","parse-names":false,"suffix":""},{"dropping-particle":"","family":"Newstead","given":"Simon","non-dropping-particle":"","parse-names":false,"suffix":""}],"container-title":"Structure","id":"ITEM-1","issue":"10","issued":{"date-parts":[["2015","10","6"]]},"page":"1889-1899","title":"Crystal Structures of the Extracellular Domain from PepT1 and PepT2 Provide Novel Insights into Mammalian Peptide Transport","type":"article-journal","volume":"23"},"uris":["http://www.mendeley.com/documents/?uuid=601db9d3-e9ef-35de-a449-208d0e44a0d0"]}],"mendeley":{"formattedCitation":"[72]","plainTextFormattedCitation":"[72]","previouslyFormattedCitation":"[72]"},"properties":{"noteIndex":0},"schema":"https://github.com/citation-style-language/schema/raw/master/csl-citation.json"}</w:instrText>
      </w:r>
      <w:r w:rsidR="00F61FF4">
        <w:fldChar w:fldCharType="separate"/>
      </w:r>
      <w:r w:rsidR="00BC6753" w:rsidRPr="00BC6753">
        <w:rPr>
          <w:noProof/>
        </w:rPr>
        <w:t>[72]</w:t>
      </w:r>
      <w:r w:rsidR="00F61FF4">
        <w:fldChar w:fldCharType="end"/>
      </w:r>
      <w:r w:rsidR="00F61FF4">
        <w:t>.</w:t>
      </w:r>
    </w:p>
    <w:p w14:paraId="115BA26D" w14:textId="73505725" w:rsidR="006C5548" w:rsidRDefault="00A944C9">
      <w:r>
        <w:t>Fusions of phosphotransferase systems (PTS) are already well-known; the permease subunit EIIC can often be found fused to the EIIA and/or EIIB subunits in a variety of permutations</w:t>
      </w:r>
      <w:r w:rsidR="00650E54">
        <w:t xml:space="preserve"> </w:t>
      </w:r>
      <w:r w:rsidR="00650E54">
        <w:fldChar w:fldCharType="begin" w:fldLock="1"/>
      </w:r>
      <w:r w:rsidR="00A97363">
        <w:instrText>ADDIN CSL_CITATION {"citationItems":[{"id":"ITEM-1","itemData":{"DOI":"10.1128/MMBR.69.4.608-634.2005","ISSN":"1092-2172","PMID":"16339738","abstract":"We report analyses of 202 fully sequenced genomes for homologues of known protein constituents of the bacterial phosphoenolpyruvate-dependent phosphotransferase system (PTS). These included 174 bacterial, 19 archaeal, and 9 eukaryotic genomes. Homologues of PTS proteins were not identified in archaea or eukaryotes, showing that the horizontal transfer of genes encoding PTS proteins has not occurred between the three domains of life. Of the 174 bacterial genomes (136 bacterial species) analyzed, 30 diverse species have no PTS homologues, and 29 species have cytoplasmic PTS phosphoryl transfer protein homologues but lack recognizable PTS permeases. These soluble homologues presumably function in regulation. The remaining 77 species possess all PTS proteins required for the transport and phosphorylation of at least one sugar via the PTS. Up to 3.2% of the genes in a bacterium encode PTS proteins. These homologues were analyzed for family association, range of protein types, domain organization, and organismal distribution. Different strains of a single bacterial species often possess strikingly different complements of PTS proteins. Types of PTS protein domain fusions were analyzed, showing that certain types of domain fusions are common, while others are rare or prohibited. Select PTS proteins were analyzed from different phylogenetic standpoints, showing that PTS protein phylogeny often differs from organismal phylogeny. The results document the frequent gain and loss of PTS protein-encoding genes and suggest that the lateral transfer of these genes within the bacterial domain has played an important role in bacterial evolution. Our studies provide insight into the development of complex multicomponent enzyme systems and lead to predictions regarding the types of protein-protein interactions that promote efficient PTS-mediated phosphoryl transfer.","author":[{"dropping-particle":"","family":"Barabote","given":"Ravi D","non-dropping-particle":"","parse-names":false,"suffix":""},{"dropping-particle":"","family":"Saier","given":"Milton H","non-dropping-particle":"","parse-names":false,"suffix":""},{"dropping-particle":"","family":"Jr.","given":"","non-dropping-particle":"","parse-names":false,"suffix":""}],"container-title":"Microbiology and molecular biology reviews : MMBR","id":"ITEM-1","issue":"4","issued":{"date-parts":[["2005","12"]]},"page":"608-34","publisher":"American Society for Microbiology (ASM)","title":"Comparative genomic analyses of the bacterial phosphotransferase system.","type":"article-journal","volume":"69"},"uris":["http://www.mendeley.com/documents/?uuid=8011bef0-e946-3694-b1a6-94df702a4447"]}],"mendeley":{"formattedCitation":"[73]","plainTextFormattedCitation":"[73]","previouslyFormattedCitation":"[73]"},"properties":{"noteIndex":0},"schema":"https://github.com/citation-style-language/schema/raw/master/csl-citation.json"}</w:instrText>
      </w:r>
      <w:r w:rsidR="00650E54">
        <w:fldChar w:fldCharType="separate"/>
      </w:r>
      <w:r w:rsidR="00BC6753" w:rsidRPr="00BC6753">
        <w:rPr>
          <w:noProof/>
        </w:rPr>
        <w:t>[73]</w:t>
      </w:r>
      <w:r w:rsidR="00650E54">
        <w:fldChar w:fldCharType="end"/>
      </w:r>
      <w:r w:rsidR="00F93848">
        <w:t xml:space="preserve">. </w:t>
      </w:r>
      <w:r w:rsidR="008C5697">
        <w:t>Although fusions of the EI and HPr subunits to the EIIA subunit were also identified, n</w:t>
      </w:r>
      <w:r>
        <w:t xml:space="preserve">o </w:t>
      </w:r>
      <w:r w:rsidR="008C5697">
        <w:t>‘complete fusions’ of all of the subunits were discovered</w:t>
      </w:r>
      <w:r>
        <w:t xml:space="preserve">. Interestingly, it has been shown that an artificial fusion protein composed of the EIIBC, EIIA, HPr and EI proteins of the </w:t>
      </w:r>
      <w:r w:rsidRPr="00CC0C85">
        <w:rPr>
          <w:i/>
        </w:rPr>
        <w:t>E. coli</w:t>
      </w:r>
      <w:r>
        <w:t xml:space="preserve"> glucose PTS system is functional and can function more efficiently tha</w:t>
      </w:r>
      <w:r w:rsidR="008C5697">
        <w:t>n</w:t>
      </w:r>
      <w:r>
        <w:t xml:space="preserve"> a 1:1:1:1 mixture of the component proteins</w:t>
      </w:r>
      <w:r w:rsidR="00F93848">
        <w:t xml:space="preserve"> </w:t>
      </w:r>
      <w:r w:rsidR="00F93848">
        <w:fldChar w:fldCharType="begin" w:fldLock="1"/>
      </w:r>
      <w:r w:rsidR="00A97363">
        <w:instrText>ADDIN CSL_CITATION {"citationItems":[{"id":"ITEM-1","itemData":{"DOI":"10.1074/jbc.270.31.18295","ISSN":"0021-9258","PMID":"7629149","abstract":"A multidomain protein comprising the four subunits of the glucose phosphotransferase system of Escherichia coli was constructed by fusion of the transmembrane subunit IICBGlc and the three cytoplasmic proteins, IIAGlc, HPr, and enzyme I. The subunits were linked in the above order with Ala-Pro-rich linkers; the fusion protein was overexpressed in E. coli and purified by Ni2+ chelate affinity chromatography. Approximately 3 mg of the fusion protein could be purified from 1 liter of culture. The phosphotransferase activity of the purified fusion protein was 3-4 times higher than that of an equimolar mixture of the isolated subunits. The mannose transporter, which also requires enzyme I and HPr, was not an effective competitor in the overall phosphoryltransfer reaction when the fusion protein was used, whereas it was a competitor when an equimolar mixture of the separate subunits was employed. Transphosphorylation activity of the fusion protein was almost indistinguishable from the wild-type IICBglc. Addition of extra IICBGlc subunit could significantly stimulate the phosphotransferase activity of the fusion protein, addition of extra IIAGlc subunit and enzyme I, in contrast, was slightly inhibitory, and HPr had almost no effect. An optimal detergent-lipid ratio is required for maximum activity of the fusion protein. Our results suggest that Ala-Pro-rich linker sequences may be of general use for the construction of catalytically active fusion proteins with novel properties.","author":[{"dropping-particle":"","family":"Mao","given":"Qingcheng","non-dropping-particle":"","parse-names":false,"suffix":""},{"dropping-particle":"","family":"Schunk","given":"Thomas","non-dropping-particle":"","parse-names":false,"suffix":""},{"dropping-particle":"","family":"Gerber","given":"Basil","non-dropping-particle":"","parse-names":false,"suffix":""},{"dropping-particle":"","family":"Erni","given":"Bernhard","non-dropping-particle":"","parse-names":false,"suffix":""}],"container-title":"Journal of Biological Chemistry","id":"ITEM-1","issue":"31","issued":{"date-parts":[["1995","8","4"]]},"page":"18295-18300","title":"A String of Enzymes, Purification and Characterization of a Fusion Protein Comprising the Four Subunits of the Glucose Phosphotransferase System of &lt;i&gt;Escherichia coli&lt;/i&gt;","type":"article-journal","volume":"270"},"uris":["http://www.mendeley.com/documents/?uuid=5b8acd40-eac9-301a-a448-07ac6e6eb905"]}],"mendeley":{"formattedCitation":"[74]","plainTextFormattedCitation":"[74]","previouslyFormattedCitation":"[74]"},"properties":{"noteIndex":0},"schema":"https://github.com/citation-style-language/schema/raw/master/csl-citation.json"}</w:instrText>
      </w:r>
      <w:r w:rsidR="00F93848">
        <w:fldChar w:fldCharType="separate"/>
      </w:r>
      <w:r w:rsidR="00BC6753" w:rsidRPr="00BC6753">
        <w:rPr>
          <w:noProof/>
        </w:rPr>
        <w:t>[74]</w:t>
      </w:r>
      <w:r w:rsidR="00F93848">
        <w:fldChar w:fldCharType="end"/>
      </w:r>
      <w:r w:rsidR="00F93848">
        <w:t xml:space="preserve">. </w:t>
      </w:r>
      <w:r w:rsidR="00393B0D">
        <w:t>This raises the question of whether</w:t>
      </w:r>
      <w:r>
        <w:t xml:space="preserve"> such fusions occur in nature</w:t>
      </w:r>
      <w:r w:rsidR="00FE34C5">
        <w:t>,</w:t>
      </w:r>
      <w:r w:rsidR="006C5548">
        <w:t xml:space="preserve"> and indeed</w:t>
      </w:r>
      <w:r w:rsidR="00FE34C5">
        <w:t>,</w:t>
      </w:r>
      <w:r w:rsidR="006C5548">
        <w:t xml:space="preserve"> some complet</w:t>
      </w:r>
      <w:r w:rsidR="00FE34C5">
        <w:t>e</w:t>
      </w:r>
      <w:r w:rsidR="006C5548">
        <w:t xml:space="preserve"> fusions are identified in InterPro: </w:t>
      </w:r>
      <w:r w:rsidR="00500F96">
        <w:t xml:space="preserve">one type 1 system (UniProt: </w:t>
      </w:r>
      <w:r w:rsidR="002A7AEF" w:rsidRPr="002A7AEF">
        <w:t>A0A2T5CBQ6</w:t>
      </w:r>
      <w:r w:rsidR="00500F96">
        <w:t>)</w:t>
      </w:r>
      <w:r w:rsidR="002A7AEF">
        <w:t xml:space="preserve"> </w:t>
      </w:r>
      <w:r w:rsidR="00500F96">
        <w:t xml:space="preserve">and two type 2 systems (UniProt: </w:t>
      </w:r>
      <w:r w:rsidR="002A7AEF" w:rsidRPr="002A7AEF">
        <w:t>A0A328F7E0</w:t>
      </w:r>
      <w:r w:rsidR="00500F96">
        <w:t xml:space="preserve"> and</w:t>
      </w:r>
      <w:r w:rsidR="002A7AEF">
        <w:t xml:space="preserve"> </w:t>
      </w:r>
      <w:r w:rsidR="002A7AEF" w:rsidRPr="002A7AEF">
        <w:t>C0QKA9</w:t>
      </w:r>
      <w:r w:rsidR="00500F96">
        <w:t>)</w:t>
      </w:r>
      <w:r w:rsidR="00FE34C5">
        <w:t>.</w:t>
      </w:r>
      <w:r w:rsidR="006C5548">
        <w:t xml:space="preserve"> </w:t>
      </w:r>
      <w:r w:rsidR="00FE34C5">
        <w:t>H</w:t>
      </w:r>
      <w:r w:rsidR="006C5548">
        <w:t xml:space="preserve">owever, these would need experimental study to verify. </w:t>
      </w:r>
    </w:p>
    <w:p w14:paraId="41B63787" w14:textId="29CCEE74" w:rsidR="00650DC8" w:rsidRDefault="00E80212">
      <w:r>
        <w:t xml:space="preserve">Another interesting example is an aquaglyceroporin from the bacterium </w:t>
      </w:r>
      <w:r>
        <w:rPr>
          <w:i/>
        </w:rPr>
        <w:t xml:space="preserve">Salinospora tropica </w:t>
      </w:r>
      <w:r>
        <w:t xml:space="preserve">that is fused to an arsenate reductase. Arsenate is highly toxic and its reduction to arsenite and subsequent efflux is a commonly employed strategy for resistance </w:t>
      </w:r>
      <w:r w:rsidR="00F61FF4">
        <w:fldChar w:fldCharType="begin" w:fldLock="1"/>
      </w:r>
      <w:r w:rsidR="00A97363">
        <w:instrText>ADDIN CSL_CITATION {"citationItems":[{"id":"ITEM-1","itemData":{"DOI":"10.3389/fmicb.2018.02473","ISSN":"1664-302X","PMID":"30405552","abstract":"Arsenic is a metalloid that occurs naturally in aquatic and terrestrial environments. The high toxicity of arsenic derivatives converts this element in a serious problem of public health worldwide. There is a global arsenic geocycle in which microbes play a relevant role. Ancient exposure to arsenic derivatives, both inorganic and organic, has represented a selective pressure for microbes to evolve or acquire diverse arsenic resistance genetic systems. In addition, arsenic compounds appear to have been used as a toxin in chemical warfare for a long time selecting for an extended range of arsenic resistance determinants. Arsenic resistance strategies rely mainly on membrane transport pathways that extrude the toxic compounds from the cell cytoplasm. The ars operons, first discovered in bacterial R-factors almost 50 years ago, are the most common microbial arsenic resistance systems. Numerous ars operons, with a variety of genes and different combinations of them, populate the prokaryotic genomes, including their accessory plasmids, transposons, and genomic islands. Besides these canonical, widespread ars gene clusters, which confer resistance to the inorganic forms of arsenic, additional genes have been discovered recently, which broadens the spectrum of arsenic tolerance by detoxifying organic arsenic derivatives often used as toxins. This review summarizes the presence, distribution, organization, and redundance of arsenic resistance genes in prokaryotes.","author":[{"dropping-particle":"","family":"Fekih","given":"Ibtissem","non-dropping-particle":"Ben","parse-names":false,"suffix":""},{"dropping-particle":"","family":"Zhang","given":"Chengkang","non-dropping-particle":"","parse-names":false,"suffix":""},{"dropping-particle":"","family":"Li","given":"Yuan Ping","non-dropping-particle":"","parse-names":false,"suffix":""},{"dropping-particle":"","family":"Zhao","given":"Yi","non-dropping-particle":"","parse-names":false,"suffix":""},{"dropping-particle":"","family":"Alwathnani","given":"Hend A","non-dropping-particle":"","parse-names":false,"suffix":""},{"dropping-particle":"","family":"Saquib","given":"Quaiser","non-dropping-particle":"","parse-names":false,"suffix":""},{"dropping-particle":"","family":"Rensing","given":"Christopher","non-dropping-particle":"","parse-names":false,"suffix":""},{"dropping-particle":"","family":"Cervantes","given":"Carlos","non-dropping-particle":"","parse-names":false,"suffix":""}],"container-title":"Frontiers in microbiology","id":"ITEM-1","issued":{"date-parts":[["2018"]]},"page":"2473","publisher":"Frontiers Media SA","title":"Distribution of Arsenic Resistance Genes in Prokaryotes.","type":"article-journal","volume":"9"},"uris":["http://www.mendeley.com/documents/?uuid=a72a7cbb-cf91-3781-9897-d6048a74cb29"]}],"mendeley":{"formattedCitation":"[75]","plainTextFormattedCitation":"[75]","previouslyFormattedCitation":"[75]"},"properties":{"noteIndex":0},"schema":"https://github.com/citation-style-language/schema/raw/master/csl-citation.json"}</w:instrText>
      </w:r>
      <w:r w:rsidR="00F61FF4">
        <w:fldChar w:fldCharType="separate"/>
      </w:r>
      <w:r w:rsidR="00BC6753" w:rsidRPr="00BC6753">
        <w:rPr>
          <w:noProof/>
        </w:rPr>
        <w:t>[75]</w:t>
      </w:r>
      <w:r w:rsidR="00F61FF4">
        <w:fldChar w:fldCharType="end"/>
      </w:r>
      <w:r>
        <w:t>. In this organism the pr</w:t>
      </w:r>
      <w:r w:rsidR="009045DA">
        <w:t>oteins form a functional fusion</w:t>
      </w:r>
      <w:r>
        <w:t xml:space="preserve"> </w:t>
      </w:r>
      <w:r w:rsidR="00F61FF4">
        <w:fldChar w:fldCharType="begin" w:fldLock="1"/>
      </w:r>
      <w:r w:rsidR="00A97363">
        <w:instrText>ADDIN CSL_CITATION {"citationItems":[{"id":"ITEM-1","itemData":{"DOI":"10.1074/jbc.M110.184457","ISSN":"1083-351X","PMID":"20947511","abstract":"Steady exposure to environmental arsenic has led to the evolution of vital cellular detoxification mechanisms. Under aerobic conditions, a two-step process appears most common among microorganisms involving reduction of predominant, oxidized arsenate (H(2)As(V)O(4)(-)/HAs(V)O(4)(2-)) to arsenite (As(III)(OH)(3)) by a cytosolic enzyme (ArsC; Escherichia coli type arsenate reductase) and subsequent extrusion via ArsB (E. coli type arsenite transporter)/ACR3 (yeast type arsenite transporter). Here, we describe novel fusion proteins consisting of an aquaglyceroporin-derived arsenite channel with a C-terminal arsenate reductase domain of phosphotyrosine-phosphatase origin, providing transposable, single gene-encoded arsenate resistance. The fusion occurred in actinobacteria from soil, Frankia alni, and marine environments, Salinispora tropica; Mycobacterium tuberculosis encodes an analogous ACR3-ArsC fusion. Mutations rendered the aquaglyceroporin channel more polar resulting in lower glycerol permeability and enhanced arsenite selectivity. The arsenate reductase domain couples to thioredoxin and can complement arsenate-sensitive yeast strains. A second isoform with a nonfunctional channel may use the mycothiol/mycoredoxin cofactor pool. These channel enzymes constitute prototypes of a novel concept in metabolism in which a substrate is generated and compartmentalized by the same molecule. Immediate diffusion maintains the dynamic equilibrium and prevents toxic accumulation of metabolites in an energy-saving fashion.","author":[{"dropping-particle":"","family":"Wu","given":"Binghua","non-dropping-particle":"","parse-names":false,"suffix":""},{"dropping-particle":"","family":"Song","given":"Jie","non-dropping-particle":"","parse-names":false,"suffix":""},{"dropping-particle":"","family":"Beitz","given":"Eric","non-dropping-particle":"","parse-names":false,"suffix":""}],"container-title":"The Journal of biological chemistry","id":"ITEM-1","issue":"51","issued":{"date-parts":[["2010","12","17"]]},"page":"40081-7","publisher":"American Society for Biochemistry and Molecular Biology","title":"Novel channel enzyme fusion proteins confer arsenate resistance.","type":"article-journal","volume":"285"},"uris":["http://www.mendeley.com/documents/?uuid=bd11b8b4-f368-3dfc-8072-2a7d4fac0797"]}],"mendeley":{"formattedCitation":"[76]","plainTextFormattedCitation":"[76]","previouslyFormattedCitation":"[76]"},"properties":{"noteIndex":0},"schema":"https://github.com/citation-style-language/schema/raw/master/csl-citation.json"}</w:instrText>
      </w:r>
      <w:r w:rsidR="00F61FF4">
        <w:fldChar w:fldCharType="separate"/>
      </w:r>
      <w:r w:rsidR="00BC6753" w:rsidRPr="00BC6753">
        <w:rPr>
          <w:noProof/>
        </w:rPr>
        <w:t>[76]</w:t>
      </w:r>
      <w:r w:rsidR="00F61FF4">
        <w:fldChar w:fldCharType="end"/>
      </w:r>
      <w:r>
        <w:t xml:space="preserve"> (</w:t>
      </w:r>
      <w:r>
        <w:rPr>
          <w:b/>
        </w:rPr>
        <w:t>Fig. 1</w:t>
      </w:r>
      <w:r>
        <w:t xml:space="preserve">), with the channel itself having evolved to increase selectivity for arsenite. The authors also note an independent fusion of a similar arsenate reductase to a different transporter family in </w:t>
      </w:r>
      <w:r>
        <w:rPr>
          <w:i/>
        </w:rPr>
        <w:t>M. tuberculosis</w:t>
      </w:r>
      <w:r>
        <w:t>, demonstrating the important potential physiological benefit of tightly coupling these two processes.</w:t>
      </w:r>
    </w:p>
    <w:p w14:paraId="074CFD7A" w14:textId="77777777" w:rsidR="00650DC8" w:rsidRDefault="00E80212">
      <w:pPr>
        <w:pStyle w:val="Heading1"/>
        <w:rPr>
          <w:sz w:val="28"/>
          <w:szCs w:val="28"/>
        </w:rPr>
      </w:pPr>
      <w:bookmarkStart w:id="9" w:name="_7feq8k5fcp2p" w:colFirst="0" w:colLast="0"/>
      <w:bookmarkEnd w:id="9"/>
      <w:r>
        <w:rPr>
          <w:sz w:val="28"/>
          <w:szCs w:val="28"/>
        </w:rPr>
        <w:lastRenderedPageBreak/>
        <w:t>To fuse or not to fuse?</w:t>
      </w:r>
    </w:p>
    <w:p w14:paraId="2FA4D4D6" w14:textId="54E162AA" w:rsidR="00650DC8" w:rsidRDefault="00E80212">
      <w:r>
        <w:t xml:space="preserve">Fusing another functional domain directly onto a membrane protein imposes topological and stoichiometric constraints that could strongly counter-select these occurring in nature. If we first consider topological problems, a fusion of a protein that is not normally secreted into </w:t>
      </w:r>
      <w:r w:rsidR="00F61FF4">
        <w:t>an</w:t>
      </w:r>
      <w:r>
        <w:t xml:space="preserve"> extra-cytoplasmic loop of a transporter, for example, would cause numerous problems with folding and assembly of the resulting fusion, suggesting it would be quickly selected against. </w:t>
      </w:r>
      <w:r w:rsidR="003468EB">
        <w:t>Thus, the membrane proteins that are most amenable to fusion are those with N</w:t>
      </w:r>
      <w:r w:rsidR="003468EB" w:rsidRPr="00931AC6">
        <w:rPr>
          <w:vertAlign w:val="subscript"/>
        </w:rPr>
        <w:t>IN</w:t>
      </w:r>
      <w:r w:rsidR="003468EB">
        <w:t xml:space="preserve"> and/or C</w:t>
      </w:r>
      <w:r w:rsidR="003468EB" w:rsidRPr="00931AC6">
        <w:rPr>
          <w:vertAlign w:val="subscript"/>
        </w:rPr>
        <w:t>IN</w:t>
      </w:r>
      <w:r w:rsidR="003468EB">
        <w:t xml:space="preserve"> topology, which allows the fusion of additional cytoplasmic domains at the cytoplasmic </w:t>
      </w:r>
      <w:r w:rsidR="00931AC6">
        <w:t>termini</w:t>
      </w:r>
      <w:r w:rsidR="003468EB">
        <w:t xml:space="preserve"> with a simple linker sequence. This topology is common in bacterial membrane proteins; a landmark genome-wide study by Daley et al </w:t>
      </w:r>
      <w:r w:rsidR="003468EB">
        <w:fldChar w:fldCharType="begin" w:fldLock="1"/>
      </w:r>
      <w:r w:rsidR="00BC6753">
        <w:instrText>ADDIN CSL_CITATION {"citationItems":[{"id":"ITEM-1","itemData":{"DOI":"10.1126/science.1109730","ISSN":"1095-9203","PMID":"15919996","abstract":"The protein complement of cellular membranes is notoriously resistant to standard proteomic analysis and structural studies. As a result, membrane proteomes remain ill-defined. Here, we report a global topology analysis of the Escherichia coli inner membrane proteome. Using C-terminal tagging with the alkaline phosphatase and green fluorescent protein, we established the periplasmic or cytoplasmic locations of the C termini for 601 inner membrane proteins. By constraining a topology prediction algorithm with this data, we derived high-quality topology models for the 601 proteins, providing a firm foundation for future functional studies of this and other membrane proteomes. We also estimated the overexpression potential for 397 green fluorescent protein fusions; the results suggest that a large fraction of all inner membrane proteins can be produced in sufficient quantities for biochemical and structural work.","author":[{"dropping-particle":"","family":"Daley","given":"Daniel O","non-dropping-particle":"","parse-names":false,"suffix":""},{"dropping-particle":"","family":"Rapp","given":"Mikaela","non-dropping-particle":"","parse-names":false,"suffix":""},{"dropping-particle":"","family":"Granseth","given":"Erik","non-dropping-particle":"","parse-names":false,"suffix":""},{"dropping-particle":"","family":"Melén","given":"Karin","non-dropping-particle":"","parse-names":false,"suffix":""},{"dropping-particle":"","family":"Drew","given":"David","non-dropping-particle":"","parse-names":false,"suffix":""},{"dropping-particle":"","family":"Heijne","given":"Gunnar","non-dropping-particle":"von","parse-names":false,"suffix":""}],"container-title":"Science (New York, N.Y.)","id":"ITEM-1","issue":"5726","issued":{"date-parts":[["2005","5","27"]]},"page":"1321-3","publisher":"American Association for the Advancement of Science","title":"Global topology analysis of the Escherichia coli inner membrane proteome.","type":"article-journal","volume":"308"},"uris":["http://www.mendeley.com/documents/?uuid=99192f0f-86be-39b3-babb-29e7066444a8"]}],"mendeley":{"formattedCitation":"[77]","plainTextFormattedCitation":"[77]","previouslyFormattedCitation":"[77]"},"properties":{"noteIndex":0},"schema":"https://github.com/citation-style-language/schema/raw/master/csl-citation.json"}</w:instrText>
      </w:r>
      <w:r w:rsidR="003468EB">
        <w:fldChar w:fldCharType="separate"/>
      </w:r>
      <w:r w:rsidR="003468EB" w:rsidRPr="003C7C67">
        <w:rPr>
          <w:noProof/>
        </w:rPr>
        <w:t>[77]</w:t>
      </w:r>
      <w:r w:rsidR="003468EB">
        <w:fldChar w:fldCharType="end"/>
      </w:r>
      <w:r w:rsidR="003468EB">
        <w:t xml:space="preserve"> has shown that 57% of the membrane proteins of </w:t>
      </w:r>
      <w:r w:rsidR="003468EB" w:rsidRPr="00931AC6">
        <w:rPr>
          <w:i/>
        </w:rPr>
        <w:t>E. coli</w:t>
      </w:r>
      <w:r w:rsidR="003468EB">
        <w:t xml:space="preserve"> have N</w:t>
      </w:r>
      <w:r w:rsidR="003468EB" w:rsidRPr="00931AC6">
        <w:rPr>
          <w:vertAlign w:val="subscript"/>
        </w:rPr>
        <w:t>IN</w:t>
      </w:r>
      <w:r w:rsidR="003468EB">
        <w:t xml:space="preserve"> and C</w:t>
      </w:r>
      <w:r w:rsidR="003468EB" w:rsidRPr="00931AC6">
        <w:rPr>
          <w:vertAlign w:val="subscript"/>
        </w:rPr>
        <w:t>IN</w:t>
      </w:r>
      <w:r w:rsidR="003468EB">
        <w:t xml:space="preserve"> topology. </w:t>
      </w:r>
      <w:r w:rsidR="00464DF5">
        <w:t xml:space="preserve">However, fusion of domains to an extracytoplasmic terminal is more difficult. </w:t>
      </w:r>
      <w:r>
        <w:t>From experimental manipulation of expression vectors for membrane proteins, those proteins with an N</w:t>
      </w:r>
      <w:r>
        <w:rPr>
          <w:vertAlign w:val="subscript"/>
        </w:rPr>
        <w:t>OUT</w:t>
      </w:r>
      <w:r>
        <w:t xml:space="preserve"> topology, that could not normally be fused to GFP (which has to be in the cytoplasm to be active), can easily have an additional transmembrane helix fused to the end to </w:t>
      </w:r>
      <w:r w:rsidR="009045DA">
        <w:t>locate the GFP in the cytoplasm</w:t>
      </w:r>
      <w:r w:rsidR="000214B6">
        <w:t xml:space="preserve"> </w:t>
      </w:r>
      <w:r w:rsidR="00F61FF4">
        <w:fldChar w:fldCharType="begin" w:fldLock="1"/>
      </w:r>
      <w:r w:rsidR="00A97363">
        <w:instrText>ADDIN CSL_CITATION {"citationItems":[{"id":"ITEM-1","itemData":{"DOI":"10.1002/pro.365","ISSN":"09618368","PMID":"20196076","abstract":"Low expression and instability during isolation are major obstacles preventing adequate structure-function characterization of membrane proteins (MPs). To increase the likelihood of generating large quantities of protein, C-terminally fused green fluorescent protein (GFP) is commonly used as a reporter for monitoring expression and evaluating purification. This technique has mainly been restricted to MPs with intracellular C-termini (C(in)) due to GFP's inability to fluoresce in the Escherichia coli periplasm. With the aid of Glycophorin A, a single transmembrane spanning protein, we developed a method to convert MPs with extracellular C-termini (C(out)) to C(in) ones providing a conduit for implementing GFP reporting. We tested this method on eleven MPs with predicted C(out) topology resulting in high level expression. For nine of the eleven MPs, a stable, monodisperse protein-detergent complex was identified using an extended fluorescence-detection size exclusion chromatography procedure that monitors protein stability over time, a critical parameter affecting the success of structure-function studies. Five MPs were successfully cleaved from the GFP tag by site-specific proteolysis and purified to homogeneity. To address the challenge of inefficient proteolysis, we explored expression and purification conditions in the absence of the fusion tag. Contrary to previous studies, optimal expression conditions established with the fusion were not directly transferable for overexpression in the absence of the GFP tag. These studies establish a broadly applicable method for GFP screening of MPs with C(out) topology, yielding sufficient protein suitable for structure-function studies and are superior to expression and purification in the absence GFP fusion tagging.","author":[{"dropping-particle":"","family":"Hsieh","given":"Jennifer M.","non-dropping-particle":"","parse-names":false,"suffix":""},{"dropping-particle":"","family":"Besserer","given":"Gabriel Mercado","non-dropping-particle":"","parse-names":false,"suffix":""},{"dropping-particle":"","family":"Madej","given":"M. Gregor","non-dropping-particle":"","parse-names":false,"suffix":""},{"dropping-particle":"","family":"Bui","given":"Ha-Quyen","non-dropping-particle":"","parse-names":false,"suffix":""},{"dropping-particle":"","family":"Kwon","given":"Seunghyug","non-dropping-particle":"","parse-names":false,"suffix":""},{"dropping-particle":"","family":"Abramson","given":"Jeff","non-dropping-particle":"","parse-names":false,"suffix":""}],"container-title":"Protein Science","id":"ITEM-1","issue":"4","issued":{"date-parts":[["2010","4"]]},"page":"868-880","title":"Bridging the gap: A GFP-based strategy for overexpression and purification of membrane proteins with intra and extracellular C-termini","type":"article-journal","volume":"19"},"uris":["http://www.mendeley.com/documents/?uuid=5fdf8e90-06bf-3de0-8da5-f4e26e8f5775"]}],"mendeley":{"formattedCitation":"[78]","plainTextFormattedCitation":"[78]","previouslyFormattedCitation":"[78]"},"properties":{"noteIndex":0},"schema":"https://github.com/citation-style-language/schema/raw/master/csl-citation.json"}</w:instrText>
      </w:r>
      <w:r w:rsidR="00F61FF4">
        <w:fldChar w:fldCharType="separate"/>
      </w:r>
      <w:r w:rsidR="00BC6753" w:rsidRPr="00BC6753">
        <w:rPr>
          <w:noProof/>
        </w:rPr>
        <w:t>[78]</w:t>
      </w:r>
      <w:r w:rsidR="00F61FF4">
        <w:fldChar w:fldCharType="end"/>
      </w:r>
      <w:r>
        <w:t>, but for this to occur naturally</w:t>
      </w:r>
      <w:r w:rsidR="006C5548">
        <w:t xml:space="preserve"> would </w:t>
      </w:r>
      <w:r>
        <w:t xml:space="preserve">require an extra helix and the soluble domain to arrive at the same time. </w:t>
      </w:r>
      <w:r w:rsidR="00892B43">
        <w:t>Nevertheless</w:t>
      </w:r>
      <w:r w:rsidR="00464DF5">
        <w:t>, t</w:t>
      </w:r>
      <w:r>
        <w:t xml:space="preserve">here are good examples from both SWEET </w:t>
      </w:r>
      <w:r w:rsidR="000D26A6">
        <w:t xml:space="preserve">(‘sugars will eventually be exported transporter’) </w:t>
      </w:r>
      <w:r>
        <w:t xml:space="preserve">and TRAP transporters </w:t>
      </w:r>
      <w:r w:rsidR="006B4506">
        <w:t>where the fusion of membrane components</w:t>
      </w:r>
      <w:r>
        <w:t xml:space="preserve"> has required </w:t>
      </w:r>
      <w:r w:rsidR="00E0593F">
        <w:t xml:space="preserve">the incorporation of </w:t>
      </w:r>
      <w:r>
        <w:t>an additional helix to match the topology of the two individual partners</w:t>
      </w:r>
      <w:r w:rsidR="000214B6">
        <w:t xml:space="preserve"> </w:t>
      </w:r>
      <w:r w:rsidR="00F61FF4">
        <w:fldChar w:fldCharType="begin" w:fldLock="1"/>
      </w:r>
      <w:r w:rsidR="00A97363">
        <w:instrText>ADDIN CSL_CITATION {"citationItems":[{"id":"ITEM-1","itemData":{"DOI":"10.1111/j.1365-2958.2005.04901.x","ISSN":"0950382X","author":[{"dropping-particle":"","family":"Severi","given":"Emmanuele","non-dropping-particle":"","parse-names":false,"suffix":""},{"dropping-particle":"","family":"Randle","given":"Gaynor","non-dropping-particle":"","parse-names":false,"suffix":""},{"dropping-particle":"","family":"Kivlin","given":"Polly","non-dropping-particle":"","parse-names":false,"suffix":""},{"dropping-particle":"","family":"Whitfield","given":"Kate","non-dropping-particle":"","parse-names":false,"suffix":""},{"dropping-particle":"","family":"Young","given":"Rosie","non-dropping-particle":"","parse-names":false,"suffix":""},{"dropping-particle":"","family":"Moxon","given":"Richard","non-dropping-particle":"","parse-names":false,"suffix":""},{"dropping-particle":"","family":"Kelly","given":"David","non-dropping-particle":"","parse-names":false,"suffix":""},{"dropping-particle":"","family":"Hood","given":"Derek","non-dropping-particle":"","parse-names":false,"suffix":""},{"dropping-particle":"","family":"Thomas","given":"Gavin H.","non-dropping-particle":"","parse-names":false,"suffix":""}],"container-title":"Molecular Microbiology","id":"ITEM-1","issue":"4","issued":{"date-parts":[["2005","11","1"]]},"page":"1173-1185","publisher":"John Wiley &amp; Sons, Ltd (10.1111)","title":"Sialic acid transport in &lt;i&gt;Haemophilus influenzae&lt;/i&gt; is essential for lipopolysaccharide sialylation and serum resistance and is dependent on a novel tripartite ATP-independent periplasmic transporter","type":"article-journal","volume":"58"},"uris":["http://www.mendeley.com/documents/?uuid=d3905594-8df0-3ec4-8bad-cbd525cdaa62"]},{"id":"ITEM-2","itemData":{"DOI":"10.1073/pnas.0809979106","ISSN":"1091-6490","PMID":"19179287","abstract":"Substrate-binding protein-dependent secondary transporters are widespread in prokaryotes and are represented most frequently by members of the tripartite ATP-independent periplasmic (TRAP) transporter family. Here, we report the membrane reconstitution of a TRAP transporter, the sialic acid-specific SiaPQM system from Haemophilus influenzae, and elucidate its mechanism of energy coupling. Uptake of sialic acid via membrane-reconstituted SiaQM depends on the presence of the sialic acid-binding protein, SiaP, and is driven by the electrochemical sodium gradient. The interaction between SiaP and SiaQM is specific as transport is not reconstituted using the orthologous sialic acid-binding protein VC1779. Importantly, the binding protein also confers directionality on the transporter, and reversal of sialic acid transport from import to export is only possible in the presence of an excess of unliganded SiaP.","author":[{"dropping-particle":"","family":"Mulligan","given":"Christopher","non-dropping-particle":"","parse-names":false,"suffix":""},{"dropping-particle":"","family":"Geertsma","given":"Eric R","non-dropping-particle":"","parse-names":false,"suffix":""},{"dropping-particle":"","family":"Severi","given":"Emmanuele","non-dropping-particle":"","parse-names":false,"suffix":""},{"dropping-particle":"","family":"Kelly","given":"David J","non-dropping-particle":"","parse-names":false,"suffix":""},{"dropping-particle":"","family":"Poolman","given":"Bert","non-dropping-particle":"","parse-names":false,"suffix":""},{"dropping-particle":"","family":"Thomas","given":"Gavin H","non-dropping-particle":"","parse-names":false,"suffix":""}],"container-title":"Proceedings of the National Academy of Sciences of the United States of America","id":"ITEM-2","issue":"6","issued":{"date-parts":[["2009","2","10"]]},"page":"1778-83","title":"The substrate-binding protein imposes directionality on an electrochemical sodium gradient-driven TRAP transporter.","type":"article-journal","volume":"106"},"uris":["http://www.mendeley.com/documents/?uuid=b15d6a85-8d84-352d-9456-e4e51463827a"]},{"id":"ITEM-3","itemData":{"DOI":"10.1096/fj.201600576R","ISSN":"0892-6638","PMID":"27411857","abstract":"SWEETs represent a new class of sugar transporters first described in plants, animals, and humans and later in prokaryotes. Plant SWEETs play key roles in phloem loading, seed filling, and nectar secretion, whereas the role of archaeal, bacterial, and animal transporters remains elusive. Structural analyses show that eukaryotic SWEETs are composed of 2 triple-helix bundles (THBs) fused via an inversion linker helix, whereas prokaryotic SemiSWEETs contain only a single THB and require homodimerization to form transport pores. This study indicates that SWEETs retained sugar transport activity in all kingdoms of life, and that SemiSWEETs are likely their ancestral units. Fusion of oligomeric subunits into single polypeptides during evolution of eukaryotes is commonly found for transporters. Phylogenetic analyses indicate that THBs of eukaryotic SWEETs may not have evolved by tandem duplication of an open reading frame, but rather originated by fusion between an archaeal and a bacterial SemiSWEET, which potentially explains the asymmetry of eukaryotic SWEETs. Moreover, despite the ancient ancestry, SWEETs had not been identified in fungi or oomycetes. Here, we report the identification of SWEETs in oomycetes as well as SWEETs and a potential SemiSWEET in primitive fungi. BdSWEET1 and BdSWEET2 from Batrachochytrium dendrobatidis, a nonhyphal zoosporic fungus that causes global decline in amphibians, showed glucose and fructose transport activities.-Hu, Y.-B., Sosso, D., Qu, X.-Q., Chen, L.-Q., Ma, L., Chermak, D., Zhang, D.-C., Frommer, W. B. Phylogenetic evidence for a fusion of archaeal and bacterial SemiSWEETs to form eukaryotic SWEETs and identification of SWEET hexose transporters in the amphibian chytrid pathogen Batrachochytrium dendrobatidis.","author":[{"dropping-particle":"","family":"Hu","given":"Yi-Bing","non-dropping-particle":"","parse-names":false,"suffix":""},{"dropping-particle":"","family":"Sosso","given":"Davide","non-dropping-particle":"","parse-names":false,"suffix":""},{"dropping-particle":"","family":"Qu","given":"Xiao-Qing","non-dropping-particle":"","parse-names":false,"suffix":""},{"dropping-particle":"","family":"Chen","given":"Li-Qing","non-dropping-particle":"","parse-names":false,"suffix":""},{"dropping-particle":"","family":"Ma","given":"Lai","non-dropping-particle":"","parse-names":false,"suffix":""},{"dropping-particle":"","family":"Chermak","given":"Diane","non-dropping-particle":"","parse-names":false,"suffix":""},{"dropping-particle":"","family":"Zhang","given":"De-Chun","non-dropping-particle":"","parse-names":false,"suffix":""},{"dropping-particle":"","family":"Frommer","given":"Wolf B.","non-dropping-particle":"","parse-names":false,"suffix":""}],"container-title":"The FASEB Journal","id":"ITEM-3","issue":"10","issued":{"date-parts":[["2016","10"]]},"page":"3644-3654","title":"Phylogenetic evidence for a fusion of archaeal and bacterial SemiSWEETs to form eukaryotic SWEETs and identification of SWEET hexose transporters in the amphibian chytrid pathogen &lt;i&gt;Batrachochytrium dendrobatidis&lt;/i&gt;","type":"article-journal","volume":"30"},"uris":["http://www.mendeley.com/documents/?uuid=f5766fe5-94f7-368c-a7f4-ddddc91c8f3d"]}],"mendeley":{"formattedCitation":"[79–81]","plainTextFormattedCitation":"[79–81]","previouslyFormattedCitation":"[79–81]"},"properties":{"noteIndex":0},"schema":"https://github.com/citation-style-language/schema/raw/master/csl-citation.json"}</w:instrText>
      </w:r>
      <w:r w:rsidR="00F61FF4">
        <w:fldChar w:fldCharType="separate"/>
      </w:r>
      <w:r w:rsidR="00BC6753" w:rsidRPr="00BC6753">
        <w:rPr>
          <w:noProof/>
        </w:rPr>
        <w:t>[79–81]</w:t>
      </w:r>
      <w:r w:rsidR="00F61FF4">
        <w:fldChar w:fldCharType="end"/>
      </w:r>
      <w:r>
        <w:t>. Where the required linker transmembrane helix originated is not clear but must have been spliced between the genes</w:t>
      </w:r>
      <w:r w:rsidR="006C5548">
        <w:t>.</w:t>
      </w:r>
      <w:r>
        <w:t xml:space="preserve"> </w:t>
      </w:r>
    </w:p>
    <w:p w14:paraId="6185F353" w14:textId="4FBAEACF" w:rsidR="00650DC8" w:rsidRDefault="00E80212">
      <w:r>
        <w:t>The second problem</w:t>
      </w:r>
      <w:r>
        <w:rPr>
          <w:b/>
        </w:rPr>
        <w:t xml:space="preserve"> </w:t>
      </w:r>
      <w:r>
        <w:t xml:space="preserve">is to match the stoichiometry of the partners. Given that most soluble enzymes do not function as monomers, this would create a problem if the fusion partner is a monomer, such as most MFS transporters are thought to be. An interesting example of a system constrained by stoichiometry is the gating of potassium transporters by RCK domains. These domains </w:t>
      </w:r>
      <w:r w:rsidR="006574E0">
        <w:t xml:space="preserve">typically </w:t>
      </w:r>
      <w:r>
        <w:t xml:space="preserve">function as octamers, and thus need to be significantly in excess over the transporter that they regulate. A simple solution is for the RCK protein to be expressed at higher levels that then channel is </w:t>
      </w:r>
      <w:r w:rsidR="006C5548">
        <w:t xml:space="preserve">by placing it as the first gene in a </w:t>
      </w:r>
      <w:r>
        <w:t xml:space="preserve">two gene operon, as can be seen in the </w:t>
      </w:r>
      <w:r>
        <w:rPr>
          <w:i/>
        </w:rPr>
        <w:t>B. subtilis</w:t>
      </w:r>
      <w:r w:rsidR="009045DA">
        <w:t xml:space="preserve"> KtrAB complex</w:t>
      </w:r>
      <w:r w:rsidR="000214B6">
        <w:t xml:space="preserve"> </w:t>
      </w:r>
      <w:r w:rsidR="00F61FF4">
        <w:fldChar w:fldCharType="begin" w:fldLock="1"/>
      </w:r>
      <w:r w:rsidR="00A97363">
        <w:instrText>ADDIN CSL_CITATION {"citationItems":[{"id":"ITEM-1","itemData":{"DOI":"10.1128/jb.185.4.1289-1298.2003","ISSN":"0021-9193","PMID":"12562800","abstract":"Recently, a new type of K+ transporter, Ktr, has been identified in the bacterium Vibrio alginolyticus (T. Nakamura, R. Yuda, T. Unemoto, and E. P. Bakker, J. Bacteriol. 180:3491-3494, 1998). The Ktr transport system consists of KtrB, an integral membrane subunit, and KtrA, a subunit peripherally bound to the cytoplasmic membrane. The genome sequence of Bacillus subtilis contains two genes for each of these subunits: yuaA (ktrA) and ykqB (ktrC) encode homologues to the V. alginolyticus KtrA protein, and yubG (ktrB) and ykrM (ktrD) encode homologues to the V. alginolyticus KtrB protein. We constructed gene disruption mutations in each of the four B. subtilis ktr genes and used this isogenic set of mutants for K+ uptake experiments. Preliminary K+ transport assays revealed that the KtrAB system has a moderate affinity with a Km value of approximately 1 mM for K+, while KtrCD has a low affinity with a Km value of approximately 10 mM for this ion. A strain defective in both KtrAB and KtrCD exhibited only a residual K+ uptake activity, demonstrating that KtrAB and KtrCD systems are the major K+ transporters of B. subtilis. Northern blot analyses revealed that ktrA and ktrB are cotranscribed as an operon, whereas ktrC and ktrD, which occupy different locations on the B. subtilis chromosome, are expressed as single transcriptional units. The amount of K+ in the environment or the salinity of the growth medium did not influence the amounts of the various ktr transcripts. A strain with a defect in KtrAB is unable to cope with a sudden osmotic upshock, and it exhibits a growth defect at elevated osmolalities which is particularly pronounced when KtrCD is also defective. In the ktrAB strain, the osmotically mediated growth defect was associated with a rapid loss of K+ ions from the cells. Under these conditions, the cells stopped synthesizing proteins but the transcription of the osmotically induced proHJ, opuA, and gsiB genes was not impaired, demonstrating that a high cytoplasmic K+ concentration is not essential for the transcriptional activation of these genes at high osmolarity. Taken together, our data suggest that K+ uptake via KtrAB and KtrCD is an important facet in the cellular defense of B. subtilis against both suddenly imposed and prolonged osmotic stress.","author":[{"dropping-particle":"","family":"Holtmann","given":"Gudrun","non-dropping-particle":"","parse-names":false,"suffix":""},{"dropping-particle":"","family":"Bakker","given":"Evert P","non-dropping-particle":"","parse-names":false,"suffix":""},{"dropping-particle":"","family":"Uozumi","given":"Nobuyuki","non-dropping-particle":"","parse-names":false,"suffix":""},{"dropping-particle":"","family":"Bremer","given":"Erhard","non-dropping-particle":"","parse-names":false,"suffix":""}],"container-title":"Journal of bacteriology","id":"ITEM-1","issue":"4","issued":{"date-parts":[["2003","2"]]},"page":"1289-98","title":"KtrAB and KtrCD: two K+ uptake systems in Bacillus subtilis and their role in adaptation to hypertonicity.","type":"article-journal","volume":"185"},"uris":["http://www.mendeley.com/documents/?uuid=5b610820-4632-3cfb-a61a-6b9b117619c1"]},{"id":"ITEM-2","itemData":{"DOI":"10.1016/j.cell.2006.08.028","ISSN":"00928674","PMID":"16990138","abstract":"The KtrAB ion transporter is a complex of the KtrB membrane protein and KtrA, an RCK domain. RCK domains regulate eukaryotic and prokaryotic membrane proteins involved in K(+) transport. Conflicting functional models have proposed two different oligomeric arrangements for RCK domains, tetramer versus octamer. Our results for the KtrAB RCK domain clearly show an octamer in solution and in the crystal. We determined the structure of this protein in three different octameric ring conformations that resemble the RCK-domain octamer observed in the MthK potassium channel but show striking differences in size and symmetry. We present experimental evidence for the association between one RCK octameric ring and two KtrB membrane proteins. These results provide insights into the quaternary organization of the KtrAB transporter and its mechanism of activation and show that the RCK-domain octameric ring model is generally applicable to other ion-transport systems.","author":[{"dropping-particle":"","family":"Albright","given":"Ronald A.","non-dropping-particle":"","parse-names":false,"suffix":""},{"dropping-particle":"","family":"Ibar","given":"José-Luís Vazquez","non-dropping-particle":"","parse-names":false,"suffix":""},{"dropping-particle":"","family":"Kim","given":"Chae Un","non-dropping-particle":"","parse-names":false,"suffix":""},{"dropping-particle":"","family":"Gruner","given":"Sol M.","non-dropping-particle":"","parse-names":false,"suffix":""},{"dropping-particle":"","family":"Morais-Cabral","given":"João Henrique","non-dropping-particle":"","parse-names":false,"suffix":""}],"container-title":"Cell","id":"ITEM-2","issue":"6","issued":{"date-parts":[["2006","9","22"]]},"page":"1147-1159","title":"The RCK Domain of the KtrAB K+ Transporter: Multiple Conformations of an Octameric Ring","type":"article-journal","volume":"126"},"uris":["http://www.mendeley.com/documents/?uuid=cbd61b31-5dee-3d59-81cd-7454a890a01c"]}],"mendeley":{"formattedCitation":"[82,83]","plainTextFormattedCitation":"[82,83]","previouslyFormattedCitation":"[82,83]"},"properties":{"noteIndex":0},"schema":"https://github.com/citation-style-language/schema/raw/master/csl-citation.json"}</w:instrText>
      </w:r>
      <w:r w:rsidR="00F61FF4">
        <w:fldChar w:fldCharType="separate"/>
      </w:r>
      <w:r w:rsidR="00BC6753" w:rsidRPr="00BC6753">
        <w:rPr>
          <w:noProof/>
        </w:rPr>
        <w:t>[82,83]</w:t>
      </w:r>
      <w:r w:rsidR="00F61FF4">
        <w:fldChar w:fldCharType="end"/>
      </w:r>
      <w:r>
        <w:t>. A more complex, yet extremely elegant, solution has been reached in the Ca</w:t>
      </w:r>
      <w:r>
        <w:rPr>
          <w:vertAlign w:val="superscript"/>
        </w:rPr>
        <w:t>2+</w:t>
      </w:r>
      <w:r>
        <w:t>-gated K</w:t>
      </w:r>
      <w:r>
        <w:rPr>
          <w:vertAlign w:val="superscript"/>
        </w:rPr>
        <w:t>+</w:t>
      </w:r>
      <w:r>
        <w:t xml:space="preserve"> channel MthK of </w:t>
      </w:r>
      <w:r>
        <w:rPr>
          <w:i/>
        </w:rPr>
        <w:t>Methanobacterium</w:t>
      </w:r>
      <w:r>
        <w:t xml:space="preserve"> </w:t>
      </w:r>
      <w:r>
        <w:rPr>
          <w:i/>
        </w:rPr>
        <w:t>thermoautotrophicum</w:t>
      </w:r>
      <w:r>
        <w:t>, as solved by McKinno</w:t>
      </w:r>
      <w:r w:rsidR="009045DA">
        <w:t>n and colleagues</w:t>
      </w:r>
      <w:r w:rsidR="000214B6">
        <w:t xml:space="preserve"> </w:t>
      </w:r>
      <w:r w:rsidR="00F61FF4">
        <w:fldChar w:fldCharType="begin" w:fldLock="1"/>
      </w:r>
      <w:r w:rsidR="00A97363">
        <w:instrText>ADDIN CSL_CITATION {"citationItems":[{"id":"ITEM-1","itemData":{"DOI":"10.1038/417515a","ISSN":"0028-0836","abstract":"Ion channels exhibit two essential biophysical properties; that is, selective ion conduction, and the ability to gate-open in response to an appropriate stimulus. Two general categories of ion channel gating are defined by the initiating stimulus: ligand binding (neurotransmitter- or second-messenger-gated channels) or membrane voltage (voltage-gated channels). Here we present the structural basis of ligand gating in a K+ channel that opens in response to intracellular Ca2+. We have cloned, expressed, analysed electrical properties, and determined the crystal structure of a K+ channel (MthK) from Methanobacterium thermoautotrophicum in the Ca2+-bound, opened state. Eight RCK domains (regulators of K+ conductance) form a gating ring at the intracellular membrane surface. The gating ring uses the free energy of Ca2+ binding in a simple manner to perform mechanical work to open the pore.","author":[{"dropping-particle":"","family":"Jiang","given":"Youxing","non-dropping-particle":"","parse-names":false,"suffix":""},{"dropping-particle":"","family":"Lee","given":"Alice","non-dropping-particle":"","parse-names":false,"suffix":""},{"dropping-particle":"","family":"Chen","given":"Jiayun","non-dropping-particle":"","parse-names":false,"suffix":""},{"dropping-particle":"","family":"Cadene","given":"Martine","non-dropping-particle":"","parse-names":false,"suffix":""},{"dropping-particle":"","family":"Chait","given":"Brian T.","non-dropping-particle":"","parse-names":false,"suffix":""},{"dropping-particle":"","family":"MacKinnon","given":"Roderick","non-dropping-particle":"","parse-names":false,"suffix":""}],"container-title":"Nature","id":"ITEM-1","issue":"6888","issued":{"date-parts":[["2002","5","30"]]},"page":"515-522","publisher":"Nature Publishing Group","title":"Crystal structure and mechanism of a calcium-gated potassium channel","type":"article-journal","volume":"417"},"uris":["http://www.mendeley.com/documents/?uuid=0a1a4ff4-8b2f-3356-a5e7-7e66a79a31de"]}],"mendeley":{"formattedCitation":"[84]","plainTextFormattedCitation":"[84]","previouslyFormattedCitation":"[84]"},"properties":{"noteIndex":0},"schema":"https://github.com/citation-style-language/schema/raw/master/csl-citation.json"}</w:instrText>
      </w:r>
      <w:r w:rsidR="00F61FF4">
        <w:fldChar w:fldCharType="separate"/>
      </w:r>
      <w:r w:rsidR="00BC6753" w:rsidRPr="00BC6753">
        <w:rPr>
          <w:noProof/>
        </w:rPr>
        <w:t>[84]</w:t>
      </w:r>
      <w:r w:rsidR="00F61FF4">
        <w:fldChar w:fldCharType="end"/>
      </w:r>
      <w:r>
        <w:t>. The channel protein is fused to a RCK encoding region and forms a tetrameric membrane complex with 4 RCK domains attached to the 4 channel domains. To achieve the final 4:8 ratio observed in the functional complex, this archaea uses an internal promoter within the structural gene for the fusion, so that it produces both the fused channel-RCK protein and stand-alone RCK domains. However, a seemingly simpler solution would be to fuse two RCK domains downstream of the channel domain, as can be see</w:t>
      </w:r>
      <w:r w:rsidR="009045DA">
        <w:t>n in the eukaryotic BK channels</w:t>
      </w:r>
      <w:r w:rsidR="000214B6">
        <w:t xml:space="preserve"> </w:t>
      </w:r>
      <w:r w:rsidR="00F61FF4">
        <w:fldChar w:fldCharType="begin" w:fldLock="1"/>
      </w:r>
      <w:r w:rsidR="00A97363">
        <w:instrText>ADDIN CSL_CITATION {"citationItems":[{"id":"ITEM-1","itemData":{"DOI":"10.1085/jgp.201611726","ISSN":"0022-1295","PMID":"28246116","abstract":"&lt;p&gt; Regulator of conduction of K &lt;sup&gt;+&lt;/sup&gt; (RCK) domains are ubiquitous regulators of channel and transporter activity in prokaryotes and eukaryotes. In humans, RCK domains form an integral component of large-conductance calcium-activated K channels (BK channels), key modulators of nerve, muscle, and endocrine cell function. In this review, we explore how the study of RCK domains in bacterial and human channels has contributed to our understanding of the structural basis of channel function. This knowledge will be critical in identifying mechanisms that underlie BK channelopathies that lead to epilepsy and other diseases, as well as regions of the channel that might be successfully targeted to treat such diseases. &lt;/p&gt;","author":[{"dropping-particle":"","family":"Giraldez","given":"Teresa","non-dropping-particle":"","parse-names":false,"suffix":""},{"dropping-particle":"","family":"Rothberg","given":"Brad S.","non-dropping-particle":"","parse-names":false,"suffix":""}],"container-title":"The Journal of General Physiology","id":"ITEM-1","issue":"4","issued":{"date-parts":[["2017","4","3"]]},"page":"431-441","title":"Understanding the conformational motions of RCK gating rings","type":"article-journal","volume":"149"},"uris":["http://www.mendeley.com/documents/?uuid=292624de-798f-34cb-b11d-029e43eb570d"]}],"mendeley":{"formattedCitation":"[85]","plainTextFormattedCitation":"[85]","previouslyFormattedCitation":"[85]"},"properties":{"noteIndex":0},"schema":"https://github.com/citation-style-language/schema/raw/master/csl-citation.json"}</w:instrText>
      </w:r>
      <w:r w:rsidR="00F61FF4">
        <w:fldChar w:fldCharType="separate"/>
      </w:r>
      <w:r w:rsidR="00BC6753" w:rsidRPr="00BC6753">
        <w:rPr>
          <w:noProof/>
        </w:rPr>
        <w:t>[85]</w:t>
      </w:r>
      <w:r w:rsidR="00F61FF4">
        <w:fldChar w:fldCharType="end"/>
      </w:r>
      <w:r>
        <w:t xml:space="preserve">. It </w:t>
      </w:r>
      <w:r w:rsidR="006574E0">
        <w:t>would be</w:t>
      </w:r>
      <w:r>
        <w:t xml:space="preserve"> tempting to speculate that the MthK transporter represents an ‘intermediate form’ between fusion and non-fusion</w:t>
      </w:r>
      <w:r w:rsidR="006574E0">
        <w:t xml:space="preserve">; however, work by Kuo et al. suggests that the activity of the channel is influenced by the oligomerisation state of the RCK domains under different conditions </w:t>
      </w:r>
      <w:r w:rsidR="00F93848">
        <w:fldChar w:fldCharType="begin" w:fldLock="1"/>
      </w:r>
      <w:r w:rsidR="00A97363">
        <w:instrText>ADDIN CSL_CITATION {"citationItems":[{"id":"ITEM-1","itemData":{"DOI":"10.1073/pnas.84.8.2297","ISSN":"0027-8424","PMID":"2436228","abstract":"We have used the patch-clamp electrical recording technique on giant spheroplasts of Escherichia coli and have discovered pressure-activated ion channels. The channels have the following properties: activation by slight positive or negative pressure; voltage dependence; large conductance; selectivity for anions over cations; dependence of activity on the species of permeant ions. We believe that these channels may be involved in bacterial osmoregulation and osmotaxis.","author":[{"dropping-particle":"","family":"Martinac","given":"B","non-dropping-particle":"","parse-names":false,"suffix":""},{"dropping-particle":"","family":"Buechner","given":"M","non-dropping-particle":"","parse-names":false,"suffix":""},{"dropping-particle":"","family":"Delcour","given":"A H","non-dropping-particle":"","parse-names":false,"suffix":""},{"dropping-particle":"","family":"Adler","given":"J","non-dropping-particle":"","parse-names":false,"suffix":""},{"dropping-particle":"","family":"Kung","given":"C","non-dropping-particle":"","parse-names":false,"suffix":""}],"container-title":"Proceedings of the National Academy of Sciences of the United States of America","id":"ITEM-1","issue":"8","issued":{"date-parts":[["1987","4","13"]]},"page":"2297-301","publisher":"National Academy of Sciences","title":"Pressure-sensitive ion channel in Escherichia coli.","type":"article-journal","volume":"84"},"uris":["http://www.mendeley.com/documents/?uuid=95c3f1e1-40b8-38a7-88cd-23db61a36975"]}],"mendeley":{"formattedCitation":"[86]","plainTextFormattedCitation":"[86]","previouslyFormattedCitation":"[86]"},"properties":{"noteIndex":0},"schema":"https://github.com/citation-style-language/schema/raw/master/csl-citation.json"}</w:instrText>
      </w:r>
      <w:r w:rsidR="00F93848">
        <w:fldChar w:fldCharType="separate"/>
      </w:r>
      <w:r w:rsidR="00BC6753" w:rsidRPr="00BC6753">
        <w:rPr>
          <w:noProof/>
        </w:rPr>
        <w:t>[86]</w:t>
      </w:r>
      <w:r w:rsidR="00F93848">
        <w:fldChar w:fldCharType="end"/>
      </w:r>
      <w:r w:rsidR="006574E0">
        <w:t xml:space="preserve"> and by the interaction of the MthK N-terminal ‘desensitisation domain’ with free RCK </w:t>
      </w:r>
      <w:r w:rsidR="00F93848">
        <w:fldChar w:fldCharType="begin" w:fldLock="1"/>
      </w:r>
      <w:r w:rsidR="00A97363">
        <w:instrText>ADDIN CSL_CITATION {"citationItems":[{"id":"ITEM-1","itemData":{"DOI":"10.1371/journal.pbio.0060223","ISSN":"1545-7885","PMID":"18959476","abstract":"The RCK-containing MthK channel undergoes two inactivation processes: activation-coupled desensitization and acid-induced inactivation. The acid inactivation is mediated by the C-terminal RCK domain assembly. Here, we report that the desensitization gating is governed by a desensitization domain (DD) of the cytoplasmic N-terminal 17 residues. Deletion of DD completely removes the desensitization, and the process can be fully restored by a synthetic DD peptide added in trans. Mutagenesis analyses reveal a sequence-specific determinant for desensitization within the initial hydrophobic segment of DD. Proton nuclear magnetic resonance ((1)H NMR) spectroscopy analyses with synthetic peptides and isolated RCK show interactions between the two terminal domains. Additionally, we show that deletion of DD does not affect the acid-induced inactivation, indicating that the two inactivation processes are mutually independent. Our results demonstrate that the short N-terminal DD of MthK functions as a complete moveable module responsible for the desensitization. Its interaction with the C-terminal RCK domain may play a role in the gating process.","author":[{"dropping-particle":"","family":"Kuo","given":"Mario Meng-Chiang","non-dropping-particle":"","parse-names":false,"suffix":""},{"dropping-particle":"","family":"Maslennikov","given":"Innokentiy","non-dropping-particle":"","parse-names":false,"suffix":""},{"dropping-particle":"","family":"Molden","given":"Brent","non-dropping-particle":"","parse-names":false,"suffix":""},{"dropping-particle":"","family":"Choe","given":"Senyon","non-dropping-particle":"","parse-names":false,"suffix":""}],"container-title":"PLoS Biology","editor":[{"dropping-particle":"","family":"Aldrich","given":"Richard W","non-dropping-particle":"","parse-names":false,"suffix":""}],"id":"ITEM-1","issue":"10","issued":{"date-parts":[["2008","10","28"]]},"page":"e223","title":"The Desensitization Gating of the MthK K+ Channel Is Governed by Its Cytoplasmic Amino Terminus","type":"article-journal","volume":"6"},"uris":["http://www.mendeley.com/documents/?uuid=d814cfea-30fd-3d8d-93ca-c2e918903be1"]}],"mendeley":{"formattedCitation":"[87]","plainTextFormattedCitation":"[87]","previouslyFormattedCitation":"[87]"},"properties":{"noteIndex":0},"schema":"https://github.com/citation-style-language/schema/raw/master/csl-citation.json"}</w:instrText>
      </w:r>
      <w:r w:rsidR="00F93848">
        <w:fldChar w:fldCharType="separate"/>
      </w:r>
      <w:r w:rsidR="00BC6753" w:rsidRPr="00BC6753">
        <w:rPr>
          <w:noProof/>
        </w:rPr>
        <w:t>[87]</w:t>
      </w:r>
      <w:r w:rsidR="00F93848">
        <w:fldChar w:fldCharType="end"/>
      </w:r>
      <w:r w:rsidR="006574E0">
        <w:t xml:space="preserve">, </w:t>
      </w:r>
      <w:r w:rsidR="00C52CD9">
        <w:t>possibly</w:t>
      </w:r>
      <w:r w:rsidR="006574E0">
        <w:t xml:space="preserve"> </w:t>
      </w:r>
      <w:r w:rsidR="00C52CD9">
        <w:t>indicating</w:t>
      </w:r>
      <w:r w:rsidR="006574E0">
        <w:t xml:space="preserve"> a physiological r</w:t>
      </w:r>
      <w:r w:rsidR="00A67722">
        <w:t>ole</w:t>
      </w:r>
      <w:r w:rsidR="006574E0">
        <w:t xml:space="preserve"> f</w:t>
      </w:r>
      <w:r w:rsidR="00C52CD9">
        <w:t>or the unfused</w:t>
      </w:r>
      <w:r w:rsidR="006574E0">
        <w:t xml:space="preserve"> RCK domain. With regards to the </w:t>
      </w:r>
      <w:r w:rsidR="006574E0" w:rsidRPr="00CC0C85">
        <w:rPr>
          <w:i/>
        </w:rPr>
        <w:t>E. coli</w:t>
      </w:r>
      <w:r w:rsidR="006574E0">
        <w:t xml:space="preserve"> KefC transporter, the RCK domain lacks an internal start codon and does not contain the residues involved in dimer-dimer oligomerisation</w:t>
      </w:r>
      <w:r w:rsidR="00C52CD9">
        <w:t>; it</w:t>
      </w:r>
      <w:r w:rsidR="006574E0">
        <w:t xml:space="preserve"> has been proposed to form a tetramer rather than an octamer</w:t>
      </w:r>
      <w:r w:rsidR="00F93848">
        <w:t xml:space="preserve"> </w:t>
      </w:r>
      <w:r w:rsidR="00F93848">
        <w:fldChar w:fldCharType="begin" w:fldLock="1"/>
      </w:r>
      <w:r w:rsidR="00A97363">
        <w:instrText>ADDIN CSL_CITATION {"citationItems":[{"id":"ITEM-1","itemData":{"DOI":"10.1016/j.str.2009.03.018","ISSN":"09692126","PMID":"19523906","abstract":"KTN (RCK) domains are nucleotide-binding folds that form the cytoplasmic regulatory complexes of various K+ channels and transporters. The mechanisms these proteins use to control their transmembrane pore-forming counterparts remains unclear despite numerous electrophysiological and structural studies. KTN (RCK) domains consistently crystallize as dimers within the asymmetric unit, forming a pronounced hinge between two Rossmann folds. We have previously proposed that modification of the hinge angle plays an important role in activating the associated membrane-integrated components of the channel or transporter. Here we report the structure of the C-terminal, KTN-bearing domain of the E. coli KefC K+ efflux system in association with the ancillary subunit, KefF, which is known to stabilize the conductive state. The structure of the complex and functional analysis of KefC variants reveal that control of the conformational flexibility inherent in the KTN dimer hinge is modulated by KefF and essential for regulation of KefC ion flux.","author":[{"dropping-particle":"","family":"Roosild","given":"Tarmo P.","non-dropping-particle":"","parse-names":false,"suffix":""},{"dropping-particle":"","family":"Castronovo","given":"Samantha","non-dropping-particle":"","parse-names":false,"suffix":""},{"dropping-particle":"","family":"Miller","given":"Samantha","non-dropping-particle":"","parse-names":false,"suffix":""},{"dropping-particle":"","family":"Li","given":"Chan","non-dropping-particle":"","parse-names":false,"suffix":""},{"dropping-particle":"","family":"Rasmussen","given":"Tim","non-dropping-particle":"","parse-names":false,"suffix":""},{"dropping-particle":"","family":"Bartlett","given":"Wendy","non-dropping-particle":"","parse-names":false,"suffix":""},{"dropping-particle":"","family":"Gunasekera","given":"Banuri","non-dropping-particle":"","parse-names":false,"suffix":""},{"dropping-particle":"","family":"Choe","given":"Senyon","non-dropping-particle":"","parse-names":false,"suffix":""},{"dropping-particle":"","family":"Booth","given":"Ian R.","non-dropping-particle":"","parse-names":false,"suffix":""}],"container-title":"Structure","id":"ITEM-1","issue":"6","issued":{"date-parts":[["2009","6","10"]]},"page":"893-903","title":"KTN (RCK) Domains Regulate K+ Channels and Transporters by Controlling the Dimer-Hinge Conformation","type":"article-journal","volume":"17"},"uris":["http://www.mendeley.com/documents/?uuid=1d6df04a-9875-3886-8b25-dcd9bbb5a8f5"]}],"mendeley":{"formattedCitation":"[48]","plainTextFormattedCitation":"[48]","previouslyFormattedCitation":"[48]"},"properties":{"noteIndex":0},"schema":"https://github.com/citation-style-language/schema/raw/master/csl-citation.json"}</w:instrText>
      </w:r>
      <w:r w:rsidR="00F93848">
        <w:fldChar w:fldCharType="separate"/>
      </w:r>
      <w:r w:rsidR="00BC6753" w:rsidRPr="00BC6753">
        <w:rPr>
          <w:noProof/>
        </w:rPr>
        <w:t>[48]</w:t>
      </w:r>
      <w:r w:rsidR="00F93848">
        <w:fldChar w:fldCharType="end"/>
      </w:r>
      <w:r w:rsidR="00C52CD9">
        <w:t>, thereby circumventing the stoichiometry issue entirely.</w:t>
      </w:r>
    </w:p>
    <w:p w14:paraId="6AD4B255" w14:textId="514B3E1B" w:rsidR="00650DC8" w:rsidRDefault="00E80212">
      <w:pPr>
        <w:rPr>
          <w:shd w:val="clear" w:color="auto" w:fill="FF9900"/>
        </w:rPr>
      </w:pPr>
      <w:r>
        <w:t>There is an additional question of whether the size of the fusion partner is important. Many of the examples we have see</w:t>
      </w:r>
      <w:r w:rsidR="006C5548">
        <w:t>n</w:t>
      </w:r>
      <w:r>
        <w:t xml:space="preserve"> are relatively small regulatory domains</w:t>
      </w:r>
      <w:r w:rsidR="00C317ED">
        <w:t xml:space="preserve"> (&lt;100 amino acids) </w:t>
      </w:r>
      <w:r>
        <w:t>that are being fused and this was noted in earlier studies about fusions more generally by An</w:t>
      </w:r>
      <w:r w:rsidR="009045DA">
        <w:t xml:space="preserve">antharamana, Koonin </w:t>
      </w:r>
      <w:r w:rsidR="009045DA">
        <w:lastRenderedPageBreak/>
        <w:t>and Aravind</w:t>
      </w:r>
      <w:r w:rsidR="000214B6">
        <w:t xml:space="preserve"> </w:t>
      </w:r>
      <w:r w:rsidR="00F61FF4">
        <w:fldChar w:fldCharType="begin" w:fldLock="1"/>
      </w:r>
      <w:r w:rsidR="00A97363">
        <w:instrText>ADDIN CSL_CITATION {"citationItems":[{"id":"ITEM-1","itemData":{"DOI":"10.1006/JMBI.2001.4508","ISSN":"0022-2836","abstract":"Central cellular functions such as metabolism, solute transport and signal transduction are regulated, in part, via binding of small molecules by specialized domains. Using sensitive methods for sequence profile analysis and protein structure comparison, we exhaustively surveyed the protein sets from completely sequenced genomes for all occurrences of 21 intracellular small-molecule-binding domains (SMBDs) that are represented in at least two of the three major divisions of life (bacteria, archaea and eukaryotes). These included previously characterized domains such as PAS, GAF, ACT and ferredoxins, as well as three newly predicted SMBDs, namely the 4-vinyl reductase (4VR) domain, the NIFX domain and the 3-histidines (3H) domain. Although there are only a limited number of different superfamilies of these ancient SMBDs, they are present in numerous distinct proteins combined with various enzymatic, transport and signal-transducing domains. Most of the SMBDs show considerable evolutionary mobility and are involved in the generation of many lineage-specific domain architectures. Frequent re-invention of analogous architectures involving functionally related, but not homologous, domains was detected, such as, fusion of different SMBDs to several types of DNA-binding domains to form diverse transcription regulators in prokaryotes and eukaryotes. This is suggestive of similar selective forces affecting the diverse SMBDs and resulting in the formation of multidomain proteins that fit a limited number of functional stereotypes. Using the “guilt by association approach”, the identification of SMBDs allowed prediction of functions and mode of regulation for a variety of previously uncharacterized proteins.","author":[{"dropping-particle":"","family":"Anantharaman","given":"Vivek","non-dropping-particle":"","parse-names":false,"suffix":""},{"dropping-particle":"V","family":"Koonin","given":"Eugene","non-dropping-particle":"","parse-names":false,"suffix":""},{"dropping-particle":"","family":"Aravind","given":"L","non-dropping-particle":"","parse-names":false,"suffix":""}],"container-title":"Journal of Molecular Biology","id":"ITEM-1","issue":"5","issued":{"date-parts":[["2001","4","13"]]},"page":"1271-1292","publisher":"Academic Press","title":"Regulatory potential, phyletic distribution and evolution of ancient, intracellular small-molecule-binding domains","type":"article-journal","volume":"307"},"uris":["http://www.mendeley.com/documents/?uuid=4364b741-5994-3be8-b64a-43d99cab7bf3"]}],"mendeley":{"formattedCitation":"[64]","plainTextFormattedCitation":"[64]","previouslyFormattedCitation":"[64]"},"properties":{"noteIndex":0},"schema":"https://github.com/citation-style-language/schema/raw/master/csl-citation.json"}</w:instrText>
      </w:r>
      <w:r w:rsidR="00F61FF4">
        <w:fldChar w:fldCharType="separate"/>
      </w:r>
      <w:r w:rsidR="00BC6753" w:rsidRPr="00BC6753">
        <w:rPr>
          <w:noProof/>
        </w:rPr>
        <w:t>[64]</w:t>
      </w:r>
      <w:r w:rsidR="00F61FF4">
        <w:fldChar w:fldCharType="end"/>
      </w:r>
      <w:r>
        <w:t xml:space="preserve">. While this seems an attractive hypothesis, we have seen examples of larger fusions like the lysophospholipid recycling MFS fusions in </w:t>
      </w:r>
      <w:r>
        <w:rPr>
          <w:i/>
        </w:rPr>
        <w:t>E. coli</w:t>
      </w:r>
      <w:r w:rsidR="00887482">
        <w:t>,</w:t>
      </w:r>
      <w:r>
        <w:t xml:space="preserve"> which suggests that small size is not an essential feature. Also, there could be good reasons why fusions </w:t>
      </w:r>
      <w:r w:rsidR="00464DF5">
        <w:t>may be evolutionarily disfavoured</w:t>
      </w:r>
      <w:r>
        <w:t>. Some ABC transporters clearly exploit the fact that they can couple to multiple SBPs that each bind different ligands and so fusing to one particular partner would limit this</w:t>
      </w:r>
      <w:r w:rsidR="000214B6">
        <w:t xml:space="preserve"> </w:t>
      </w:r>
      <w:r w:rsidR="00F61FF4">
        <w:fldChar w:fldCharType="begin" w:fldLock="1"/>
      </w:r>
      <w:r w:rsidR="00A97363">
        <w:instrText>ADDIN CSL_CITATION {"citationItems":[{"id":"ITEM-1","itemData":{"DOI":"10.1111/j.1365-2958.2009.06961.x","ISSN":"0950382X","PMID":"19919676","abstract":"Acquiring nutrients from the environment is essential for all microbes, and the ATP-binding cassette (ABC) transporters are one of the major routes by which bacteria achieve it. In this issue of Molecular Microbiology, Chen et al. describe their characterization of what appeared at first glance a simple ABC transporter for acquisition of quaternary ammonium compounds (QACs) in Pseudomonas sp., but their persistence in fully determining the properties of this system led to the experimental demonstration that QAC uptake utilizes three different substrate-binding proteins (SBPs), two of which are encoded at remote locations on the genome as 'orphan' SBPs that are each able to function with a single core ABC transporter. Building on the unusual nature of this system, in which multiple SBPs with non-overlapping substrate specificities compete for the same transporter binding site, they designed elegant in vivo experiments that suggest that only substrate-bound SBPs are able to form functional complexes with the membrane domains. This new finding provides an important piece of in vivo data leading to further insight into how this ubiquitous family of transporters operates.","author":[{"dropping-particle":"","family":"Thomas","given":"Gavin H.","non-dropping-particle":"","parse-names":false,"suffix":""}],"container-title":"Molecular Microbiology","id":"ITEM-1","issue":"1","issued":{"date-parts":[["2010","1"]]},"page":"6-9","title":"Homes for the orphans: utilization of multiple substrate-binding proteins by ABC transporters","type":"article-journal","volume":"75"},"uris":["http://www.mendeley.com/documents/?uuid=eee7ad38-50ef-3928-b3b4-6db480016dd9"]}],"mendeley":{"formattedCitation":"[88]","plainTextFormattedCitation":"[88]","previouslyFormattedCitation":"[88]"},"properties":{"noteIndex":0},"schema":"https://github.com/citation-style-language/schema/raw/master/csl-citation.json"}</w:instrText>
      </w:r>
      <w:r w:rsidR="00F61FF4">
        <w:fldChar w:fldCharType="separate"/>
      </w:r>
      <w:r w:rsidR="00BC6753" w:rsidRPr="00BC6753">
        <w:rPr>
          <w:noProof/>
        </w:rPr>
        <w:t>[88]</w:t>
      </w:r>
      <w:r w:rsidR="00F61FF4">
        <w:fldChar w:fldCharType="end"/>
      </w:r>
      <w:r w:rsidR="00C45B56">
        <w:t xml:space="preserve">. </w:t>
      </w:r>
      <w:r w:rsidR="00691DA8">
        <w:t>However, it is still possible for a transporter to fuse to multiple different SBPs,</w:t>
      </w:r>
      <w:r w:rsidR="00C45B56">
        <w:t xml:space="preserve"> as can be seen in the </w:t>
      </w:r>
      <w:r w:rsidR="00C45B56" w:rsidRPr="00CC0C85">
        <w:rPr>
          <w:i/>
        </w:rPr>
        <w:t>L. lactis</w:t>
      </w:r>
      <w:r w:rsidR="00C45B56">
        <w:t xml:space="preserve"> GlnPQ transporter</w:t>
      </w:r>
      <w:r w:rsidR="00887482">
        <w:t>,</w:t>
      </w:r>
      <w:r w:rsidR="00C317ED">
        <w:t xml:space="preserve"> to at least partly retain this desired property</w:t>
      </w:r>
      <w:r w:rsidR="00C45B56">
        <w:t xml:space="preserve"> </w:t>
      </w:r>
      <w:r w:rsidR="00F93848">
        <w:fldChar w:fldCharType="begin" w:fldLock="1"/>
      </w:r>
      <w:r w:rsidR="00A97363">
        <w:instrText>ADDIN CSL_CITATION {"citationItems":[{"id":"ITEM-1","itemData":{"DOI":"10.1016/j.jmb.2018.02.014","ISSN":"1089-8638","PMID":"29486154","abstract":"GlnPQ is an ATP-binding cassette importer with a unique domain organization and intricate transport behavior. The protein has two extracytoplamic substrate-binding domains (SBDs) per membrane subunit, each with different specificity for amino acids and different spacing to the translocator domain. We determined the effect of the length and structure of the linkers, which connect the SBDs to each other and to the membrane-embedded translocator domain, on the transport by GlnPQ. We reveal that varying the linker length impacts transport in a dual manner that depends on the conformational dynamics of the SBD. Varying the linker length not only changes the time for the SBD to find the translocator (docking) but also changes the probability to release the substrate again, thus altering the transport efficiency. On the basis of the experimental data and mathematical modeling, we calculate the docking efficiency as function of linker length and lifetime of the closed conformation. Importantly, not only linker length but also features in the sequence are important for efficient delivery of substrate from SBD to the translocator. We show that the linkers provide a platform for SBD docking and are not merely flexible structures.","author":[{"dropping-particle":"","family":"Schuurman-Wolters","given":"Gea K","non-dropping-particle":"","parse-names":false,"suffix":""},{"dropping-particle":"","family":"Boer","given":"Marijn","non-dropping-particle":"de","parse-names":false,"suffix":""},{"dropping-particle":"","family":"Pietrzyk","given":"Martyna K","non-dropping-particle":"","parse-names":false,"suffix":""},{"dropping-particle":"","family":"Poolman","given":"Bert","non-dropping-particle":"","parse-names":false,"suffix":""}],"container-title":"Journal of molecular biology","id":"ITEM-1","issue":"8","issued":{"date-parts":[["2018","4","13"]]},"page":"1249-1262","title":"Protein Linkers Provide Limits on the Domain Interactions in the ABC Importer GlnPQ and Determine the Rate of Transport.","type":"article-journal","volume":"430"},"uris":["http://www.mendeley.com/documents/?uuid=8d80bad4-7ff0-3599-a31c-58bdb7feb66b"]}],"mendeley":{"formattedCitation":"[31]","plainTextFormattedCitation":"[31]","previouslyFormattedCitation":"[31]"},"properties":{"noteIndex":0},"schema":"https://github.com/citation-style-language/schema/raw/master/csl-citation.json"}</w:instrText>
      </w:r>
      <w:r w:rsidR="00F93848">
        <w:fldChar w:fldCharType="separate"/>
      </w:r>
      <w:r w:rsidR="00BC6753" w:rsidRPr="00BC6753">
        <w:rPr>
          <w:noProof/>
        </w:rPr>
        <w:t>[31]</w:t>
      </w:r>
      <w:r w:rsidR="00F93848">
        <w:fldChar w:fldCharType="end"/>
      </w:r>
      <w:r w:rsidR="00C45B56">
        <w:t>.</w:t>
      </w:r>
    </w:p>
    <w:p w14:paraId="79ADFBB8" w14:textId="77777777" w:rsidR="00650DC8" w:rsidRDefault="00E80212">
      <w:pPr>
        <w:pStyle w:val="Heading1"/>
        <w:rPr>
          <w:sz w:val="28"/>
          <w:szCs w:val="28"/>
        </w:rPr>
      </w:pPr>
      <w:bookmarkStart w:id="10" w:name="_i4nnn2j0de4d" w:colFirst="0" w:colLast="0"/>
      <w:bookmarkStart w:id="11" w:name="_cv4r4xia69qa" w:colFirst="0" w:colLast="0"/>
      <w:bookmarkEnd w:id="10"/>
      <w:bookmarkEnd w:id="11"/>
      <w:r>
        <w:rPr>
          <w:sz w:val="28"/>
          <w:szCs w:val="28"/>
        </w:rPr>
        <w:t xml:space="preserve">Limited evidence for gene fission in membrane transporter evolution </w:t>
      </w:r>
      <w:r w:rsidR="00F61FF4">
        <w:rPr>
          <w:sz w:val="28"/>
          <w:szCs w:val="28"/>
        </w:rPr>
        <w:t>in bacteria</w:t>
      </w:r>
      <w:r>
        <w:rPr>
          <w:sz w:val="28"/>
          <w:szCs w:val="28"/>
        </w:rPr>
        <w:t xml:space="preserve"> </w:t>
      </w:r>
    </w:p>
    <w:p w14:paraId="229ECABD" w14:textId="1A61D746" w:rsidR="00650DC8" w:rsidRDefault="00E80212">
      <w:r>
        <w:t>Gene fission describes the evolutionary process by which fused domains become independent. Fission is achieved either by the splitting of one open reading frame into two or more (type 1) or the degradation of one or more domains (type 2)</w:t>
      </w:r>
      <w:r w:rsidR="000214B6">
        <w:t xml:space="preserve"> </w:t>
      </w:r>
      <w:r w:rsidR="00F61FF4">
        <w:fldChar w:fldCharType="begin" w:fldLock="1"/>
      </w:r>
      <w:r w:rsidR="00A97363">
        <w:instrText>ADDIN CSL_CITATION {"citationItems":[{"id":"ITEM-1","itemData":{"DOI":"10.1073/pnas.1210909110","ISSN":"1091-6490","PMID":"23236161","abstract":"During the course of evolution genes undergo both fusion and fission by which ORFs are joined or separated. These processes can amend gene function and represent an important factor in the evolution of protein interaction networks. Gene fusions have been suggested to be useful characters for identifying evolutionary relationships because they constitute synapomorphies or cladistic characters. To investigate the fidelity of gene-fusion characters, we developed an approach for identifying differentially distributed gene fusions among whole-genome datasets: fdfBLAST. Applying this tool to the Fungi, we identified 63 gene fusions present in two or more genomes. Using a combination of phylogenetic and comparative genomic analyses, we then investigated the evolution of these genes across 115 fungal genomes, testing each gene fusion for evidence of homoplasy, including gene fission, convergence, and horizontal gene transfer. These analyses demonstrated 110 gene-fission events. We then identified a minimum of three mechanisms that drive gene fission: separation, degeneration, and duplication. These data suggest that gene fission plays an important and hitherto underestimated role in gene evolution. Gene fusions therefore are highly labile characters, and their use for polarizing evolutionary relationships, without reference to gene and species phylogenies, is limited. Accounting for these considerable sources of homoplasy, we identified fusion characters that provide support for multiple nodes in the phylogeny of the Fungi, including relationships within the deeply derived flagellum-forming fungi (i.e., the chytrids).","author":[{"dropping-particle":"","family":"Leonard","given":"Guy","non-dropping-particle":"","parse-names":false,"suffix":""},{"dropping-particle":"","family":"Richards","given":"Thomas A","non-dropping-particle":"","parse-names":false,"suffix":""}],"container-title":"Proceedings of the National Academy of Sciences of the United States of America","id":"ITEM-1","issue":"52","issued":{"date-parts":[["2012","12","26"]]},"page":"21402-7","publisher":"National Academy of Sciences","title":"Genome-scale comparative analysis of gene fusions, gene fissions, and the fungal tree of life.","type":"article-journal","volume":"109"},"uris":["http://www.mendeley.com/documents/?uuid=1384eb0c-f8c5-3ba9-9e1a-4f051af47d5a"]}],"mendeley":{"formattedCitation":"[89]","plainTextFormattedCitation":"[89]","previouslyFormattedCitation":"[89]"},"properties":{"noteIndex":0},"schema":"https://github.com/citation-style-language/schema/raw/master/csl-citation.json"}</w:instrText>
      </w:r>
      <w:r w:rsidR="00F61FF4">
        <w:fldChar w:fldCharType="separate"/>
      </w:r>
      <w:r w:rsidR="00BC6753" w:rsidRPr="00BC6753">
        <w:rPr>
          <w:noProof/>
        </w:rPr>
        <w:t>[89]</w:t>
      </w:r>
      <w:r w:rsidR="00F61FF4">
        <w:fldChar w:fldCharType="end"/>
      </w:r>
      <w:r>
        <w:t>. Within bacteria, protein fission occurs 5x less frequently than fusion, possibly reflecting the disadvantageous nature of the initial domain loss</w:t>
      </w:r>
      <w:r w:rsidR="000214B6">
        <w:t xml:space="preserve"> </w:t>
      </w:r>
      <w:r w:rsidR="00804232">
        <w:fldChar w:fldCharType="begin" w:fldLock="1"/>
      </w:r>
      <w:r w:rsidR="00A97363">
        <w:instrText>ADDIN CSL_CITATION {"citationItems":[{"id":"ITEM-1","itemData":{"DOI":"10.1016/j.ceca.2014.12.011","ISSN":"01434160","PMID":"25591932","abstract":"Mechanosensitive channels are ubiquitous and highly studied. However, the evolution of the bacterial channels remains enigmatic. It can be argued that mechanosensitivity might be a feature of all membrane proteins with some becoming progressively less sensitive to membrane tension over the course of evolution. Bacteria and archaea exhibit two main classes of channels, MscS and MscL. Present day channels suggest that the evolution of MscL may be highly constrained, whereas MscS has undergone elaboration via gene fusion (and potentially gene fission) events to generate a diversity of channel structures. Some of these channel variants are constrained to a small number of genera or species. Some are only found in higher organisms. Only exceptionally have these diverse channels been investigated in any detail. In this review we consider both the processes that might have led to the evolved complexity but also some of the methods exploiting the explosion of genome sequences to understand (and/or track) their distribution. The role of MscS-related channels in calcium-mediated cell biology events is considered.","author":[{"dropping-particle":"","family":"Booth","given":"Ian R.","non-dropping-particle":"","parse-names":false,"suffix":""},{"dropping-particle":"","family":"Miller","given":"Samantha","non-dropping-particle":"","parse-names":false,"suffix":""},{"dropping-particle":"","family":"Müller","given":"Axel","non-dropping-particle":"","parse-names":false,"suffix":""},{"dropping-particle":"","family":"Lehtovirta-Morley","given":"Laura","non-dropping-particle":"","parse-names":false,"suffix":""}],"container-title":"Cell Calcium","id":"ITEM-1","issue":"3","issued":{"date-parts":[["2015","3"]]},"page":"140-150","title":"The evolution of bacterial mechanosensitive channels","type":"article-journal","volume":"57"},"uris":["http://www.mendeley.com/documents/?uuid=222e712f-3a0e-35f1-9ada-0db51ebf7220"]}],"mendeley":{"formattedCitation":"[36]","plainTextFormattedCitation":"[36]","previouslyFormattedCitation":"[36]"},"properties":{"noteIndex":0},"schema":"https://github.com/citation-style-language/schema/raw/master/csl-citation.json"}</w:instrText>
      </w:r>
      <w:r w:rsidR="00804232">
        <w:fldChar w:fldCharType="separate"/>
      </w:r>
      <w:r w:rsidR="00BC6753" w:rsidRPr="00BC6753">
        <w:rPr>
          <w:noProof/>
        </w:rPr>
        <w:t>[36]</w:t>
      </w:r>
      <w:r w:rsidR="00804232">
        <w:fldChar w:fldCharType="end"/>
      </w:r>
      <w:r w:rsidR="00931AC6">
        <w:t xml:space="preserve"> or that the low frequency of tandem duplications in bacteria limits the creation of extra copies of genes where fission can occur without altering the function of the original gene (</w:t>
      </w:r>
      <w:r w:rsidR="000F484B">
        <w:t>89</w:t>
      </w:r>
      <w:r w:rsidR="00931AC6">
        <w:t>)</w:t>
      </w:r>
      <w:r>
        <w:t>. The propensity of membrane protein fissions specifically has not been fully studied; however, some limited evidence has been observed within the membrane components only.</w:t>
      </w:r>
    </w:p>
    <w:p w14:paraId="649395FA" w14:textId="4896A5B8" w:rsidR="006609D5" w:rsidRDefault="000F484B">
      <w:pPr>
        <w:rPr>
          <w:color w:val="202020"/>
        </w:rPr>
      </w:pPr>
      <w:r w:rsidRPr="002C6DA8">
        <w:t>A</w:t>
      </w:r>
      <w:r>
        <w:t>n</w:t>
      </w:r>
      <w:r w:rsidRPr="002C6DA8">
        <w:t xml:space="preserve"> example</w:t>
      </w:r>
      <w:r w:rsidR="00931AC6" w:rsidRPr="002C6DA8">
        <w:t xml:space="preserve"> of a type 1 fission comes from the SecDF membrane proteins involved </w:t>
      </w:r>
      <w:r w:rsidR="00BD4728">
        <w:t xml:space="preserve">in </w:t>
      </w:r>
      <w:r w:rsidR="00931AC6" w:rsidRPr="002C6DA8">
        <w:t xml:space="preserve">protein transport across the cytoplasmic membrane. </w:t>
      </w:r>
      <w:r w:rsidR="002C6DA8" w:rsidRPr="002C6DA8">
        <w:t xml:space="preserve">These proteins are not-fused in the model organism </w:t>
      </w:r>
      <w:r w:rsidR="00E80212">
        <w:rPr>
          <w:i/>
        </w:rPr>
        <w:t>E. coli</w:t>
      </w:r>
      <w:r w:rsidR="00E80212">
        <w:t xml:space="preserve">, </w:t>
      </w:r>
      <w:r w:rsidR="002C6DA8">
        <w:t>being present as</w:t>
      </w:r>
      <w:r w:rsidR="00BD4728">
        <w:t xml:space="preserve"> a</w:t>
      </w:r>
      <w:r w:rsidR="002C6DA8">
        <w:t xml:space="preserve"> </w:t>
      </w:r>
      <w:r w:rsidR="00E80212">
        <w:t>heterodimer of two 6 TMH-containing proteins, SecD and SecF</w:t>
      </w:r>
      <w:r w:rsidR="00887482">
        <w:t xml:space="preserve"> </w:t>
      </w:r>
      <w:r w:rsidR="00804232">
        <w:fldChar w:fldCharType="begin" w:fldLock="1"/>
      </w:r>
      <w:r w:rsidR="00A97363">
        <w:instrText>ADDIN CSL_CITATION {"citationItems":[{"id":"ITEM-1","itemData":{"ISSN":"0261-4189","PMID":"8313900","abstract":"We show here that the rate of protein translocation in the bacterium Escherichia coli depends on the levels of the SecD and SecF proteins in the cell. Overexpression of SecD and SecF stimulates translocation in wild type cells and improves export of proteins with mutant signal sequences. Depletion of SecD and SecF from the cell greatly reduces but does not abolish protein translocation. A secDF::kan null mutant deleted for the genes encoding both proteins is cold-sensitive for growth and protein export, has a severe export defect at 37 degrees C and is barely viable. The phenotypes of a secD null mutant and a secF null mutant are identical to the secDF::kan double null mutant. These results partially resolve the conflict between genetic studies and results from in vitro translocation systems which do not require SecD and SecF for activity, affirm the importance of these proteins to the export process, and suggest that SecD and SecF function together to stimulate protein export in a role fundamentally different from other Sec proteins. Our results provide additional support for the notion that an early step in protein export is cold-sensitive.","author":[{"dropping-particle":"","family":"Pogliano","given":"J A","non-dropping-particle":"","parse-names":false,"suffix":""},{"dropping-particle":"","family":"Beckwith","given":"J","non-dropping-particle":"","parse-names":false,"suffix":""}],"container-title":"The EMBO journal","id":"ITEM-1","issue":"3","issued":{"date-parts":[["1994","2","1"]]},"page":"554-61","publisher":"European Molecular Biology Organization","title":"SecD and SecF facilitate protein export in Escherichia coli.","type":"article-journal","volume":"13"},"uris":["http://www.mendeley.com/documents/?uuid=daf9ff95-a4f2-35f5-90e1-941160081d05"]}],"mendeley":{"formattedCitation":"[90]","plainTextFormattedCitation":"[90]","previouslyFormattedCitation":"[90]"},"properties":{"noteIndex":0},"schema":"https://github.com/citation-style-language/schema/raw/master/csl-citation.json"}</w:instrText>
      </w:r>
      <w:r w:rsidR="00804232">
        <w:fldChar w:fldCharType="separate"/>
      </w:r>
      <w:r w:rsidR="00BC6753" w:rsidRPr="00BC6753">
        <w:rPr>
          <w:noProof/>
        </w:rPr>
        <w:t>[90]</w:t>
      </w:r>
      <w:r w:rsidR="00804232">
        <w:fldChar w:fldCharType="end"/>
      </w:r>
      <w:r w:rsidR="00E80212">
        <w:t>; however, within</w:t>
      </w:r>
      <w:r w:rsidR="002C6DA8">
        <w:t xml:space="preserve"> many Gram +ve bacteria</w:t>
      </w:r>
      <w:r w:rsidR="00BD4728">
        <w:t>,</w:t>
      </w:r>
      <w:r w:rsidR="002C6DA8">
        <w:t xml:space="preserve"> including </w:t>
      </w:r>
      <w:r w:rsidR="00E80212">
        <w:rPr>
          <w:i/>
        </w:rPr>
        <w:t xml:space="preserve">B. subtilis </w:t>
      </w:r>
      <w:r w:rsidR="00E80212">
        <w:t>and</w:t>
      </w:r>
      <w:r w:rsidR="00E80212">
        <w:rPr>
          <w:i/>
        </w:rPr>
        <w:t xml:space="preserve"> S. aureus</w:t>
      </w:r>
      <w:r w:rsidR="00E80212">
        <w:t>, a single 12 TMH containing polypeptide, SecDF, has been formed as a result of gene fusion</w:t>
      </w:r>
      <w:r w:rsidR="000214B6">
        <w:t xml:space="preserve"> </w:t>
      </w:r>
      <w:r w:rsidR="00804232">
        <w:fldChar w:fldCharType="begin" w:fldLock="1"/>
      </w:r>
      <w:r w:rsidR="00A97363">
        <w:instrText>ADDIN CSL_CITATION {"citationItems":[{"id":"ITEM-1","itemData":{"DOI":"10.1074/JBC.273.33.21217","ISSN":"0021-9258","PMID":"9694879","abstract":"In the present studies, we show that the SecD and SecF equivalents of the Gram-positive bacterium Bacillus subtilis are jointly present in one polypeptide, denoted SecDF, that is required to maintain a high capacity for protein secretion. Unlike the SecD subunit of the pre-protein translocase of Escherichia coli, SecDF of B. subtilis was not required for the release of a mature secretory protein from the membrane, indicating that SecDF is involved in earlier translocation steps. Strains lacking intact SecDF showed a cold-sensitive phenotype, which was exacerbated by high level production of secretory proteins, indicating that protein translocation in B. subtilis is intrinsically cold-sensitive. Comparison with SecD and SecF proteins from other organisms revealed the presence of 10 conserved regions in SecDF, some of which appear to be important for SecDF function. Interestingly, the SecDF protein of B. subtilis has 12 putative transmembrane domains. Thus, SecDF does not only show sequence similarity but also structural similarity to secondary solute transporters. Our data suggest that SecDF of B. subtilis represents a novel type of the SecD and SecF proteins, which seems to be present in at least two other organisms.","author":[{"dropping-particle":"","family":"Bolhuis","given":"A","non-dropping-particle":"","parse-names":false,"suffix":""},{"dropping-particle":"","family":"Broekhuizen","given":"C P","non-dropping-particle":"","parse-names":false,"suffix":""},{"dropping-particle":"","family":"Sorokin","given":"A","non-dropping-particle":"","parse-names":false,"suffix":""},{"dropping-particle":"","family":"Roosmalen","given":"M L","non-dropping-particle":"van","parse-names":false,"suffix":""},{"dropping-particle":"","family":"Venema","given":"G","non-dropping-particle":"","parse-names":false,"suffix":""},{"dropping-particle":"","family":"Bron","given":"S","non-dropping-particle":"","parse-names":false,"suffix":""},{"dropping-particle":"","family":"Quax","given":"W J","non-dropping-particle":"","parse-names":false,"suffix":""},{"dropping-particle":"","family":"Dijl","given":"J M","non-dropping-particle":"van","parse-names":false,"suffix":""}],"container-title":"The Journal of biological chemistry","id":"ITEM-1","issue":"33","issued":{"date-parts":[["1998","8","14"]]},"page":"21217-24","publisher":"American Society for Biochemistry and Molecular Biology","title":"SecDF of Bacillus subtilis, a molecular Siamese twin required for the efficient secretion of proteins.","type":"article-journal","volume":"273"},"uris":["http://www.mendeley.com/documents/?uuid=64863a7f-3979-37ed-9f38-ef16a05e9486"]},{"id":"ITEM-2","itemData":{"DOI":"10.1186/1471-2180-11-72","ISSN":"1471-2180","abstract":"SecDF is an accessory factor of the conserved Sec protein translocation machinery and belongs to the resistance-nodulation-cell division (RND) family of multidrug exporters. SecDF has been shown in Escherichia coli and Bacillus subtilis to be involved in the export of proteins. RND proteins can mediate resistance against various substances and might be of relevance in antimicrobial therapy. The role of RND proteins in Staphylococcus aureus has not yet been determined. Markerless deletion mutants were constructed to analyze the impact of the so far uncharacterized RND proteins in S. aureus. While the lack of Sa2056 and Sa2339 caused no phenotype regarding growth and resistance, the secDF mutant resulted in a pleiotropic phenotype. The secDF mutant was cold sensitive, but grew normally in rich medium at 37°C. Resistance to beta-lactams, glycopeptides and the RND substrates acriflavine, ethidium bromide and sodium dodecyl sulfate was reduced. The secDF mutant showed an aberrant cell separation and increased spontaneous and Triton X-100 induced autolysis, although the amounts of penicillin-binding proteins in the membrane were unchanged. The impact of secDF deletion on transcription and expression of specific virulence determinants varied: While coagulase transcription and activity were reduced, the opposite was observed for the autolysin Atl. A reduction of the transcription of the cell wall anchored protein A (spa) was also found. The accumulation of SpA in the membrane and lowered amounts in the cell wall pointed to an impaired translocation. The combination of different effects of secDF deletion on transcription, regulation and translocation lead to impaired cell division, reduced resistance and altered expression of virulence determinants suggesting SecDF to be of major relevance in S. aureus. Thus SecDF could be a potential target for the control and eradication of S. aureus in the future.","author":[{"dropping-particle":"","family":"Quiblier","given":"Chantal","non-dropping-particle":"","parse-names":false,"suffix":""},{"dropping-particle":"","family":"Zinkernagel","given":"Annelies S","non-dropping-particle":"","parse-names":false,"suffix":""},{"dropping-particle":"","family":"Schuepbach","given":"Reto A","non-dropping-particle":"","parse-names":false,"suffix":""},{"dropping-particle":"","family":"Berger-Bächi","given":"Brigitte","non-dropping-particle":"","parse-names":false,"suffix":""},{"dropping-particle":"","family":"Senn","given":"Maria M","non-dropping-particle":"","parse-names":false,"suffix":""}],"container-title":"BMC Microbiology","id":"ITEM-2","issue":"1","issued":{"date-parts":[["2011","4","12"]]},"page":"72","publisher":"BioMed Central","title":"Contribution of SecDF to Staphylococcus aureus resistance and expression of virulence factors","type":"article-journal","volume":"11"},"uris":["http://www.mendeley.com/documents/?uuid=39ba19fc-8245-3e21-9a2d-2a5bc4a99ae8"]}],"mendeley":{"formattedCitation":"[91,92]","plainTextFormattedCitation":"[91,92]","previouslyFormattedCitation":"[91,92]"},"properties":{"noteIndex":0},"schema":"https://github.com/citation-style-language/schema/raw/master/csl-citation.json"}</w:instrText>
      </w:r>
      <w:r w:rsidR="00804232">
        <w:fldChar w:fldCharType="separate"/>
      </w:r>
      <w:r w:rsidR="00BC6753" w:rsidRPr="00BC6753">
        <w:rPr>
          <w:noProof/>
        </w:rPr>
        <w:t>[91,92]</w:t>
      </w:r>
      <w:r w:rsidR="00804232">
        <w:fldChar w:fldCharType="end"/>
      </w:r>
      <w:r w:rsidR="00804232">
        <w:t xml:space="preserve"> </w:t>
      </w:r>
      <w:r w:rsidR="00E80212">
        <w:t xml:space="preserve">and the structure </w:t>
      </w:r>
      <w:r w:rsidR="00BD4728">
        <w:t xml:space="preserve">of </w:t>
      </w:r>
      <w:r w:rsidR="00E80212">
        <w:t xml:space="preserve">the fused protein from </w:t>
      </w:r>
      <w:r w:rsidR="00E80212">
        <w:rPr>
          <w:i/>
        </w:rPr>
        <w:t xml:space="preserve">Thermus thermophilus </w:t>
      </w:r>
      <w:r w:rsidR="00E80212">
        <w:t>has been solved</w:t>
      </w:r>
      <w:r w:rsidR="000214B6">
        <w:t xml:space="preserve"> </w:t>
      </w:r>
      <w:r w:rsidR="00804232">
        <w:fldChar w:fldCharType="begin" w:fldLock="1"/>
      </w:r>
      <w:r w:rsidR="00A97363">
        <w:instrText>ADDIN CSL_CITATION {"citationItems":[{"id":"ITEM-1","itemData":{"DOI":"10.1016/J.CELREP.2017.04.030","ISSN":"2211-1247","abstract":"Protein secretion mediated by SecYEG translocon and SecA ATPase is enhanced by membrane-embedded SecDF by using proton motive force. A previous structural study of SecDF indicated that it comprises 12 transmembrane helices that can conduct protons and three periplasmic domains, which form at least two characterized transition states, termed the F and I forms. We report the structures of full-length SecDF in I form at 2.6- to 2.8-Å resolution. The structures revealed that SecDF in I form can generate a tunnel that penetrates the transmembrane region and functions as a proton pathway regulated by a conserved Asp residue of the transmembrane region. In one crystal structure, periplasmic cavity interacts with a molecule, potentially polyethylene glycol, which may mimic a substrate peptide. This study provides structural insights into the Sec protein translocation that allows future analyses to develop a more detailed working model for SecDF.","author":[{"dropping-particle":"","family":"Furukawa","given":"Arata","non-dropping-particle":"","parse-names":false,"suffix":""},{"dropping-particle":"","family":"Yoshikaie","given":"Kunihito","non-dropping-particle":"","parse-names":false,"suffix":""},{"dropping-particle":"","family":"Mori","given":"Takaharu","non-dropping-particle":"","parse-names":false,"suffix":""},{"dropping-particle":"","family":"Mori","given":"Hiroyuki","non-dropping-particle":"","parse-names":false,"suffix":""},{"dropping-particle":"V.","family":"Morimoto","given":"Yusuke","non-dropping-particle":"","parse-names":false,"suffix":""},{"dropping-particle":"","family":"Sugano","given":"Yasunori","non-dropping-particle":"","parse-names":false,"suffix":""},{"dropping-particle":"","family":"Iwaki","given":"Shigehiro","non-dropping-particle":"","parse-names":false,"suffix":""},{"dropping-particle":"","family":"Minamino","given":"Tohru","non-dropping-particle":"","parse-names":false,"suffix":""},{"dropping-particle":"","family":"Sugita","given":"Yuji","non-dropping-particle":"","parse-names":false,"suffix":""},{"dropping-particle":"","family":"Tanaka","given":"Yoshiki","non-dropping-particle":"","parse-names":false,"suffix":""},{"dropping-particle":"","family":"Tsukazaki","given":"Tomoya","non-dropping-particle":"","parse-names":false,"suffix":""}],"container-title":"Cell Reports","id":"ITEM-1","issue":"5","issued":{"date-parts":[["2017","5","2"]]},"page":"895-901","publisher":"Cell Press","title":"Tunnel Formation Inferred from the I-Form Structures of the Proton-Driven Protein Secretion Motor SecDF","type":"article-journal","volume":"19"},"uris":["http://www.mendeley.com/documents/?uuid=4645db57-0fb7-3d0f-963a-805d0a400e7e"]},{"id":"ITEM-2","itemData":{"DOI":"10.1038/nature09980","ISSN":"0028-0836","abstract":"Structure and function of a membrane component SecDF that enhances protein export","author":[{"dropping-particle":"","family":"Tsukazaki","given":"Tomoya","non-dropping-particle":"","parse-names":false,"suffix":""},{"dropping-particle":"","family":"Mori","given":"Hiroyuki","non-dropping-particle":"","parse-names":false,"suffix":""},{"dropping-particle":"","family":"Echizen","given":"Yuka","non-dropping-particle":"","parse-names":false,"suffix":""},{"dropping-particle":"","family":"Ishitani","given":"Ryuichiro","non-dropping-particle":"","parse-names":false,"suffix":""},{"dropping-particle":"","family":"Fukai","given":"Shuya","non-dropping-particle":"","parse-names":false,"suffix":""},{"dropping-particle":"","family":"Tanaka","given":"Takeshi","non-dropping-particle":"","parse-names":false,"suffix":""},{"dropping-particle":"","family":"Perederina","given":"Anna","non-dropping-particle":"","parse-names":false,"suffix":""},{"dropping-particle":"","family":"Vassylyev","given":"Dmitry G.","non-dropping-particle":"","parse-names":false,"suffix":""},{"dropping-particle":"","family":"Kohno","given":"Toshiyuki","non-dropping-particle":"","parse-names":false,"suffix":""},{"dropping-particle":"","family":"Maturana","given":"Andrés D.","non-dropping-particle":"","parse-names":false,"suffix":""},{"dropping-particle":"","family":"Ito","given":"Koreaki","non-dropping-particle":"","parse-names":false,"suffix":""},{"dropping-particle":"","family":"Nureki","given":"Osamu","non-dropping-particle":"","parse-names":false,"suffix":""}],"container-title":"Nature","id":"ITEM-2","issue":"7350","issued":{"date-parts":[["2011","6","11"]]},"page":"235-238","publisher":"Nature Publishing Group","title":"Structure and function of a membrane component SecDF that enhances protein export","type":"article-journal","volume":"474"},"uris":["http://www.mendeley.com/documents/?uuid=3bf56d66-148a-3b49-a2f3-c0f188797c23"]}],"mendeley":{"formattedCitation":"[93,94]","plainTextFormattedCitation":"[93,94]","previouslyFormattedCitation":"[93,94]"},"properties":{"noteIndex":0},"schema":"https://github.com/citation-style-language/schema/raw/master/csl-citation.json"}</w:instrText>
      </w:r>
      <w:r w:rsidR="00804232">
        <w:fldChar w:fldCharType="separate"/>
      </w:r>
      <w:r w:rsidR="00BC6753" w:rsidRPr="00BC6753">
        <w:rPr>
          <w:noProof/>
        </w:rPr>
        <w:t>[93,94]</w:t>
      </w:r>
      <w:r w:rsidR="00804232">
        <w:fldChar w:fldCharType="end"/>
      </w:r>
      <w:r w:rsidR="00E80212">
        <w:t xml:space="preserve">. Interestingly the model actinobacterium </w:t>
      </w:r>
      <w:r w:rsidR="00E80212">
        <w:rPr>
          <w:i/>
          <w:color w:val="202020"/>
          <w:highlight w:val="white"/>
        </w:rPr>
        <w:t>Streptomyces coelicolor</w:t>
      </w:r>
      <w:r w:rsidR="00E80212">
        <w:rPr>
          <w:color w:val="202020"/>
          <w:highlight w:val="white"/>
        </w:rPr>
        <w:t xml:space="preserve"> contains two variants of the SecDF system, both a f</w:t>
      </w:r>
      <w:r w:rsidR="00804232">
        <w:rPr>
          <w:color w:val="202020"/>
          <w:highlight w:val="white"/>
        </w:rPr>
        <w:t>used and heterodimeric version</w:t>
      </w:r>
      <w:r w:rsidR="000214B6">
        <w:rPr>
          <w:color w:val="202020"/>
          <w:highlight w:val="white"/>
        </w:rPr>
        <w:t xml:space="preserve"> </w:t>
      </w:r>
      <w:r w:rsidR="00804232">
        <w:rPr>
          <w:color w:val="202020"/>
          <w:highlight w:val="white"/>
        </w:rPr>
        <w:fldChar w:fldCharType="begin" w:fldLock="1"/>
      </w:r>
      <w:r w:rsidR="00A97363">
        <w:rPr>
          <w:color w:val="202020"/>
          <w:highlight w:val="white"/>
        </w:rPr>
        <w:instrText>ADDIN CSL_CITATION {"citationItems":[{"id":"ITEM-1","itemData":{"DOI":"10.1371/journal.pone.0105237","ISBN":"2013M531117","abstract":"The general secretion (Sec) pathway plays a prominent role in bacterial protein export, and the accessory component SecDF has been shown to improve transportation efficiency. Inspection of Streptomyces coelicolor genome reveals the unexpected presence of two different forms of secDF homologous genes: one in fused form (secDF) and the other in separated form (secD and secF). However, the functional role of two SecDF homologs in S. coelicolor has not yet been determined. Transcriptional analysis of secDF homologs reveals that these genes are constitutively expressed. However, the transcript levels of secD and secF are much higher than that of secDF in S. coelicolor. Deletion of secDF or/and secD/secF in S. coelicolor did result in reduced secretion efficiency of Xylanase A and Amylase C, suggesting that they may have redundant functions for Sec-dependent translocation pathway. Moreover, our results also indicate that SecD/SecF plays a more prominent role than SecDF in protein translocation. Evolutionary analysis suggests that the fused and separated SecDF homologs in Streptomyces may have disparate evolutionary ancestries. SecD/SecF may be originated from vertical transmission of existing components from ancestor of Streptomyces species. However, SecDF may be derived from bacterial ancestors through horizontal gene transfer. Alternately, it is also plausible that SecDF may have arisen through additional gene duplication and fusion events. The acquisition of a second copy may confer a selective benefit to Streptomyces by enhancing protein transport capacity. Taken together, our results provide new insights into the potential biological function and evolutionary aspects of the prokaryotic SecDF complex.","author":[{"dropping-particle":"","family":"Zhou","given":"Z","non-dropping-particle":"","parse-names":false,"suffix":""},{"dropping-particle":"","family":"Li","given":"Y","non-dropping-particle":"","parse-names":false,"suffix":""},{"dropping-particle":"","family":"Sun","given":"N","non-dropping-particle":"","parse-names":false,"suffix":""},{"dropping-particle":"","family":"Sun","given":"Z","non-dropping-particle":"","parse-names":false,"suffix":""},{"dropping-particle":"","family":"Lv","given":"L","non-dropping-particle":"","parse-names":false,"suffix":""}],"container-title":"PLoS ONE","id":"ITEM-1","issue":"8","issued":{"date-parts":[["2014"]]},"page":"105237","title":"Function and Evolution of Two Forms of SecDF Homologs in Streptomyces coelicolor","type":"article-journal","volume":"9"},"uris":["http://www.mendeley.com/documents/?uuid=8d63b684-5f67-3185-a2f6-56a89b2a5c74"]}],"mendeley":{"formattedCitation":"[95]","plainTextFormattedCitation":"[95]","previouslyFormattedCitation":"[95]"},"properties":{"noteIndex":0},"schema":"https://github.com/citation-style-language/schema/raw/master/csl-citation.json"}</w:instrText>
      </w:r>
      <w:r w:rsidR="00804232">
        <w:rPr>
          <w:color w:val="202020"/>
          <w:highlight w:val="white"/>
        </w:rPr>
        <w:fldChar w:fldCharType="separate"/>
      </w:r>
      <w:r w:rsidR="00BC6753" w:rsidRPr="00BC6753">
        <w:rPr>
          <w:noProof/>
          <w:color w:val="202020"/>
          <w:highlight w:val="white"/>
        </w:rPr>
        <w:t>[95]</w:t>
      </w:r>
      <w:r w:rsidR="00804232">
        <w:rPr>
          <w:color w:val="202020"/>
          <w:highlight w:val="white"/>
        </w:rPr>
        <w:fldChar w:fldCharType="end"/>
      </w:r>
      <w:r w:rsidR="00E80212">
        <w:rPr>
          <w:color w:val="202020"/>
          <w:highlight w:val="white"/>
        </w:rPr>
        <w:t xml:space="preserve">. In the same study, a heterodimeric system in </w:t>
      </w:r>
      <w:r w:rsidR="00E80212">
        <w:rPr>
          <w:i/>
          <w:color w:val="202020"/>
          <w:highlight w:val="white"/>
        </w:rPr>
        <w:t xml:space="preserve">Dehalobacter sp. </w:t>
      </w:r>
      <w:r w:rsidR="00E80212">
        <w:rPr>
          <w:color w:val="202020"/>
          <w:highlight w:val="white"/>
        </w:rPr>
        <w:t xml:space="preserve">FTH1 is identified that is buried within a larger clade of fused homologues, suggesting </w:t>
      </w:r>
      <w:r w:rsidR="00BD4728">
        <w:rPr>
          <w:color w:val="202020"/>
          <w:highlight w:val="white"/>
        </w:rPr>
        <w:t xml:space="preserve">that </w:t>
      </w:r>
      <w:r w:rsidR="00E80212">
        <w:rPr>
          <w:color w:val="202020"/>
          <w:highlight w:val="white"/>
        </w:rPr>
        <w:t>a gene fission event has taken place</w:t>
      </w:r>
      <w:r w:rsidR="000214B6">
        <w:rPr>
          <w:color w:val="202020"/>
          <w:highlight w:val="white"/>
        </w:rPr>
        <w:t xml:space="preserve"> </w:t>
      </w:r>
      <w:r w:rsidR="00804232">
        <w:rPr>
          <w:color w:val="202020"/>
          <w:highlight w:val="white"/>
        </w:rPr>
        <w:fldChar w:fldCharType="begin" w:fldLock="1"/>
      </w:r>
      <w:r w:rsidR="00A97363">
        <w:rPr>
          <w:color w:val="202020"/>
          <w:highlight w:val="white"/>
        </w:rPr>
        <w:instrText>ADDIN CSL_CITATION {"citationItems":[{"id":"ITEM-1","itemData":{"DOI":"10.1371/journal.pone.0105237","ISBN":"2013M531117","abstract":"The general secretion (Sec) pathway plays a prominent role in bacterial protein export, and the accessory component SecDF has been shown to improve transportation efficiency. Inspection of Streptomyces coelicolor genome reveals the unexpected presence of two different forms of secDF homologous genes: one in fused form (secDF) and the other in separated form (secD and secF). However, the functional role of two SecDF homologs in S. coelicolor has not yet been determined. Transcriptional analysis of secDF homologs reveals that these genes are constitutively expressed. However, the transcript levels of secD and secF are much higher than that of secDF in S. coelicolor. Deletion of secDF or/and secD/secF in S. coelicolor did result in reduced secretion efficiency of Xylanase A and Amylase C, suggesting that they may have redundant functions for Sec-dependent translocation pathway. Moreover, our results also indicate that SecD/SecF plays a more prominent role than SecDF in protein translocation. Evolutionary analysis suggests that the fused and separated SecDF homologs in Streptomyces may have disparate evolutionary ancestries. SecD/SecF may be originated from vertical transmission of existing components from ancestor of Streptomyces species. However, SecDF may be derived from bacterial ancestors through horizontal gene transfer. Alternately, it is also plausible that SecDF may have arisen through additional gene duplication and fusion events. The acquisition of a second copy may confer a selective benefit to Streptomyces by enhancing protein transport capacity. Taken together, our results provide new insights into the potential biological function and evolutionary aspects of the prokaryotic SecDF complex.","author":[{"dropping-particle":"","family":"Zhou","given":"Z","non-dropping-particle":"","parse-names":false,"suffix":""},{"dropping-particle":"","family":"Li","given":"Y","non-dropping-particle":"","parse-names":false,"suffix":""},{"dropping-particle":"","family":"Sun","given":"N","non-dropping-particle":"","parse-names":false,"suffix":""},{"dropping-particle":"","family":"Sun","given":"Z","non-dropping-particle":"","parse-names":false,"suffix":""},{"dropping-particle":"","family":"Lv","given":"L","non-dropping-particle":"","parse-names":false,"suffix":""}],"container-title":"PLoS ONE","id":"ITEM-1","issue":"8","issued":{"date-parts":[["2014"]]},"page":"105237","title":"Function and Evolution of Two Forms of SecDF Homologs in Streptomyces coelicolor","type":"article-journal","volume":"9"},"uris":["http://www.mendeley.com/documents/?uuid=8d63b684-5f67-3185-a2f6-56a89b2a5c74"]}],"mendeley":{"formattedCitation":"[95]","plainTextFormattedCitation":"[95]","previouslyFormattedCitation":"[95]"},"properties":{"noteIndex":0},"schema":"https://github.com/citation-style-language/schema/raw/master/csl-citation.json"}</w:instrText>
      </w:r>
      <w:r w:rsidR="00804232">
        <w:rPr>
          <w:color w:val="202020"/>
          <w:highlight w:val="white"/>
        </w:rPr>
        <w:fldChar w:fldCharType="separate"/>
      </w:r>
      <w:r w:rsidR="00BC6753" w:rsidRPr="00BC6753">
        <w:rPr>
          <w:noProof/>
          <w:color w:val="202020"/>
          <w:highlight w:val="white"/>
        </w:rPr>
        <w:t>[95]</w:t>
      </w:r>
      <w:r w:rsidR="00804232">
        <w:rPr>
          <w:color w:val="202020"/>
          <w:highlight w:val="white"/>
        </w:rPr>
        <w:fldChar w:fldCharType="end"/>
      </w:r>
      <w:r w:rsidR="002C6DA8">
        <w:rPr>
          <w:color w:val="202020"/>
          <w:highlight w:val="white"/>
        </w:rPr>
        <w:t>, reverting this back to the heterodimeric system. Clearly the structural and topological relationship between these two membrane proteins is permissive to their sequential fusion and subsequent fission during evolution</w:t>
      </w:r>
      <w:r w:rsidR="00E80212">
        <w:rPr>
          <w:color w:val="202020"/>
          <w:highlight w:val="white"/>
        </w:rPr>
        <w:t xml:space="preserve">. </w:t>
      </w:r>
    </w:p>
    <w:p w14:paraId="40D4891B" w14:textId="6B973292" w:rsidR="00650DC8" w:rsidRDefault="00E80212">
      <w:pPr>
        <w:rPr>
          <w:color w:val="202020"/>
          <w:highlight w:val="white"/>
        </w:rPr>
      </w:pPr>
      <w:r>
        <w:t xml:space="preserve">Type 1 fission has been suggested for the </w:t>
      </w:r>
      <w:r>
        <w:rPr>
          <w:i/>
        </w:rPr>
        <w:t xml:space="preserve">M. tuberculosis </w:t>
      </w:r>
      <w:r>
        <w:t>MmpL13 protein, an 11-12 TMH transporter that has split producing a 4</w:t>
      </w:r>
      <w:r w:rsidR="000F053C">
        <w:t xml:space="preserve"> and 6 TMH protein </w:t>
      </w:r>
      <w:r w:rsidR="000F053C" w:rsidRPr="00142B38">
        <w:t>respectively</w:t>
      </w:r>
      <w:r w:rsidR="000214B6" w:rsidRPr="00142B38">
        <w:t xml:space="preserve"> </w:t>
      </w:r>
      <w:r w:rsidR="00804232" w:rsidRPr="00650E54">
        <w:fldChar w:fldCharType="begin" w:fldLock="1"/>
      </w:r>
      <w:r w:rsidR="00A97363">
        <w:instrText>ADDIN CSL_CITATION {"citationItems":[{"id":"ITEM-1","itemData":{"DOI":"10.1016/j.ijmm.2015.03.005","author":[{"dropping-particle":"","family":"Sandhu","given":"Padmani","non-dropping-particle":"","parse-names":false,"suffix":""},{"dropping-particle":"","family":"Akhter","given":"Yusuf","non-dropping-particle":"","parse-names":false,"suffix":""}],"container-title":"International Journal of Medical Microbiology","id":"ITEM-1","issued":{"date-parts":[["2015"]]},"page":"413-423","title":"The internal gene duplication and interrupted coding sequences in the MmpL genes of Mycobacterium tuberculosis: Towards understanding the multidrug transport in an evolutionary perspective","type":"article-journal","volume":"305"},"uris":["http://www.mendeley.com/documents/?uuid=602f6569-64e0-37a4-8b27-6ef62a5e9f43"]},{"id":"ITEM-2","itemData":{"DOI":"10.1007/s00203-017-1434-6","ISSN":"0302-8933","author":[{"dropping-particle":"","family":"Sandhu","given":"Padmani","non-dropping-particle":"","parse-names":false,"suffix":""},{"dropping-particle":"","family":"Akhter","given":"Yusuf","non-dropping-particle":"","parse-names":false,"suffix":""}],"container-title":"Archives of Microbiology","id":"ITEM-2","issue":"1","issued":{"date-parts":[["2018","1","26"]]},"page":"19-31","publisher":"Springer Berlin Heidelberg","title":"Evolution of structural fitness and multifunctional aspects of mycobacterial RND family transporters","type":"article-journal","volume":"200"},"uris":["http://www.mendeley.com/documents/?uuid=c7303cd0-f7da-3bad-b499-88fcb365bc0f"]}],"mendeley":{"formattedCitation":"[96,97]","plainTextFormattedCitation":"[96,97]","previouslyFormattedCitation":"[96,97]"},"properties":{"noteIndex":0},"schema":"https://github.com/citation-style-language/schema/raw/master/csl-citation.json"}</w:instrText>
      </w:r>
      <w:r w:rsidR="00804232" w:rsidRPr="00650E54">
        <w:fldChar w:fldCharType="separate"/>
      </w:r>
      <w:r w:rsidR="00BC6753" w:rsidRPr="00BC6753">
        <w:rPr>
          <w:noProof/>
        </w:rPr>
        <w:t>[96,97]</w:t>
      </w:r>
      <w:r w:rsidR="00804232" w:rsidRPr="00650E54">
        <w:fldChar w:fldCharType="end"/>
      </w:r>
      <w:r w:rsidRPr="00142B38">
        <w:t>*;</w:t>
      </w:r>
      <w:r>
        <w:t xml:space="preserve"> however, while this is proposed to be a genuine fission, experimental determination of the function of the ‘split’ system is required. There is also evidence of a type 1 fission returning a previously fused transporter back into </w:t>
      </w:r>
      <w:r w:rsidR="00804232">
        <w:t>an</w:t>
      </w:r>
      <w:r>
        <w:t xml:space="preserve"> ancestral unfused state in the long-chain chromate ion transporter (LCHR) protein of </w:t>
      </w:r>
      <w:r>
        <w:rPr>
          <w:i/>
        </w:rPr>
        <w:t>Geobacter metallireducens</w:t>
      </w:r>
      <w:r>
        <w:t>, which underwent a late fission to produce two short-chain CHR</w:t>
      </w:r>
      <w:r w:rsidR="000214B6">
        <w:t xml:space="preserve"> </w:t>
      </w:r>
      <w:r w:rsidR="00BD4728">
        <w:t xml:space="preserve">proteins </w:t>
      </w:r>
      <w:r w:rsidR="00804232">
        <w:fldChar w:fldCharType="begin" w:fldLock="1"/>
      </w:r>
      <w:r w:rsidR="00A97363">
        <w:instrText>ADDIN CSL_CITATION {"citationItems":[{"id":"ITEM-1","itemData":{"DOI":"10.1111/j.1742-4658.2007.06141.x","ISSN":"1742464X","PMID":"17986256","abstract":"ChrA is a membrane protein that confers resistance to the toxic ion chromate through the energy-dependent chromate efflux from the cytoplasm. In the protein databases, ChrA is a member of the chromate ion transporter (CHR) superfamily, composed of at least several dozens of members, distributed in the three domains of life. The aim of this work was to perform a phylogenetic analysis of the CHR superfamily. An exhaustive search for ChrA homologous proteins was carried out at the National Center for Biotechnology Information database. One hundred and thirty-five sequences were identified as members of the CHR superfamily [77 long-chain sequences, or bidomains (LCHR), and 58 short-chain sequences, or monodomains (SCHR)], organized mainly as tandem pairs of genes whose resultant proteins probably possess oppositely oriented membrane topology. LCHR sequences were split into amino and carboxyl domains, and the resultant domains were aligned with the SCHR proteins. A phylogenetic tree was reconstructed using four different methods, obtaining similar results. The domains were grouped into three clusters: the SCHR proteins cluster, the amino domain cluster of LCHR proteins and the carboxyl domain cluster of LCHR proteins. These results, as well as differences in the genomic context of CHR proteins, enabled the proteins to be sorted into two families (SCHR and LCHR), and 10 subfamilies. Evidence was found suggesting an ancient origin of LCHR proteins from the fusion of two SCHR protein-encoding genes; however, some secondary events of fusion and fission may have occurred later. The separate distribution of the LCHR and SCHR proteins, differences in the genomic context in both groups and the fact that chromate transport has been demonstrated only in LCHR proteins suggest that the CHR proteins comprise two or more paralogous groups in the CHR superfamily.","author":[{"dropping-particle":"","family":"Díaz-Pérez","given":"César","non-dropping-particle":"","parse-names":false,"suffix":""},{"dropping-particle":"","family":"Cervantes","given":"Carlos","non-dropping-particle":"","parse-names":false,"suffix":""},{"dropping-particle":"","family":"Campos-García","given":"Jesús","non-dropping-particle":"","parse-names":false,"suffix":""},{"dropping-particle":"","family":"Julián-Sánchez","given":"Adriana","non-dropping-particle":"","parse-names":false,"suffix":""},{"dropping-particle":"","family":"Riveros-Rosas","given":"Héctor","non-dropping-particle":"","parse-names":false,"suffix":""}],"container-title":"FEBS Journal","id":"ITEM-1","issue":"23","issued":{"date-parts":[["2007","12"]]},"page":"6215-6227","title":"Phylogenetic analysis of the chromate ion transporter (CHR) superfamily","type":"article-journal","volume":"274"},"uris":["http://www.mendeley.com/documents/?uuid=4e7666aa-c2ec-34ee-beed-557d5854685b"]}],"mendeley":{"formattedCitation":"[98]","plainTextFormattedCitation":"[98]","previouslyFormattedCitation":"[98]"},"properties":{"noteIndex":0},"schema":"https://github.com/citation-style-language/schema/raw/master/csl-citation.json"}</w:instrText>
      </w:r>
      <w:r w:rsidR="00804232">
        <w:fldChar w:fldCharType="separate"/>
      </w:r>
      <w:r w:rsidR="00BC6753" w:rsidRPr="00BC6753">
        <w:rPr>
          <w:noProof/>
        </w:rPr>
        <w:t>[98]</w:t>
      </w:r>
      <w:r w:rsidR="00804232">
        <w:fldChar w:fldCharType="end"/>
      </w:r>
      <w:r>
        <w:t xml:space="preserve">. </w:t>
      </w:r>
    </w:p>
    <w:p w14:paraId="349C9F7C" w14:textId="0214A096" w:rsidR="00650DC8" w:rsidRDefault="00E80212">
      <w:pPr>
        <w:rPr>
          <w:color w:val="202020"/>
          <w:highlight w:val="white"/>
        </w:rPr>
      </w:pPr>
      <w:r>
        <w:t xml:space="preserve">Type 2 fission can involve both soluble and intermembrane domains. The nucleotide transport proteins (NTTs) have a fusion to a </w:t>
      </w:r>
      <w:r w:rsidRPr="002C6DA8">
        <w:t>HEAT</w:t>
      </w:r>
      <w:r>
        <w:t xml:space="preserve"> </w:t>
      </w:r>
      <w:r w:rsidR="002607F2">
        <w:t>(‘</w:t>
      </w:r>
      <w:r w:rsidR="002607F2">
        <w:rPr>
          <w:color w:val="000000"/>
          <w:shd w:val="clear" w:color="auto" w:fill="FFFFFF"/>
        </w:rPr>
        <w:t>Huntingtin, elongation factor 3, protein phosphatase 2A, TOR1’)</w:t>
      </w:r>
      <w:r w:rsidR="002607F2">
        <w:t xml:space="preserve"> </w:t>
      </w:r>
      <w:r>
        <w:t>repeat domain. However, multiple subsequent NTT-HEAT fissions have been recorded within seve</w:t>
      </w:r>
      <w:r w:rsidR="000F053C">
        <w:t xml:space="preserve">ral bacteria, forming a </w:t>
      </w:r>
      <w:r w:rsidR="000F053C" w:rsidRPr="00142B38">
        <w:t>clade</w:t>
      </w:r>
      <w:r w:rsidR="000214B6" w:rsidRPr="00142B38">
        <w:t xml:space="preserve"> </w:t>
      </w:r>
      <w:r w:rsidR="00804232" w:rsidRPr="00650E54">
        <w:fldChar w:fldCharType="begin" w:fldLock="1"/>
      </w:r>
      <w:r w:rsidR="00A97363">
        <w:instrText>ADDIN CSL_CITATION {"citationItems":[{"id":"ITEM-1","itemData":{"DOI":"10.1093/GBE/EVX015","ISSN":"1759-6653","PMID":"28164241","abstract":"Plasma membrane-located nucleotide transport proteins (NTTs) underpin the lifestyle of important obligate intracellular bacterial and eukaryotic pathogens by importing energy and nucleotides from infected host cells that the pathogens can no longer make for themselves. As such their presence is often seen as a hallmark of an intracellular lifestyle associated with reductive genome evolution and loss of primary biosynthetic pathways. Here, we investigate the phylogenetic distribution of NTT sequences across the domains of cellular life. Our analysis reveals an unexpectedly broad distribution of NTT genes in both host-associated and free-living prokaryotes and eukaryotes. We also identify cases of within-bacteria and bacteria-to-eukaryote horizontal NTT transfer, including into the base of the oomycetes, a major clade of parasitic eukaryotes. In addition to identifying sequences that retain the canonical NTT structure, we detected NTT gene fusions with HEAT-repeat and cyclic nucleotide binding domains in Cyanobacteria, pathogenic Chlamydiae and Oomycetes. Our results suggest that NTTs are versatile functional modules with a much wider distribution and a broader range of potential roles than has previously been appreciated.","author":[{"dropping-particle":"","family":"Major","given":"Peter","non-dropping-particle":"","parse-names":false,"suffix":""},{"dropping-particle":"","family":"Embley","given":"T. Martin","non-dropping-particle":"","parse-names":false,"suffix":""},{"dropping-particle":"","family":"Williams","given":"Tom A.","non-dropping-particle":"","parse-names":false,"suffix":""}],"container-title":"Genome Biology and Evolution","id":"ITEM-1","issue":"2","issued":{"date-parts":[["2017"]]},"page":"480","publisher":"Oxford University Press","title":"Phylogenetic Diversity of NTT Nucleotide Transport Proteins in Free-Living and Parasitic Bacteria and Eukaryotes","type":"article-journal","volume":"9"},"uris":["http://www.mendeley.com/documents/?uuid=040a53ae-d3c6-37ed-8d2a-a6e3c5f05971"]}],"mendeley":{"formattedCitation":"[99]","plainTextFormattedCitation":"[99]","previouslyFormattedCitation":"[99]"},"properties":{"noteIndex":0},"schema":"https://github.com/citation-style-language/schema/raw/master/csl-citation.json"}</w:instrText>
      </w:r>
      <w:r w:rsidR="00804232" w:rsidRPr="00650E54">
        <w:fldChar w:fldCharType="separate"/>
      </w:r>
      <w:r w:rsidR="00BC6753" w:rsidRPr="00BC6753">
        <w:rPr>
          <w:noProof/>
        </w:rPr>
        <w:t>[99]</w:t>
      </w:r>
      <w:r w:rsidR="00804232" w:rsidRPr="00650E54">
        <w:fldChar w:fldCharType="end"/>
      </w:r>
      <w:r w:rsidR="00127AAA">
        <w:t>*</w:t>
      </w:r>
      <w:r w:rsidR="000F053C" w:rsidRPr="00142B38">
        <w:t>*</w:t>
      </w:r>
      <w:r w:rsidRPr="00142B38">
        <w:t>. An even</w:t>
      </w:r>
      <w:r>
        <w:t xml:space="preserve"> more evolutionarily labile fusion between HEAT and downstream cyclic nucleotide binding domains has also been recognised</w:t>
      </w:r>
      <w:r w:rsidR="002607F2">
        <w:t xml:space="preserve"> </w:t>
      </w:r>
      <w:r w:rsidR="00804232">
        <w:fldChar w:fldCharType="begin" w:fldLock="1"/>
      </w:r>
      <w:r w:rsidR="00A97363">
        <w:instrText>ADDIN CSL_CITATION {"citationItems":[{"id":"ITEM-1","itemData":{"DOI":"10.1093/GBE/EVX015","ISSN":"1759-6653","PMID":"28164241","abstract":"Plasma membrane-located nucleotide transport proteins (NTTs) underpin the lifestyle of important obligate intracellular bacterial and eukaryotic pathogens by importing energy and nucleotides from infected host cells that the pathogens can no longer make for themselves. As such their presence is often seen as a hallmark of an intracellular lifestyle associated with reductive genome evolution and loss of primary biosynthetic pathways. Here, we investigate the phylogenetic distribution of NTT sequences across the domains of cellular life. Our analysis reveals an unexpectedly broad distribution of NTT genes in both host-associated and free-living prokaryotes and eukaryotes. We also identify cases of within-bacteria and bacteria-to-eukaryote horizontal NTT transfer, including into the base of the oomycetes, a major clade of parasitic eukaryotes. In addition to identifying sequences that retain the canonical NTT structure, we detected NTT gene fusions with HEAT-repeat and cyclic nucleotide binding domains in Cyanobacteria, pathogenic Chlamydiae and Oomycetes. Our results suggest that NTTs are versatile functional modules with a much wider distribution and a broader range of potential roles than has previously been appreciated.","author":[{"dropping-particle":"","family":"Major","given":"Peter","non-dropping-particle":"","parse-names":false,"suffix":""},{"dropping-particle":"","family":"Embley","given":"T. Martin","non-dropping-particle":"","parse-names":false,"suffix":""},{"dropping-particle":"","family":"Williams","given":"Tom A.","non-dropping-particle":"","parse-names":false,"suffix":""}],"container-title":"Genome Biology and Evolution","id":"ITEM-1","issue":"2","issued":{"date-parts":[["2017"]]},"page":"480","publisher":"Oxford University Press","title":"Phylogenetic Diversity of NTT Nucleotide Transport Proteins in Free-Living and Parasitic Bacteria and Eukaryotes","type":"article-journal","volume":"9"},"uris":["http://www.mendeley.com/documents/?uuid=040a53ae-d3c6-37ed-8d2a-a6e3c5f05971"]}],"mendeley":{"formattedCitation":"[99]","plainTextFormattedCitation":"[99]","previouslyFormattedCitation":"[99]"},"properties":{"noteIndex":0},"schema":"https://github.com/citation-style-language/schema/raw/master/csl-citation.json"}</w:instrText>
      </w:r>
      <w:r w:rsidR="00804232">
        <w:fldChar w:fldCharType="separate"/>
      </w:r>
      <w:r w:rsidR="00BC6753" w:rsidRPr="00BC6753">
        <w:rPr>
          <w:noProof/>
        </w:rPr>
        <w:t>[99]</w:t>
      </w:r>
      <w:r w:rsidR="00804232">
        <w:fldChar w:fldCharType="end"/>
      </w:r>
      <w:r>
        <w:t xml:space="preserve">. Truncation of a transmembrane protein can also be achieved by type 2 fission, as the 6 TMH Cation Diffusion Facilitator (CDF) family has been identified as undergoing fission to produce 4 TMH </w:t>
      </w:r>
      <w:r w:rsidR="000D26A6">
        <w:t xml:space="preserve">calcium release </w:t>
      </w:r>
      <w:r w:rsidR="000D26A6">
        <w:lastRenderedPageBreak/>
        <w:t>activated</w:t>
      </w:r>
      <w:r>
        <w:t xml:space="preserve"> channels</w:t>
      </w:r>
      <w:r w:rsidR="000D26A6">
        <w:t xml:space="preserve"> (CRACs)</w:t>
      </w:r>
      <w:r>
        <w:t xml:space="preserve">, homologous to TMH 3-6 of the CDF </w:t>
      </w:r>
      <w:r w:rsidR="00804232">
        <w:fldChar w:fldCharType="begin" w:fldLock="1"/>
      </w:r>
      <w:r w:rsidR="00A97363">
        <w:instrText>ADDIN CSL_CITATION {"citationItems":[{"id":"ITEM-1","itemData":{"DOI":"10.1186/1756-0500-3-158","ISSN":"1756-0500","abstract":"Antigen stimulation of immune cells triggers Ca2+ entry through Ca2+ release-activated Ca2+ (CRAC) channels, promoting an immune response to pathogens. Defects in a CRAC (Orai) channel in humans gives rise to the hereditary Severe Combined Immune Deficiency (SCID) syndrome. We here report results that define the evolutionary relationship of the CRAC channel proteins of animals, and the ubiquitous Cation Diffusion Facilitator (CDF) carrier proteins. CDF antiporters derived from a primordial 2 transmembrane spanner (TMS) hairpin structure by intragenic triplication to yield 6 TMS proteins. Four programs (IC/GAP, GGSEARCH, HMMER and SAM) were evaluated for identifying sequence similarity and establishing homology using statistical means. Overall, the order of sensitivity (similarity detection) was IC/GAP = GGSEARCH &gt; HMMER &gt; SAM, but the use of all four programs was superior to the use of any two or three of them. Members of the CDF family appeared to be homologous to members of the 4 TMS Orai channel proteins. CRAC channels derived from CDF carriers by loss of the first two TMSs of the latter. Based on statistical analyses with multiple programs, TMSs 3-6 in CDF carriers are homologous to TMSs 1-4 in CRAC channels, and the former was the precursor of the latter. This is an unusual example of how a functionally and structurally more complex protein may have predated a simpler one.","author":[{"dropping-particle":"","family":"Matias","given":"Madeleine G","non-dropping-particle":"","parse-names":false,"suffix":""},{"dropping-particle":"","family":"Gomolplitinant","given":"Kenny M","non-dropping-particle":"","parse-names":false,"suffix":""},{"dropping-particle":"","family":"Tamang","given":"Dorjee G","non-dropping-particle":"","parse-names":false,"suffix":""},{"dropping-particle":"","family":"Saier","given":"Milton H","non-dropping-particle":"","parse-names":false,"suffix":""}],"container-title":"BMC Research Notes","id":"ITEM-1","issue":"1","issued":{"date-parts":[["2010","12","3"]]},"page":"158","publisher":"BioMed Central","title":"Animal Ca2+ release-activated Ca2+ (CRAC) channels appear to be homologous to and derived from the ubiquitous cation diffusion facilitators","type":"article-journal","volume":"3"},"uris":["http://www.mendeley.com/documents/?uuid=3ab9fbe1-5c89-3f51-bc14-3822f23b0343"]}],"mendeley":{"formattedCitation":"[100]","plainTextFormattedCitation":"[100]","previouslyFormattedCitation":"[100]"},"properties":{"noteIndex":0},"schema":"https://github.com/citation-style-language/schema/raw/master/csl-citation.json"}</w:instrText>
      </w:r>
      <w:r w:rsidR="00804232">
        <w:fldChar w:fldCharType="separate"/>
      </w:r>
      <w:r w:rsidR="00BC6753" w:rsidRPr="00BC6753">
        <w:rPr>
          <w:noProof/>
        </w:rPr>
        <w:t>[100]</w:t>
      </w:r>
      <w:r w:rsidR="00804232">
        <w:fldChar w:fldCharType="end"/>
      </w:r>
      <w:r>
        <w:t xml:space="preserve">. Finally, an example from Usp fusions, the unfused </w:t>
      </w:r>
      <w:r>
        <w:rPr>
          <w:i/>
        </w:rPr>
        <w:t>Haloarcula marismortui</w:t>
      </w:r>
      <w:r>
        <w:t xml:space="preserve"> </w:t>
      </w:r>
      <w:r w:rsidRPr="002C6DA8">
        <w:t>ABT</w:t>
      </w:r>
      <w:r>
        <w:t xml:space="preserve"> transporter ‘Hma4’</w:t>
      </w:r>
      <w:r w:rsidR="00BD4728">
        <w:t>,</w:t>
      </w:r>
      <w:r>
        <w:t xml:space="preserve"> sits phylogenetically within a cluster of fused transporters</w:t>
      </w:r>
      <w:r w:rsidR="000214B6">
        <w:t xml:space="preserve"> </w:t>
      </w:r>
      <w:r w:rsidR="00804232">
        <w:fldChar w:fldCharType="begin" w:fldLock="1"/>
      </w:r>
      <w:r w:rsidR="00A97363">
        <w:instrText>ADDIN CSL_CITATION {"citationItems":[{"id":"ITEM-1","itemData":{"DOI":"10.1016/J.BBAMEM.2006.06.018","ISSN":"0005-2736","abstract":"“Extra” domains in members of the families of secondary transport carrier and channel proteins provide secondary functions that expand, amplify or restrict the functional nature of these proteins. Domains in secondary carriers include TrkA and SPX domains in DASS family members, DedA domains in TRAP-T family members (both of the IT superfamily), Kazal-2 and PDZ domains in OAT family members (of the MF superfamily), USP, IIAFru and TrkA domains in ABT family members (of the APC superfamily), ricin domains in OST family members, and TrkA domains in AAE family members. Some transporters contain highly hydrophilic domains consisting of multiple repeat units that can also be found in proteins of dissimilar function. Similarly, transmembrane α-helical channel-forming proteins contain unique, conserved, hydrophilic domains, most of which are not found in carriers. In some cases the functions of these domains are known. They may be ligand binding domains, phosphorylation domains, signal transduction domains, protein/protein interaction domains or complex carbohydrate-binding domains. These domains mediate regulation, subunit interactions, or subcellular targeting. Phylogenetic analyses show that while some of these domains are restricted to closely related proteins derived from specific organismal types, others are nearly ubiquitous within a particular family of transporters and occur in a tremendous diversity of organisms. The former probably became associated with the transporters late in the evolutionary process; the latter probably became associated with the carriers much earlier. These domains can be located at either end of the transporter or in a central region, depending on the domain and transporter family. These studies provide useful information about the evolution of extra domains in channels and secondary carriers and provide novel clues concerning function.","author":[{"dropping-particle":"","family":"Barabote","given":"Ravi D.","non-dropping-particle":"","parse-names":false,"suffix":""},{"dropping-particle":"","family":"Tamang","given":"Dorjee G.","non-dropping-particle":"","parse-names":false,"suffix":""},{"dropping-particle":"","family":"Abeywardena","given":"Shannon N.","non-dropping-particle":"","parse-names":false,"suffix":""},{"dropping-particle":"","family":"Fallah","given":"Neda S.","non-dropping-particle":"","parse-names":false,"suffix":""},{"dropping-particle":"","family":"Fu","given":"Jeffrey Yu Chung","non-dropping-particle":"","parse-names":false,"suffix":""},{"dropping-particle":"","family":"Lio","given":"Jeffrey K.","non-dropping-particle":"","parse-names":false,"suffix":""},{"dropping-particle":"","family":"Mirhosseini","given":"Pegah","non-dropping-particle":"","parse-names":false,"suffix":""},{"dropping-particle":"","family":"Pezeshk","given":"Ronnie","non-dropping-particle":"","parse-names":false,"suffix":""},{"dropping-particle":"","family":"Podell","given":"Sheila","non-dropping-particle":"","parse-names":false,"suffix":""},{"dropping-particle":"","family":"Salampessy","given":"Marnae L.","non-dropping-particle":"","parse-names":false,"suffix":""},{"dropping-particle":"","family":"Thever","given":"Mark D.","non-dropping-particle":"","parse-names":false,"suffix":""},{"dropping-particle":"","family":"Saier","given":"Milton H.","non-dropping-particle":"","parse-names":false,"suffix":""}],"container-title":"Biochimica et Biophysica Acta (BBA) - Biomembranes","id":"ITEM-1","issue":"10","issued":{"date-parts":[["2006","10","1"]]},"page":"1557-1579","publisher":"Elsevier","title":"Extra domains in secondary transport carriers and channel proteins","type":"article-journal","volume":"1758"},"uris":["http://www.mendeley.com/documents/?uuid=1700b144-7968-3e69-a7fe-85fe967ae60b"]}],"mendeley":{"formattedCitation":"[38]","plainTextFormattedCitation":"[38]","previouslyFormattedCitation":"[38]"},"properties":{"noteIndex":0},"schema":"https://github.com/citation-style-language/schema/raw/master/csl-citation.json"}</w:instrText>
      </w:r>
      <w:r w:rsidR="00804232">
        <w:fldChar w:fldCharType="separate"/>
      </w:r>
      <w:r w:rsidR="00BC6753" w:rsidRPr="00BC6753">
        <w:rPr>
          <w:noProof/>
        </w:rPr>
        <w:t>[38]</w:t>
      </w:r>
      <w:r w:rsidR="00804232">
        <w:fldChar w:fldCharType="end"/>
      </w:r>
      <w:r>
        <w:t>, suggesting that the encoding gene has undergone a fission event resulting in loss of the Usp</w:t>
      </w:r>
      <w:r w:rsidR="000F484B">
        <w:t xml:space="preserve"> </w:t>
      </w:r>
      <w:r>
        <w:t>domain.</w:t>
      </w:r>
    </w:p>
    <w:p w14:paraId="2FB17581" w14:textId="264917D7" w:rsidR="00650DC8" w:rsidRDefault="00E80212">
      <w:pPr>
        <w:pStyle w:val="Heading1"/>
        <w:rPr>
          <w:sz w:val="28"/>
          <w:szCs w:val="28"/>
        </w:rPr>
      </w:pPr>
      <w:bookmarkStart w:id="12" w:name="_l7qyms4kmeah" w:colFirst="0" w:colLast="0"/>
      <w:bookmarkEnd w:id="12"/>
      <w:r>
        <w:rPr>
          <w:sz w:val="28"/>
          <w:szCs w:val="28"/>
        </w:rPr>
        <w:t xml:space="preserve">Conclusions </w:t>
      </w:r>
    </w:p>
    <w:p w14:paraId="45F592A1" w14:textId="643B3A82" w:rsidR="00650DC8" w:rsidRPr="00127AAA" w:rsidRDefault="00E80212">
      <w:r>
        <w:t xml:space="preserve">We have seen that there are multiple clear examples of transporters and channels that during evolutionary history have acquired additional domains through recombination which have been selected for and maintained. Given that a random fusion of a soluble domain into an integral membrane protein will likely produce something non-functional, the persistence of these examples suggests that there are benefits to host fitness mediated through these fusions. </w:t>
      </w:r>
      <w:r w:rsidR="002C6DA8">
        <w:t xml:space="preserve">This could be through more efficient transporter by coupling directly to the enzyme working on the transported substrate, or having a regulatory domain that allows the cell to more fine-tune activity of a particular transporter, for example. </w:t>
      </w:r>
      <w:r>
        <w:t xml:space="preserve">However, there is little direct evidence to support this from controlled studies comparing fused to non-fused partners. One striking example was the discovery using experimental evolution in the bacterium </w:t>
      </w:r>
      <w:r>
        <w:rPr>
          <w:i/>
        </w:rPr>
        <w:t xml:space="preserve">Pseudomonas fluorescens </w:t>
      </w:r>
      <w:r>
        <w:t xml:space="preserve">strain SBW25 that a wrinkly-spreader phenotype evolved multiple times in different experiments from a range of deletions in an </w:t>
      </w:r>
      <w:r w:rsidRPr="00127AAA">
        <w:t>operon which resulted in a signalling protein now being directly fused to the integral membrane protein</w:t>
      </w:r>
      <w:r w:rsidR="000214B6" w:rsidRPr="00127AAA">
        <w:t xml:space="preserve"> </w:t>
      </w:r>
      <w:r w:rsidR="00804232" w:rsidRPr="00127AAA">
        <w:fldChar w:fldCharType="begin" w:fldLock="1"/>
      </w:r>
      <w:r w:rsidR="00A97363">
        <w:instrText>ADDIN CSL_CITATION {"citationItems":[{"id":"ITEM-1","itemData":{"DOI":"10.1038/s41559-017-0283-7","ISSN":"2397-334X","abstract":"Knowledge of adaptive processes encompasses understanding the emergence of new genes. Computational analyses of genomes suggest that new genes can arise by domain swapping; however, empirical evidence has been lacking. Here we describe a set of nine independent deletion mutations that arose during selection experiments with the bacterium Pseudomonas fluorescens in which the membrane-spanning domain of a fatty acid desaturase became translationally fused to a cytosolic di-guanylate cyclase, generating an adaptive ‘wrinkly spreader’ phenotype. Detailed genetic analysis of one gene fusion shows that the mutant phenotype is caused by relocalization of the di-guanylate cyclase domain to the cell membrane. The relative ease by which this new gene arose, along with its functional and regulatory effects, provides a glimpse of mutational events and their consequences that are likely to have a role in the evolution of new genes.","author":[{"dropping-particle":"","family":"Farr","given":"Andrew D.","non-dropping-particle":"","parse-names":false,"suffix":""},{"dropping-particle":"","family":"Remigi","given":"Philippe","non-dropping-particle":"","parse-names":false,"suffix":""},{"dropping-particle":"","family":"Rainey","given":"Paul B.","non-dropping-particle":"","parse-names":false,"suffix":""}],"container-title":"Nature Ecology &amp; Evolution","id":"ITEM-1","issue":"10","issued":{"date-parts":[["2017","10","28"]]},"page":"1562-1568","publisher":"Nature Publishing Group","title":"Adaptive evolution by spontaneous domain fusion and protein relocalization","type":"article-journal","volume":"1"},"uris":["http://www.mendeley.com/documents/?uuid=e238d8ee-6c71-3dca-a4c7-96b39953420c"]}],"mendeley":{"formattedCitation":"[101]","plainTextFormattedCitation":"[101]","previouslyFormattedCitation":"[101]"},"properties":{"noteIndex":0},"schema":"https://github.com/citation-style-language/schema/raw/master/csl-citation.json"}</w:instrText>
      </w:r>
      <w:r w:rsidR="00804232" w:rsidRPr="00127AAA">
        <w:fldChar w:fldCharType="separate"/>
      </w:r>
      <w:r w:rsidR="00BC6753" w:rsidRPr="00BC6753">
        <w:rPr>
          <w:noProof/>
        </w:rPr>
        <w:t>[101]</w:t>
      </w:r>
      <w:r w:rsidR="00804232" w:rsidRPr="00127AAA">
        <w:fldChar w:fldCharType="end"/>
      </w:r>
      <w:r w:rsidR="00127AAA" w:rsidRPr="00177C19">
        <w:t>*</w:t>
      </w:r>
      <w:r w:rsidR="00127AAA">
        <w:t>*</w:t>
      </w:r>
      <w:r w:rsidRPr="00127AAA">
        <w:t xml:space="preserve">. In this case the membrane protein was only required to sequester the signalling domain to the membrane and its own function was lost, but this beautiful experiment demonstrates a massive advantage of working with bacterial systems in that experimental approaches to study the evolution of gene function can be undertaken successfully. </w:t>
      </w:r>
      <w:r w:rsidR="000338CB">
        <w:t xml:space="preserve">From an evolutionary stand point it also highlights that while fusion to a membrane protein has been selected for in this work, It also highlight how it is easy to fuse to a membrane protein, but not in a way which retains its function. </w:t>
      </w:r>
    </w:p>
    <w:p w14:paraId="7907103D" w14:textId="0AC21BD2" w:rsidR="00650DC8" w:rsidRDefault="00E80212">
      <w:r w:rsidRPr="00127AAA">
        <w:t>There is still little hard experimental data on the rates of diffusion of membrane proteins and their soluble partners</w:t>
      </w:r>
      <w:r w:rsidR="00887482">
        <w:t>,</w:t>
      </w:r>
      <w:r w:rsidRPr="00127AAA">
        <w:t xml:space="preserve"> although in some cases it </w:t>
      </w:r>
      <w:r w:rsidR="00887482">
        <w:t>has been</w:t>
      </w:r>
      <w:r w:rsidR="00887482" w:rsidRPr="00127AAA">
        <w:t xml:space="preserve"> </w:t>
      </w:r>
      <w:r w:rsidRPr="00127AAA">
        <w:t>suggest</w:t>
      </w:r>
      <w:r w:rsidR="00887482">
        <w:t>ed</w:t>
      </w:r>
      <w:r w:rsidRPr="00127AAA">
        <w:t xml:space="preserve"> that diffusion is limiting, which would support a function for fusions</w:t>
      </w:r>
      <w:r w:rsidR="000214B6" w:rsidRPr="00127AAA">
        <w:t xml:space="preserve"> </w:t>
      </w:r>
      <w:r w:rsidR="00804232" w:rsidRPr="00127AAA">
        <w:fldChar w:fldCharType="begin" w:fldLock="1"/>
      </w:r>
      <w:r w:rsidR="00A97363">
        <w:instrText>ADDIN CSL_CITATION {"citationItems":[{"id":"ITEM-1","itemData":{"DOI":"10.3389/fmolb.2018.00093","ISSN":"2296-889X","PMID":"30483513","abstract":"That diffusion is important for the proper functioning of cells is without question. The extent to which the diffusion coefficient is important is explored here for prokaryotic cells. We discuss the principles of diffusion focusing on diffusion-limited reactions, summarize the known values for diffusion coefficients in prokaryotes and in in vitro model systems, and explain a number of cases where diffusion coefficients are either limiting for reaction rates or necessary for the existence of phenomena. We suggest a number of areas that need further study including expanding the range of organism growth temperatures, direct measurements of diffusion limitation, expanding the range of cell sizes, diffusion limitation for membrane proteins, and taking into account cellular context when assessing the possibility of diffusion limitation.","author":[{"dropping-particle":"","family":"Schavemaker","given":"Paul E","non-dropping-particle":"","parse-names":false,"suffix":""},{"dropping-particle":"","family":"Boersma","given":"Arnold J","non-dropping-particle":"","parse-names":false,"suffix":""},{"dropping-particle":"","family":"Poolman","given":"Bert","non-dropping-particle":"","parse-names":false,"suffix":""}],"container-title":"Frontiers in molecular biosciences","id":"ITEM-1","issued":{"date-parts":[["2018"]]},"page":"93","publisher":"Frontiers Media SA","title":"How Important Is Protein Diffusion in Prokaryotes?","type":"article-journal","volume":"5"},"uris":["http://www.mendeley.com/documents/?uuid=6f4bbc68-e2f6-3aec-9656-2ef273095f82"]}],"mendeley":{"formattedCitation":"[102]","plainTextFormattedCitation":"[102]","previouslyFormattedCitation":"[102]"},"properties":{"noteIndex":0},"schema":"https://github.com/citation-style-language/schema/raw/master/csl-citation.json"}</w:instrText>
      </w:r>
      <w:r w:rsidR="00804232" w:rsidRPr="00127AAA">
        <w:fldChar w:fldCharType="separate"/>
      </w:r>
      <w:r w:rsidR="00BC6753" w:rsidRPr="00BC6753">
        <w:rPr>
          <w:noProof/>
        </w:rPr>
        <w:t>[102]</w:t>
      </w:r>
      <w:r w:rsidR="00804232" w:rsidRPr="00127AAA">
        <w:fldChar w:fldCharType="end"/>
      </w:r>
      <w:r w:rsidR="00127AAA" w:rsidRPr="002B22B5">
        <w:t>*</w:t>
      </w:r>
      <w:r w:rsidR="000F053C" w:rsidRPr="00127AAA">
        <w:t>.</w:t>
      </w:r>
      <w:r w:rsidRPr="00127AAA">
        <w:t xml:space="preserve"> We have seen that regulatory domains appear to be the most common type of fusions, usually added to the C-t</w:t>
      </w:r>
      <w:r>
        <w:t>erminus of an existing functional transporter/channel that can over time allow the membrane protein domain to be regulated allosterically through small molecule binding to the regulatory domain.</w:t>
      </w:r>
      <w:r w:rsidR="00D23E2F">
        <w:t xml:space="preserve"> Perhaps there are common metabolic or physiological cues that these domains can sense that can be advantageous for </w:t>
      </w:r>
      <w:r w:rsidR="000F484B">
        <w:t xml:space="preserve">regulating the activity of </w:t>
      </w:r>
      <w:r w:rsidR="00D23E2F">
        <w:t xml:space="preserve">many </w:t>
      </w:r>
      <w:r w:rsidR="000F484B">
        <w:t xml:space="preserve">different transporter </w:t>
      </w:r>
      <w:r w:rsidR="00D23E2F">
        <w:t xml:space="preserve">proteins to ingrate intracellular signals into the allosteric regulation of transporter activity. </w:t>
      </w:r>
      <w:r>
        <w:t xml:space="preserve"> These examples appear to be more ancient and are core features of some ubiquitous channels. Examples of complete enzyme fusions are much rarer and both topological and stoichiometic reasons may strongly select against this occurring. </w:t>
      </w:r>
      <w:r w:rsidR="001B3DA5">
        <w:t>Finally, our review have pulled together as many known examples of fusion</w:t>
      </w:r>
      <w:r w:rsidR="007A415B">
        <w:t>s</w:t>
      </w:r>
      <w:r w:rsidR="001B3DA5">
        <w:t xml:space="preserve"> and fissions from mainly bacterial systems</w:t>
      </w:r>
      <w:r w:rsidR="007A415B">
        <w:t xml:space="preserve">; what is really needed now are </w:t>
      </w:r>
      <w:r w:rsidR="001B3DA5">
        <w:t xml:space="preserve">comprehensive genome-wide </w:t>
      </w:r>
      <w:r w:rsidR="007A415B">
        <w:t>surveys</w:t>
      </w:r>
      <w:r w:rsidR="001B3DA5">
        <w:t xml:space="preserve"> </w:t>
      </w:r>
      <w:r w:rsidR="007A415B">
        <w:t xml:space="preserve">of these events to assess their </w:t>
      </w:r>
      <w:r w:rsidR="001B3DA5">
        <w:t>evolutionary importan</w:t>
      </w:r>
      <w:r w:rsidR="007A415B">
        <w:t xml:space="preserve">ce and </w:t>
      </w:r>
      <w:r w:rsidR="001B3DA5">
        <w:t>diversity</w:t>
      </w:r>
      <w:r w:rsidR="007A415B">
        <w:t>. Also the few systems where fusions/fissions have occurred naturally need much deeper study to elucidate what benefit(s) they confers to the organisms and then how these rules could be used for designing novel artificial fusions for use in biotechnology.</w:t>
      </w:r>
      <w:r w:rsidR="001B3DA5">
        <w:t xml:space="preserve"> </w:t>
      </w:r>
    </w:p>
    <w:p w14:paraId="1F06E7A1" w14:textId="77777777" w:rsidR="00650DC8" w:rsidRDefault="00650DC8"/>
    <w:p w14:paraId="66F0BB84" w14:textId="21F3DA6D" w:rsidR="00650DC8" w:rsidRPr="00356ED7" w:rsidRDefault="00356ED7">
      <w:pPr>
        <w:rPr>
          <w:b/>
        </w:rPr>
      </w:pPr>
      <w:r w:rsidRPr="00356ED7">
        <w:rPr>
          <w:b/>
        </w:rPr>
        <w:t>Conflict of Interest</w:t>
      </w:r>
    </w:p>
    <w:p w14:paraId="230F3B00" w14:textId="773E1A42" w:rsidR="00356ED7" w:rsidRDefault="00356ED7">
      <w:r>
        <w:t>None declared</w:t>
      </w:r>
    </w:p>
    <w:p w14:paraId="24824206" w14:textId="1F42BE4E" w:rsidR="00356ED7" w:rsidRDefault="00356ED7"/>
    <w:p w14:paraId="5E8B871B" w14:textId="54D1C31E" w:rsidR="00356ED7" w:rsidRPr="00356ED7" w:rsidRDefault="00356ED7">
      <w:pPr>
        <w:rPr>
          <w:b/>
        </w:rPr>
      </w:pPr>
      <w:r w:rsidRPr="00356ED7">
        <w:rPr>
          <w:b/>
        </w:rPr>
        <w:t>Acknowledgements</w:t>
      </w:r>
    </w:p>
    <w:p w14:paraId="0A653006" w14:textId="78DA6F02" w:rsidR="00356ED7" w:rsidRDefault="00356ED7">
      <w:r>
        <w:t>We acknowledge BBSRC for funding to Benjamin Willson (</w:t>
      </w:r>
      <w:r w:rsidRPr="00356ED7">
        <w:t>BB/N01040X/1</w:t>
      </w:r>
      <w:r>
        <w:t>) for Project DeTOX and also BBSRC for funding Liam Chapman funded through the White Rose DTP studentship (</w:t>
      </w:r>
      <w:r w:rsidRPr="00356ED7">
        <w:t>BB/M011151/1</w:t>
      </w:r>
      <w:r>
        <w:t xml:space="preserve">). </w:t>
      </w:r>
    </w:p>
    <w:p w14:paraId="32059592" w14:textId="77777777" w:rsidR="00BD4728" w:rsidRPr="000F484B" w:rsidRDefault="00BD4728" w:rsidP="00BC6753">
      <w:pPr>
        <w:widowControl w:val="0"/>
        <w:autoSpaceDE w:val="0"/>
        <w:autoSpaceDN w:val="0"/>
        <w:adjustRightInd w:val="0"/>
        <w:spacing w:line="240" w:lineRule="auto"/>
        <w:ind w:left="640" w:hanging="640"/>
        <w:rPr>
          <w:b/>
        </w:rPr>
      </w:pPr>
      <w:r w:rsidRPr="000F484B">
        <w:rPr>
          <w:b/>
        </w:rPr>
        <w:t>References</w:t>
      </w:r>
    </w:p>
    <w:p w14:paraId="6C1D4A06" w14:textId="4691312A" w:rsidR="00A97363" w:rsidRPr="00A97363" w:rsidRDefault="00846D0E" w:rsidP="00A97363">
      <w:pPr>
        <w:widowControl w:val="0"/>
        <w:autoSpaceDE w:val="0"/>
        <w:autoSpaceDN w:val="0"/>
        <w:adjustRightInd w:val="0"/>
        <w:spacing w:line="240" w:lineRule="auto"/>
        <w:ind w:left="640" w:hanging="640"/>
        <w:rPr>
          <w:noProof/>
          <w:szCs w:val="24"/>
        </w:rPr>
      </w:pPr>
      <w:r>
        <w:fldChar w:fldCharType="begin" w:fldLock="1"/>
      </w:r>
      <w:r>
        <w:instrText xml:space="preserve">ADDIN Mendeley Bibliography CSL_BIBLIOGRAPHY </w:instrText>
      </w:r>
      <w:r>
        <w:fldChar w:fldCharType="separate"/>
      </w:r>
      <w:r w:rsidR="00A97363" w:rsidRPr="00A97363">
        <w:rPr>
          <w:noProof/>
          <w:szCs w:val="24"/>
        </w:rPr>
        <w:t xml:space="preserve">1. </w:t>
      </w:r>
      <w:r w:rsidR="00A97363" w:rsidRPr="00A97363">
        <w:rPr>
          <w:noProof/>
          <w:szCs w:val="24"/>
        </w:rPr>
        <w:tab/>
        <w:t xml:space="preserve">Ochman H, Lawrence JG, Groisman EA: </w:t>
      </w:r>
      <w:r w:rsidR="00A97363" w:rsidRPr="00A97363">
        <w:rPr>
          <w:b/>
          <w:bCs/>
          <w:noProof/>
          <w:szCs w:val="24"/>
        </w:rPr>
        <w:t>Lateral gene transfer and the nature of bacterial innovation</w:t>
      </w:r>
      <w:r w:rsidR="00A97363" w:rsidRPr="00A97363">
        <w:rPr>
          <w:noProof/>
          <w:szCs w:val="24"/>
        </w:rPr>
        <w:t xml:space="preserve">. </w:t>
      </w:r>
      <w:r w:rsidR="00A97363" w:rsidRPr="00A97363">
        <w:rPr>
          <w:i/>
          <w:iCs/>
          <w:noProof/>
          <w:szCs w:val="24"/>
        </w:rPr>
        <w:t>Nature</w:t>
      </w:r>
      <w:r w:rsidR="00A97363" w:rsidRPr="00A97363">
        <w:rPr>
          <w:noProof/>
          <w:szCs w:val="24"/>
        </w:rPr>
        <w:t xml:space="preserve"> 2000, </w:t>
      </w:r>
      <w:r w:rsidR="00A97363" w:rsidRPr="00A97363">
        <w:rPr>
          <w:b/>
          <w:bCs/>
          <w:noProof/>
          <w:szCs w:val="24"/>
        </w:rPr>
        <w:t>405</w:t>
      </w:r>
      <w:r w:rsidR="00A97363" w:rsidRPr="00A97363">
        <w:rPr>
          <w:noProof/>
          <w:szCs w:val="24"/>
        </w:rPr>
        <w:t>:299–304.</w:t>
      </w:r>
    </w:p>
    <w:p w14:paraId="3AADB174"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2. </w:t>
      </w:r>
      <w:r w:rsidRPr="00A97363">
        <w:rPr>
          <w:noProof/>
          <w:szCs w:val="24"/>
        </w:rPr>
        <w:tab/>
        <w:t xml:space="preserve">Koonin E V., Wolf YI: </w:t>
      </w:r>
      <w:r w:rsidRPr="00A97363">
        <w:rPr>
          <w:b/>
          <w:bCs/>
          <w:noProof/>
          <w:szCs w:val="24"/>
        </w:rPr>
        <w:t>Genomics of bacteria and archaea: the emerging dynamic view of the prokaryotic world</w:t>
      </w:r>
      <w:r w:rsidRPr="00A97363">
        <w:rPr>
          <w:noProof/>
          <w:szCs w:val="24"/>
        </w:rPr>
        <w:t xml:space="preserve">. </w:t>
      </w:r>
      <w:r w:rsidRPr="00A97363">
        <w:rPr>
          <w:i/>
          <w:iCs/>
          <w:noProof/>
          <w:szCs w:val="24"/>
        </w:rPr>
        <w:t>Nucleic Acids Res</w:t>
      </w:r>
      <w:r w:rsidRPr="00A97363">
        <w:rPr>
          <w:noProof/>
          <w:szCs w:val="24"/>
        </w:rPr>
        <w:t xml:space="preserve"> 2008, </w:t>
      </w:r>
      <w:r w:rsidRPr="00A97363">
        <w:rPr>
          <w:b/>
          <w:bCs/>
          <w:noProof/>
          <w:szCs w:val="24"/>
        </w:rPr>
        <w:t>36</w:t>
      </w:r>
      <w:r w:rsidRPr="00A97363">
        <w:rPr>
          <w:noProof/>
          <w:szCs w:val="24"/>
        </w:rPr>
        <w:t>:6688–6719.</w:t>
      </w:r>
    </w:p>
    <w:p w14:paraId="347D90EC"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3. </w:t>
      </w:r>
      <w:r w:rsidRPr="00A97363">
        <w:rPr>
          <w:noProof/>
          <w:szCs w:val="24"/>
        </w:rPr>
        <w:tab/>
        <w:t xml:space="preserve">Almagro-Moreno S, Boyd EF: </w:t>
      </w:r>
      <w:r w:rsidRPr="00A97363">
        <w:rPr>
          <w:b/>
          <w:bCs/>
          <w:noProof/>
          <w:szCs w:val="24"/>
        </w:rPr>
        <w:t>Insights into the evolution of sialic acid catabolism among bacteria</w:t>
      </w:r>
      <w:r w:rsidRPr="00A97363">
        <w:rPr>
          <w:noProof/>
          <w:szCs w:val="24"/>
        </w:rPr>
        <w:t xml:space="preserve">. </w:t>
      </w:r>
      <w:r w:rsidRPr="00A97363">
        <w:rPr>
          <w:i/>
          <w:iCs/>
          <w:noProof/>
          <w:szCs w:val="24"/>
        </w:rPr>
        <w:t>BMC Evol Biol</w:t>
      </w:r>
      <w:r w:rsidRPr="00A97363">
        <w:rPr>
          <w:noProof/>
          <w:szCs w:val="24"/>
        </w:rPr>
        <w:t xml:space="preserve"> 2009, </w:t>
      </w:r>
      <w:r w:rsidRPr="00A97363">
        <w:rPr>
          <w:b/>
          <w:bCs/>
          <w:noProof/>
          <w:szCs w:val="24"/>
        </w:rPr>
        <w:t>9</w:t>
      </w:r>
      <w:r w:rsidRPr="00A97363">
        <w:rPr>
          <w:noProof/>
          <w:szCs w:val="24"/>
        </w:rPr>
        <w:t>:118.</w:t>
      </w:r>
    </w:p>
    <w:p w14:paraId="502D8925"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4. </w:t>
      </w:r>
      <w:r w:rsidRPr="00A97363">
        <w:rPr>
          <w:noProof/>
          <w:szCs w:val="24"/>
        </w:rPr>
        <w:tab/>
        <w:t xml:space="preserve">Thomas GH: </w:t>
      </w:r>
      <w:r w:rsidRPr="00A97363">
        <w:rPr>
          <w:b/>
          <w:bCs/>
          <w:noProof/>
          <w:szCs w:val="24"/>
        </w:rPr>
        <w:t>Sialic acid acquisition in bacteria-one substrate, many transporters</w:t>
      </w:r>
      <w:r w:rsidRPr="00A97363">
        <w:rPr>
          <w:noProof/>
          <w:szCs w:val="24"/>
        </w:rPr>
        <w:t xml:space="preserve">. </w:t>
      </w:r>
      <w:r w:rsidRPr="00A97363">
        <w:rPr>
          <w:i/>
          <w:iCs/>
          <w:noProof/>
          <w:szCs w:val="24"/>
        </w:rPr>
        <w:t>Biochem Soc Trans</w:t>
      </w:r>
      <w:r w:rsidRPr="00A97363">
        <w:rPr>
          <w:noProof/>
          <w:szCs w:val="24"/>
        </w:rPr>
        <w:t xml:space="preserve"> 2016, </w:t>
      </w:r>
      <w:r w:rsidRPr="00A97363">
        <w:rPr>
          <w:b/>
          <w:bCs/>
          <w:noProof/>
          <w:szCs w:val="24"/>
        </w:rPr>
        <w:t>44</w:t>
      </w:r>
      <w:r w:rsidRPr="00A97363">
        <w:rPr>
          <w:noProof/>
          <w:szCs w:val="24"/>
        </w:rPr>
        <w:t>:760–765.</w:t>
      </w:r>
    </w:p>
    <w:p w14:paraId="7DF3415B"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5. </w:t>
      </w:r>
      <w:r w:rsidRPr="00A97363">
        <w:rPr>
          <w:noProof/>
          <w:szCs w:val="24"/>
        </w:rPr>
        <w:tab/>
        <w:t xml:space="preserve">Milner DS, Attah V, Cook E, Maguire F, Savory FR, Morrison M, Müller CA, Foster PG, Talbot NJ, Leonard G, et al.: </w:t>
      </w:r>
      <w:r w:rsidRPr="00A97363">
        <w:rPr>
          <w:b/>
          <w:bCs/>
          <w:noProof/>
          <w:szCs w:val="24"/>
        </w:rPr>
        <w:t>Environment-dependent fitness gains can be driven by horizontal gene transfer of transporter-encoding genes</w:t>
      </w:r>
      <w:r w:rsidRPr="00A97363">
        <w:rPr>
          <w:noProof/>
          <w:szCs w:val="24"/>
        </w:rPr>
        <w:t xml:space="preserve">. </w:t>
      </w:r>
      <w:r w:rsidRPr="00A97363">
        <w:rPr>
          <w:i/>
          <w:iCs/>
          <w:noProof/>
          <w:szCs w:val="24"/>
        </w:rPr>
        <w:t>Proc Natl Acad Sci</w:t>
      </w:r>
      <w:r w:rsidRPr="00A97363">
        <w:rPr>
          <w:noProof/>
          <w:szCs w:val="24"/>
        </w:rPr>
        <w:t xml:space="preserve"> 2019, </w:t>
      </w:r>
      <w:r w:rsidRPr="00A97363">
        <w:rPr>
          <w:b/>
          <w:bCs/>
          <w:noProof/>
          <w:szCs w:val="24"/>
        </w:rPr>
        <w:t>116</w:t>
      </w:r>
      <w:r w:rsidRPr="00A97363">
        <w:rPr>
          <w:noProof/>
          <w:szCs w:val="24"/>
        </w:rPr>
        <w:t>:5613–5622.</w:t>
      </w:r>
    </w:p>
    <w:p w14:paraId="781F35FE"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6. </w:t>
      </w:r>
      <w:r w:rsidRPr="00A97363">
        <w:rPr>
          <w:noProof/>
          <w:szCs w:val="24"/>
        </w:rPr>
        <w:tab/>
        <w:t xml:space="preserve">Savory FR, Milner DS, Miles DC, Richards TA: </w:t>
      </w:r>
      <w:r w:rsidRPr="00A97363">
        <w:rPr>
          <w:b/>
          <w:bCs/>
          <w:noProof/>
          <w:szCs w:val="24"/>
        </w:rPr>
        <w:t>Ancestral Function and Diversification of a Horizontally Acquired Oomycete Carboxylic Acid Transporter</w:t>
      </w:r>
      <w:r w:rsidRPr="00A97363">
        <w:rPr>
          <w:noProof/>
          <w:szCs w:val="24"/>
        </w:rPr>
        <w:t xml:space="preserve">. </w:t>
      </w:r>
      <w:r w:rsidRPr="00A97363">
        <w:rPr>
          <w:i/>
          <w:iCs/>
          <w:noProof/>
          <w:szCs w:val="24"/>
        </w:rPr>
        <w:t>Mol Biol Evol</w:t>
      </w:r>
      <w:r w:rsidRPr="00A97363">
        <w:rPr>
          <w:noProof/>
          <w:szCs w:val="24"/>
        </w:rPr>
        <w:t xml:space="preserve"> 2018, </w:t>
      </w:r>
      <w:r w:rsidRPr="00A97363">
        <w:rPr>
          <w:b/>
          <w:bCs/>
          <w:noProof/>
          <w:szCs w:val="24"/>
        </w:rPr>
        <w:t>35</w:t>
      </w:r>
      <w:r w:rsidRPr="00A97363">
        <w:rPr>
          <w:noProof/>
          <w:szCs w:val="24"/>
        </w:rPr>
        <w:t>:1887–1900.</w:t>
      </w:r>
    </w:p>
    <w:p w14:paraId="60674DE1"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7. </w:t>
      </w:r>
      <w:r w:rsidRPr="00A97363">
        <w:rPr>
          <w:noProof/>
          <w:szCs w:val="24"/>
        </w:rPr>
        <w:tab/>
        <w:t xml:space="preserve">Marsit S, Sanchez I, Galeote V, Dequin S: </w:t>
      </w:r>
      <w:r w:rsidRPr="00A97363">
        <w:rPr>
          <w:b/>
          <w:bCs/>
          <w:noProof/>
          <w:szCs w:val="24"/>
        </w:rPr>
        <w:t xml:space="preserve">Horizontally acquired oligopeptide transporters favour adaptation of </w:t>
      </w:r>
      <w:r w:rsidRPr="00A97363">
        <w:rPr>
          <w:b/>
          <w:bCs/>
          <w:i/>
          <w:iCs/>
          <w:noProof/>
          <w:szCs w:val="24"/>
        </w:rPr>
        <w:t>Saccharomyces cerevisiae</w:t>
      </w:r>
      <w:r w:rsidRPr="00A97363">
        <w:rPr>
          <w:b/>
          <w:bCs/>
          <w:noProof/>
          <w:szCs w:val="24"/>
        </w:rPr>
        <w:t xml:space="preserve"> wine yeast to oenological environment</w:t>
      </w:r>
      <w:r w:rsidRPr="00A97363">
        <w:rPr>
          <w:noProof/>
          <w:szCs w:val="24"/>
        </w:rPr>
        <w:t xml:space="preserve">. </w:t>
      </w:r>
      <w:r w:rsidRPr="00A97363">
        <w:rPr>
          <w:i/>
          <w:iCs/>
          <w:noProof/>
          <w:szCs w:val="24"/>
        </w:rPr>
        <w:t>Environ Microbiol</w:t>
      </w:r>
      <w:r w:rsidRPr="00A97363">
        <w:rPr>
          <w:noProof/>
          <w:szCs w:val="24"/>
        </w:rPr>
        <w:t xml:space="preserve"> 2016, </w:t>
      </w:r>
      <w:r w:rsidRPr="00A97363">
        <w:rPr>
          <w:b/>
          <w:bCs/>
          <w:noProof/>
          <w:szCs w:val="24"/>
        </w:rPr>
        <w:t>18</w:t>
      </w:r>
      <w:r w:rsidRPr="00A97363">
        <w:rPr>
          <w:noProof/>
          <w:szCs w:val="24"/>
        </w:rPr>
        <w:t>:1148–1161.</w:t>
      </w:r>
    </w:p>
    <w:p w14:paraId="76238D46"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8. </w:t>
      </w:r>
      <w:r w:rsidRPr="00A97363">
        <w:rPr>
          <w:noProof/>
          <w:szCs w:val="24"/>
        </w:rPr>
        <w:tab/>
        <w:t xml:space="preserve">Schönknecht G, Chen W-H, Ternes CM, Barbier GG, Shrestha RP, Stanke M, Bräutigam A, Baker BJ, Banfield JF, Garavito RM, et al.: </w:t>
      </w:r>
      <w:r w:rsidRPr="00A97363">
        <w:rPr>
          <w:b/>
          <w:bCs/>
          <w:noProof/>
          <w:szCs w:val="24"/>
        </w:rPr>
        <w:t>Gene transfer from bacteria and archaea facilitated evolution of an extremophilic eukaryote.</w:t>
      </w:r>
      <w:r w:rsidRPr="00A97363">
        <w:rPr>
          <w:noProof/>
          <w:szCs w:val="24"/>
        </w:rPr>
        <w:t xml:space="preserve"> </w:t>
      </w:r>
      <w:r w:rsidRPr="00A97363">
        <w:rPr>
          <w:i/>
          <w:iCs/>
          <w:noProof/>
          <w:szCs w:val="24"/>
        </w:rPr>
        <w:t>Science</w:t>
      </w:r>
      <w:r w:rsidRPr="00A97363">
        <w:rPr>
          <w:noProof/>
          <w:szCs w:val="24"/>
        </w:rPr>
        <w:t xml:space="preserve"> 2013, </w:t>
      </w:r>
      <w:r w:rsidRPr="00A97363">
        <w:rPr>
          <w:b/>
          <w:bCs/>
          <w:noProof/>
          <w:szCs w:val="24"/>
        </w:rPr>
        <w:t>339</w:t>
      </w:r>
      <w:r w:rsidRPr="00A97363">
        <w:rPr>
          <w:noProof/>
          <w:szCs w:val="24"/>
        </w:rPr>
        <w:t>:1207–10.</w:t>
      </w:r>
    </w:p>
    <w:p w14:paraId="4CEF9CC8"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9. </w:t>
      </w:r>
      <w:r w:rsidRPr="00A97363">
        <w:rPr>
          <w:noProof/>
          <w:szCs w:val="24"/>
        </w:rPr>
        <w:tab/>
        <w:t xml:space="preserve">Pasek S, Risler J-L, Brezellec P: </w:t>
      </w:r>
      <w:r w:rsidRPr="00A97363">
        <w:rPr>
          <w:b/>
          <w:bCs/>
          <w:noProof/>
          <w:szCs w:val="24"/>
        </w:rPr>
        <w:t>Gene fusion/fission is a major contributor to evolution of multi-domain bacterial proteins</w:t>
      </w:r>
      <w:r w:rsidRPr="00A97363">
        <w:rPr>
          <w:noProof/>
          <w:szCs w:val="24"/>
        </w:rPr>
        <w:t xml:space="preserve">. </w:t>
      </w:r>
      <w:r w:rsidRPr="00A97363">
        <w:rPr>
          <w:i/>
          <w:iCs/>
          <w:noProof/>
          <w:szCs w:val="24"/>
        </w:rPr>
        <w:t>Bioinformatics</w:t>
      </w:r>
      <w:r w:rsidRPr="00A97363">
        <w:rPr>
          <w:noProof/>
          <w:szCs w:val="24"/>
        </w:rPr>
        <w:t xml:space="preserve"> 2006, </w:t>
      </w:r>
      <w:r w:rsidRPr="00A97363">
        <w:rPr>
          <w:b/>
          <w:bCs/>
          <w:noProof/>
          <w:szCs w:val="24"/>
        </w:rPr>
        <w:t>22</w:t>
      </w:r>
      <w:r w:rsidRPr="00A97363">
        <w:rPr>
          <w:noProof/>
          <w:szCs w:val="24"/>
        </w:rPr>
        <w:t>:1418–1423.</w:t>
      </w:r>
    </w:p>
    <w:p w14:paraId="1F5E834B"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10. </w:t>
      </w:r>
      <w:r w:rsidRPr="00A97363">
        <w:rPr>
          <w:noProof/>
          <w:szCs w:val="24"/>
        </w:rPr>
        <w:tab/>
        <w:t xml:space="preserve">Doolittle RF: </w:t>
      </w:r>
      <w:r w:rsidRPr="00A97363">
        <w:rPr>
          <w:b/>
          <w:bCs/>
          <w:noProof/>
          <w:szCs w:val="24"/>
        </w:rPr>
        <w:t>The Multiplicity of Domains in Proteins</w:t>
      </w:r>
      <w:r w:rsidRPr="00A97363">
        <w:rPr>
          <w:noProof/>
          <w:szCs w:val="24"/>
        </w:rPr>
        <w:t xml:space="preserve">. </w:t>
      </w:r>
      <w:r w:rsidRPr="00A97363">
        <w:rPr>
          <w:i/>
          <w:iCs/>
          <w:noProof/>
          <w:szCs w:val="24"/>
        </w:rPr>
        <w:t>Annu Rev Biochem</w:t>
      </w:r>
      <w:r w:rsidRPr="00A97363">
        <w:rPr>
          <w:noProof/>
          <w:szCs w:val="24"/>
        </w:rPr>
        <w:t xml:space="preserve"> 1995, </w:t>
      </w:r>
      <w:r w:rsidRPr="00A97363">
        <w:rPr>
          <w:b/>
          <w:bCs/>
          <w:noProof/>
          <w:szCs w:val="24"/>
        </w:rPr>
        <w:t>64</w:t>
      </w:r>
      <w:r w:rsidRPr="00A97363">
        <w:rPr>
          <w:noProof/>
          <w:szCs w:val="24"/>
        </w:rPr>
        <w:t>:287–314.</w:t>
      </w:r>
    </w:p>
    <w:p w14:paraId="07DF9789"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11. </w:t>
      </w:r>
      <w:r w:rsidRPr="00A97363">
        <w:rPr>
          <w:noProof/>
          <w:szCs w:val="24"/>
        </w:rPr>
        <w:tab/>
        <w:t xml:space="preserve">Saier MH: </w:t>
      </w:r>
      <w:r w:rsidRPr="00A97363">
        <w:rPr>
          <w:b/>
          <w:bCs/>
          <w:noProof/>
          <w:szCs w:val="24"/>
        </w:rPr>
        <w:t>Tracing pathways of transport protein evolution</w:t>
      </w:r>
      <w:r w:rsidRPr="00A97363">
        <w:rPr>
          <w:noProof/>
          <w:szCs w:val="24"/>
        </w:rPr>
        <w:t xml:space="preserve">. </w:t>
      </w:r>
      <w:r w:rsidRPr="00A97363">
        <w:rPr>
          <w:i/>
          <w:iCs/>
          <w:noProof/>
          <w:szCs w:val="24"/>
        </w:rPr>
        <w:t>Mol Microbiol</w:t>
      </w:r>
      <w:r w:rsidRPr="00A97363">
        <w:rPr>
          <w:noProof/>
          <w:szCs w:val="24"/>
        </w:rPr>
        <w:t xml:space="preserve"> 2003, </w:t>
      </w:r>
      <w:r w:rsidRPr="00A97363">
        <w:rPr>
          <w:b/>
          <w:bCs/>
          <w:noProof/>
          <w:szCs w:val="24"/>
        </w:rPr>
        <w:t>48</w:t>
      </w:r>
      <w:r w:rsidRPr="00A97363">
        <w:rPr>
          <w:noProof/>
          <w:szCs w:val="24"/>
        </w:rPr>
        <w:t>:1145–1156.</w:t>
      </w:r>
    </w:p>
    <w:p w14:paraId="27C51A98"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12. </w:t>
      </w:r>
      <w:r w:rsidRPr="00A97363">
        <w:rPr>
          <w:noProof/>
          <w:szCs w:val="24"/>
        </w:rPr>
        <w:tab/>
        <w:t xml:space="preserve">Saier MH: </w:t>
      </w:r>
      <w:r w:rsidRPr="00A97363">
        <w:rPr>
          <w:b/>
          <w:bCs/>
          <w:noProof/>
          <w:szCs w:val="24"/>
        </w:rPr>
        <w:t>Transport protein evolution deduced from analysis of sequence, topology and structure</w:t>
      </w:r>
      <w:r w:rsidRPr="00A97363">
        <w:rPr>
          <w:noProof/>
          <w:szCs w:val="24"/>
        </w:rPr>
        <w:t xml:space="preserve">. </w:t>
      </w:r>
      <w:r w:rsidRPr="00A97363">
        <w:rPr>
          <w:i/>
          <w:iCs/>
          <w:noProof/>
          <w:szCs w:val="24"/>
        </w:rPr>
        <w:t>Curr Opin Struct Biol</w:t>
      </w:r>
      <w:r w:rsidRPr="00A97363">
        <w:rPr>
          <w:noProof/>
          <w:szCs w:val="24"/>
        </w:rPr>
        <w:t xml:space="preserve"> 2016, </w:t>
      </w:r>
      <w:r w:rsidRPr="00A97363">
        <w:rPr>
          <w:b/>
          <w:bCs/>
          <w:noProof/>
          <w:szCs w:val="24"/>
        </w:rPr>
        <w:t>38</w:t>
      </w:r>
      <w:r w:rsidRPr="00A97363">
        <w:rPr>
          <w:noProof/>
          <w:szCs w:val="24"/>
        </w:rPr>
        <w:t>:9–17.</w:t>
      </w:r>
    </w:p>
    <w:p w14:paraId="4F99F90F"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13. </w:t>
      </w:r>
      <w:r w:rsidRPr="00A97363">
        <w:rPr>
          <w:noProof/>
          <w:szCs w:val="24"/>
        </w:rPr>
        <w:tab/>
        <w:t xml:space="preserve">Forrest LR: </w:t>
      </w:r>
      <w:r w:rsidRPr="00A97363">
        <w:rPr>
          <w:b/>
          <w:bCs/>
          <w:noProof/>
          <w:szCs w:val="24"/>
        </w:rPr>
        <w:t>Structural Symmetry in Membrane Proteins.</w:t>
      </w:r>
      <w:r w:rsidRPr="00A97363">
        <w:rPr>
          <w:noProof/>
          <w:szCs w:val="24"/>
        </w:rPr>
        <w:t xml:space="preserve"> </w:t>
      </w:r>
      <w:r w:rsidRPr="00A97363">
        <w:rPr>
          <w:i/>
          <w:iCs/>
          <w:noProof/>
          <w:szCs w:val="24"/>
        </w:rPr>
        <w:t>Annu Rev Biophys</w:t>
      </w:r>
      <w:r w:rsidRPr="00A97363">
        <w:rPr>
          <w:noProof/>
          <w:szCs w:val="24"/>
        </w:rPr>
        <w:t xml:space="preserve"> 2015, </w:t>
      </w:r>
      <w:r w:rsidRPr="00A97363">
        <w:rPr>
          <w:b/>
          <w:bCs/>
          <w:noProof/>
          <w:szCs w:val="24"/>
        </w:rPr>
        <w:t>44</w:t>
      </w:r>
      <w:r w:rsidRPr="00A97363">
        <w:rPr>
          <w:noProof/>
          <w:szCs w:val="24"/>
        </w:rPr>
        <w:t>:311–37.</w:t>
      </w:r>
    </w:p>
    <w:p w14:paraId="60F484FF"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14. </w:t>
      </w:r>
      <w:r w:rsidRPr="00A97363">
        <w:rPr>
          <w:noProof/>
          <w:szCs w:val="24"/>
        </w:rPr>
        <w:tab/>
        <w:t xml:space="preserve">Bay DC, Turner RJ: </w:t>
      </w:r>
      <w:r w:rsidRPr="00A97363">
        <w:rPr>
          <w:b/>
          <w:bCs/>
          <w:noProof/>
          <w:szCs w:val="24"/>
        </w:rPr>
        <w:t>Diversity and evolution of the small multidrug resistance protein family</w:t>
      </w:r>
      <w:r w:rsidRPr="00A97363">
        <w:rPr>
          <w:noProof/>
          <w:szCs w:val="24"/>
        </w:rPr>
        <w:t xml:space="preserve">. </w:t>
      </w:r>
      <w:r w:rsidRPr="00A97363">
        <w:rPr>
          <w:i/>
          <w:iCs/>
          <w:noProof/>
          <w:szCs w:val="24"/>
        </w:rPr>
        <w:t>BMC Evol Biol</w:t>
      </w:r>
      <w:r w:rsidRPr="00A97363">
        <w:rPr>
          <w:noProof/>
          <w:szCs w:val="24"/>
        </w:rPr>
        <w:t xml:space="preserve"> 2009, </w:t>
      </w:r>
      <w:r w:rsidRPr="00A97363">
        <w:rPr>
          <w:b/>
          <w:bCs/>
          <w:noProof/>
          <w:szCs w:val="24"/>
        </w:rPr>
        <w:t>9</w:t>
      </w:r>
      <w:r w:rsidRPr="00A97363">
        <w:rPr>
          <w:noProof/>
          <w:szCs w:val="24"/>
        </w:rPr>
        <w:t>:140.</w:t>
      </w:r>
    </w:p>
    <w:p w14:paraId="1F9F0E98"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15. </w:t>
      </w:r>
      <w:r w:rsidRPr="00A97363">
        <w:rPr>
          <w:noProof/>
          <w:szCs w:val="24"/>
        </w:rPr>
        <w:tab/>
        <w:t xml:space="preserve">Hassan KA, Liu Q, Elbourne LDH, Ahmad I, Sharples D, Naidu V, Chan CL, Li L, Harborne SPD, Pokhrel A, et al.: </w:t>
      </w:r>
      <w:r w:rsidRPr="00A97363">
        <w:rPr>
          <w:b/>
          <w:bCs/>
          <w:noProof/>
          <w:szCs w:val="24"/>
        </w:rPr>
        <w:t>Pacing across the membrane: the novel PACE family of efflux pumps is widespread in Gram-negative pathogens.</w:t>
      </w:r>
      <w:r w:rsidRPr="00A97363">
        <w:rPr>
          <w:noProof/>
          <w:szCs w:val="24"/>
        </w:rPr>
        <w:t xml:space="preserve"> </w:t>
      </w:r>
      <w:r w:rsidRPr="00A97363">
        <w:rPr>
          <w:i/>
          <w:iCs/>
          <w:noProof/>
          <w:szCs w:val="24"/>
        </w:rPr>
        <w:t>Res Microbiol</w:t>
      </w:r>
      <w:r w:rsidRPr="00A97363">
        <w:rPr>
          <w:noProof/>
          <w:szCs w:val="24"/>
        </w:rPr>
        <w:t xml:space="preserve"> 2018, </w:t>
      </w:r>
      <w:r w:rsidRPr="00A97363">
        <w:rPr>
          <w:b/>
          <w:bCs/>
          <w:noProof/>
          <w:szCs w:val="24"/>
        </w:rPr>
        <w:t>169</w:t>
      </w:r>
      <w:r w:rsidRPr="00A97363">
        <w:rPr>
          <w:noProof/>
          <w:szCs w:val="24"/>
        </w:rPr>
        <w:t>:450–454.</w:t>
      </w:r>
    </w:p>
    <w:p w14:paraId="33FF9C89"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16. </w:t>
      </w:r>
      <w:r w:rsidRPr="00A97363">
        <w:rPr>
          <w:noProof/>
          <w:szCs w:val="24"/>
        </w:rPr>
        <w:tab/>
        <w:t xml:space="preserve">Drew DE, von Heijne G, Nordlund P, de Gier J-WL: </w:t>
      </w:r>
      <w:r w:rsidRPr="00A97363">
        <w:rPr>
          <w:b/>
          <w:bCs/>
          <w:noProof/>
          <w:szCs w:val="24"/>
        </w:rPr>
        <w:t xml:space="preserve">Green fluorescent protein as an indicator to monitor membrane protein overexpression in </w:t>
      </w:r>
      <w:r w:rsidRPr="00A97363">
        <w:rPr>
          <w:b/>
          <w:bCs/>
          <w:i/>
          <w:iCs/>
          <w:noProof/>
          <w:szCs w:val="24"/>
        </w:rPr>
        <w:t>Escherichia coli</w:t>
      </w:r>
      <w:r w:rsidRPr="00A97363">
        <w:rPr>
          <w:noProof/>
          <w:szCs w:val="24"/>
        </w:rPr>
        <w:t xml:space="preserve">. </w:t>
      </w:r>
      <w:r w:rsidRPr="00A97363">
        <w:rPr>
          <w:i/>
          <w:iCs/>
          <w:noProof/>
          <w:szCs w:val="24"/>
        </w:rPr>
        <w:t>FEBS Lett</w:t>
      </w:r>
      <w:r w:rsidRPr="00A97363">
        <w:rPr>
          <w:noProof/>
          <w:szCs w:val="24"/>
        </w:rPr>
        <w:t xml:space="preserve"> 2001, </w:t>
      </w:r>
      <w:r w:rsidRPr="00A97363">
        <w:rPr>
          <w:b/>
          <w:bCs/>
          <w:noProof/>
          <w:szCs w:val="24"/>
        </w:rPr>
        <w:t>507</w:t>
      </w:r>
      <w:r w:rsidRPr="00A97363">
        <w:rPr>
          <w:noProof/>
          <w:szCs w:val="24"/>
        </w:rPr>
        <w:t>:220–</w:t>
      </w:r>
      <w:r w:rsidRPr="00A97363">
        <w:rPr>
          <w:noProof/>
          <w:szCs w:val="24"/>
        </w:rPr>
        <w:lastRenderedPageBreak/>
        <w:t>224.</w:t>
      </w:r>
    </w:p>
    <w:p w14:paraId="7024F9E6"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17. </w:t>
      </w:r>
      <w:r w:rsidRPr="00A97363">
        <w:rPr>
          <w:noProof/>
          <w:szCs w:val="24"/>
        </w:rPr>
        <w:tab/>
        <w:t xml:space="preserve">Drew D, Lerch M, Kunji E, Slotboom D-J, de Gier J-W: </w:t>
      </w:r>
      <w:r w:rsidRPr="00A97363">
        <w:rPr>
          <w:b/>
          <w:bCs/>
          <w:noProof/>
          <w:szCs w:val="24"/>
        </w:rPr>
        <w:t>Optimization of membrane protein overexpression and purification using GFP fusions</w:t>
      </w:r>
      <w:r w:rsidRPr="00A97363">
        <w:rPr>
          <w:noProof/>
          <w:szCs w:val="24"/>
        </w:rPr>
        <w:t xml:space="preserve">. </w:t>
      </w:r>
      <w:r w:rsidRPr="00A97363">
        <w:rPr>
          <w:i/>
          <w:iCs/>
          <w:noProof/>
          <w:szCs w:val="24"/>
        </w:rPr>
        <w:t>Nat Methods</w:t>
      </w:r>
      <w:r w:rsidRPr="00A97363">
        <w:rPr>
          <w:noProof/>
          <w:szCs w:val="24"/>
        </w:rPr>
        <w:t xml:space="preserve"> 2006, </w:t>
      </w:r>
      <w:r w:rsidRPr="00A97363">
        <w:rPr>
          <w:b/>
          <w:bCs/>
          <w:noProof/>
          <w:szCs w:val="24"/>
        </w:rPr>
        <w:t>3</w:t>
      </w:r>
      <w:r w:rsidRPr="00A97363">
        <w:rPr>
          <w:noProof/>
          <w:szCs w:val="24"/>
        </w:rPr>
        <w:t>:303–313.</w:t>
      </w:r>
    </w:p>
    <w:p w14:paraId="5593ED5B"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18. </w:t>
      </w:r>
      <w:r w:rsidRPr="00A97363">
        <w:rPr>
          <w:noProof/>
          <w:szCs w:val="24"/>
        </w:rPr>
        <w:tab/>
        <w:t xml:space="preserve">Willson BJ, Dalzell L, Chapman LNM, Thomas GH: </w:t>
      </w:r>
      <w:r w:rsidRPr="00A97363">
        <w:rPr>
          <w:b/>
          <w:bCs/>
          <w:noProof/>
          <w:szCs w:val="24"/>
        </w:rPr>
        <w:t>Enhanced functionalisation of major facilitator superfamily transporters via fusion of C-terminal protein domains is both extensive and varied in bacteria</w:t>
      </w:r>
      <w:r w:rsidRPr="00A97363">
        <w:rPr>
          <w:noProof/>
          <w:szCs w:val="24"/>
        </w:rPr>
        <w:t xml:space="preserve">. </w:t>
      </w:r>
      <w:r w:rsidRPr="00A97363">
        <w:rPr>
          <w:i/>
          <w:iCs/>
          <w:noProof/>
          <w:szCs w:val="24"/>
        </w:rPr>
        <w:t>Microbiology</w:t>
      </w:r>
      <w:r w:rsidRPr="00A97363">
        <w:rPr>
          <w:noProof/>
          <w:szCs w:val="24"/>
        </w:rPr>
        <w:t xml:space="preserve"> 2019, doi:10.1099/mic.0.000771.</w:t>
      </w:r>
    </w:p>
    <w:p w14:paraId="27059F31"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19. </w:t>
      </w:r>
      <w:r w:rsidRPr="00A97363">
        <w:rPr>
          <w:noProof/>
          <w:szCs w:val="24"/>
        </w:rPr>
        <w:tab/>
        <w:t xml:space="preserve">Davidson AL, Dassa E, Orelle C, Chen J: </w:t>
      </w:r>
      <w:r w:rsidRPr="00A97363">
        <w:rPr>
          <w:b/>
          <w:bCs/>
          <w:noProof/>
          <w:szCs w:val="24"/>
        </w:rPr>
        <w:t>Structure, Function, and Evolution of Bacterial ATP-Binding Cassette Systems</w:t>
      </w:r>
      <w:r w:rsidRPr="00A97363">
        <w:rPr>
          <w:noProof/>
          <w:szCs w:val="24"/>
        </w:rPr>
        <w:t xml:space="preserve">. </w:t>
      </w:r>
      <w:r w:rsidRPr="00A97363">
        <w:rPr>
          <w:i/>
          <w:iCs/>
          <w:noProof/>
          <w:szCs w:val="24"/>
        </w:rPr>
        <w:t>Microbiol Mol Biol Rev</w:t>
      </w:r>
      <w:r w:rsidRPr="00A97363">
        <w:rPr>
          <w:noProof/>
          <w:szCs w:val="24"/>
        </w:rPr>
        <w:t xml:space="preserve"> 2008, </w:t>
      </w:r>
      <w:r w:rsidRPr="00A97363">
        <w:rPr>
          <w:b/>
          <w:bCs/>
          <w:noProof/>
          <w:szCs w:val="24"/>
        </w:rPr>
        <w:t>72</w:t>
      </w:r>
      <w:r w:rsidRPr="00A97363">
        <w:rPr>
          <w:noProof/>
          <w:szCs w:val="24"/>
        </w:rPr>
        <w:t>:317–364.</w:t>
      </w:r>
    </w:p>
    <w:p w14:paraId="1DB8DA31"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20. </w:t>
      </w:r>
      <w:r w:rsidRPr="00A97363">
        <w:rPr>
          <w:noProof/>
          <w:szCs w:val="24"/>
        </w:rPr>
        <w:tab/>
        <w:t xml:space="preserve">Mulligan C, Fischer M, Thomas GH: </w:t>
      </w:r>
      <w:r w:rsidRPr="00A97363">
        <w:rPr>
          <w:b/>
          <w:bCs/>
          <w:noProof/>
          <w:szCs w:val="24"/>
        </w:rPr>
        <w:t>Tripartite ATP-independent periplasmic (TRAP) transporters in bacteria and archaea</w:t>
      </w:r>
      <w:r w:rsidRPr="00A97363">
        <w:rPr>
          <w:noProof/>
          <w:szCs w:val="24"/>
        </w:rPr>
        <w:t xml:space="preserve">. </w:t>
      </w:r>
      <w:r w:rsidRPr="00A97363">
        <w:rPr>
          <w:i/>
          <w:iCs/>
          <w:noProof/>
          <w:szCs w:val="24"/>
        </w:rPr>
        <w:t>FEMS Microbiol Rev</w:t>
      </w:r>
      <w:r w:rsidRPr="00A97363">
        <w:rPr>
          <w:noProof/>
          <w:szCs w:val="24"/>
        </w:rPr>
        <w:t xml:space="preserve"> 2011, </w:t>
      </w:r>
      <w:r w:rsidRPr="00A97363">
        <w:rPr>
          <w:b/>
          <w:bCs/>
          <w:noProof/>
          <w:szCs w:val="24"/>
        </w:rPr>
        <w:t>35</w:t>
      </w:r>
      <w:r w:rsidRPr="00A97363">
        <w:rPr>
          <w:noProof/>
          <w:szCs w:val="24"/>
        </w:rPr>
        <w:t>:68–86.</w:t>
      </w:r>
    </w:p>
    <w:p w14:paraId="579756E7"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21. </w:t>
      </w:r>
      <w:r w:rsidRPr="00A97363">
        <w:rPr>
          <w:noProof/>
          <w:szCs w:val="24"/>
        </w:rPr>
        <w:tab/>
        <w:t xml:space="preserve">Maqbool A, Horler RSP, Muller A, Wilkinson AJ, Wilson KS, Thomas GH: </w:t>
      </w:r>
      <w:r w:rsidRPr="00A97363">
        <w:rPr>
          <w:b/>
          <w:bCs/>
          <w:noProof/>
          <w:szCs w:val="24"/>
        </w:rPr>
        <w:t>The substrate-binding protein in bacterial ABC transporters: dissecting roles in the evolution of substrate specificity</w:t>
      </w:r>
      <w:r w:rsidRPr="00A97363">
        <w:rPr>
          <w:noProof/>
          <w:szCs w:val="24"/>
        </w:rPr>
        <w:t xml:space="preserve">. </w:t>
      </w:r>
      <w:r w:rsidRPr="00A97363">
        <w:rPr>
          <w:i/>
          <w:iCs/>
          <w:noProof/>
          <w:szCs w:val="24"/>
        </w:rPr>
        <w:t>Biochem Soc Trans</w:t>
      </w:r>
      <w:r w:rsidRPr="00A97363">
        <w:rPr>
          <w:noProof/>
          <w:szCs w:val="24"/>
        </w:rPr>
        <w:t xml:space="preserve"> 2015, </w:t>
      </w:r>
      <w:r w:rsidRPr="00A97363">
        <w:rPr>
          <w:b/>
          <w:bCs/>
          <w:noProof/>
          <w:szCs w:val="24"/>
        </w:rPr>
        <w:t>43</w:t>
      </w:r>
      <w:r w:rsidRPr="00A97363">
        <w:rPr>
          <w:noProof/>
          <w:szCs w:val="24"/>
        </w:rPr>
        <w:t>:1011–1017.</w:t>
      </w:r>
    </w:p>
    <w:p w14:paraId="63EDB23C"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22. </w:t>
      </w:r>
      <w:r w:rsidRPr="00A97363">
        <w:rPr>
          <w:noProof/>
          <w:szCs w:val="24"/>
        </w:rPr>
        <w:tab/>
        <w:t xml:space="preserve">Rosa LT, Bianconi ME, Thomas GH, Kelly DJ: </w:t>
      </w:r>
      <w:r w:rsidRPr="00A97363">
        <w:rPr>
          <w:b/>
          <w:bCs/>
          <w:noProof/>
          <w:szCs w:val="24"/>
        </w:rPr>
        <w:t>Tripartite ATP-Independent Periplasmic (TRAP) Transporters and Tripartite Tricarboxylate Transporters (TTT): From Uptake to Pathogenicity</w:t>
      </w:r>
      <w:r w:rsidRPr="00A97363">
        <w:rPr>
          <w:noProof/>
          <w:szCs w:val="24"/>
        </w:rPr>
        <w:t xml:space="preserve">. </w:t>
      </w:r>
      <w:r w:rsidRPr="00A97363">
        <w:rPr>
          <w:i/>
          <w:iCs/>
          <w:noProof/>
          <w:szCs w:val="24"/>
        </w:rPr>
        <w:t>Front Cell Infect Microbiol</w:t>
      </w:r>
      <w:r w:rsidRPr="00A97363">
        <w:rPr>
          <w:noProof/>
          <w:szCs w:val="24"/>
        </w:rPr>
        <w:t xml:space="preserve"> 2018, </w:t>
      </w:r>
      <w:r w:rsidRPr="00A97363">
        <w:rPr>
          <w:b/>
          <w:bCs/>
          <w:noProof/>
          <w:szCs w:val="24"/>
        </w:rPr>
        <w:t>8</w:t>
      </w:r>
      <w:r w:rsidRPr="00A97363">
        <w:rPr>
          <w:noProof/>
          <w:szCs w:val="24"/>
        </w:rPr>
        <w:t>:33.</w:t>
      </w:r>
    </w:p>
    <w:p w14:paraId="30DB8B3A"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23. </w:t>
      </w:r>
      <w:r w:rsidRPr="00A97363">
        <w:rPr>
          <w:noProof/>
          <w:szCs w:val="24"/>
        </w:rPr>
        <w:tab/>
        <w:t xml:space="preserve">Bosdriesz E, Magnúsdóttir S, Bruggeman FJ, Teusink B, Molenaar D: </w:t>
      </w:r>
      <w:r w:rsidRPr="00A97363">
        <w:rPr>
          <w:b/>
          <w:bCs/>
          <w:noProof/>
          <w:szCs w:val="24"/>
        </w:rPr>
        <w:t>Binding proteins enhance specific uptake rate by increasing the substrate-transporter encounter rate</w:t>
      </w:r>
      <w:r w:rsidRPr="00A97363">
        <w:rPr>
          <w:noProof/>
          <w:szCs w:val="24"/>
        </w:rPr>
        <w:t xml:space="preserve">. </w:t>
      </w:r>
      <w:r w:rsidRPr="00A97363">
        <w:rPr>
          <w:i/>
          <w:iCs/>
          <w:noProof/>
          <w:szCs w:val="24"/>
        </w:rPr>
        <w:t>FEBS J</w:t>
      </w:r>
      <w:r w:rsidRPr="00A97363">
        <w:rPr>
          <w:noProof/>
          <w:szCs w:val="24"/>
        </w:rPr>
        <w:t xml:space="preserve"> 2015, </w:t>
      </w:r>
      <w:r w:rsidRPr="00A97363">
        <w:rPr>
          <w:b/>
          <w:bCs/>
          <w:noProof/>
          <w:szCs w:val="24"/>
        </w:rPr>
        <w:t>282</w:t>
      </w:r>
      <w:r w:rsidRPr="00A97363">
        <w:rPr>
          <w:noProof/>
          <w:szCs w:val="24"/>
        </w:rPr>
        <w:t>:2394–2407.</w:t>
      </w:r>
    </w:p>
    <w:p w14:paraId="71790B55"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24. </w:t>
      </w:r>
      <w:r w:rsidRPr="00A97363">
        <w:rPr>
          <w:noProof/>
          <w:szCs w:val="24"/>
        </w:rPr>
        <w:tab/>
        <w:t xml:space="preserve">van der Heide T, Poolman B: </w:t>
      </w:r>
      <w:r w:rsidRPr="00A97363">
        <w:rPr>
          <w:b/>
          <w:bCs/>
          <w:noProof/>
          <w:szCs w:val="24"/>
        </w:rPr>
        <w:t>ABC transporters: one, two or four extracytoplasmic substrate-binding sites?</w:t>
      </w:r>
      <w:r w:rsidRPr="00A97363">
        <w:rPr>
          <w:noProof/>
          <w:szCs w:val="24"/>
        </w:rPr>
        <w:t xml:space="preserve"> </w:t>
      </w:r>
      <w:r w:rsidRPr="00A97363">
        <w:rPr>
          <w:i/>
          <w:iCs/>
          <w:noProof/>
          <w:szCs w:val="24"/>
        </w:rPr>
        <w:t>EMBO Rep</w:t>
      </w:r>
      <w:r w:rsidRPr="00A97363">
        <w:rPr>
          <w:noProof/>
          <w:szCs w:val="24"/>
        </w:rPr>
        <w:t xml:space="preserve"> 2002, </w:t>
      </w:r>
      <w:r w:rsidRPr="00A97363">
        <w:rPr>
          <w:b/>
          <w:bCs/>
          <w:noProof/>
          <w:szCs w:val="24"/>
        </w:rPr>
        <w:t>3</w:t>
      </w:r>
      <w:r w:rsidRPr="00A97363">
        <w:rPr>
          <w:noProof/>
          <w:szCs w:val="24"/>
        </w:rPr>
        <w:t>:938–43.</w:t>
      </w:r>
    </w:p>
    <w:p w14:paraId="4BB49EDC"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25. </w:t>
      </w:r>
      <w:r w:rsidRPr="00A97363">
        <w:rPr>
          <w:noProof/>
          <w:szCs w:val="24"/>
        </w:rPr>
        <w:tab/>
        <w:t xml:space="preserve">Obis D, Guillot A, Gripon JC, Renault P, Bolotin A, Mistou MY: </w:t>
      </w:r>
      <w:r w:rsidRPr="00A97363">
        <w:rPr>
          <w:b/>
          <w:bCs/>
          <w:noProof/>
          <w:szCs w:val="24"/>
        </w:rPr>
        <w:t>Genetic and biochemical characterization of a high-affinity betaine uptake system (BusA) in Lactococcus lactis reveals a new functional organization within bacterial ABC transporters.</w:t>
      </w:r>
      <w:r w:rsidRPr="00A97363">
        <w:rPr>
          <w:noProof/>
          <w:szCs w:val="24"/>
        </w:rPr>
        <w:t xml:space="preserve"> </w:t>
      </w:r>
      <w:r w:rsidRPr="00A97363">
        <w:rPr>
          <w:i/>
          <w:iCs/>
          <w:noProof/>
          <w:szCs w:val="24"/>
        </w:rPr>
        <w:t>J Bacteriol</w:t>
      </w:r>
      <w:r w:rsidRPr="00A97363">
        <w:rPr>
          <w:noProof/>
          <w:szCs w:val="24"/>
        </w:rPr>
        <w:t xml:space="preserve"> 1999, </w:t>
      </w:r>
      <w:r w:rsidRPr="00A97363">
        <w:rPr>
          <w:b/>
          <w:bCs/>
          <w:noProof/>
          <w:szCs w:val="24"/>
        </w:rPr>
        <w:t>181</w:t>
      </w:r>
      <w:r w:rsidRPr="00A97363">
        <w:rPr>
          <w:noProof/>
          <w:szCs w:val="24"/>
        </w:rPr>
        <w:t>:6238–46.</w:t>
      </w:r>
    </w:p>
    <w:p w14:paraId="6B3F35CF"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26. </w:t>
      </w:r>
      <w:r w:rsidRPr="00A97363">
        <w:rPr>
          <w:noProof/>
          <w:szCs w:val="24"/>
        </w:rPr>
        <w:tab/>
        <w:t xml:space="preserve">Bouvier J, Bordes P, Romeo Y, Fourçans A, Bouvier I, Gutierrez C: </w:t>
      </w:r>
      <w:r w:rsidRPr="00A97363">
        <w:rPr>
          <w:b/>
          <w:bCs/>
          <w:noProof/>
          <w:szCs w:val="24"/>
        </w:rPr>
        <w:t>Characterization of OpuA, a glycine-betaine uptake system of Lactococcus lactis.</w:t>
      </w:r>
      <w:r w:rsidRPr="00A97363">
        <w:rPr>
          <w:noProof/>
          <w:szCs w:val="24"/>
        </w:rPr>
        <w:t xml:space="preserve"> </w:t>
      </w:r>
      <w:r w:rsidRPr="00A97363">
        <w:rPr>
          <w:i/>
          <w:iCs/>
          <w:noProof/>
          <w:szCs w:val="24"/>
        </w:rPr>
        <w:t>J Mol Microbiol Biotechnol</w:t>
      </w:r>
      <w:r w:rsidRPr="00A97363">
        <w:rPr>
          <w:noProof/>
          <w:szCs w:val="24"/>
        </w:rPr>
        <w:t xml:space="preserve"> 2000, </w:t>
      </w:r>
      <w:r w:rsidRPr="00A97363">
        <w:rPr>
          <w:b/>
          <w:bCs/>
          <w:noProof/>
          <w:szCs w:val="24"/>
        </w:rPr>
        <w:t>2</w:t>
      </w:r>
      <w:r w:rsidRPr="00A97363">
        <w:rPr>
          <w:noProof/>
          <w:szCs w:val="24"/>
        </w:rPr>
        <w:t>:199–205.</w:t>
      </w:r>
    </w:p>
    <w:p w14:paraId="730048DF"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27. </w:t>
      </w:r>
      <w:r w:rsidRPr="00A97363">
        <w:rPr>
          <w:noProof/>
          <w:szCs w:val="24"/>
        </w:rPr>
        <w:tab/>
        <w:t xml:space="preserve">Patzlaff JS, van der Heide T, Poolman B: </w:t>
      </w:r>
      <w:r w:rsidRPr="00A97363">
        <w:rPr>
          <w:b/>
          <w:bCs/>
          <w:noProof/>
          <w:szCs w:val="24"/>
        </w:rPr>
        <w:t>The ATP/substrate stoichiometry of the ATP-binding cassette (ABC) transporter OpuA.</w:t>
      </w:r>
      <w:r w:rsidRPr="00A97363">
        <w:rPr>
          <w:noProof/>
          <w:szCs w:val="24"/>
        </w:rPr>
        <w:t xml:space="preserve"> </w:t>
      </w:r>
      <w:r w:rsidRPr="00A97363">
        <w:rPr>
          <w:i/>
          <w:iCs/>
          <w:noProof/>
          <w:szCs w:val="24"/>
        </w:rPr>
        <w:t>J Biol Chem</w:t>
      </w:r>
      <w:r w:rsidRPr="00A97363">
        <w:rPr>
          <w:noProof/>
          <w:szCs w:val="24"/>
        </w:rPr>
        <w:t xml:space="preserve"> 2003, </w:t>
      </w:r>
      <w:r w:rsidRPr="00A97363">
        <w:rPr>
          <w:b/>
          <w:bCs/>
          <w:noProof/>
          <w:szCs w:val="24"/>
        </w:rPr>
        <w:t>278</w:t>
      </w:r>
      <w:r w:rsidRPr="00A97363">
        <w:rPr>
          <w:noProof/>
          <w:szCs w:val="24"/>
        </w:rPr>
        <w:t>:29546–51.</w:t>
      </w:r>
    </w:p>
    <w:p w14:paraId="6CF88AD2"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28. </w:t>
      </w:r>
      <w:r w:rsidRPr="00A97363">
        <w:rPr>
          <w:noProof/>
          <w:szCs w:val="24"/>
        </w:rPr>
        <w:tab/>
        <w:t xml:space="preserve">Gul N, Schuurman-Wolters G, Karasawa A, Poolman B: </w:t>
      </w:r>
      <w:r w:rsidRPr="00A97363">
        <w:rPr>
          <w:b/>
          <w:bCs/>
          <w:noProof/>
          <w:szCs w:val="24"/>
        </w:rPr>
        <w:t>Functional characterization of amphipathic α-helix in the osmoregulatory ABC transporter OpuA.</w:t>
      </w:r>
      <w:r w:rsidRPr="00A97363">
        <w:rPr>
          <w:noProof/>
          <w:szCs w:val="24"/>
        </w:rPr>
        <w:t xml:space="preserve"> </w:t>
      </w:r>
      <w:r w:rsidRPr="00A97363">
        <w:rPr>
          <w:i/>
          <w:iCs/>
          <w:noProof/>
          <w:szCs w:val="24"/>
        </w:rPr>
        <w:t>Biochemistry</w:t>
      </w:r>
      <w:r w:rsidRPr="00A97363">
        <w:rPr>
          <w:noProof/>
          <w:szCs w:val="24"/>
        </w:rPr>
        <w:t xml:space="preserve"> 2012, </w:t>
      </w:r>
      <w:r w:rsidRPr="00A97363">
        <w:rPr>
          <w:b/>
          <w:bCs/>
          <w:noProof/>
          <w:szCs w:val="24"/>
        </w:rPr>
        <w:t>51</w:t>
      </w:r>
      <w:r w:rsidRPr="00A97363">
        <w:rPr>
          <w:noProof/>
          <w:szCs w:val="24"/>
        </w:rPr>
        <w:t>:5142–52.</w:t>
      </w:r>
    </w:p>
    <w:p w14:paraId="15F28537"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29. </w:t>
      </w:r>
      <w:r w:rsidRPr="00A97363">
        <w:rPr>
          <w:noProof/>
          <w:szCs w:val="24"/>
        </w:rPr>
        <w:tab/>
        <w:t xml:space="preserve">Teichmann L, Kümmel H, Warmbold B, Bremer E: </w:t>
      </w:r>
      <w:r w:rsidRPr="00A97363">
        <w:rPr>
          <w:b/>
          <w:bCs/>
          <w:noProof/>
          <w:szCs w:val="24"/>
        </w:rPr>
        <w:t>OpuF, a New Bacillus Compatible Solute ABC Transporter with a Substrate-Binding Protein Fused to the Transmembrane Domain.</w:t>
      </w:r>
      <w:r w:rsidRPr="00A97363">
        <w:rPr>
          <w:noProof/>
          <w:szCs w:val="24"/>
        </w:rPr>
        <w:t xml:space="preserve"> </w:t>
      </w:r>
      <w:r w:rsidRPr="00A97363">
        <w:rPr>
          <w:i/>
          <w:iCs/>
          <w:noProof/>
          <w:szCs w:val="24"/>
        </w:rPr>
        <w:t>Appl Environ Microbiol</w:t>
      </w:r>
      <w:r w:rsidRPr="00A97363">
        <w:rPr>
          <w:noProof/>
          <w:szCs w:val="24"/>
        </w:rPr>
        <w:t xml:space="preserve"> 2018, </w:t>
      </w:r>
      <w:r w:rsidRPr="00A97363">
        <w:rPr>
          <w:b/>
          <w:bCs/>
          <w:noProof/>
          <w:szCs w:val="24"/>
        </w:rPr>
        <w:t>84</w:t>
      </w:r>
      <w:r w:rsidRPr="00A97363">
        <w:rPr>
          <w:noProof/>
          <w:szCs w:val="24"/>
        </w:rPr>
        <w:t>.</w:t>
      </w:r>
    </w:p>
    <w:p w14:paraId="13ED4A40"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30. </w:t>
      </w:r>
      <w:r w:rsidRPr="00A97363">
        <w:rPr>
          <w:noProof/>
          <w:szCs w:val="24"/>
        </w:rPr>
        <w:tab/>
        <w:t xml:space="preserve">Fulyani F, Schuurman-Wolters GK, Žagar AV, Guskov A, Slotboom D-J, Poolman B: </w:t>
      </w:r>
      <w:r w:rsidRPr="00A97363">
        <w:rPr>
          <w:b/>
          <w:bCs/>
          <w:noProof/>
          <w:szCs w:val="24"/>
        </w:rPr>
        <w:t>Functional Diversity of Tandem Substrate-Binding Domains in ABC Transporters from Pathogenic Bacteria</w:t>
      </w:r>
      <w:r w:rsidRPr="00A97363">
        <w:rPr>
          <w:noProof/>
          <w:szCs w:val="24"/>
        </w:rPr>
        <w:t xml:space="preserve">. </w:t>
      </w:r>
      <w:r w:rsidRPr="00A97363">
        <w:rPr>
          <w:i/>
          <w:iCs/>
          <w:noProof/>
          <w:szCs w:val="24"/>
        </w:rPr>
        <w:t>Structure</w:t>
      </w:r>
      <w:r w:rsidRPr="00A97363">
        <w:rPr>
          <w:noProof/>
          <w:szCs w:val="24"/>
        </w:rPr>
        <w:t xml:space="preserve"> 2013, </w:t>
      </w:r>
      <w:r w:rsidRPr="00A97363">
        <w:rPr>
          <w:b/>
          <w:bCs/>
          <w:noProof/>
          <w:szCs w:val="24"/>
        </w:rPr>
        <w:t>21</w:t>
      </w:r>
      <w:r w:rsidRPr="00A97363">
        <w:rPr>
          <w:noProof/>
          <w:szCs w:val="24"/>
        </w:rPr>
        <w:t>:1879–1888.</w:t>
      </w:r>
    </w:p>
    <w:p w14:paraId="114646BB"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31. </w:t>
      </w:r>
      <w:r w:rsidRPr="00A97363">
        <w:rPr>
          <w:noProof/>
          <w:szCs w:val="24"/>
        </w:rPr>
        <w:tab/>
        <w:t xml:space="preserve">Schuurman-Wolters GK, de Boer M, Pietrzyk MK, Poolman B: </w:t>
      </w:r>
      <w:r w:rsidRPr="00A97363">
        <w:rPr>
          <w:b/>
          <w:bCs/>
          <w:noProof/>
          <w:szCs w:val="24"/>
        </w:rPr>
        <w:t>Protein Linkers Provide Limits on the Domain Interactions in the ABC Importer GlnPQ and Determine the Rate of Transport.</w:t>
      </w:r>
      <w:r w:rsidRPr="00A97363">
        <w:rPr>
          <w:noProof/>
          <w:szCs w:val="24"/>
        </w:rPr>
        <w:t xml:space="preserve"> </w:t>
      </w:r>
      <w:r w:rsidRPr="00A97363">
        <w:rPr>
          <w:i/>
          <w:iCs/>
          <w:noProof/>
          <w:szCs w:val="24"/>
        </w:rPr>
        <w:t>J Mol Biol</w:t>
      </w:r>
      <w:r w:rsidRPr="00A97363">
        <w:rPr>
          <w:noProof/>
          <w:szCs w:val="24"/>
        </w:rPr>
        <w:t xml:space="preserve"> 2018, </w:t>
      </w:r>
      <w:r w:rsidRPr="00A97363">
        <w:rPr>
          <w:b/>
          <w:bCs/>
          <w:noProof/>
          <w:szCs w:val="24"/>
        </w:rPr>
        <w:t>430</w:t>
      </w:r>
      <w:r w:rsidRPr="00A97363">
        <w:rPr>
          <w:noProof/>
          <w:szCs w:val="24"/>
        </w:rPr>
        <w:t>:1249–1262.</w:t>
      </w:r>
    </w:p>
    <w:p w14:paraId="5014205E"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lastRenderedPageBreak/>
        <w:t xml:space="preserve">32. </w:t>
      </w:r>
      <w:r w:rsidRPr="00A97363">
        <w:rPr>
          <w:noProof/>
          <w:szCs w:val="24"/>
        </w:rPr>
        <w:tab/>
        <w:t xml:space="preserve">Barabote RD, Rendulic S, Schuster SC, Saier MH: </w:t>
      </w:r>
      <w:r w:rsidRPr="00A97363">
        <w:rPr>
          <w:b/>
          <w:bCs/>
          <w:noProof/>
          <w:szCs w:val="24"/>
        </w:rPr>
        <w:t>Comprehensive analysis of transport proteins encoded within the genome of Bdellovibrio bacteriovorus.</w:t>
      </w:r>
      <w:r w:rsidRPr="00A97363">
        <w:rPr>
          <w:noProof/>
          <w:szCs w:val="24"/>
        </w:rPr>
        <w:t xml:space="preserve"> </w:t>
      </w:r>
      <w:r w:rsidRPr="00A97363">
        <w:rPr>
          <w:i/>
          <w:iCs/>
          <w:noProof/>
          <w:szCs w:val="24"/>
        </w:rPr>
        <w:t>Genomics</w:t>
      </w:r>
      <w:r w:rsidRPr="00A97363">
        <w:rPr>
          <w:noProof/>
          <w:szCs w:val="24"/>
        </w:rPr>
        <w:t xml:space="preserve"> 2007, </w:t>
      </w:r>
      <w:r w:rsidRPr="00A97363">
        <w:rPr>
          <w:b/>
          <w:bCs/>
          <w:noProof/>
          <w:szCs w:val="24"/>
        </w:rPr>
        <w:t>90</w:t>
      </w:r>
      <w:r w:rsidRPr="00A97363">
        <w:rPr>
          <w:noProof/>
          <w:szCs w:val="24"/>
        </w:rPr>
        <w:t>:424–46.</w:t>
      </w:r>
    </w:p>
    <w:p w14:paraId="2F2A84F9"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33. </w:t>
      </w:r>
      <w:r w:rsidRPr="00A97363">
        <w:rPr>
          <w:noProof/>
          <w:szCs w:val="24"/>
        </w:rPr>
        <w:tab/>
        <w:t xml:space="preserve">Licht A, Bommer M, Werther T, Neumann K, Hobe C, Schneider E: </w:t>
      </w:r>
      <w:r w:rsidRPr="00A97363">
        <w:rPr>
          <w:b/>
          <w:bCs/>
          <w:noProof/>
          <w:szCs w:val="24"/>
        </w:rPr>
        <w:t>Structural and functional characterization of a maltose/maltodextrin ABC transporter comprising a single solute binding domain (MalE) fused to the transmembrane subunit MalF.</w:t>
      </w:r>
      <w:r w:rsidRPr="00A97363">
        <w:rPr>
          <w:noProof/>
          <w:szCs w:val="24"/>
        </w:rPr>
        <w:t xml:space="preserve"> </w:t>
      </w:r>
      <w:r w:rsidRPr="00A97363">
        <w:rPr>
          <w:i/>
          <w:iCs/>
          <w:noProof/>
          <w:szCs w:val="24"/>
        </w:rPr>
        <w:t>Res Microbiol</w:t>
      </w:r>
      <w:r w:rsidRPr="00A97363">
        <w:rPr>
          <w:noProof/>
          <w:szCs w:val="24"/>
        </w:rPr>
        <w:t xml:space="preserve"> 2019, </w:t>
      </w:r>
      <w:r w:rsidRPr="00A97363">
        <w:rPr>
          <w:b/>
          <w:bCs/>
          <w:noProof/>
          <w:szCs w:val="24"/>
        </w:rPr>
        <w:t>170</w:t>
      </w:r>
      <w:r w:rsidRPr="00A97363">
        <w:rPr>
          <w:noProof/>
          <w:szCs w:val="24"/>
        </w:rPr>
        <w:t>:1–12.</w:t>
      </w:r>
    </w:p>
    <w:p w14:paraId="0D3C2199"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34. </w:t>
      </w:r>
      <w:r w:rsidRPr="00A97363">
        <w:rPr>
          <w:noProof/>
          <w:szCs w:val="24"/>
        </w:rPr>
        <w:tab/>
        <w:t xml:space="preserve">Madden DR: </w:t>
      </w:r>
      <w:r w:rsidRPr="00A97363">
        <w:rPr>
          <w:b/>
          <w:bCs/>
          <w:noProof/>
          <w:szCs w:val="24"/>
        </w:rPr>
        <w:t>The structure and function of glutamate receptor ion channels</w:t>
      </w:r>
      <w:r w:rsidRPr="00A97363">
        <w:rPr>
          <w:noProof/>
          <w:szCs w:val="24"/>
        </w:rPr>
        <w:t xml:space="preserve">. </w:t>
      </w:r>
      <w:r w:rsidRPr="00A97363">
        <w:rPr>
          <w:i/>
          <w:iCs/>
          <w:noProof/>
          <w:szCs w:val="24"/>
        </w:rPr>
        <w:t>Nat Rev Neurosci</w:t>
      </w:r>
      <w:r w:rsidRPr="00A97363">
        <w:rPr>
          <w:noProof/>
          <w:szCs w:val="24"/>
        </w:rPr>
        <w:t xml:space="preserve"> 2002, </w:t>
      </w:r>
      <w:r w:rsidRPr="00A97363">
        <w:rPr>
          <w:b/>
          <w:bCs/>
          <w:noProof/>
          <w:szCs w:val="24"/>
        </w:rPr>
        <w:t>3</w:t>
      </w:r>
      <w:r w:rsidRPr="00A97363">
        <w:rPr>
          <w:noProof/>
          <w:szCs w:val="24"/>
        </w:rPr>
        <w:t>:91–101.</w:t>
      </w:r>
    </w:p>
    <w:p w14:paraId="56E19597"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35. </w:t>
      </w:r>
      <w:r w:rsidRPr="00A97363">
        <w:rPr>
          <w:noProof/>
          <w:szCs w:val="24"/>
        </w:rPr>
        <w:tab/>
        <w:t xml:space="preserve">Malcolm HR, Maurer JA: </w:t>
      </w:r>
      <w:r w:rsidRPr="00A97363">
        <w:rPr>
          <w:b/>
          <w:bCs/>
          <w:noProof/>
          <w:szCs w:val="24"/>
        </w:rPr>
        <w:t>The mechanosensitive channel of small conductance (MscS) superfamily: not just mechanosensitive channels anymore.</w:t>
      </w:r>
      <w:r w:rsidRPr="00A97363">
        <w:rPr>
          <w:noProof/>
          <w:szCs w:val="24"/>
        </w:rPr>
        <w:t xml:space="preserve"> </w:t>
      </w:r>
      <w:r w:rsidRPr="00A97363">
        <w:rPr>
          <w:i/>
          <w:iCs/>
          <w:noProof/>
          <w:szCs w:val="24"/>
        </w:rPr>
        <w:t>Chembiochem</w:t>
      </w:r>
      <w:r w:rsidRPr="00A97363">
        <w:rPr>
          <w:noProof/>
          <w:szCs w:val="24"/>
        </w:rPr>
        <w:t xml:space="preserve"> 2012, </w:t>
      </w:r>
      <w:r w:rsidRPr="00A97363">
        <w:rPr>
          <w:b/>
          <w:bCs/>
          <w:noProof/>
          <w:szCs w:val="24"/>
        </w:rPr>
        <w:t>13</w:t>
      </w:r>
      <w:r w:rsidRPr="00A97363">
        <w:rPr>
          <w:noProof/>
          <w:szCs w:val="24"/>
        </w:rPr>
        <w:t>:2037–43.</w:t>
      </w:r>
    </w:p>
    <w:p w14:paraId="2734A5BD"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36. </w:t>
      </w:r>
      <w:r w:rsidRPr="00A97363">
        <w:rPr>
          <w:noProof/>
          <w:szCs w:val="24"/>
        </w:rPr>
        <w:tab/>
        <w:t xml:space="preserve">Booth IR, Miller S, Müller A, Lehtovirta-Morley L: </w:t>
      </w:r>
      <w:r w:rsidRPr="00A97363">
        <w:rPr>
          <w:b/>
          <w:bCs/>
          <w:noProof/>
          <w:szCs w:val="24"/>
        </w:rPr>
        <w:t>The evolution of bacterial mechanosensitive channels</w:t>
      </w:r>
      <w:r w:rsidRPr="00A97363">
        <w:rPr>
          <w:noProof/>
          <w:szCs w:val="24"/>
        </w:rPr>
        <w:t xml:space="preserve">. </w:t>
      </w:r>
      <w:r w:rsidRPr="00A97363">
        <w:rPr>
          <w:i/>
          <w:iCs/>
          <w:noProof/>
          <w:szCs w:val="24"/>
        </w:rPr>
        <w:t>Cell Calcium</w:t>
      </w:r>
      <w:r w:rsidRPr="00A97363">
        <w:rPr>
          <w:noProof/>
          <w:szCs w:val="24"/>
        </w:rPr>
        <w:t xml:space="preserve"> 2015, </w:t>
      </w:r>
      <w:r w:rsidRPr="00A97363">
        <w:rPr>
          <w:b/>
          <w:bCs/>
          <w:noProof/>
          <w:szCs w:val="24"/>
        </w:rPr>
        <w:t>57</w:t>
      </w:r>
      <w:r w:rsidRPr="00A97363">
        <w:rPr>
          <w:noProof/>
          <w:szCs w:val="24"/>
        </w:rPr>
        <w:t>:140–150.</w:t>
      </w:r>
    </w:p>
    <w:p w14:paraId="29C6FC02"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37. </w:t>
      </w:r>
      <w:r w:rsidRPr="00A97363">
        <w:rPr>
          <w:noProof/>
          <w:szCs w:val="24"/>
        </w:rPr>
        <w:tab/>
        <w:t xml:space="preserve">Biemans-Oldehinkel E, Doeven MK, Poolman B: </w:t>
      </w:r>
      <w:r w:rsidRPr="00A97363">
        <w:rPr>
          <w:b/>
          <w:bCs/>
          <w:noProof/>
          <w:szCs w:val="24"/>
        </w:rPr>
        <w:t>ABC transporter architecture and regulatory roles of accessory domains</w:t>
      </w:r>
      <w:r w:rsidRPr="00A97363">
        <w:rPr>
          <w:noProof/>
          <w:szCs w:val="24"/>
        </w:rPr>
        <w:t xml:space="preserve">. </w:t>
      </w:r>
      <w:r w:rsidRPr="00A97363">
        <w:rPr>
          <w:i/>
          <w:iCs/>
          <w:noProof/>
          <w:szCs w:val="24"/>
        </w:rPr>
        <w:t>FEBS Lett</w:t>
      </w:r>
      <w:r w:rsidRPr="00A97363">
        <w:rPr>
          <w:noProof/>
          <w:szCs w:val="24"/>
        </w:rPr>
        <w:t xml:space="preserve"> 2006, </w:t>
      </w:r>
      <w:r w:rsidRPr="00A97363">
        <w:rPr>
          <w:b/>
          <w:bCs/>
          <w:noProof/>
          <w:szCs w:val="24"/>
        </w:rPr>
        <w:t>580</w:t>
      </w:r>
      <w:r w:rsidRPr="00A97363">
        <w:rPr>
          <w:noProof/>
          <w:szCs w:val="24"/>
        </w:rPr>
        <w:t>:1023–1035.</w:t>
      </w:r>
    </w:p>
    <w:p w14:paraId="51BEA2FB"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38. </w:t>
      </w:r>
      <w:r w:rsidRPr="00A97363">
        <w:rPr>
          <w:noProof/>
          <w:szCs w:val="24"/>
        </w:rPr>
        <w:tab/>
        <w:t xml:space="preserve">Barabote RD, Tamang DG, Abeywardena SN, Fallah NS, Fu JYC, Lio JK, Mirhosseini P, Pezeshk R, Podell S, Salampessy ML, et al.: </w:t>
      </w:r>
      <w:r w:rsidRPr="00A97363">
        <w:rPr>
          <w:b/>
          <w:bCs/>
          <w:noProof/>
          <w:szCs w:val="24"/>
        </w:rPr>
        <w:t>Extra domains in secondary transport carriers and channel proteins</w:t>
      </w:r>
      <w:r w:rsidRPr="00A97363">
        <w:rPr>
          <w:noProof/>
          <w:szCs w:val="24"/>
        </w:rPr>
        <w:t xml:space="preserve">. </w:t>
      </w:r>
      <w:r w:rsidRPr="00A97363">
        <w:rPr>
          <w:i/>
          <w:iCs/>
          <w:noProof/>
          <w:szCs w:val="24"/>
        </w:rPr>
        <w:t>Biochim Biophys Acta - Biomembr</w:t>
      </w:r>
      <w:r w:rsidRPr="00A97363">
        <w:rPr>
          <w:noProof/>
          <w:szCs w:val="24"/>
        </w:rPr>
        <w:t xml:space="preserve"> 2006, </w:t>
      </w:r>
      <w:r w:rsidRPr="00A97363">
        <w:rPr>
          <w:b/>
          <w:bCs/>
          <w:noProof/>
          <w:szCs w:val="24"/>
        </w:rPr>
        <w:t>1758</w:t>
      </w:r>
      <w:r w:rsidRPr="00A97363">
        <w:rPr>
          <w:noProof/>
          <w:szCs w:val="24"/>
        </w:rPr>
        <w:t>:1557–1579.</w:t>
      </w:r>
    </w:p>
    <w:p w14:paraId="197F5140"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39. </w:t>
      </w:r>
      <w:r w:rsidRPr="00A97363">
        <w:rPr>
          <w:noProof/>
          <w:szCs w:val="24"/>
        </w:rPr>
        <w:tab/>
        <w:t xml:space="preserve">Kadner RJ: </w:t>
      </w:r>
      <w:r w:rsidRPr="00A97363">
        <w:rPr>
          <w:b/>
          <w:bCs/>
          <w:noProof/>
          <w:szCs w:val="24"/>
        </w:rPr>
        <w:t>Regulation of methionine transport activity in Escherichia coli.</w:t>
      </w:r>
      <w:r w:rsidRPr="00A97363">
        <w:rPr>
          <w:noProof/>
          <w:szCs w:val="24"/>
        </w:rPr>
        <w:t xml:space="preserve"> </w:t>
      </w:r>
      <w:r w:rsidRPr="00A97363">
        <w:rPr>
          <w:i/>
          <w:iCs/>
          <w:noProof/>
          <w:szCs w:val="24"/>
        </w:rPr>
        <w:t>J Bacteriol</w:t>
      </w:r>
      <w:r w:rsidRPr="00A97363">
        <w:rPr>
          <w:noProof/>
          <w:szCs w:val="24"/>
        </w:rPr>
        <w:t xml:space="preserve"> 1975, </w:t>
      </w:r>
      <w:r w:rsidRPr="00A97363">
        <w:rPr>
          <w:b/>
          <w:bCs/>
          <w:noProof/>
          <w:szCs w:val="24"/>
        </w:rPr>
        <w:t>122</w:t>
      </w:r>
      <w:r w:rsidRPr="00A97363">
        <w:rPr>
          <w:noProof/>
          <w:szCs w:val="24"/>
        </w:rPr>
        <w:t>:110–9.</w:t>
      </w:r>
    </w:p>
    <w:p w14:paraId="445CC477"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40. </w:t>
      </w:r>
      <w:r w:rsidRPr="00A97363">
        <w:rPr>
          <w:noProof/>
          <w:szCs w:val="24"/>
        </w:rPr>
        <w:tab/>
        <w:t xml:space="preserve">Kadaba NS, Kaiser JT, Johnson E, Lee A, Rees DC: </w:t>
      </w:r>
      <w:r w:rsidRPr="00A97363">
        <w:rPr>
          <w:b/>
          <w:bCs/>
          <w:noProof/>
          <w:szCs w:val="24"/>
        </w:rPr>
        <w:t>The high-affinity E. coli methionine ABC transporter: structure and allosteric regulation.</w:t>
      </w:r>
      <w:r w:rsidRPr="00A97363">
        <w:rPr>
          <w:noProof/>
          <w:szCs w:val="24"/>
        </w:rPr>
        <w:t xml:space="preserve"> </w:t>
      </w:r>
      <w:r w:rsidRPr="00A97363">
        <w:rPr>
          <w:i/>
          <w:iCs/>
          <w:noProof/>
          <w:szCs w:val="24"/>
        </w:rPr>
        <w:t>Science</w:t>
      </w:r>
      <w:r w:rsidRPr="00A97363">
        <w:rPr>
          <w:noProof/>
          <w:szCs w:val="24"/>
        </w:rPr>
        <w:t xml:space="preserve"> 2008, </w:t>
      </w:r>
      <w:r w:rsidRPr="00A97363">
        <w:rPr>
          <w:b/>
          <w:bCs/>
          <w:noProof/>
          <w:szCs w:val="24"/>
        </w:rPr>
        <w:t>321</w:t>
      </w:r>
      <w:r w:rsidRPr="00A97363">
        <w:rPr>
          <w:noProof/>
          <w:szCs w:val="24"/>
        </w:rPr>
        <w:t>:250–3.</w:t>
      </w:r>
    </w:p>
    <w:p w14:paraId="35E9D642"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41. </w:t>
      </w:r>
      <w:r w:rsidRPr="00A97363">
        <w:rPr>
          <w:noProof/>
          <w:szCs w:val="24"/>
        </w:rPr>
        <w:tab/>
        <w:t xml:space="preserve">Yang JG, Rees DC: </w:t>
      </w:r>
      <w:r w:rsidRPr="00A97363">
        <w:rPr>
          <w:b/>
          <w:bCs/>
          <w:noProof/>
          <w:szCs w:val="24"/>
        </w:rPr>
        <w:t>The allosteric regulatory mechanism of the Escherichia coli MetNI methionine ATP binding cassette (ABC) transporter.</w:t>
      </w:r>
      <w:r w:rsidRPr="00A97363">
        <w:rPr>
          <w:noProof/>
          <w:szCs w:val="24"/>
        </w:rPr>
        <w:t xml:space="preserve"> </w:t>
      </w:r>
      <w:r w:rsidRPr="00A97363">
        <w:rPr>
          <w:i/>
          <w:iCs/>
          <w:noProof/>
          <w:szCs w:val="24"/>
        </w:rPr>
        <w:t>J Biol Chem</w:t>
      </w:r>
      <w:r w:rsidRPr="00A97363">
        <w:rPr>
          <w:noProof/>
          <w:szCs w:val="24"/>
        </w:rPr>
        <w:t xml:space="preserve"> 2015, </w:t>
      </w:r>
      <w:r w:rsidRPr="00A97363">
        <w:rPr>
          <w:b/>
          <w:bCs/>
          <w:noProof/>
          <w:szCs w:val="24"/>
        </w:rPr>
        <w:t>290</w:t>
      </w:r>
      <w:r w:rsidRPr="00A97363">
        <w:rPr>
          <w:noProof/>
          <w:szCs w:val="24"/>
        </w:rPr>
        <w:t>:9135–40.</w:t>
      </w:r>
    </w:p>
    <w:p w14:paraId="66CD7153"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42. </w:t>
      </w:r>
      <w:r w:rsidRPr="00A97363">
        <w:rPr>
          <w:noProof/>
          <w:szCs w:val="24"/>
        </w:rPr>
        <w:tab/>
        <w:t xml:space="preserve">Gerber S, Comellas-Bigler M, Goetz BA, Locher KP: </w:t>
      </w:r>
      <w:r w:rsidRPr="00A97363">
        <w:rPr>
          <w:b/>
          <w:bCs/>
          <w:noProof/>
          <w:szCs w:val="24"/>
        </w:rPr>
        <w:t>Structural Basis of Trans-Inhibition in a Molybdate/Tungstate ABC Transporter</w:t>
      </w:r>
      <w:r w:rsidRPr="00A97363">
        <w:rPr>
          <w:noProof/>
          <w:szCs w:val="24"/>
        </w:rPr>
        <w:t xml:space="preserve">. </w:t>
      </w:r>
      <w:r w:rsidRPr="00A97363">
        <w:rPr>
          <w:i/>
          <w:iCs/>
          <w:noProof/>
          <w:szCs w:val="24"/>
        </w:rPr>
        <w:t>Science (80- )</w:t>
      </w:r>
      <w:r w:rsidRPr="00A97363">
        <w:rPr>
          <w:noProof/>
          <w:szCs w:val="24"/>
        </w:rPr>
        <w:t xml:space="preserve"> 2008, </w:t>
      </w:r>
      <w:r w:rsidRPr="00A97363">
        <w:rPr>
          <w:b/>
          <w:bCs/>
          <w:noProof/>
          <w:szCs w:val="24"/>
        </w:rPr>
        <w:t>321</w:t>
      </w:r>
      <w:r w:rsidRPr="00A97363">
        <w:rPr>
          <w:noProof/>
          <w:szCs w:val="24"/>
        </w:rPr>
        <w:t>:246–250.</w:t>
      </w:r>
    </w:p>
    <w:p w14:paraId="728164B3"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43. </w:t>
      </w:r>
      <w:r w:rsidRPr="00A97363">
        <w:rPr>
          <w:noProof/>
          <w:szCs w:val="24"/>
        </w:rPr>
        <w:tab/>
        <w:t xml:space="preserve">Heinkel F, Shen L, Richard-Greenblatt M, Okon M, Bui JM, Gee CL, Gay LM, Alber T, Av-Gay Y, Gsponer J, et al.: </w:t>
      </w:r>
      <w:r w:rsidRPr="00A97363">
        <w:rPr>
          <w:b/>
          <w:bCs/>
          <w:noProof/>
          <w:szCs w:val="24"/>
        </w:rPr>
        <w:t>Biophysical Characterization of the Tandem FHA Domain Regulatory Module from the Mycobacterium tuberculosis ABC Transporter Rv1747</w:t>
      </w:r>
      <w:r w:rsidRPr="00A97363">
        <w:rPr>
          <w:noProof/>
          <w:szCs w:val="24"/>
        </w:rPr>
        <w:t xml:space="preserve">. </w:t>
      </w:r>
      <w:r w:rsidRPr="00A97363">
        <w:rPr>
          <w:i/>
          <w:iCs/>
          <w:noProof/>
          <w:szCs w:val="24"/>
        </w:rPr>
        <w:t>Structure</w:t>
      </w:r>
      <w:r w:rsidRPr="00A97363">
        <w:rPr>
          <w:noProof/>
          <w:szCs w:val="24"/>
        </w:rPr>
        <w:t xml:space="preserve"> 2018, </w:t>
      </w:r>
      <w:r w:rsidRPr="00A97363">
        <w:rPr>
          <w:b/>
          <w:bCs/>
          <w:noProof/>
          <w:szCs w:val="24"/>
        </w:rPr>
        <w:t>26</w:t>
      </w:r>
      <w:r w:rsidRPr="00A97363">
        <w:rPr>
          <w:noProof/>
          <w:szCs w:val="24"/>
        </w:rPr>
        <w:t>:972-986.e6.</w:t>
      </w:r>
    </w:p>
    <w:p w14:paraId="69012847"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44. </w:t>
      </w:r>
      <w:r w:rsidRPr="00A97363">
        <w:rPr>
          <w:noProof/>
          <w:szCs w:val="24"/>
        </w:rPr>
        <w:tab/>
        <w:t xml:space="preserve">Tsatskis Y, Khambati J, Dobson M, Bogdanov M, Dowhan W, Wood JM: </w:t>
      </w:r>
      <w:r w:rsidRPr="00A97363">
        <w:rPr>
          <w:b/>
          <w:bCs/>
          <w:noProof/>
          <w:szCs w:val="24"/>
        </w:rPr>
        <w:t>The Osmotic Activation of Transporter ProP Is Tuned by Both Its C-terminal Coiled-coil and Osmotically Induced Changes in Phospholipid Composition</w:t>
      </w:r>
      <w:r w:rsidRPr="00A97363">
        <w:rPr>
          <w:noProof/>
          <w:szCs w:val="24"/>
        </w:rPr>
        <w:t xml:space="preserve">. </w:t>
      </w:r>
      <w:r w:rsidRPr="00A97363">
        <w:rPr>
          <w:i/>
          <w:iCs/>
          <w:noProof/>
          <w:szCs w:val="24"/>
        </w:rPr>
        <w:t>J Biol Chem</w:t>
      </w:r>
      <w:r w:rsidRPr="00A97363">
        <w:rPr>
          <w:noProof/>
          <w:szCs w:val="24"/>
        </w:rPr>
        <w:t xml:space="preserve"> 2005, </w:t>
      </w:r>
      <w:r w:rsidRPr="00A97363">
        <w:rPr>
          <w:b/>
          <w:bCs/>
          <w:noProof/>
          <w:szCs w:val="24"/>
        </w:rPr>
        <w:t>280</w:t>
      </w:r>
      <w:r w:rsidRPr="00A97363">
        <w:rPr>
          <w:noProof/>
          <w:szCs w:val="24"/>
        </w:rPr>
        <w:t>:41387–41394.</w:t>
      </w:r>
    </w:p>
    <w:p w14:paraId="6C73125E"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45. </w:t>
      </w:r>
      <w:r w:rsidRPr="00A97363">
        <w:rPr>
          <w:noProof/>
          <w:szCs w:val="24"/>
        </w:rPr>
        <w:tab/>
        <w:t xml:space="preserve">Culham DE, Marom D, Boutin R, Garner J, Ozturk TN, Sahtout N, Tempelhagen L, Lamoureux G, Wood JM: </w:t>
      </w:r>
      <w:r w:rsidRPr="00A97363">
        <w:rPr>
          <w:b/>
          <w:bCs/>
          <w:noProof/>
          <w:szCs w:val="24"/>
        </w:rPr>
        <w:t>Dual Role of the C-Terminal Domain in Osmosensing by Bacterial Osmolyte Transporter ProP</w:t>
      </w:r>
      <w:r w:rsidRPr="00A97363">
        <w:rPr>
          <w:noProof/>
          <w:szCs w:val="24"/>
        </w:rPr>
        <w:t xml:space="preserve">. </w:t>
      </w:r>
      <w:r w:rsidRPr="00A97363">
        <w:rPr>
          <w:i/>
          <w:iCs/>
          <w:noProof/>
          <w:szCs w:val="24"/>
        </w:rPr>
        <w:t>Biophys J</w:t>
      </w:r>
      <w:r w:rsidRPr="00A97363">
        <w:rPr>
          <w:noProof/>
          <w:szCs w:val="24"/>
        </w:rPr>
        <w:t xml:space="preserve"> 2018, </w:t>
      </w:r>
      <w:r w:rsidRPr="00A97363">
        <w:rPr>
          <w:b/>
          <w:bCs/>
          <w:noProof/>
          <w:szCs w:val="24"/>
        </w:rPr>
        <w:t>115</w:t>
      </w:r>
      <w:r w:rsidRPr="00A97363">
        <w:rPr>
          <w:noProof/>
          <w:szCs w:val="24"/>
        </w:rPr>
        <w:t>:2152–2166.</w:t>
      </w:r>
    </w:p>
    <w:p w14:paraId="1594938A"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46. </w:t>
      </w:r>
      <w:r w:rsidRPr="00A97363">
        <w:rPr>
          <w:noProof/>
          <w:szCs w:val="24"/>
        </w:rPr>
        <w:tab/>
        <w:t xml:space="preserve">Yamada T, Miyashita M, Kasahara J, Tanaka T, Hashimoto M, Yamamoto H: </w:t>
      </w:r>
      <w:r w:rsidRPr="00A97363">
        <w:rPr>
          <w:b/>
          <w:bCs/>
          <w:noProof/>
          <w:szCs w:val="24"/>
        </w:rPr>
        <w:t>The transmembrane segment of TagH is required for wall teichoic acid transport under heat stress in Bacillus subtilis</w:t>
      </w:r>
      <w:r w:rsidRPr="00A97363">
        <w:rPr>
          <w:noProof/>
          <w:szCs w:val="24"/>
        </w:rPr>
        <w:t xml:space="preserve">. </w:t>
      </w:r>
      <w:r w:rsidRPr="00A97363">
        <w:rPr>
          <w:i/>
          <w:iCs/>
          <w:noProof/>
          <w:szCs w:val="24"/>
        </w:rPr>
        <w:t>Microbiology</w:t>
      </w:r>
      <w:r w:rsidRPr="00A97363">
        <w:rPr>
          <w:noProof/>
          <w:szCs w:val="24"/>
        </w:rPr>
        <w:t xml:space="preserve"> 2018, </w:t>
      </w:r>
      <w:r w:rsidRPr="00A97363">
        <w:rPr>
          <w:b/>
          <w:bCs/>
          <w:noProof/>
          <w:szCs w:val="24"/>
        </w:rPr>
        <w:t>164</w:t>
      </w:r>
      <w:r w:rsidRPr="00A97363">
        <w:rPr>
          <w:noProof/>
          <w:szCs w:val="24"/>
        </w:rPr>
        <w:t>:935–945.</w:t>
      </w:r>
    </w:p>
    <w:p w14:paraId="7FECE47A"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47. </w:t>
      </w:r>
      <w:r w:rsidRPr="00A97363">
        <w:rPr>
          <w:noProof/>
          <w:szCs w:val="24"/>
        </w:rPr>
        <w:tab/>
        <w:t xml:space="preserve">Jiang Y, Pico A, Cadene M, Chait BT, MacKinnon R: </w:t>
      </w:r>
      <w:r w:rsidRPr="00A97363">
        <w:rPr>
          <w:b/>
          <w:bCs/>
          <w:noProof/>
          <w:szCs w:val="24"/>
        </w:rPr>
        <w:t>Structure of the RCK domain from the E. coli K+ channel and demonstration of its presence in the human BK channel.</w:t>
      </w:r>
      <w:r w:rsidRPr="00A97363">
        <w:rPr>
          <w:noProof/>
          <w:szCs w:val="24"/>
        </w:rPr>
        <w:t xml:space="preserve"> </w:t>
      </w:r>
      <w:r w:rsidRPr="00A97363">
        <w:rPr>
          <w:i/>
          <w:iCs/>
          <w:noProof/>
          <w:szCs w:val="24"/>
        </w:rPr>
        <w:t>Neuron</w:t>
      </w:r>
      <w:r w:rsidRPr="00A97363">
        <w:rPr>
          <w:noProof/>
          <w:szCs w:val="24"/>
        </w:rPr>
        <w:t xml:space="preserve"> 2001, </w:t>
      </w:r>
      <w:r w:rsidRPr="00A97363">
        <w:rPr>
          <w:b/>
          <w:bCs/>
          <w:noProof/>
          <w:szCs w:val="24"/>
        </w:rPr>
        <w:t>29</w:t>
      </w:r>
      <w:r w:rsidRPr="00A97363">
        <w:rPr>
          <w:noProof/>
          <w:szCs w:val="24"/>
        </w:rPr>
        <w:t>:593–601.</w:t>
      </w:r>
    </w:p>
    <w:p w14:paraId="3E062A3C"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lastRenderedPageBreak/>
        <w:t xml:space="preserve">48. </w:t>
      </w:r>
      <w:r w:rsidRPr="00A97363">
        <w:rPr>
          <w:noProof/>
          <w:szCs w:val="24"/>
        </w:rPr>
        <w:tab/>
        <w:t xml:space="preserve">Roosild TP, Castronovo S, Miller S, Li C, Rasmussen T, Bartlett W, Gunasekera B, Choe S, Booth IR: </w:t>
      </w:r>
      <w:r w:rsidRPr="00A97363">
        <w:rPr>
          <w:b/>
          <w:bCs/>
          <w:noProof/>
          <w:szCs w:val="24"/>
        </w:rPr>
        <w:t>KTN (RCK) Domains Regulate K+ Channels and Transporters by Controlling the Dimer-Hinge Conformation</w:t>
      </w:r>
      <w:r w:rsidRPr="00A97363">
        <w:rPr>
          <w:noProof/>
          <w:szCs w:val="24"/>
        </w:rPr>
        <w:t xml:space="preserve">. </w:t>
      </w:r>
      <w:r w:rsidRPr="00A97363">
        <w:rPr>
          <w:i/>
          <w:iCs/>
          <w:noProof/>
          <w:szCs w:val="24"/>
        </w:rPr>
        <w:t>Structure</w:t>
      </w:r>
      <w:r w:rsidRPr="00A97363">
        <w:rPr>
          <w:noProof/>
          <w:szCs w:val="24"/>
        </w:rPr>
        <w:t xml:space="preserve"> 2009, </w:t>
      </w:r>
      <w:r w:rsidRPr="00A97363">
        <w:rPr>
          <w:b/>
          <w:bCs/>
          <w:noProof/>
          <w:szCs w:val="24"/>
        </w:rPr>
        <w:t>17</w:t>
      </w:r>
      <w:r w:rsidRPr="00A97363">
        <w:rPr>
          <w:noProof/>
          <w:szCs w:val="24"/>
        </w:rPr>
        <w:t>:893–903.</w:t>
      </w:r>
    </w:p>
    <w:p w14:paraId="0D8F1AD7"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49. </w:t>
      </w:r>
      <w:r w:rsidRPr="00A97363">
        <w:rPr>
          <w:noProof/>
          <w:szCs w:val="24"/>
        </w:rPr>
        <w:tab/>
        <w:t xml:space="preserve">Baykov AA, Tuominen HK, Lahti R: </w:t>
      </w:r>
      <w:r w:rsidRPr="00A97363">
        <w:rPr>
          <w:b/>
          <w:bCs/>
          <w:noProof/>
          <w:szCs w:val="24"/>
        </w:rPr>
        <w:t>The CBS Domain: A Protein Module with an Emerging Prominent Role in Regulation</w:t>
      </w:r>
      <w:r w:rsidRPr="00A97363">
        <w:rPr>
          <w:noProof/>
          <w:szCs w:val="24"/>
        </w:rPr>
        <w:t xml:space="preserve">. </w:t>
      </w:r>
      <w:r w:rsidRPr="00A97363">
        <w:rPr>
          <w:i/>
          <w:iCs/>
          <w:noProof/>
          <w:szCs w:val="24"/>
        </w:rPr>
        <w:t>ACS Chem Biol</w:t>
      </w:r>
      <w:r w:rsidRPr="00A97363">
        <w:rPr>
          <w:noProof/>
          <w:szCs w:val="24"/>
        </w:rPr>
        <w:t xml:space="preserve"> 2011, </w:t>
      </w:r>
      <w:r w:rsidRPr="00A97363">
        <w:rPr>
          <w:b/>
          <w:bCs/>
          <w:noProof/>
          <w:szCs w:val="24"/>
        </w:rPr>
        <w:t>6</w:t>
      </w:r>
      <w:r w:rsidRPr="00A97363">
        <w:rPr>
          <w:noProof/>
          <w:szCs w:val="24"/>
        </w:rPr>
        <w:t>:1156–1163.</w:t>
      </w:r>
    </w:p>
    <w:p w14:paraId="460551D1"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50. </w:t>
      </w:r>
      <w:r w:rsidRPr="00A97363">
        <w:rPr>
          <w:noProof/>
          <w:szCs w:val="24"/>
        </w:rPr>
        <w:tab/>
        <w:t xml:space="preserve">Meyer S, Dutzler R: </w:t>
      </w:r>
      <w:r w:rsidRPr="00A97363">
        <w:rPr>
          <w:b/>
          <w:bCs/>
          <w:noProof/>
          <w:szCs w:val="24"/>
        </w:rPr>
        <w:t>Crystal Structure of the Cytoplasmic Domain of the Chloride Channel ClC-0</w:t>
      </w:r>
      <w:r w:rsidRPr="00A97363">
        <w:rPr>
          <w:noProof/>
          <w:szCs w:val="24"/>
        </w:rPr>
        <w:t xml:space="preserve">. </w:t>
      </w:r>
      <w:r w:rsidRPr="00A97363">
        <w:rPr>
          <w:i/>
          <w:iCs/>
          <w:noProof/>
          <w:szCs w:val="24"/>
        </w:rPr>
        <w:t>Structure</w:t>
      </w:r>
      <w:r w:rsidRPr="00A97363">
        <w:rPr>
          <w:noProof/>
          <w:szCs w:val="24"/>
        </w:rPr>
        <w:t xml:space="preserve"> 2006, </w:t>
      </w:r>
      <w:r w:rsidRPr="00A97363">
        <w:rPr>
          <w:b/>
          <w:bCs/>
          <w:noProof/>
          <w:szCs w:val="24"/>
        </w:rPr>
        <w:t>14</w:t>
      </w:r>
      <w:r w:rsidRPr="00A97363">
        <w:rPr>
          <w:noProof/>
          <w:szCs w:val="24"/>
        </w:rPr>
        <w:t>:299–307.</w:t>
      </w:r>
    </w:p>
    <w:p w14:paraId="5520A31B"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51. </w:t>
      </w:r>
      <w:r w:rsidRPr="00A97363">
        <w:rPr>
          <w:noProof/>
          <w:szCs w:val="24"/>
        </w:rPr>
        <w:tab/>
        <w:t xml:space="preserve">Meyer S, Savaresi S, Forster IC, Dutzler R: </w:t>
      </w:r>
      <w:r w:rsidRPr="00A97363">
        <w:rPr>
          <w:b/>
          <w:bCs/>
          <w:noProof/>
          <w:szCs w:val="24"/>
        </w:rPr>
        <w:t>Nucleotide recognition by the cytoplasmic domain of the human chloride transporter ClC-5</w:t>
      </w:r>
      <w:r w:rsidRPr="00A97363">
        <w:rPr>
          <w:noProof/>
          <w:szCs w:val="24"/>
        </w:rPr>
        <w:t xml:space="preserve">. </w:t>
      </w:r>
      <w:r w:rsidRPr="00A97363">
        <w:rPr>
          <w:i/>
          <w:iCs/>
          <w:noProof/>
          <w:szCs w:val="24"/>
        </w:rPr>
        <w:t>Nat Struct Mol Biol</w:t>
      </w:r>
      <w:r w:rsidRPr="00A97363">
        <w:rPr>
          <w:noProof/>
          <w:szCs w:val="24"/>
        </w:rPr>
        <w:t xml:space="preserve"> 2007, </w:t>
      </w:r>
      <w:r w:rsidRPr="00A97363">
        <w:rPr>
          <w:b/>
          <w:bCs/>
          <w:noProof/>
          <w:szCs w:val="24"/>
        </w:rPr>
        <w:t>14</w:t>
      </w:r>
      <w:r w:rsidRPr="00A97363">
        <w:rPr>
          <w:noProof/>
          <w:szCs w:val="24"/>
        </w:rPr>
        <w:t>:60–67.</w:t>
      </w:r>
    </w:p>
    <w:p w14:paraId="601E1707"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52. </w:t>
      </w:r>
      <w:r w:rsidRPr="00A97363">
        <w:rPr>
          <w:noProof/>
          <w:szCs w:val="24"/>
        </w:rPr>
        <w:tab/>
        <w:t xml:space="preserve">Hattori M, Tanaka Y, Fukai S, Ishitani R, Nureki O: </w:t>
      </w:r>
      <w:r w:rsidRPr="00A97363">
        <w:rPr>
          <w:b/>
          <w:bCs/>
          <w:noProof/>
          <w:szCs w:val="24"/>
        </w:rPr>
        <w:t>Crystal structure of the MgtE Mg2+ transporter</w:t>
      </w:r>
      <w:r w:rsidRPr="00A97363">
        <w:rPr>
          <w:noProof/>
          <w:szCs w:val="24"/>
        </w:rPr>
        <w:t xml:space="preserve">. </w:t>
      </w:r>
      <w:r w:rsidRPr="00A97363">
        <w:rPr>
          <w:i/>
          <w:iCs/>
          <w:noProof/>
          <w:szCs w:val="24"/>
        </w:rPr>
        <w:t>Nature</w:t>
      </w:r>
      <w:r w:rsidRPr="00A97363">
        <w:rPr>
          <w:noProof/>
          <w:szCs w:val="24"/>
        </w:rPr>
        <w:t xml:space="preserve"> 2007, </w:t>
      </w:r>
      <w:r w:rsidRPr="00A97363">
        <w:rPr>
          <w:b/>
          <w:bCs/>
          <w:noProof/>
          <w:szCs w:val="24"/>
        </w:rPr>
        <w:t>448</w:t>
      </w:r>
      <w:r w:rsidRPr="00A97363">
        <w:rPr>
          <w:noProof/>
          <w:szCs w:val="24"/>
        </w:rPr>
        <w:t>:1072–1075.</w:t>
      </w:r>
    </w:p>
    <w:p w14:paraId="7D6647AC"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53. </w:t>
      </w:r>
      <w:r w:rsidRPr="00A97363">
        <w:rPr>
          <w:noProof/>
          <w:szCs w:val="24"/>
        </w:rPr>
        <w:tab/>
        <w:t xml:space="preserve">Tomita A, Zhang M, Jin F, Zhuang W, Takeda H, Maruyama T, Osawa M, Hashimoto K-I, Kawasaki H, Ito K, et al.: </w:t>
      </w:r>
      <w:r w:rsidRPr="00A97363">
        <w:rPr>
          <w:b/>
          <w:bCs/>
          <w:noProof/>
          <w:szCs w:val="24"/>
        </w:rPr>
        <w:t>ATP-dependent modulation of MgtE in Mg2+ homeostasis.</w:t>
      </w:r>
      <w:r w:rsidRPr="00A97363">
        <w:rPr>
          <w:noProof/>
          <w:szCs w:val="24"/>
        </w:rPr>
        <w:t xml:space="preserve"> </w:t>
      </w:r>
      <w:r w:rsidRPr="00A97363">
        <w:rPr>
          <w:i/>
          <w:iCs/>
          <w:noProof/>
          <w:szCs w:val="24"/>
        </w:rPr>
        <w:t>Nat Commun</w:t>
      </w:r>
      <w:r w:rsidRPr="00A97363">
        <w:rPr>
          <w:noProof/>
          <w:szCs w:val="24"/>
        </w:rPr>
        <w:t xml:space="preserve"> 2017, </w:t>
      </w:r>
      <w:r w:rsidRPr="00A97363">
        <w:rPr>
          <w:b/>
          <w:bCs/>
          <w:noProof/>
          <w:szCs w:val="24"/>
        </w:rPr>
        <w:t>8</w:t>
      </w:r>
      <w:r w:rsidRPr="00A97363">
        <w:rPr>
          <w:noProof/>
          <w:szCs w:val="24"/>
        </w:rPr>
        <w:t>:148.</w:t>
      </w:r>
    </w:p>
    <w:p w14:paraId="57D89369"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54. </w:t>
      </w:r>
      <w:r w:rsidRPr="00A97363">
        <w:rPr>
          <w:noProof/>
          <w:szCs w:val="24"/>
        </w:rPr>
        <w:tab/>
        <w:t xml:space="preserve">Hirata Y, Funato Y, Takano Y, Miki H: </w:t>
      </w:r>
      <w:r w:rsidRPr="00A97363">
        <w:rPr>
          <w:b/>
          <w:bCs/>
          <w:noProof/>
          <w:szCs w:val="24"/>
        </w:rPr>
        <w:t xml:space="preserve">Mg </w:t>
      </w:r>
      <w:r w:rsidRPr="00A97363">
        <w:rPr>
          <w:b/>
          <w:bCs/>
          <w:noProof/>
          <w:szCs w:val="24"/>
          <w:vertAlign w:val="superscript"/>
        </w:rPr>
        <w:t>2+</w:t>
      </w:r>
      <w:r w:rsidRPr="00A97363">
        <w:rPr>
          <w:b/>
          <w:bCs/>
          <w:noProof/>
          <w:szCs w:val="24"/>
        </w:rPr>
        <w:t xml:space="preserve"> -dependent Interactions of ATP with the Cystathionine-β-Synthase (CBS) Domains of a Magnesium Transporter</w:t>
      </w:r>
      <w:r w:rsidRPr="00A97363">
        <w:rPr>
          <w:noProof/>
          <w:szCs w:val="24"/>
        </w:rPr>
        <w:t xml:space="preserve">. </w:t>
      </w:r>
      <w:r w:rsidRPr="00A97363">
        <w:rPr>
          <w:i/>
          <w:iCs/>
          <w:noProof/>
          <w:szCs w:val="24"/>
        </w:rPr>
        <w:t>J Biol Chem</w:t>
      </w:r>
      <w:r w:rsidRPr="00A97363">
        <w:rPr>
          <w:noProof/>
          <w:szCs w:val="24"/>
        </w:rPr>
        <w:t xml:space="preserve"> 2014, </w:t>
      </w:r>
      <w:r w:rsidRPr="00A97363">
        <w:rPr>
          <w:b/>
          <w:bCs/>
          <w:noProof/>
          <w:szCs w:val="24"/>
        </w:rPr>
        <w:t>289</w:t>
      </w:r>
      <w:r w:rsidRPr="00A97363">
        <w:rPr>
          <w:noProof/>
          <w:szCs w:val="24"/>
        </w:rPr>
        <w:t>:14731–14739.</w:t>
      </w:r>
    </w:p>
    <w:p w14:paraId="2A9BFBC9"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55. </w:t>
      </w:r>
      <w:r w:rsidRPr="00A97363">
        <w:rPr>
          <w:noProof/>
          <w:szCs w:val="24"/>
        </w:rPr>
        <w:tab/>
        <w:t xml:space="preserve">Chen C, Beattie GA: </w:t>
      </w:r>
      <w:r w:rsidRPr="00A97363">
        <w:rPr>
          <w:b/>
          <w:bCs/>
          <w:noProof/>
          <w:szCs w:val="24"/>
        </w:rPr>
        <w:t>Characterization of the osmoprotectant transporter OpuC from Pseudomonas syringae and demonstration that cystathionine-beta-synthase domains are required for its osmoregulatory function.</w:t>
      </w:r>
      <w:r w:rsidRPr="00A97363">
        <w:rPr>
          <w:noProof/>
          <w:szCs w:val="24"/>
        </w:rPr>
        <w:t xml:space="preserve"> </w:t>
      </w:r>
      <w:r w:rsidRPr="00A97363">
        <w:rPr>
          <w:i/>
          <w:iCs/>
          <w:noProof/>
          <w:szCs w:val="24"/>
        </w:rPr>
        <w:t>J Bacteriol</w:t>
      </w:r>
      <w:r w:rsidRPr="00A97363">
        <w:rPr>
          <w:noProof/>
          <w:szCs w:val="24"/>
        </w:rPr>
        <w:t xml:space="preserve"> 2007, </w:t>
      </w:r>
      <w:r w:rsidRPr="00A97363">
        <w:rPr>
          <w:b/>
          <w:bCs/>
          <w:noProof/>
          <w:szCs w:val="24"/>
        </w:rPr>
        <w:t>189</w:t>
      </w:r>
      <w:r w:rsidRPr="00A97363">
        <w:rPr>
          <w:noProof/>
          <w:szCs w:val="24"/>
        </w:rPr>
        <w:t>:6901–12.</w:t>
      </w:r>
    </w:p>
    <w:p w14:paraId="3D17234A"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56. </w:t>
      </w:r>
      <w:r w:rsidRPr="00A97363">
        <w:rPr>
          <w:noProof/>
          <w:szCs w:val="24"/>
        </w:rPr>
        <w:tab/>
        <w:t xml:space="preserve">Huynh TN, Choi PH, Sureka K, Ledvina HE, Campillo J, Tong L, Woodward JJ: </w:t>
      </w:r>
      <w:r w:rsidRPr="00A97363">
        <w:rPr>
          <w:b/>
          <w:bCs/>
          <w:noProof/>
          <w:szCs w:val="24"/>
        </w:rPr>
        <w:t>Cyclic di-AMP targets the cystathionine beta-synthase domain of the osmolyte transporter OpuC</w:t>
      </w:r>
      <w:r w:rsidRPr="00A97363">
        <w:rPr>
          <w:noProof/>
          <w:szCs w:val="24"/>
        </w:rPr>
        <w:t xml:space="preserve">. </w:t>
      </w:r>
      <w:r w:rsidRPr="00A97363">
        <w:rPr>
          <w:i/>
          <w:iCs/>
          <w:noProof/>
          <w:szCs w:val="24"/>
        </w:rPr>
        <w:t>Mol Microbiol</w:t>
      </w:r>
      <w:r w:rsidRPr="00A97363">
        <w:rPr>
          <w:noProof/>
          <w:szCs w:val="24"/>
        </w:rPr>
        <w:t xml:space="preserve"> 2016, </w:t>
      </w:r>
      <w:r w:rsidRPr="00A97363">
        <w:rPr>
          <w:b/>
          <w:bCs/>
          <w:noProof/>
          <w:szCs w:val="24"/>
        </w:rPr>
        <w:t>102</w:t>
      </w:r>
      <w:r w:rsidRPr="00A97363">
        <w:rPr>
          <w:noProof/>
          <w:szCs w:val="24"/>
        </w:rPr>
        <w:t>:233–243.</w:t>
      </w:r>
    </w:p>
    <w:p w14:paraId="3BB19C7C"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57. </w:t>
      </w:r>
      <w:r w:rsidRPr="00A97363">
        <w:rPr>
          <w:noProof/>
          <w:szCs w:val="24"/>
        </w:rPr>
        <w:tab/>
        <w:t xml:space="preserve">Schuster CF, Bellows LE, Tosi T, Campeotto I, Corrigan RM, Freemont P, Gründling A: </w:t>
      </w:r>
      <w:r w:rsidRPr="00A97363">
        <w:rPr>
          <w:b/>
          <w:bCs/>
          <w:noProof/>
          <w:szCs w:val="24"/>
        </w:rPr>
        <w:t>The second messenger c-di-AMP inhibits the osmolyte uptake system OpuC in Staphylococcus aureus.</w:t>
      </w:r>
      <w:r w:rsidRPr="00A97363">
        <w:rPr>
          <w:noProof/>
          <w:szCs w:val="24"/>
        </w:rPr>
        <w:t xml:space="preserve"> </w:t>
      </w:r>
      <w:r w:rsidRPr="00A97363">
        <w:rPr>
          <w:i/>
          <w:iCs/>
          <w:noProof/>
          <w:szCs w:val="24"/>
        </w:rPr>
        <w:t>Sci Signal</w:t>
      </w:r>
      <w:r w:rsidRPr="00A97363">
        <w:rPr>
          <w:noProof/>
          <w:szCs w:val="24"/>
        </w:rPr>
        <w:t xml:space="preserve"> 2016, </w:t>
      </w:r>
      <w:r w:rsidRPr="00A97363">
        <w:rPr>
          <w:b/>
          <w:bCs/>
          <w:noProof/>
          <w:szCs w:val="24"/>
        </w:rPr>
        <w:t>9</w:t>
      </w:r>
      <w:r w:rsidRPr="00A97363">
        <w:rPr>
          <w:noProof/>
          <w:szCs w:val="24"/>
        </w:rPr>
        <w:t>:ra81.</w:t>
      </w:r>
    </w:p>
    <w:p w14:paraId="27CD0948"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58. </w:t>
      </w:r>
      <w:r w:rsidRPr="00A97363">
        <w:rPr>
          <w:noProof/>
          <w:szCs w:val="24"/>
        </w:rPr>
        <w:tab/>
        <w:t xml:space="preserve">Quintana IM, Gibhardt J, Turdiev A, Hammer E, Commichau FM, Lee VT, Magni C, Stülke J: </w:t>
      </w:r>
      <w:r w:rsidRPr="00A97363">
        <w:rPr>
          <w:b/>
          <w:bCs/>
          <w:noProof/>
          <w:szCs w:val="24"/>
        </w:rPr>
        <w:t>The KupA and KupB Proteins of Lactococcus lactis IL1403 Are Novel c-di-AMP Receptor Proteins Responsible for Potassium Uptake.</w:t>
      </w:r>
      <w:r w:rsidRPr="00A97363">
        <w:rPr>
          <w:noProof/>
          <w:szCs w:val="24"/>
        </w:rPr>
        <w:t xml:space="preserve"> </w:t>
      </w:r>
      <w:r w:rsidRPr="00A97363">
        <w:rPr>
          <w:i/>
          <w:iCs/>
          <w:noProof/>
          <w:szCs w:val="24"/>
        </w:rPr>
        <w:t>J Bacteriol</w:t>
      </w:r>
      <w:r w:rsidRPr="00A97363">
        <w:rPr>
          <w:noProof/>
          <w:szCs w:val="24"/>
        </w:rPr>
        <w:t xml:space="preserve"> 2019, </w:t>
      </w:r>
      <w:r w:rsidRPr="00A97363">
        <w:rPr>
          <w:b/>
          <w:bCs/>
          <w:noProof/>
          <w:szCs w:val="24"/>
        </w:rPr>
        <w:t>201</w:t>
      </w:r>
      <w:r w:rsidRPr="00A97363">
        <w:rPr>
          <w:noProof/>
          <w:szCs w:val="24"/>
        </w:rPr>
        <w:t>:e00028-19.</w:t>
      </w:r>
    </w:p>
    <w:p w14:paraId="7FE9C686"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59. </w:t>
      </w:r>
      <w:r w:rsidRPr="00A97363">
        <w:rPr>
          <w:noProof/>
          <w:szCs w:val="24"/>
        </w:rPr>
        <w:tab/>
        <w:t xml:space="preserve">Vollmer AC, Bark SJ: </w:t>
      </w:r>
      <w:r w:rsidRPr="00A97363">
        <w:rPr>
          <w:b/>
          <w:bCs/>
          <w:noProof/>
          <w:szCs w:val="24"/>
        </w:rPr>
        <w:t>Twenty-Five Years of Investigating the Universal Stress Protein: Function, Structure, and Applications</w:t>
      </w:r>
      <w:r w:rsidRPr="00A97363">
        <w:rPr>
          <w:noProof/>
          <w:szCs w:val="24"/>
        </w:rPr>
        <w:t xml:space="preserve">. In </w:t>
      </w:r>
      <w:r w:rsidRPr="00A97363">
        <w:rPr>
          <w:i/>
          <w:iCs/>
          <w:noProof/>
          <w:szCs w:val="24"/>
        </w:rPr>
        <w:t>Advances in applied microbiology</w:t>
      </w:r>
      <w:r w:rsidRPr="00A97363">
        <w:rPr>
          <w:noProof/>
          <w:szCs w:val="24"/>
        </w:rPr>
        <w:t>. . 2018:1–36.</w:t>
      </w:r>
    </w:p>
    <w:p w14:paraId="46720BCC"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60. </w:t>
      </w:r>
      <w:r w:rsidRPr="00A97363">
        <w:rPr>
          <w:noProof/>
          <w:szCs w:val="24"/>
        </w:rPr>
        <w:tab/>
        <w:t xml:space="preserve">Jangir MM, Vani B, Chowdhury S: </w:t>
      </w:r>
      <w:r w:rsidRPr="00A97363">
        <w:rPr>
          <w:b/>
          <w:bCs/>
          <w:noProof/>
          <w:szCs w:val="24"/>
        </w:rPr>
        <w:t>Analysis of seven putative Na+/H+ antiporters of Arthrospira platensis NIES-39 using transcription profiling and In-silico studies: an indication towards alkaline pH acclimation</w:t>
      </w:r>
      <w:r w:rsidRPr="00A97363">
        <w:rPr>
          <w:noProof/>
          <w:szCs w:val="24"/>
        </w:rPr>
        <w:t xml:space="preserve">. </w:t>
      </w:r>
      <w:r w:rsidRPr="00A97363">
        <w:rPr>
          <w:i/>
          <w:iCs/>
          <w:noProof/>
          <w:szCs w:val="24"/>
        </w:rPr>
        <w:t>bioRxiv</w:t>
      </w:r>
      <w:r w:rsidRPr="00A97363">
        <w:rPr>
          <w:noProof/>
          <w:szCs w:val="24"/>
        </w:rPr>
        <w:t xml:space="preserve"> 2018, doi:10.1101/344416.</w:t>
      </w:r>
    </w:p>
    <w:p w14:paraId="203B7A89"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61. </w:t>
      </w:r>
      <w:r w:rsidRPr="00A97363">
        <w:rPr>
          <w:noProof/>
          <w:szCs w:val="24"/>
        </w:rPr>
        <w:tab/>
        <w:t xml:space="preserve">Kvint K, Nachin L, Diez A, Nyström T: </w:t>
      </w:r>
      <w:r w:rsidRPr="00A97363">
        <w:rPr>
          <w:b/>
          <w:bCs/>
          <w:noProof/>
          <w:szCs w:val="24"/>
        </w:rPr>
        <w:t>The bacterial universal stress protein: function and regulation</w:t>
      </w:r>
      <w:r w:rsidRPr="00A97363">
        <w:rPr>
          <w:noProof/>
          <w:szCs w:val="24"/>
        </w:rPr>
        <w:t xml:space="preserve">. </w:t>
      </w:r>
      <w:r w:rsidRPr="00A97363">
        <w:rPr>
          <w:i/>
          <w:iCs/>
          <w:noProof/>
          <w:szCs w:val="24"/>
        </w:rPr>
        <w:t>Curr Opin Microbiol</w:t>
      </w:r>
      <w:r w:rsidRPr="00A97363">
        <w:rPr>
          <w:noProof/>
          <w:szCs w:val="24"/>
        </w:rPr>
        <w:t xml:space="preserve"> 2003, </w:t>
      </w:r>
      <w:r w:rsidRPr="00A97363">
        <w:rPr>
          <w:b/>
          <w:bCs/>
          <w:noProof/>
          <w:szCs w:val="24"/>
        </w:rPr>
        <w:t>6</w:t>
      </w:r>
      <w:r w:rsidRPr="00A97363">
        <w:rPr>
          <w:noProof/>
          <w:szCs w:val="24"/>
        </w:rPr>
        <w:t>:140–145.</w:t>
      </w:r>
    </w:p>
    <w:p w14:paraId="24D8A30D"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62. </w:t>
      </w:r>
      <w:r w:rsidRPr="00A97363">
        <w:rPr>
          <w:noProof/>
          <w:szCs w:val="24"/>
        </w:rPr>
        <w:tab/>
        <w:t xml:space="preserve">Méheust R, Watson AK, Lapointe F-J, Papke RT, Lopez P, Bapteste E: </w:t>
      </w:r>
      <w:r w:rsidRPr="00A97363">
        <w:rPr>
          <w:b/>
          <w:bCs/>
          <w:noProof/>
          <w:szCs w:val="24"/>
        </w:rPr>
        <w:t>Hundreds of novel composite genes and chimeric genes with bacterial origins contributed to haloarchaeal evolution.</w:t>
      </w:r>
      <w:r w:rsidRPr="00A97363">
        <w:rPr>
          <w:noProof/>
          <w:szCs w:val="24"/>
        </w:rPr>
        <w:t xml:space="preserve"> </w:t>
      </w:r>
      <w:r w:rsidRPr="00A97363">
        <w:rPr>
          <w:i/>
          <w:iCs/>
          <w:noProof/>
          <w:szCs w:val="24"/>
        </w:rPr>
        <w:t>Genome Biol</w:t>
      </w:r>
      <w:r w:rsidRPr="00A97363">
        <w:rPr>
          <w:noProof/>
          <w:szCs w:val="24"/>
        </w:rPr>
        <w:t xml:space="preserve"> 2018, </w:t>
      </w:r>
      <w:r w:rsidRPr="00A97363">
        <w:rPr>
          <w:b/>
          <w:bCs/>
          <w:noProof/>
          <w:szCs w:val="24"/>
        </w:rPr>
        <w:t>19</w:t>
      </w:r>
      <w:r w:rsidRPr="00A97363">
        <w:rPr>
          <w:noProof/>
          <w:szCs w:val="24"/>
        </w:rPr>
        <w:t>:75.</w:t>
      </w:r>
    </w:p>
    <w:p w14:paraId="25F3F5ED"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63. </w:t>
      </w:r>
      <w:r w:rsidRPr="00A97363">
        <w:rPr>
          <w:noProof/>
          <w:szCs w:val="24"/>
        </w:rPr>
        <w:tab/>
        <w:t xml:space="preserve">Mulligan C, Kelly DJ, Thomas GH: </w:t>
      </w:r>
      <w:r w:rsidRPr="00A97363">
        <w:rPr>
          <w:b/>
          <w:bCs/>
          <w:noProof/>
          <w:szCs w:val="24"/>
        </w:rPr>
        <w:t>Tripartite ATP-independent periplasmic transporters: application of a relational database for genome-wide analysis of transporter gene frequency and organization.</w:t>
      </w:r>
      <w:r w:rsidRPr="00A97363">
        <w:rPr>
          <w:noProof/>
          <w:szCs w:val="24"/>
        </w:rPr>
        <w:t xml:space="preserve"> </w:t>
      </w:r>
      <w:r w:rsidRPr="00A97363">
        <w:rPr>
          <w:i/>
          <w:iCs/>
          <w:noProof/>
          <w:szCs w:val="24"/>
        </w:rPr>
        <w:t>J Mol Microbiol Biotechnol</w:t>
      </w:r>
      <w:r w:rsidRPr="00A97363">
        <w:rPr>
          <w:noProof/>
          <w:szCs w:val="24"/>
        </w:rPr>
        <w:t xml:space="preserve"> 2007, </w:t>
      </w:r>
      <w:r w:rsidRPr="00A97363">
        <w:rPr>
          <w:b/>
          <w:bCs/>
          <w:noProof/>
          <w:szCs w:val="24"/>
        </w:rPr>
        <w:t>12</w:t>
      </w:r>
      <w:r w:rsidRPr="00A97363">
        <w:rPr>
          <w:noProof/>
          <w:szCs w:val="24"/>
        </w:rPr>
        <w:t>:218–26.</w:t>
      </w:r>
    </w:p>
    <w:p w14:paraId="1B2E5486"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lastRenderedPageBreak/>
        <w:t xml:space="preserve">64. </w:t>
      </w:r>
      <w:r w:rsidRPr="00A97363">
        <w:rPr>
          <w:noProof/>
          <w:szCs w:val="24"/>
        </w:rPr>
        <w:tab/>
        <w:t xml:space="preserve">Anantharaman V, Koonin E V, Aravind L: </w:t>
      </w:r>
      <w:r w:rsidRPr="00A97363">
        <w:rPr>
          <w:b/>
          <w:bCs/>
          <w:noProof/>
          <w:szCs w:val="24"/>
        </w:rPr>
        <w:t>Regulatory potential, phyletic distribution and evolution of ancient, intracellular small-molecule-binding domains</w:t>
      </w:r>
      <w:r w:rsidRPr="00A97363">
        <w:rPr>
          <w:noProof/>
          <w:szCs w:val="24"/>
        </w:rPr>
        <w:t xml:space="preserve">. </w:t>
      </w:r>
      <w:r w:rsidRPr="00A97363">
        <w:rPr>
          <w:i/>
          <w:iCs/>
          <w:noProof/>
          <w:szCs w:val="24"/>
        </w:rPr>
        <w:t>J Mol Biol</w:t>
      </w:r>
      <w:r w:rsidRPr="00A97363">
        <w:rPr>
          <w:noProof/>
          <w:szCs w:val="24"/>
        </w:rPr>
        <w:t xml:space="preserve"> 2001, </w:t>
      </w:r>
      <w:r w:rsidRPr="00A97363">
        <w:rPr>
          <w:b/>
          <w:bCs/>
          <w:noProof/>
          <w:szCs w:val="24"/>
        </w:rPr>
        <w:t>307</w:t>
      </w:r>
      <w:r w:rsidRPr="00A97363">
        <w:rPr>
          <w:noProof/>
          <w:szCs w:val="24"/>
        </w:rPr>
        <w:t>:1271–1292.</w:t>
      </w:r>
    </w:p>
    <w:p w14:paraId="5B6D60D6"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65. </w:t>
      </w:r>
      <w:r w:rsidRPr="00A97363">
        <w:rPr>
          <w:noProof/>
          <w:szCs w:val="24"/>
        </w:rPr>
        <w:tab/>
        <w:t xml:space="preserve">Severi E, Thomas GH: </w:t>
      </w:r>
      <w:r w:rsidRPr="00A97363">
        <w:rPr>
          <w:b/>
          <w:bCs/>
          <w:noProof/>
          <w:szCs w:val="24"/>
        </w:rPr>
        <w:t>Antibiotic export: transporters involved in the final step of natural product production</w:t>
      </w:r>
      <w:r w:rsidRPr="00A97363">
        <w:rPr>
          <w:noProof/>
          <w:szCs w:val="24"/>
        </w:rPr>
        <w:t xml:space="preserve">. </w:t>
      </w:r>
      <w:r w:rsidRPr="00A97363">
        <w:rPr>
          <w:i/>
          <w:iCs/>
          <w:noProof/>
          <w:szCs w:val="24"/>
        </w:rPr>
        <w:t>Microbiology</w:t>
      </w:r>
      <w:r w:rsidRPr="00A97363">
        <w:rPr>
          <w:noProof/>
          <w:szCs w:val="24"/>
        </w:rPr>
        <w:t xml:space="preserve"> 2019, doi:10.1099/mic.0.000794.</w:t>
      </w:r>
    </w:p>
    <w:p w14:paraId="0E28C883"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66. </w:t>
      </w:r>
      <w:r w:rsidRPr="00A97363">
        <w:rPr>
          <w:noProof/>
          <w:szCs w:val="24"/>
        </w:rPr>
        <w:tab/>
        <w:t xml:space="preserve">Håvarstein LS, Diep DB, Nes IF: </w:t>
      </w:r>
      <w:r w:rsidRPr="00A97363">
        <w:rPr>
          <w:b/>
          <w:bCs/>
          <w:noProof/>
          <w:szCs w:val="24"/>
        </w:rPr>
        <w:t>A family of bacteriocin ABC transporters carry out proteolytic processing of their substrates concomitant with export.</w:t>
      </w:r>
      <w:r w:rsidRPr="00A97363">
        <w:rPr>
          <w:noProof/>
          <w:szCs w:val="24"/>
        </w:rPr>
        <w:t xml:space="preserve"> </w:t>
      </w:r>
      <w:r w:rsidRPr="00A97363">
        <w:rPr>
          <w:i/>
          <w:iCs/>
          <w:noProof/>
          <w:szCs w:val="24"/>
        </w:rPr>
        <w:t>Mol Microbiol</w:t>
      </w:r>
      <w:r w:rsidRPr="00A97363">
        <w:rPr>
          <w:noProof/>
          <w:szCs w:val="24"/>
        </w:rPr>
        <w:t xml:space="preserve"> 1995, </w:t>
      </w:r>
      <w:r w:rsidRPr="00A97363">
        <w:rPr>
          <w:b/>
          <w:bCs/>
          <w:noProof/>
          <w:szCs w:val="24"/>
        </w:rPr>
        <w:t>16</w:t>
      </w:r>
      <w:r w:rsidRPr="00A97363">
        <w:rPr>
          <w:noProof/>
          <w:szCs w:val="24"/>
        </w:rPr>
        <w:t>:229–40.</w:t>
      </w:r>
    </w:p>
    <w:p w14:paraId="4DA10A1A"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67. </w:t>
      </w:r>
      <w:r w:rsidRPr="00A97363">
        <w:rPr>
          <w:noProof/>
          <w:szCs w:val="24"/>
        </w:rPr>
        <w:tab/>
        <w:t xml:space="preserve">Nishie M, Shioya K, Nagao J, Jikuya H, Sonomoto K: </w:t>
      </w:r>
      <w:r w:rsidRPr="00A97363">
        <w:rPr>
          <w:b/>
          <w:bCs/>
          <w:noProof/>
          <w:szCs w:val="24"/>
        </w:rPr>
        <w:t>ATP-dependent leader peptide cleavage by NukT, a bifunctional ABC transporter, during lantibiotic biosynthesis</w:t>
      </w:r>
      <w:r w:rsidRPr="00A97363">
        <w:rPr>
          <w:noProof/>
          <w:szCs w:val="24"/>
        </w:rPr>
        <w:t xml:space="preserve">. </w:t>
      </w:r>
      <w:r w:rsidRPr="00A97363">
        <w:rPr>
          <w:i/>
          <w:iCs/>
          <w:noProof/>
          <w:szCs w:val="24"/>
        </w:rPr>
        <w:t>J Biosci Bioeng</w:t>
      </w:r>
      <w:r w:rsidRPr="00A97363">
        <w:rPr>
          <w:noProof/>
          <w:szCs w:val="24"/>
        </w:rPr>
        <w:t xml:space="preserve"> 2009, </w:t>
      </w:r>
      <w:r w:rsidRPr="00A97363">
        <w:rPr>
          <w:b/>
          <w:bCs/>
          <w:noProof/>
          <w:szCs w:val="24"/>
        </w:rPr>
        <w:t>108</w:t>
      </w:r>
      <w:r w:rsidRPr="00A97363">
        <w:rPr>
          <w:noProof/>
          <w:szCs w:val="24"/>
        </w:rPr>
        <w:t>:460–464.</w:t>
      </w:r>
    </w:p>
    <w:p w14:paraId="360D7059"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68. </w:t>
      </w:r>
      <w:r w:rsidRPr="00A97363">
        <w:rPr>
          <w:noProof/>
          <w:szCs w:val="24"/>
        </w:rPr>
        <w:tab/>
        <w:t xml:space="preserve">Zheng S, Nagao J, Nishie M, Zendo T, Sonomoto K: </w:t>
      </w:r>
      <w:r w:rsidRPr="00A97363">
        <w:rPr>
          <w:b/>
          <w:bCs/>
          <w:noProof/>
          <w:szCs w:val="24"/>
        </w:rPr>
        <w:t>ATPase activity regulation by leader peptide processing of ABC transporter maturation and secretion protein, NukT, for lantibiotic nukacin ISK-1</w:t>
      </w:r>
      <w:r w:rsidRPr="00A97363">
        <w:rPr>
          <w:noProof/>
          <w:szCs w:val="24"/>
        </w:rPr>
        <w:t xml:space="preserve">. </w:t>
      </w:r>
      <w:r w:rsidRPr="00A97363">
        <w:rPr>
          <w:i/>
          <w:iCs/>
          <w:noProof/>
          <w:szCs w:val="24"/>
        </w:rPr>
        <w:t>Appl Microbiol Biotechnol</w:t>
      </w:r>
      <w:r w:rsidRPr="00A97363">
        <w:rPr>
          <w:noProof/>
          <w:szCs w:val="24"/>
        </w:rPr>
        <w:t xml:space="preserve"> 2018, </w:t>
      </w:r>
      <w:r w:rsidRPr="00A97363">
        <w:rPr>
          <w:b/>
          <w:bCs/>
          <w:noProof/>
          <w:szCs w:val="24"/>
        </w:rPr>
        <w:t>102</w:t>
      </w:r>
      <w:r w:rsidRPr="00A97363">
        <w:rPr>
          <w:noProof/>
          <w:szCs w:val="24"/>
        </w:rPr>
        <w:t>:763–772.</w:t>
      </w:r>
    </w:p>
    <w:p w14:paraId="3C9BC533"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69. </w:t>
      </w:r>
      <w:r w:rsidRPr="00A97363">
        <w:rPr>
          <w:noProof/>
          <w:szCs w:val="24"/>
        </w:rPr>
        <w:tab/>
        <w:t xml:space="preserve">Harvat EM, Zhang Y-M, Tran C V, Zhang Z, Frank MW, Rock CO, Saier MH: </w:t>
      </w:r>
      <w:r w:rsidRPr="00A97363">
        <w:rPr>
          <w:b/>
          <w:bCs/>
          <w:noProof/>
          <w:szCs w:val="24"/>
        </w:rPr>
        <w:t>Lysophospholipid flipping across the Escherichia coli inner membrane catalyzed by a transporter (LplT) belonging to the major facilitator superfamily.</w:t>
      </w:r>
      <w:r w:rsidRPr="00A97363">
        <w:rPr>
          <w:noProof/>
          <w:szCs w:val="24"/>
        </w:rPr>
        <w:t xml:space="preserve"> </w:t>
      </w:r>
      <w:r w:rsidRPr="00A97363">
        <w:rPr>
          <w:i/>
          <w:iCs/>
          <w:noProof/>
          <w:szCs w:val="24"/>
        </w:rPr>
        <w:t>J Biol Chem</w:t>
      </w:r>
      <w:r w:rsidRPr="00A97363">
        <w:rPr>
          <w:noProof/>
          <w:szCs w:val="24"/>
        </w:rPr>
        <w:t xml:space="preserve"> 2005, </w:t>
      </w:r>
      <w:r w:rsidRPr="00A97363">
        <w:rPr>
          <w:b/>
          <w:bCs/>
          <w:noProof/>
          <w:szCs w:val="24"/>
        </w:rPr>
        <w:t>280</w:t>
      </w:r>
      <w:r w:rsidRPr="00A97363">
        <w:rPr>
          <w:noProof/>
          <w:szCs w:val="24"/>
        </w:rPr>
        <w:t>:12028–34.</w:t>
      </w:r>
    </w:p>
    <w:p w14:paraId="3EE8F837"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70. </w:t>
      </w:r>
      <w:r w:rsidRPr="00A97363">
        <w:rPr>
          <w:noProof/>
          <w:szCs w:val="24"/>
        </w:rPr>
        <w:tab/>
        <w:t xml:space="preserve">Zheng L, Lin Y, Lu S, Zhang J, Bogdanov M: </w:t>
      </w:r>
      <w:r w:rsidRPr="00A97363">
        <w:rPr>
          <w:b/>
          <w:bCs/>
          <w:noProof/>
          <w:szCs w:val="24"/>
        </w:rPr>
        <w:t>Biogenesis, transport and remodeling of lysophospholipids in Gram-negative bacteria.</w:t>
      </w:r>
      <w:r w:rsidRPr="00A97363">
        <w:rPr>
          <w:noProof/>
          <w:szCs w:val="24"/>
        </w:rPr>
        <w:t xml:space="preserve"> </w:t>
      </w:r>
      <w:r w:rsidRPr="00A97363">
        <w:rPr>
          <w:i/>
          <w:iCs/>
          <w:noProof/>
          <w:szCs w:val="24"/>
        </w:rPr>
        <w:t>Biochim Biophys acta Mol cell Biol lipids</w:t>
      </w:r>
      <w:r w:rsidRPr="00A97363">
        <w:rPr>
          <w:noProof/>
          <w:szCs w:val="24"/>
        </w:rPr>
        <w:t xml:space="preserve"> 2017, </w:t>
      </w:r>
      <w:r w:rsidRPr="00A97363">
        <w:rPr>
          <w:b/>
          <w:bCs/>
          <w:noProof/>
          <w:szCs w:val="24"/>
        </w:rPr>
        <w:t>1862</w:t>
      </w:r>
      <w:r w:rsidRPr="00A97363">
        <w:rPr>
          <w:noProof/>
          <w:szCs w:val="24"/>
        </w:rPr>
        <w:t>:1404–1413.</w:t>
      </w:r>
    </w:p>
    <w:p w14:paraId="0A8722C9"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71. </w:t>
      </w:r>
      <w:r w:rsidRPr="00A97363">
        <w:rPr>
          <w:noProof/>
          <w:szCs w:val="24"/>
        </w:rPr>
        <w:tab/>
        <w:t xml:space="preserve">Raschdorf O, Müller FD, Pósfai M, Plitzko JM, Schüler D: </w:t>
      </w:r>
      <w:r w:rsidRPr="00A97363">
        <w:rPr>
          <w:b/>
          <w:bCs/>
          <w:noProof/>
          <w:szCs w:val="24"/>
        </w:rPr>
        <w:t>The magnetosome proteins MamX, MamZ and MamH are involved in redox control of magnetite biomineralization in Magnetospirillum gryphiswaldense.</w:t>
      </w:r>
      <w:r w:rsidRPr="00A97363">
        <w:rPr>
          <w:noProof/>
          <w:szCs w:val="24"/>
        </w:rPr>
        <w:t xml:space="preserve"> </w:t>
      </w:r>
      <w:r w:rsidRPr="00A97363">
        <w:rPr>
          <w:i/>
          <w:iCs/>
          <w:noProof/>
          <w:szCs w:val="24"/>
        </w:rPr>
        <w:t>Mol Microbiol</w:t>
      </w:r>
      <w:r w:rsidRPr="00A97363">
        <w:rPr>
          <w:noProof/>
          <w:szCs w:val="24"/>
        </w:rPr>
        <w:t xml:space="preserve"> 2013, </w:t>
      </w:r>
      <w:r w:rsidRPr="00A97363">
        <w:rPr>
          <w:b/>
          <w:bCs/>
          <w:noProof/>
          <w:szCs w:val="24"/>
        </w:rPr>
        <w:t>89</w:t>
      </w:r>
      <w:r w:rsidRPr="00A97363">
        <w:rPr>
          <w:noProof/>
          <w:szCs w:val="24"/>
        </w:rPr>
        <w:t>:872–86.</w:t>
      </w:r>
    </w:p>
    <w:p w14:paraId="7D4E3376"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72. </w:t>
      </w:r>
      <w:r w:rsidRPr="00A97363">
        <w:rPr>
          <w:noProof/>
          <w:szCs w:val="24"/>
        </w:rPr>
        <w:tab/>
        <w:t xml:space="preserve">Beale JH, Parker JL, Samsudin F, Barrett AL, Senan A, Bird LE, Scott D, Owens RJ, Sansom MSP, Tucker SJ, et al.: </w:t>
      </w:r>
      <w:r w:rsidRPr="00A97363">
        <w:rPr>
          <w:b/>
          <w:bCs/>
          <w:noProof/>
          <w:szCs w:val="24"/>
        </w:rPr>
        <w:t>Crystal Structures of the Extracellular Domain from PepT1 and PepT2 Provide Novel Insights into Mammalian Peptide Transport</w:t>
      </w:r>
      <w:r w:rsidRPr="00A97363">
        <w:rPr>
          <w:noProof/>
          <w:szCs w:val="24"/>
        </w:rPr>
        <w:t xml:space="preserve">. </w:t>
      </w:r>
      <w:r w:rsidRPr="00A97363">
        <w:rPr>
          <w:i/>
          <w:iCs/>
          <w:noProof/>
          <w:szCs w:val="24"/>
        </w:rPr>
        <w:t>Structure</w:t>
      </w:r>
      <w:r w:rsidRPr="00A97363">
        <w:rPr>
          <w:noProof/>
          <w:szCs w:val="24"/>
        </w:rPr>
        <w:t xml:space="preserve"> 2015, </w:t>
      </w:r>
      <w:r w:rsidRPr="00A97363">
        <w:rPr>
          <w:b/>
          <w:bCs/>
          <w:noProof/>
          <w:szCs w:val="24"/>
        </w:rPr>
        <w:t>23</w:t>
      </w:r>
      <w:r w:rsidRPr="00A97363">
        <w:rPr>
          <w:noProof/>
          <w:szCs w:val="24"/>
        </w:rPr>
        <w:t>:1889–1899.</w:t>
      </w:r>
    </w:p>
    <w:p w14:paraId="3C1929C8"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73. </w:t>
      </w:r>
      <w:r w:rsidRPr="00A97363">
        <w:rPr>
          <w:noProof/>
          <w:szCs w:val="24"/>
        </w:rPr>
        <w:tab/>
        <w:t xml:space="preserve">Barabote RD, Saier MH, Jr.: </w:t>
      </w:r>
      <w:r w:rsidRPr="00A97363">
        <w:rPr>
          <w:b/>
          <w:bCs/>
          <w:noProof/>
          <w:szCs w:val="24"/>
        </w:rPr>
        <w:t>Comparative genomic analyses of the bacterial phosphotransferase system.</w:t>
      </w:r>
      <w:r w:rsidRPr="00A97363">
        <w:rPr>
          <w:noProof/>
          <w:szCs w:val="24"/>
        </w:rPr>
        <w:t xml:space="preserve"> </w:t>
      </w:r>
      <w:r w:rsidRPr="00A97363">
        <w:rPr>
          <w:i/>
          <w:iCs/>
          <w:noProof/>
          <w:szCs w:val="24"/>
        </w:rPr>
        <w:t>Microbiol Mol Biol Rev</w:t>
      </w:r>
      <w:r w:rsidRPr="00A97363">
        <w:rPr>
          <w:noProof/>
          <w:szCs w:val="24"/>
        </w:rPr>
        <w:t xml:space="preserve"> 2005, </w:t>
      </w:r>
      <w:r w:rsidRPr="00A97363">
        <w:rPr>
          <w:b/>
          <w:bCs/>
          <w:noProof/>
          <w:szCs w:val="24"/>
        </w:rPr>
        <w:t>69</w:t>
      </w:r>
      <w:r w:rsidRPr="00A97363">
        <w:rPr>
          <w:noProof/>
          <w:szCs w:val="24"/>
        </w:rPr>
        <w:t>:608–34.</w:t>
      </w:r>
    </w:p>
    <w:p w14:paraId="2C64B77F"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74. </w:t>
      </w:r>
      <w:r w:rsidRPr="00A97363">
        <w:rPr>
          <w:noProof/>
          <w:szCs w:val="24"/>
        </w:rPr>
        <w:tab/>
        <w:t xml:space="preserve">Mao Q, Schunk T, Gerber B, Erni B: </w:t>
      </w:r>
      <w:r w:rsidRPr="00A97363">
        <w:rPr>
          <w:b/>
          <w:bCs/>
          <w:noProof/>
          <w:szCs w:val="24"/>
        </w:rPr>
        <w:t xml:space="preserve">A String of Enzymes, Purification and Characterization of a Fusion Protein Comprising the Four Subunits of the Glucose Phosphotransferase System of </w:t>
      </w:r>
      <w:r w:rsidRPr="00A97363">
        <w:rPr>
          <w:b/>
          <w:bCs/>
          <w:i/>
          <w:iCs/>
          <w:noProof/>
          <w:szCs w:val="24"/>
        </w:rPr>
        <w:t>Escherichia coli</w:t>
      </w:r>
      <w:r w:rsidRPr="00A97363">
        <w:rPr>
          <w:noProof/>
          <w:szCs w:val="24"/>
        </w:rPr>
        <w:t xml:space="preserve">. </w:t>
      </w:r>
      <w:r w:rsidRPr="00A97363">
        <w:rPr>
          <w:i/>
          <w:iCs/>
          <w:noProof/>
          <w:szCs w:val="24"/>
        </w:rPr>
        <w:t>J Biol Chem</w:t>
      </w:r>
      <w:r w:rsidRPr="00A97363">
        <w:rPr>
          <w:noProof/>
          <w:szCs w:val="24"/>
        </w:rPr>
        <w:t xml:space="preserve"> 1995, </w:t>
      </w:r>
      <w:r w:rsidRPr="00A97363">
        <w:rPr>
          <w:b/>
          <w:bCs/>
          <w:noProof/>
          <w:szCs w:val="24"/>
        </w:rPr>
        <w:t>270</w:t>
      </w:r>
      <w:r w:rsidRPr="00A97363">
        <w:rPr>
          <w:noProof/>
          <w:szCs w:val="24"/>
        </w:rPr>
        <w:t>:18295–18300.</w:t>
      </w:r>
    </w:p>
    <w:p w14:paraId="2EE054CF"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75. </w:t>
      </w:r>
      <w:r w:rsidRPr="00A97363">
        <w:rPr>
          <w:noProof/>
          <w:szCs w:val="24"/>
        </w:rPr>
        <w:tab/>
        <w:t xml:space="preserve">Ben Fekih I, Zhang C, Li YP, Zhao Y, Alwathnani HA, Saquib Q, Rensing C, Cervantes C: </w:t>
      </w:r>
      <w:r w:rsidRPr="00A97363">
        <w:rPr>
          <w:b/>
          <w:bCs/>
          <w:noProof/>
          <w:szCs w:val="24"/>
        </w:rPr>
        <w:t>Distribution of Arsenic Resistance Genes in Prokaryotes.</w:t>
      </w:r>
      <w:r w:rsidRPr="00A97363">
        <w:rPr>
          <w:noProof/>
          <w:szCs w:val="24"/>
        </w:rPr>
        <w:t xml:space="preserve"> </w:t>
      </w:r>
      <w:r w:rsidRPr="00A97363">
        <w:rPr>
          <w:i/>
          <w:iCs/>
          <w:noProof/>
          <w:szCs w:val="24"/>
        </w:rPr>
        <w:t>Front Microbiol</w:t>
      </w:r>
      <w:r w:rsidRPr="00A97363">
        <w:rPr>
          <w:noProof/>
          <w:szCs w:val="24"/>
        </w:rPr>
        <w:t xml:space="preserve"> 2018, </w:t>
      </w:r>
      <w:r w:rsidRPr="00A97363">
        <w:rPr>
          <w:b/>
          <w:bCs/>
          <w:noProof/>
          <w:szCs w:val="24"/>
        </w:rPr>
        <w:t>9</w:t>
      </w:r>
      <w:r w:rsidRPr="00A97363">
        <w:rPr>
          <w:noProof/>
          <w:szCs w:val="24"/>
        </w:rPr>
        <w:t>:2473.</w:t>
      </w:r>
    </w:p>
    <w:p w14:paraId="6F226296"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76. </w:t>
      </w:r>
      <w:r w:rsidRPr="00A97363">
        <w:rPr>
          <w:noProof/>
          <w:szCs w:val="24"/>
        </w:rPr>
        <w:tab/>
        <w:t xml:space="preserve">Wu B, Song J, Beitz E: </w:t>
      </w:r>
      <w:r w:rsidRPr="00A97363">
        <w:rPr>
          <w:b/>
          <w:bCs/>
          <w:noProof/>
          <w:szCs w:val="24"/>
        </w:rPr>
        <w:t>Novel channel enzyme fusion proteins confer arsenate resistance.</w:t>
      </w:r>
      <w:r w:rsidRPr="00A97363">
        <w:rPr>
          <w:noProof/>
          <w:szCs w:val="24"/>
        </w:rPr>
        <w:t xml:space="preserve"> </w:t>
      </w:r>
      <w:r w:rsidRPr="00A97363">
        <w:rPr>
          <w:i/>
          <w:iCs/>
          <w:noProof/>
          <w:szCs w:val="24"/>
        </w:rPr>
        <w:t>J Biol Chem</w:t>
      </w:r>
      <w:r w:rsidRPr="00A97363">
        <w:rPr>
          <w:noProof/>
          <w:szCs w:val="24"/>
        </w:rPr>
        <w:t xml:space="preserve"> 2010, </w:t>
      </w:r>
      <w:r w:rsidRPr="00A97363">
        <w:rPr>
          <w:b/>
          <w:bCs/>
          <w:noProof/>
          <w:szCs w:val="24"/>
        </w:rPr>
        <w:t>285</w:t>
      </w:r>
      <w:r w:rsidRPr="00A97363">
        <w:rPr>
          <w:noProof/>
          <w:szCs w:val="24"/>
        </w:rPr>
        <w:t>:40081–7.</w:t>
      </w:r>
    </w:p>
    <w:p w14:paraId="152D0915"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77. </w:t>
      </w:r>
      <w:r w:rsidRPr="00A97363">
        <w:rPr>
          <w:noProof/>
          <w:szCs w:val="24"/>
        </w:rPr>
        <w:tab/>
        <w:t xml:space="preserve">Daley DO, Rapp M, Granseth E, Melén K, Drew D, von Heijne G: </w:t>
      </w:r>
      <w:r w:rsidRPr="00A97363">
        <w:rPr>
          <w:b/>
          <w:bCs/>
          <w:noProof/>
          <w:szCs w:val="24"/>
        </w:rPr>
        <w:t>Global topology analysis of the Escherichia coli inner membrane proteome.</w:t>
      </w:r>
      <w:r w:rsidRPr="00A97363">
        <w:rPr>
          <w:noProof/>
          <w:szCs w:val="24"/>
        </w:rPr>
        <w:t xml:space="preserve"> </w:t>
      </w:r>
      <w:r w:rsidRPr="00A97363">
        <w:rPr>
          <w:i/>
          <w:iCs/>
          <w:noProof/>
          <w:szCs w:val="24"/>
        </w:rPr>
        <w:t>Science</w:t>
      </w:r>
      <w:r w:rsidRPr="00A97363">
        <w:rPr>
          <w:noProof/>
          <w:szCs w:val="24"/>
        </w:rPr>
        <w:t xml:space="preserve"> 2005, </w:t>
      </w:r>
      <w:r w:rsidRPr="00A97363">
        <w:rPr>
          <w:b/>
          <w:bCs/>
          <w:noProof/>
          <w:szCs w:val="24"/>
        </w:rPr>
        <w:t>308</w:t>
      </w:r>
      <w:r w:rsidRPr="00A97363">
        <w:rPr>
          <w:noProof/>
          <w:szCs w:val="24"/>
        </w:rPr>
        <w:t>:1321–3.</w:t>
      </w:r>
    </w:p>
    <w:p w14:paraId="7BC23661"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78. </w:t>
      </w:r>
      <w:r w:rsidRPr="00A97363">
        <w:rPr>
          <w:noProof/>
          <w:szCs w:val="24"/>
        </w:rPr>
        <w:tab/>
        <w:t xml:space="preserve">Hsieh JM, Besserer GM, Madej MG, Bui H-Q, Kwon S, Abramson J: </w:t>
      </w:r>
      <w:r w:rsidRPr="00A97363">
        <w:rPr>
          <w:b/>
          <w:bCs/>
          <w:noProof/>
          <w:szCs w:val="24"/>
        </w:rPr>
        <w:t>Bridging the gap: A GFP-based strategy for overexpression and purification of membrane proteins with intra and extracellular C-termini</w:t>
      </w:r>
      <w:r w:rsidRPr="00A97363">
        <w:rPr>
          <w:noProof/>
          <w:szCs w:val="24"/>
        </w:rPr>
        <w:t xml:space="preserve">. </w:t>
      </w:r>
      <w:r w:rsidRPr="00A97363">
        <w:rPr>
          <w:i/>
          <w:iCs/>
          <w:noProof/>
          <w:szCs w:val="24"/>
        </w:rPr>
        <w:t>Protein Sci</w:t>
      </w:r>
      <w:r w:rsidRPr="00A97363">
        <w:rPr>
          <w:noProof/>
          <w:szCs w:val="24"/>
        </w:rPr>
        <w:t xml:space="preserve"> 2010, </w:t>
      </w:r>
      <w:r w:rsidRPr="00A97363">
        <w:rPr>
          <w:b/>
          <w:bCs/>
          <w:noProof/>
          <w:szCs w:val="24"/>
        </w:rPr>
        <w:t>19</w:t>
      </w:r>
      <w:r w:rsidRPr="00A97363">
        <w:rPr>
          <w:noProof/>
          <w:szCs w:val="24"/>
        </w:rPr>
        <w:t>:868–880.</w:t>
      </w:r>
    </w:p>
    <w:p w14:paraId="64AD1994"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79. </w:t>
      </w:r>
      <w:r w:rsidRPr="00A97363">
        <w:rPr>
          <w:noProof/>
          <w:szCs w:val="24"/>
        </w:rPr>
        <w:tab/>
        <w:t xml:space="preserve">Severi E, Randle G, Kivlin P, Whitfield K, Young R, Moxon R, Kelly D, Hood D, Thomas GH: </w:t>
      </w:r>
      <w:r w:rsidRPr="00A97363">
        <w:rPr>
          <w:b/>
          <w:bCs/>
          <w:noProof/>
          <w:szCs w:val="24"/>
        </w:rPr>
        <w:t xml:space="preserve">Sialic acid transport in </w:t>
      </w:r>
      <w:r w:rsidRPr="00A97363">
        <w:rPr>
          <w:b/>
          <w:bCs/>
          <w:i/>
          <w:iCs/>
          <w:noProof/>
          <w:szCs w:val="24"/>
        </w:rPr>
        <w:t>Haemophilus influenzae</w:t>
      </w:r>
      <w:r w:rsidRPr="00A97363">
        <w:rPr>
          <w:b/>
          <w:bCs/>
          <w:noProof/>
          <w:szCs w:val="24"/>
        </w:rPr>
        <w:t xml:space="preserve"> is essential for lipopolysaccharide sialylation and serum resistance and is dependent on a novel tripartite ATP-independent periplasmic transporter</w:t>
      </w:r>
      <w:r w:rsidRPr="00A97363">
        <w:rPr>
          <w:noProof/>
          <w:szCs w:val="24"/>
        </w:rPr>
        <w:t xml:space="preserve">. </w:t>
      </w:r>
      <w:r w:rsidRPr="00A97363">
        <w:rPr>
          <w:i/>
          <w:iCs/>
          <w:noProof/>
          <w:szCs w:val="24"/>
        </w:rPr>
        <w:t>Mol Microbiol</w:t>
      </w:r>
      <w:r w:rsidRPr="00A97363">
        <w:rPr>
          <w:noProof/>
          <w:szCs w:val="24"/>
        </w:rPr>
        <w:t xml:space="preserve"> 2005, </w:t>
      </w:r>
      <w:r w:rsidRPr="00A97363">
        <w:rPr>
          <w:b/>
          <w:bCs/>
          <w:noProof/>
          <w:szCs w:val="24"/>
        </w:rPr>
        <w:t>58</w:t>
      </w:r>
      <w:r w:rsidRPr="00A97363">
        <w:rPr>
          <w:noProof/>
          <w:szCs w:val="24"/>
        </w:rPr>
        <w:t>:1173–1185.</w:t>
      </w:r>
    </w:p>
    <w:p w14:paraId="5FBB23CC"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lastRenderedPageBreak/>
        <w:t xml:space="preserve">80. </w:t>
      </w:r>
      <w:r w:rsidRPr="00A97363">
        <w:rPr>
          <w:noProof/>
          <w:szCs w:val="24"/>
        </w:rPr>
        <w:tab/>
        <w:t xml:space="preserve">Mulligan C, Geertsma ER, Severi E, Kelly DJ, Poolman B, Thomas GH: </w:t>
      </w:r>
      <w:r w:rsidRPr="00A97363">
        <w:rPr>
          <w:b/>
          <w:bCs/>
          <w:noProof/>
          <w:szCs w:val="24"/>
        </w:rPr>
        <w:t>The substrate-binding protein imposes directionality on an electrochemical sodium gradient-driven TRAP transporter.</w:t>
      </w:r>
      <w:r w:rsidRPr="00A97363">
        <w:rPr>
          <w:noProof/>
          <w:szCs w:val="24"/>
        </w:rPr>
        <w:t xml:space="preserve"> </w:t>
      </w:r>
      <w:r w:rsidRPr="00A97363">
        <w:rPr>
          <w:i/>
          <w:iCs/>
          <w:noProof/>
          <w:szCs w:val="24"/>
        </w:rPr>
        <w:t>Proc Natl Acad Sci U S A</w:t>
      </w:r>
      <w:r w:rsidRPr="00A97363">
        <w:rPr>
          <w:noProof/>
          <w:szCs w:val="24"/>
        </w:rPr>
        <w:t xml:space="preserve"> 2009, </w:t>
      </w:r>
      <w:r w:rsidRPr="00A97363">
        <w:rPr>
          <w:b/>
          <w:bCs/>
          <w:noProof/>
          <w:szCs w:val="24"/>
        </w:rPr>
        <w:t>106</w:t>
      </w:r>
      <w:r w:rsidRPr="00A97363">
        <w:rPr>
          <w:noProof/>
          <w:szCs w:val="24"/>
        </w:rPr>
        <w:t>:1778–83.</w:t>
      </w:r>
    </w:p>
    <w:p w14:paraId="29592B91"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81. </w:t>
      </w:r>
      <w:r w:rsidRPr="00A97363">
        <w:rPr>
          <w:noProof/>
          <w:szCs w:val="24"/>
        </w:rPr>
        <w:tab/>
        <w:t xml:space="preserve">Hu Y-B, Sosso D, Qu X-Q, Chen L-Q, Ma L, Chermak D, Zhang D-C, Frommer WB: </w:t>
      </w:r>
      <w:r w:rsidRPr="00A97363">
        <w:rPr>
          <w:b/>
          <w:bCs/>
          <w:noProof/>
          <w:szCs w:val="24"/>
        </w:rPr>
        <w:t xml:space="preserve">Phylogenetic evidence for a fusion of archaeal and bacterial SemiSWEETs to form eukaryotic SWEETs and identification of SWEET hexose transporters in the amphibian chytrid pathogen </w:t>
      </w:r>
      <w:r w:rsidRPr="00A97363">
        <w:rPr>
          <w:b/>
          <w:bCs/>
          <w:i/>
          <w:iCs/>
          <w:noProof/>
          <w:szCs w:val="24"/>
        </w:rPr>
        <w:t>Batrachochytrium dendrobatidis</w:t>
      </w:r>
      <w:r w:rsidRPr="00A97363">
        <w:rPr>
          <w:noProof/>
          <w:szCs w:val="24"/>
        </w:rPr>
        <w:t xml:space="preserve">. </w:t>
      </w:r>
      <w:r w:rsidRPr="00A97363">
        <w:rPr>
          <w:i/>
          <w:iCs/>
          <w:noProof/>
          <w:szCs w:val="24"/>
        </w:rPr>
        <w:t>FASEB J</w:t>
      </w:r>
      <w:r w:rsidRPr="00A97363">
        <w:rPr>
          <w:noProof/>
          <w:szCs w:val="24"/>
        </w:rPr>
        <w:t xml:space="preserve"> 2016, </w:t>
      </w:r>
      <w:r w:rsidRPr="00A97363">
        <w:rPr>
          <w:b/>
          <w:bCs/>
          <w:noProof/>
          <w:szCs w:val="24"/>
        </w:rPr>
        <w:t>30</w:t>
      </w:r>
      <w:r w:rsidRPr="00A97363">
        <w:rPr>
          <w:noProof/>
          <w:szCs w:val="24"/>
        </w:rPr>
        <w:t>:3644–3654.</w:t>
      </w:r>
    </w:p>
    <w:p w14:paraId="5CE92713"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82. </w:t>
      </w:r>
      <w:r w:rsidRPr="00A97363">
        <w:rPr>
          <w:noProof/>
          <w:szCs w:val="24"/>
        </w:rPr>
        <w:tab/>
        <w:t xml:space="preserve">Holtmann G, Bakker EP, Uozumi N, Bremer E: </w:t>
      </w:r>
      <w:r w:rsidRPr="00A97363">
        <w:rPr>
          <w:b/>
          <w:bCs/>
          <w:noProof/>
          <w:szCs w:val="24"/>
        </w:rPr>
        <w:t>KtrAB and KtrCD: two K+ uptake systems in Bacillus subtilis and their role in adaptation to hypertonicity.</w:t>
      </w:r>
      <w:r w:rsidRPr="00A97363">
        <w:rPr>
          <w:noProof/>
          <w:szCs w:val="24"/>
        </w:rPr>
        <w:t xml:space="preserve"> </w:t>
      </w:r>
      <w:r w:rsidRPr="00A97363">
        <w:rPr>
          <w:i/>
          <w:iCs/>
          <w:noProof/>
          <w:szCs w:val="24"/>
        </w:rPr>
        <w:t>J Bacteriol</w:t>
      </w:r>
      <w:r w:rsidRPr="00A97363">
        <w:rPr>
          <w:noProof/>
          <w:szCs w:val="24"/>
        </w:rPr>
        <w:t xml:space="preserve"> 2003, </w:t>
      </w:r>
      <w:r w:rsidRPr="00A97363">
        <w:rPr>
          <w:b/>
          <w:bCs/>
          <w:noProof/>
          <w:szCs w:val="24"/>
        </w:rPr>
        <w:t>185</w:t>
      </w:r>
      <w:r w:rsidRPr="00A97363">
        <w:rPr>
          <w:noProof/>
          <w:szCs w:val="24"/>
        </w:rPr>
        <w:t>:1289–98.</w:t>
      </w:r>
    </w:p>
    <w:p w14:paraId="778CF617"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83. </w:t>
      </w:r>
      <w:r w:rsidRPr="00A97363">
        <w:rPr>
          <w:noProof/>
          <w:szCs w:val="24"/>
        </w:rPr>
        <w:tab/>
        <w:t xml:space="preserve">Albright RA, Ibar J-LV, Kim CU, Gruner SM, Morais-Cabral JH: </w:t>
      </w:r>
      <w:r w:rsidRPr="00A97363">
        <w:rPr>
          <w:b/>
          <w:bCs/>
          <w:noProof/>
          <w:szCs w:val="24"/>
        </w:rPr>
        <w:t>The RCK Domain of the KtrAB K+ Transporter: Multiple Conformations of an Octameric Ring</w:t>
      </w:r>
      <w:r w:rsidRPr="00A97363">
        <w:rPr>
          <w:noProof/>
          <w:szCs w:val="24"/>
        </w:rPr>
        <w:t xml:space="preserve">. </w:t>
      </w:r>
      <w:r w:rsidRPr="00A97363">
        <w:rPr>
          <w:i/>
          <w:iCs/>
          <w:noProof/>
          <w:szCs w:val="24"/>
        </w:rPr>
        <w:t>Cell</w:t>
      </w:r>
      <w:r w:rsidRPr="00A97363">
        <w:rPr>
          <w:noProof/>
          <w:szCs w:val="24"/>
        </w:rPr>
        <w:t xml:space="preserve"> 2006, </w:t>
      </w:r>
      <w:r w:rsidRPr="00A97363">
        <w:rPr>
          <w:b/>
          <w:bCs/>
          <w:noProof/>
          <w:szCs w:val="24"/>
        </w:rPr>
        <w:t>126</w:t>
      </w:r>
      <w:r w:rsidRPr="00A97363">
        <w:rPr>
          <w:noProof/>
          <w:szCs w:val="24"/>
        </w:rPr>
        <w:t>:1147–1159.</w:t>
      </w:r>
    </w:p>
    <w:p w14:paraId="75C9C9A9"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84. </w:t>
      </w:r>
      <w:r w:rsidRPr="00A97363">
        <w:rPr>
          <w:noProof/>
          <w:szCs w:val="24"/>
        </w:rPr>
        <w:tab/>
        <w:t xml:space="preserve">Jiang Y, Lee A, Chen J, Cadene M, Chait BT, MacKinnon R: </w:t>
      </w:r>
      <w:r w:rsidRPr="00A97363">
        <w:rPr>
          <w:b/>
          <w:bCs/>
          <w:noProof/>
          <w:szCs w:val="24"/>
        </w:rPr>
        <w:t>Crystal structure and mechanism of a calcium-gated potassium channel</w:t>
      </w:r>
      <w:r w:rsidRPr="00A97363">
        <w:rPr>
          <w:noProof/>
          <w:szCs w:val="24"/>
        </w:rPr>
        <w:t xml:space="preserve">. </w:t>
      </w:r>
      <w:r w:rsidRPr="00A97363">
        <w:rPr>
          <w:i/>
          <w:iCs/>
          <w:noProof/>
          <w:szCs w:val="24"/>
        </w:rPr>
        <w:t>Nature</w:t>
      </w:r>
      <w:r w:rsidRPr="00A97363">
        <w:rPr>
          <w:noProof/>
          <w:szCs w:val="24"/>
        </w:rPr>
        <w:t xml:space="preserve"> 2002, </w:t>
      </w:r>
      <w:r w:rsidRPr="00A97363">
        <w:rPr>
          <w:b/>
          <w:bCs/>
          <w:noProof/>
          <w:szCs w:val="24"/>
        </w:rPr>
        <w:t>417</w:t>
      </w:r>
      <w:r w:rsidRPr="00A97363">
        <w:rPr>
          <w:noProof/>
          <w:szCs w:val="24"/>
        </w:rPr>
        <w:t>:515–522.</w:t>
      </w:r>
    </w:p>
    <w:p w14:paraId="594A5B98"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85. </w:t>
      </w:r>
      <w:r w:rsidRPr="00A97363">
        <w:rPr>
          <w:noProof/>
          <w:szCs w:val="24"/>
        </w:rPr>
        <w:tab/>
        <w:t xml:space="preserve">Giraldez T, Rothberg BS: </w:t>
      </w:r>
      <w:r w:rsidRPr="00A97363">
        <w:rPr>
          <w:b/>
          <w:bCs/>
          <w:noProof/>
          <w:szCs w:val="24"/>
        </w:rPr>
        <w:t>Understanding the conformational motions of RCK gating rings</w:t>
      </w:r>
      <w:r w:rsidRPr="00A97363">
        <w:rPr>
          <w:noProof/>
          <w:szCs w:val="24"/>
        </w:rPr>
        <w:t xml:space="preserve">. </w:t>
      </w:r>
      <w:r w:rsidRPr="00A97363">
        <w:rPr>
          <w:i/>
          <w:iCs/>
          <w:noProof/>
          <w:szCs w:val="24"/>
        </w:rPr>
        <w:t>J Gen Physiol</w:t>
      </w:r>
      <w:r w:rsidRPr="00A97363">
        <w:rPr>
          <w:noProof/>
          <w:szCs w:val="24"/>
        </w:rPr>
        <w:t xml:space="preserve"> 2017, </w:t>
      </w:r>
      <w:r w:rsidRPr="00A97363">
        <w:rPr>
          <w:b/>
          <w:bCs/>
          <w:noProof/>
          <w:szCs w:val="24"/>
        </w:rPr>
        <w:t>149</w:t>
      </w:r>
      <w:r w:rsidRPr="00A97363">
        <w:rPr>
          <w:noProof/>
          <w:szCs w:val="24"/>
        </w:rPr>
        <w:t>:431–441.</w:t>
      </w:r>
    </w:p>
    <w:p w14:paraId="14A8B229"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86. </w:t>
      </w:r>
      <w:r w:rsidRPr="00A97363">
        <w:rPr>
          <w:noProof/>
          <w:szCs w:val="24"/>
        </w:rPr>
        <w:tab/>
        <w:t xml:space="preserve">Martinac B, Buechner M, Delcour AH, Adler J, Kung C: </w:t>
      </w:r>
      <w:r w:rsidRPr="00A97363">
        <w:rPr>
          <w:b/>
          <w:bCs/>
          <w:noProof/>
          <w:szCs w:val="24"/>
        </w:rPr>
        <w:t>Pressure-sensitive ion channel in Escherichia coli.</w:t>
      </w:r>
      <w:r w:rsidRPr="00A97363">
        <w:rPr>
          <w:noProof/>
          <w:szCs w:val="24"/>
        </w:rPr>
        <w:t xml:space="preserve"> </w:t>
      </w:r>
      <w:r w:rsidRPr="00A97363">
        <w:rPr>
          <w:i/>
          <w:iCs/>
          <w:noProof/>
          <w:szCs w:val="24"/>
        </w:rPr>
        <w:t>Proc Natl Acad Sci U S A</w:t>
      </w:r>
      <w:r w:rsidRPr="00A97363">
        <w:rPr>
          <w:noProof/>
          <w:szCs w:val="24"/>
        </w:rPr>
        <w:t xml:space="preserve"> 1987, </w:t>
      </w:r>
      <w:r w:rsidRPr="00A97363">
        <w:rPr>
          <w:b/>
          <w:bCs/>
          <w:noProof/>
          <w:szCs w:val="24"/>
        </w:rPr>
        <w:t>84</w:t>
      </w:r>
      <w:r w:rsidRPr="00A97363">
        <w:rPr>
          <w:noProof/>
          <w:szCs w:val="24"/>
        </w:rPr>
        <w:t>:2297–301.</w:t>
      </w:r>
    </w:p>
    <w:p w14:paraId="26C77D80"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87. </w:t>
      </w:r>
      <w:r w:rsidRPr="00A97363">
        <w:rPr>
          <w:noProof/>
          <w:szCs w:val="24"/>
        </w:rPr>
        <w:tab/>
        <w:t xml:space="preserve">Kuo MM-C, Maslennikov I, Molden B, Choe S: </w:t>
      </w:r>
      <w:r w:rsidRPr="00A97363">
        <w:rPr>
          <w:b/>
          <w:bCs/>
          <w:noProof/>
          <w:szCs w:val="24"/>
        </w:rPr>
        <w:t>The Desensitization Gating of the MthK K+ Channel Is Governed by Its Cytoplasmic Amino Terminus</w:t>
      </w:r>
      <w:r w:rsidRPr="00A97363">
        <w:rPr>
          <w:noProof/>
          <w:szCs w:val="24"/>
        </w:rPr>
        <w:t xml:space="preserve">. </w:t>
      </w:r>
      <w:r w:rsidRPr="00A97363">
        <w:rPr>
          <w:i/>
          <w:iCs/>
          <w:noProof/>
          <w:szCs w:val="24"/>
        </w:rPr>
        <w:t>PLoS Biol</w:t>
      </w:r>
      <w:r w:rsidRPr="00A97363">
        <w:rPr>
          <w:noProof/>
          <w:szCs w:val="24"/>
        </w:rPr>
        <w:t xml:space="preserve"> 2008, </w:t>
      </w:r>
      <w:r w:rsidRPr="00A97363">
        <w:rPr>
          <w:b/>
          <w:bCs/>
          <w:noProof/>
          <w:szCs w:val="24"/>
        </w:rPr>
        <w:t>6</w:t>
      </w:r>
      <w:r w:rsidRPr="00A97363">
        <w:rPr>
          <w:noProof/>
          <w:szCs w:val="24"/>
        </w:rPr>
        <w:t>:e223.</w:t>
      </w:r>
    </w:p>
    <w:p w14:paraId="4E267097"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88. </w:t>
      </w:r>
      <w:r w:rsidRPr="00A97363">
        <w:rPr>
          <w:noProof/>
          <w:szCs w:val="24"/>
        </w:rPr>
        <w:tab/>
        <w:t xml:space="preserve">Thomas GH: </w:t>
      </w:r>
      <w:r w:rsidRPr="00A97363">
        <w:rPr>
          <w:b/>
          <w:bCs/>
          <w:noProof/>
          <w:szCs w:val="24"/>
        </w:rPr>
        <w:t>Homes for the orphans: utilization of multiple substrate-binding proteins by ABC transporters</w:t>
      </w:r>
      <w:r w:rsidRPr="00A97363">
        <w:rPr>
          <w:noProof/>
          <w:szCs w:val="24"/>
        </w:rPr>
        <w:t xml:space="preserve">. </w:t>
      </w:r>
      <w:r w:rsidRPr="00A97363">
        <w:rPr>
          <w:i/>
          <w:iCs/>
          <w:noProof/>
          <w:szCs w:val="24"/>
        </w:rPr>
        <w:t>Mol Microbiol</w:t>
      </w:r>
      <w:r w:rsidRPr="00A97363">
        <w:rPr>
          <w:noProof/>
          <w:szCs w:val="24"/>
        </w:rPr>
        <w:t xml:space="preserve"> 2010, </w:t>
      </w:r>
      <w:r w:rsidRPr="00A97363">
        <w:rPr>
          <w:b/>
          <w:bCs/>
          <w:noProof/>
          <w:szCs w:val="24"/>
        </w:rPr>
        <w:t>75</w:t>
      </w:r>
      <w:r w:rsidRPr="00A97363">
        <w:rPr>
          <w:noProof/>
          <w:szCs w:val="24"/>
        </w:rPr>
        <w:t>:6–9.</w:t>
      </w:r>
    </w:p>
    <w:p w14:paraId="33BA2992"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89. </w:t>
      </w:r>
      <w:r w:rsidRPr="00A97363">
        <w:rPr>
          <w:noProof/>
          <w:szCs w:val="24"/>
        </w:rPr>
        <w:tab/>
        <w:t xml:space="preserve">Leonard G, Richards TA: </w:t>
      </w:r>
      <w:r w:rsidRPr="00A97363">
        <w:rPr>
          <w:b/>
          <w:bCs/>
          <w:noProof/>
          <w:szCs w:val="24"/>
        </w:rPr>
        <w:t>Genome-scale comparative analysis of gene fusions, gene fissions, and the fungal tree of life.</w:t>
      </w:r>
      <w:r w:rsidRPr="00A97363">
        <w:rPr>
          <w:noProof/>
          <w:szCs w:val="24"/>
        </w:rPr>
        <w:t xml:space="preserve"> </w:t>
      </w:r>
      <w:r w:rsidRPr="00A97363">
        <w:rPr>
          <w:i/>
          <w:iCs/>
          <w:noProof/>
          <w:szCs w:val="24"/>
        </w:rPr>
        <w:t>Proc Natl Acad Sci U S A</w:t>
      </w:r>
      <w:r w:rsidRPr="00A97363">
        <w:rPr>
          <w:noProof/>
          <w:szCs w:val="24"/>
        </w:rPr>
        <w:t xml:space="preserve"> 2012, </w:t>
      </w:r>
      <w:r w:rsidRPr="00A97363">
        <w:rPr>
          <w:b/>
          <w:bCs/>
          <w:noProof/>
          <w:szCs w:val="24"/>
        </w:rPr>
        <w:t>109</w:t>
      </w:r>
      <w:r w:rsidRPr="00A97363">
        <w:rPr>
          <w:noProof/>
          <w:szCs w:val="24"/>
        </w:rPr>
        <w:t>:21402–7.</w:t>
      </w:r>
    </w:p>
    <w:p w14:paraId="07D9A248"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90. </w:t>
      </w:r>
      <w:r w:rsidRPr="00A97363">
        <w:rPr>
          <w:noProof/>
          <w:szCs w:val="24"/>
        </w:rPr>
        <w:tab/>
        <w:t xml:space="preserve">Pogliano JA, Beckwith J: </w:t>
      </w:r>
      <w:r w:rsidRPr="00A97363">
        <w:rPr>
          <w:b/>
          <w:bCs/>
          <w:noProof/>
          <w:szCs w:val="24"/>
        </w:rPr>
        <w:t>SecD and SecF facilitate protein export in Escherichia coli.</w:t>
      </w:r>
      <w:r w:rsidRPr="00A97363">
        <w:rPr>
          <w:noProof/>
          <w:szCs w:val="24"/>
        </w:rPr>
        <w:t xml:space="preserve"> </w:t>
      </w:r>
      <w:r w:rsidRPr="00A97363">
        <w:rPr>
          <w:i/>
          <w:iCs/>
          <w:noProof/>
          <w:szCs w:val="24"/>
        </w:rPr>
        <w:t>EMBO J</w:t>
      </w:r>
      <w:r w:rsidRPr="00A97363">
        <w:rPr>
          <w:noProof/>
          <w:szCs w:val="24"/>
        </w:rPr>
        <w:t xml:space="preserve"> 1994, </w:t>
      </w:r>
      <w:r w:rsidRPr="00A97363">
        <w:rPr>
          <w:b/>
          <w:bCs/>
          <w:noProof/>
          <w:szCs w:val="24"/>
        </w:rPr>
        <w:t>13</w:t>
      </w:r>
      <w:r w:rsidRPr="00A97363">
        <w:rPr>
          <w:noProof/>
          <w:szCs w:val="24"/>
        </w:rPr>
        <w:t>:554–61.</w:t>
      </w:r>
    </w:p>
    <w:p w14:paraId="43334846"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91. </w:t>
      </w:r>
      <w:r w:rsidRPr="00A97363">
        <w:rPr>
          <w:noProof/>
          <w:szCs w:val="24"/>
        </w:rPr>
        <w:tab/>
        <w:t xml:space="preserve">Bolhuis A, Broekhuizen CP, Sorokin A, van Roosmalen ML, Venema G, Bron S, Quax WJ, van Dijl JM: </w:t>
      </w:r>
      <w:r w:rsidRPr="00A97363">
        <w:rPr>
          <w:b/>
          <w:bCs/>
          <w:noProof/>
          <w:szCs w:val="24"/>
        </w:rPr>
        <w:t>SecDF of Bacillus subtilis, a molecular Siamese twin required for the efficient secretion of proteins.</w:t>
      </w:r>
      <w:r w:rsidRPr="00A97363">
        <w:rPr>
          <w:noProof/>
          <w:szCs w:val="24"/>
        </w:rPr>
        <w:t xml:space="preserve"> </w:t>
      </w:r>
      <w:r w:rsidRPr="00A97363">
        <w:rPr>
          <w:i/>
          <w:iCs/>
          <w:noProof/>
          <w:szCs w:val="24"/>
        </w:rPr>
        <w:t>J Biol Chem</w:t>
      </w:r>
      <w:r w:rsidRPr="00A97363">
        <w:rPr>
          <w:noProof/>
          <w:szCs w:val="24"/>
        </w:rPr>
        <w:t xml:space="preserve"> 1998, </w:t>
      </w:r>
      <w:r w:rsidRPr="00A97363">
        <w:rPr>
          <w:b/>
          <w:bCs/>
          <w:noProof/>
          <w:szCs w:val="24"/>
        </w:rPr>
        <w:t>273</w:t>
      </w:r>
      <w:r w:rsidRPr="00A97363">
        <w:rPr>
          <w:noProof/>
          <w:szCs w:val="24"/>
        </w:rPr>
        <w:t>:21217–24.</w:t>
      </w:r>
    </w:p>
    <w:p w14:paraId="21686E0A"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92. </w:t>
      </w:r>
      <w:r w:rsidRPr="00A97363">
        <w:rPr>
          <w:noProof/>
          <w:szCs w:val="24"/>
        </w:rPr>
        <w:tab/>
        <w:t xml:space="preserve">Quiblier C, Zinkernagel AS, Schuepbach RA, Berger-Bächi B, Senn MM: </w:t>
      </w:r>
      <w:r w:rsidRPr="00A97363">
        <w:rPr>
          <w:b/>
          <w:bCs/>
          <w:noProof/>
          <w:szCs w:val="24"/>
        </w:rPr>
        <w:t>Contribution of SecDF to Staphylococcus aureus resistance and expression of virulence factors</w:t>
      </w:r>
      <w:r w:rsidRPr="00A97363">
        <w:rPr>
          <w:noProof/>
          <w:szCs w:val="24"/>
        </w:rPr>
        <w:t xml:space="preserve">. </w:t>
      </w:r>
      <w:r w:rsidRPr="00A97363">
        <w:rPr>
          <w:i/>
          <w:iCs/>
          <w:noProof/>
          <w:szCs w:val="24"/>
        </w:rPr>
        <w:t>BMC Microbiol</w:t>
      </w:r>
      <w:r w:rsidRPr="00A97363">
        <w:rPr>
          <w:noProof/>
          <w:szCs w:val="24"/>
        </w:rPr>
        <w:t xml:space="preserve"> 2011, </w:t>
      </w:r>
      <w:r w:rsidRPr="00A97363">
        <w:rPr>
          <w:b/>
          <w:bCs/>
          <w:noProof/>
          <w:szCs w:val="24"/>
        </w:rPr>
        <w:t>11</w:t>
      </w:r>
      <w:r w:rsidRPr="00A97363">
        <w:rPr>
          <w:noProof/>
          <w:szCs w:val="24"/>
        </w:rPr>
        <w:t>:72.</w:t>
      </w:r>
    </w:p>
    <w:p w14:paraId="3E52297C"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93. </w:t>
      </w:r>
      <w:r w:rsidRPr="00A97363">
        <w:rPr>
          <w:noProof/>
          <w:szCs w:val="24"/>
        </w:rPr>
        <w:tab/>
        <w:t xml:space="preserve">Furukawa A, Yoshikaie K, Mori T, Mori H, Morimoto Y V., Sugano Y, Iwaki S, Minamino T, Sugita Y, Tanaka Y, et al.: </w:t>
      </w:r>
      <w:r w:rsidRPr="00A97363">
        <w:rPr>
          <w:b/>
          <w:bCs/>
          <w:noProof/>
          <w:szCs w:val="24"/>
        </w:rPr>
        <w:t>Tunnel Formation Inferred from the I-Form Structures of the Proton-Driven Protein Secretion Motor SecDF</w:t>
      </w:r>
      <w:r w:rsidRPr="00A97363">
        <w:rPr>
          <w:noProof/>
          <w:szCs w:val="24"/>
        </w:rPr>
        <w:t xml:space="preserve">. </w:t>
      </w:r>
      <w:r w:rsidRPr="00A97363">
        <w:rPr>
          <w:i/>
          <w:iCs/>
          <w:noProof/>
          <w:szCs w:val="24"/>
        </w:rPr>
        <w:t>Cell Rep</w:t>
      </w:r>
      <w:r w:rsidRPr="00A97363">
        <w:rPr>
          <w:noProof/>
          <w:szCs w:val="24"/>
        </w:rPr>
        <w:t xml:space="preserve"> 2017, </w:t>
      </w:r>
      <w:r w:rsidRPr="00A97363">
        <w:rPr>
          <w:b/>
          <w:bCs/>
          <w:noProof/>
          <w:szCs w:val="24"/>
        </w:rPr>
        <w:t>19</w:t>
      </w:r>
      <w:r w:rsidRPr="00A97363">
        <w:rPr>
          <w:noProof/>
          <w:szCs w:val="24"/>
        </w:rPr>
        <w:t>:895–901.</w:t>
      </w:r>
    </w:p>
    <w:p w14:paraId="710E4832"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94. </w:t>
      </w:r>
      <w:r w:rsidRPr="00A97363">
        <w:rPr>
          <w:noProof/>
          <w:szCs w:val="24"/>
        </w:rPr>
        <w:tab/>
        <w:t xml:space="preserve">Tsukazaki T, Mori H, Echizen Y, Ishitani R, Fukai S, Tanaka T, Perederina A, Vassylyev DG, Kohno T, Maturana AD, et al.: </w:t>
      </w:r>
      <w:r w:rsidRPr="00A97363">
        <w:rPr>
          <w:b/>
          <w:bCs/>
          <w:noProof/>
          <w:szCs w:val="24"/>
        </w:rPr>
        <w:t>Structure and function of a membrane component SecDF that enhances protein export</w:t>
      </w:r>
      <w:r w:rsidRPr="00A97363">
        <w:rPr>
          <w:noProof/>
          <w:szCs w:val="24"/>
        </w:rPr>
        <w:t xml:space="preserve">. </w:t>
      </w:r>
      <w:r w:rsidRPr="00A97363">
        <w:rPr>
          <w:i/>
          <w:iCs/>
          <w:noProof/>
          <w:szCs w:val="24"/>
        </w:rPr>
        <w:t>Nature</w:t>
      </w:r>
      <w:r w:rsidRPr="00A97363">
        <w:rPr>
          <w:noProof/>
          <w:szCs w:val="24"/>
        </w:rPr>
        <w:t xml:space="preserve"> 2011, </w:t>
      </w:r>
      <w:r w:rsidRPr="00A97363">
        <w:rPr>
          <w:b/>
          <w:bCs/>
          <w:noProof/>
          <w:szCs w:val="24"/>
        </w:rPr>
        <w:t>474</w:t>
      </w:r>
      <w:r w:rsidRPr="00A97363">
        <w:rPr>
          <w:noProof/>
          <w:szCs w:val="24"/>
        </w:rPr>
        <w:t>:235–238.</w:t>
      </w:r>
    </w:p>
    <w:p w14:paraId="4BF49150"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95. </w:t>
      </w:r>
      <w:r w:rsidRPr="00A97363">
        <w:rPr>
          <w:noProof/>
          <w:szCs w:val="24"/>
        </w:rPr>
        <w:tab/>
        <w:t xml:space="preserve">Zhou Z, Li Y, Sun N, Sun Z, Lv L: </w:t>
      </w:r>
      <w:r w:rsidRPr="00A97363">
        <w:rPr>
          <w:b/>
          <w:bCs/>
          <w:noProof/>
          <w:szCs w:val="24"/>
        </w:rPr>
        <w:t>Function and Evolution of Two Forms of SecDF Homologs in Streptomyces coelicolor</w:t>
      </w:r>
      <w:r w:rsidRPr="00A97363">
        <w:rPr>
          <w:noProof/>
          <w:szCs w:val="24"/>
        </w:rPr>
        <w:t xml:space="preserve">. </w:t>
      </w:r>
      <w:r w:rsidRPr="00A97363">
        <w:rPr>
          <w:i/>
          <w:iCs/>
          <w:noProof/>
          <w:szCs w:val="24"/>
        </w:rPr>
        <w:t>PLoS One</w:t>
      </w:r>
      <w:r w:rsidRPr="00A97363">
        <w:rPr>
          <w:noProof/>
          <w:szCs w:val="24"/>
        </w:rPr>
        <w:t xml:space="preserve"> 2014, </w:t>
      </w:r>
      <w:r w:rsidRPr="00A97363">
        <w:rPr>
          <w:b/>
          <w:bCs/>
          <w:noProof/>
          <w:szCs w:val="24"/>
        </w:rPr>
        <w:t>9</w:t>
      </w:r>
      <w:r w:rsidRPr="00A97363">
        <w:rPr>
          <w:noProof/>
          <w:szCs w:val="24"/>
        </w:rPr>
        <w:t>:105237.</w:t>
      </w:r>
    </w:p>
    <w:p w14:paraId="00777A51"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96. </w:t>
      </w:r>
      <w:r w:rsidRPr="00A97363">
        <w:rPr>
          <w:noProof/>
          <w:szCs w:val="24"/>
        </w:rPr>
        <w:tab/>
        <w:t xml:space="preserve">Sandhu P, Akhter Y: </w:t>
      </w:r>
      <w:r w:rsidRPr="00A97363">
        <w:rPr>
          <w:b/>
          <w:bCs/>
          <w:noProof/>
          <w:szCs w:val="24"/>
        </w:rPr>
        <w:t>The internal gene duplication and interrupted coding sequences in the MmpL genes of Mycobacterium tuberculosis: Towards understanding the multidrug transport in an evolutionary perspective</w:t>
      </w:r>
      <w:r w:rsidRPr="00A97363">
        <w:rPr>
          <w:noProof/>
          <w:szCs w:val="24"/>
        </w:rPr>
        <w:t xml:space="preserve">. </w:t>
      </w:r>
      <w:r w:rsidRPr="00A97363">
        <w:rPr>
          <w:i/>
          <w:iCs/>
          <w:noProof/>
          <w:szCs w:val="24"/>
        </w:rPr>
        <w:t>Int J Med Microbiol</w:t>
      </w:r>
      <w:r w:rsidRPr="00A97363">
        <w:rPr>
          <w:noProof/>
          <w:szCs w:val="24"/>
        </w:rPr>
        <w:t xml:space="preserve"> 2015, </w:t>
      </w:r>
      <w:r w:rsidRPr="00A97363">
        <w:rPr>
          <w:b/>
          <w:bCs/>
          <w:noProof/>
          <w:szCs w:val="24"/>
        </w:rPr>
        <w:t>305</w:t>
      </w:r>
      <w:r w:rsidRPr="00A97363">
        <w:rPr>
          <w:noProof/>
          <w:szCs w:val="24"/>
        </w:rPr>
        <w:t>:413–423.</w:t>
      </w:r>
    </w:p>
    <w:p w14:paraId="029C1726"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lastRenderedPageBreak/>
        <w:t xml:space="preserve">97. </w:t>
      </w:r>
      <w:r w:rsidRPr="00A97363">
        <w:rPr>
          <w:noProof/>
          <w:szCs w:val="24"/>
        </w:rPr>
        <w:tab/>
        <w:t xml:space="preserve">Sandhu P, Akhter Y: </w:t>
      </w:r>
      <w:r w:rsidRPr="00A97363">
        <w:rPr>
          <w:b/>
          <w:bCs/>
          <w:noProof/>
          <w:szCs w:val="24"/>
        </w:rPr>
        <w:t>Evolution of structural fitness and multifunctional aspects of mycobacterial RND family transporters</w:t>
      </w:r>
      <w:r w:rsidRPr="00A97363">
        <w:rPr>
          <w:noProof/>
          <w:szCs w:val="24"/>
        </w:rPr>
        <w:t xml:space="preserve">. </w:t>
      </w:r>
      <w:r w:rsidRPr="00A97363">
        <w:rPr>
          <w:i/>
          <w:iCs/>
          <w:noProof/>
          <w:szCs w:val="24"/>
        </w:rPr>
        <w:t>Arch Microbiol</w:t>
      </w:r>
      <w:r w:rsidRPr="00A97363">
        <w:rPr>
          <w:noProof/>
          <w:szCs w:val="24"/>
        </w:rPr>
        <w:t xml:space="preserve"> 2018, </w:t>
      </w:r>
      <w:r w:rsidRPr="00A97363">
        <w:rPr>
          <w:b/>
          <w:bCs/>
          <w:noProof/>
          <w:szCs w:val="24"/>
        </w:rPr>
        <w:t>200</w:t>
      </w:r>
      <w:r w:rsidRPr="00A97363">
        <w:rPr>
          <w:noProof/>
          <w:szCs w:val="24"/>
        </w:rPr>
        <w:t>:19–31.</w:t>
      </w:r>
    </w:p>
    <w:p w14:paraId="3930B63E"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98. </w:t>
      </w:r>
      <w:r w:rsidRPr="00A97363">
        <w:rPr>
          <w:noProof/>
          <w:szCs w:val="24"/>
        </w:rPr>
        <w:tab/>
        <w:t xml:space="preserve">Díaz-Pérez C, Cervantes C, Campos-García J, Julián-Sánchez A, Riveros-Rosas H: </w:t>
      </w:r>
      <w:r w:rsidRPr="00A97363">
        <w:rPr>
          <w:b/>
          <w:bCs/>
          <w:noProof/>
          <w:szCs w:val="24"/>
        </w:rPr>
        <w:t>Phylogenetic analysis of the chromate ion transporter (CHR) superfamily</w:t>
      </w:r>
      <w:r w:rsidRPr="00A97363">
        <w:rPr>
          <w:noProof/>
          <w:szCs w:val="24"/>
        </w:rPr>
        <w:t xml:space="preserve">. </w:t>
      </w:r>
      <w:r w:rsidRPr="00A97363">
        <w:rPr>
          <w:i/>
          <w:iCs/>
          <w:noProof/>
          <w:szCs w:val="24"/>
        </w:rPr>
        <w:t>FEBS J</w:t>
      </w:r>
      <w:r w:rsidRPr="00A97363">
        <w:rPr>
          <w:noProof/>
          <w:szCs w:val="24"/>
        </w:rPr>
        <w:t xml:space="preserve"> 2007, </w:t>
      </w:r>
      <w:r w:rsidRPr="00A97363">
        <w:rPr>
          <w:b/>
          <w:bCs/>
          <w:noProof/>
          <w:szCs w:val="24"/>
        </w:rPr>
        <w:t>274</w:t>
      </w:r>
      <w:r w:rsidRPr="00A97363">
        <w:rPr>
          <w:noProof/>
          <w:szCs w:val="24"/>
        </w:rPr>
        <w:t>:6215–6227.</w:t>
      </w:r>
    </w:p>
    <w:p w14:paraId="1CCC38A9"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99. </w:t>
      </w:r>
      <w:r w:rsidRPr="00A97363">
        <w:rPr>
          <w:noProof/>
          <w:szCs w:val="24"/>
        </w:rPr>
        <w:tab/>
        <w:t xml:space="preserve">Major P, Embley TM, Williams TA: </w:t>
      </w:r>
      <w:r w:rsidRPr="00A97363">
        <w:rPr>
          <w:b/>
          <w:bCs/>
          <w:noProof/>
          <w:szCs w:val="24"/>
        </w:rPr>
        <w:t>Phylogenetic Diversity of NTT Nucleotide Transport Proteins in Free-Living and Parasitic Bacteria and Eukaryotes</w:t>
      </w:r>
      <w:r w:rsidRPr="00A97363">
        <w:rPr>
          <w:noProof/>
          <w:szCs w:val="24"/>
        </w:rPr>
        <w:t xml:space="preserve">. </w:t>
      </w:r>
      <w:r w:rsidRPr="00A97363">
        <w:rPr>
          <w:i/>
          <w:iCs/>
          <w:noProof/>
          <w:szCs w:val="24"/>
        </w:rPr>
        <w:t>Genome Biol Evol</w:t>
      </w:r>
      <w:r w:rsidRPr="00A97363">
        <w:rPr>
          <w:noProof/>
          <w:szCs w:val="24"/>
        </w:rPr>
        <w:t xml:space="preserve"> 2017, </w:t>
      </w:r>
      <w:r w:rsidRPr="00A97363">
        <w:rPr>
          <w:b/>
          <w:bCs/>
          <w:noProof/>
          <w:szCs w:val="24"/>
        </w:rPr>
        <w:t>9</w:t>
      </w:r>
      <w:r w:rsidRPr="00A97363">
        <w:rPr>
          <w:noProof/>
          <w:szCs w:val="24"/>
        </w:rPr>
        <w:t>:480.</w:t>
      </w:r>
    </w:p>
    <w:p w14:paraId="61A6653D"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100. </w:t>
      </w:r>
      <w:r w:rsidRPr="00A97363">
        <w:rPr>
          <w:noProof/>
          <w:szCs w:val="24"/>
        </w:rPr>
        <w:tab/>
        <w:t xml:space="preserve">Matias MG, Gomolplitinant KM, Tamang DG, Saier MH: </w:t>
      </w:r>
      <w:r w:rsidRPr="00A97363">
        <w:rPr>
          <w:b/>
          <w:bCs/>
          <w:noProof/>
          <w:szCs w:val="24"/>
        </w:rPr>
        <w:t>Animal Ca2+ release-activated Ca2+ (CRAC) channels appear to be homologous to and derived from the ubiquitous cation diffusion facilitators</w:t>
      </w:r>
      <w:r w:rsidRPr="00A97363">
        <w:rPr>
          <w:noProof/>
          <w:szCs w:val="24"/>
        </w:rPr>
        <w:t xml:space="preserve">. </w:t>
      </w:r>
      <w:r w:rsidRPr="00A97363">
        <w:rPr>
          <w:i/>
          <w:iCs/>
          <w:noProof/>
          <w:szCs w:val="24"/>
        </w:rPr>
        <w:t>BMC Res Notes</w:t>
      </w:r>
      <w:r w:rsidRPr="00A97363">
        <w:rPr>
          <w:noProof/>
          <w:szCs w:val="24"/>
        </w:rPr>
        <w:t xml:space="preserve"> 2010, </w:t>
      </w:r>
      <w:r w:rsidRPr="00A97363">
        <w:rPr>
          <w:b/>
          <w:bCs/>
          <w:noProof/>
          <w:szCs w:val="24"/>
        </w:rPr>
        <w:t>3</w:t>
      </w:r>
      <w:r w:rsidRPr="00A97363">
        <w:rPr>
          <w:noProof/>
          <w:szCs w:val="24"/>
        </w:rPr>
        <w:t>:158.</w:t>
      </w:r>
    </w:p>
    <w:p w14:paraId="4786B7B1" w14:textId="77777777" w:rsidR="00A97363" w:rsidRPr="00A97363" w:rsidRDefault="00A97363" w:rsidP="00A97363">
      <w:pPr>
        <w:widowControl w:val="0"/>
        <w:autoSpaceDE w:val="0"/>
        <w:autoSpaceDN w:val="0"/>
        <w:adjustRightInd w:val="0"/>
        <w:spacing w:line="240" w:lineRule="auto"/>
        <w:ind w:left="640" w:hanging="640"/>
        <w:rPr>
          <w:noProof/>
          <w:szCs w:val="24"/>
        </w:rPr>
      </w:pPr>
      <w:r w:rsidRPr="00A97363">
        <w:rPr>
          <w:noProof/>
          <w:szCs w:val="24"/>
        </w:rPr>
        <w:t xml:space="preserve">101. </w:t>
      </w:r>
      <w:r w:rsidRPr="00A97363">
        <w:rPr>
          <w:noProof/>
          <w:szCs w:val="24"/>
        </w:rPr>
        <w:tab/>
        <w:t xml:space="preserve">Farr AD, Remigi P, Rainey PB: </w:t>
      </w:r>
      <w:r w:rsidRPr="00A97363">
        <w:rPr>
          <w:b/>
          <w:bCs/>
          <w:noProof/>
          <w:szCs w:val="24"/>
        </w:rPr>
        <w:t>Adaptive evolution by spontaneous domain fusion and protein relocalization</w:t>
      </w:r>
      <w:r w:rsidRPr="00A97363">
        <w:rPr>
          <w:noProof/>
          <w:szCs w:val="24"/>
        </w:rPr>
        <w:t xml:space="preserve">. </w:t>
      </w:r>
      <w:r w:rsidRPr="00A97363">
        <w:rPr>
          <w:i/>
          <w:iCs/>
          <w:noProof/>
          <w:szCs w:val="24"/>
        </w:rPr>
        <w:t>Nat Ecol Evol</w:t>
      </w:r>
      <w:r w:rsidRPr="00A97363">
        <w:rPr>
          <w:noProof/>
          <w:szCs w:val="24"/>
        </w:rPr>
        <w:t xml:space="preserve"> 2017, </w:t>
      </w:r>
      <w:r w:rsidRPr="00A97363">
        <w:rPr>
          <w:b/>
          <w:bCs/>
          <w:noProof/>
          <w:szCs w:val="24"/>
        </w:rPr>
        <w:t>1</w:t>
      </w:r>
      <w:r w:rsidRPr="00A97363">
        <w:rPr>
          <w:noProof/>
          <w:szCs w:val="24"/>
        </w:rPr>
        <w:t>:1562–1568.</w:t>
      </w:r>
    </w:p>
    <w:p w14:paraId="1641D5AC" w14:textId="77777777" w:rsidR="00A97363" w:rsidRPr="00A97363" w:rsidRDefault="00A97363" w:rsidP="00A97363">
      <w:pPr>
        <w:widowControl w:val="0"/>
        <w:autoSpaceDE w:val="0"/>
        <w:autoSpaceDN w:val="0"/>
        <w:adjustRightInd w:val="0"/>
        <w:spacing w:line="240" w:lineRule="auto"/>
        <w:ind w:left="640" w:hanging="640"/>
        <w:rPr>
          <w:noProof/>
        </w:rPr>
      </w:pPr>
      <w:r w:rsidRPr="00A97363">
        <w:rPr>
          <w:noProof/>
          <w:szCs w:val="24"/>
        </w:rPr>
        <w:t xml:space="preserve">102. </w:t>
      </w:r>
      <w:r w:rsidRPr="00A97363">
        <w:rPr>
          <w:noProof/>
          <w:szCs w:val="24"/>
        </w:rPr>
        <w:tab/>
        <w:t xml:space="preserve">Schavemaker PE, Boersma AJ, Poolman B: </w:t>
      </w:r>
      <w:r w:rsidRPr="00A97363">
        <w:rPr>
          <w:b/>
          <w:bCs/>
          <w:noProof/>
          <w:szCs w:val="24"/>
        </w:rPr>
        <w:t>How Important Is Protein Diffusion in Prokaryotes?</w:t>
      </w:r>
      <w:r w:rsidRPr="00A97363">
        <w:rPr>
          <w:noProof/>
          <w:szCs w:val="24"/>
        </w:rPr>
        <w:t xml:space="preserve"> </w:t>
      </w:r>
      <w:r w:rsidRPr="00A97363">
        <w:rPr>
          <w:i/>
          <w:iCs/>
          <w:noProof/>
          <w:szCs w:val="24"/>
        </w:rPr>
        <w:t>Front Mol Biosci</w:t>
      </w:r>
      <w:r w:rsidRPr="00A97363">
        <w:rPr>
          <w:noProof/>
          <w:szCs w:val="24"/>
        </w:rPr>
        <w:t xml:space="preserve"> 2018, </w:t>
      </w:r>
      <w:r w:rsidRPr="00A97363">
        <w:rPr>
          <w:b/>
          <w:bCs/>
          <w:noProof/>
          <w:szCs w:val="24"/>
        </w:rPr>
        <w:t>5</w:t>
      </w:r>
      <w:r w:rsidRPr="00A97363">
        <w:rPr>
          <w:noProof/>
          <w:szCs w:val="24"/>
        </w:rPr>
        <w:t>:93.</w:t>
      </w:r>
    </w:p>
    <w:p w14:paraId="36234448" w14:textId="77777777" w:rsidR="00846D0E" w:rsidRDefault="00846D0E">
      <w:r>
        <w:fldChar w:fldCharType="end"/>
      </w:r>
      <w:r>
        <w:br w:type="page"/>
      </w:r>
    </w:p>
    <w:p w14:paraId="01FF3CA7" w14:textId="77777777" w:rsidR="00650DC8" w:rsidRDefault="00E80212">
      <w:r>
        <w:lastRenderedPageBreak/>
        <w:t>Paper descriptions</w:t>
      </w:r>
    </w:p>
    <w:p w14:paraId="37C67283" w14:textId="61AE5D96" w:rsidR="00650DC8" w:rsidRDefault="00650DC8"/>
    <w:p w14:paraId="2CD378FC" w14:textId="77777777" w:rsidR="008B02FB" w:rsidRPr="00F1292F" w:rsidRDefault="00604786" w:rsidP="008B02FB">
      <w:pPr>
        <w:rPr>
          <w:sz w:val="32"/>
        </w:rPr>
      </w:pPr>
      <w:r>
        <w:t>5. Milner et al 2019</w:t>
      </w:r>
      <w:r w:rsidR="008B02FB">
        <w:t xml:space="preserve"> </w:t>
      </w:r>
      <w:r w:rsidR="008B02FB" w:rsidRPr="00F1292F">
        <w:rPr>
          <w:sz w:val="32"/>
        </w:rPr>
        <w:t>**</w:t>
      </w:r>
    </w:p>
    <w:p w14:paraId="2978CD30" w14:textId="41DFB3D2" w:rsidR="00795070" w:rsidRPr="00CC0C85" w:rsidRDefault="008B02FB" w:rsidP="00604786">
      <w:r>
        <w:t xml:space="preserve">An important </w:t>
      </w:r>
      <w:r w:rsidRPr="00795070">
        <w:t>paper on HGT in eukaryotes with a p</w:t>
      </w:r>
      <w:r w:rsidR="00795070" w:rsidRPr="00795070">
        <w:t xml:space="preserve">articular focus on transporters. A </w:t>
      </w:r>
      <w:r w:rsidR="00604786" w:rsidRPr="00795070">
        <w:t xml:space="preserve">"transporter-gene acquisition ratchet" </w:t>
      </w:r>
      <w:r w:rsidR="00795070" w:rsidRPr="00CC0C85">
        <w:t xml:space="preserve">is proposed </w:t>
      </w:r>
      <w:r w:rsidR="00604786" w:rsidRPr="00795070">
        <w:t xml:space="preserve">where </w:t>
      </w:r>
      <w:r w:rsidR="00795070" w:rsidRPr="00CC0C85">
        <w:t xml:space="preserve">the transportome is continually evolving via methods of duplication, HGT and differential gene loss. </w:t>
      </w:r>
    </w:p>
    <w:p w14:paraId="484FE3E2" w14:textId="3A14F32B" w:rsidR="008B02FB" w:rsidRPr="00F1292F" w:rsidRDefault="00BC6753" w:rsidP="008B02FB">
      <w:pPr>
        <w:rPr>
          <w:sz w:val="32"/>
        </w:rPr>
      </w:pPr>
      <w:r>
        <w:rPr>
          <w:noProof/>
          <w:szCs w:val="24"/>
        </w:rPr>
        <w:t>29</w:t>
      </w:r>
      <w:r w:rsidR="008266CB">
        <w:rPr>
          <w:noProof/>
          <w:szCs w:val="24"/>
        </w:rPr>
        <w:t xml:space="preserve">: </w:t>
      </w:r>
      <w:r w:rsidR="00537874" w:rsidRPr="00E80212">
        <w:rPr>
          <w:noProof/>
          <w:szCs w:val="24"/>
        </w:rPr>
        <w:t>Teichmann</w:t>
      </w:r>
      <w:r w:rsidR="00537874">
        <w:rPr>
          <w:noProof/>
          <w:szCs w:val="24"/>
        </w:rPr>
        <w:t xml:space="preserve"> et al </w:t>
      </w:r>
      <w:r w:rsidR="00537874" w:rsidRPr="00E80212">
        <w:rPr>
          <w:noProof/>
          <w:szCs w:val="24"/>
        </w:rPr>
        <w:t>2018</w:t>
      </w:r>
      <w:r w:rsidR="008B02FB">
        <w:rPr>
          <w:noProof/>
          <w:szCs w:val="24"/>
        </w:rPr>
        <w:t xml:space="preserve"> </w:t>
      </w:r>
      <w:r w:rsidR="008B02FB" w:rsidRPr="00F1292F">
        <w:rPr>
          <w:sz w:val="32"/>
        </w:rPr>
        <w:t>*</w:t>
      </w:r>
    </w:p>
    <w:p w14:paraId="35B574D4" w14:textId="5E421A68" w:rsidR="00537874" w:rsidRDefault="00537874">
      <w:pPr>
        <w:rPr>
          <w:noProof/>
          <w:szCs w:val="24"/>
        </w:rPr>
      </w:pPr>
      <w:r>
        <w:rPr>
          <w:noProof/>
          <w:szCs w:val="24"/>
        </w:rPr>
        <w:t xml:space="preserve">This paper describes the characterisation of a novel family of compatible solute transporters. </w:t>
      </w:r>
      <w:r w:rsidR="008266CB">
        <w:rPr>
          <w:noProof/>
          <w:szCs w:val="24"/>
        </w:rPr>
        <w:t xml:space="preserve">The distribution, architecture and substrate specificity are all considered. </w:t>
      </w:r>
      <w:r>
        <w:rPr>
          <w:noProof/>
          <w:szCs w:val="24"/>
        </w:rPr>
        <w:t>Interestingly, all members of this family are fused, suggesting that they derive from a single ancestral fusion.</w:t>
      </w:r>
      <w:r w:rsidR="008266CB">
        <w:rPr>
          <w:noProof/>
          <w:szCs w:val="24"/>
        </w:rPr>
        <w:t xml:space="preserve"> Furthermore, the paper contains a phylogenetic tree of compatible solute transporters in the genus </w:t>
      </w:r>
      <w:r w:rsidR="008266CB" w:rsidRPr="00CC0C85">
        <w:rPr>
          <w:i/>
          <w:noProof/>
          <w:szCs w:val="24"/>
        </w:rPr>
        <w:t>Bacillus</w:t>
      </w:r>
      <w:r w:rsidR="008266CB">
        <w:rPr>
          <w:noProof/>
          <w:szCs w:val="24"/>
        </w:rPr>
        <w:t>, which shows several clusters of fused OpuA transporters.</w:t>
      </w:r>
    </w:p>
    <w:p w14:paraId="71D9048D" w14:textId="69A950E5" w:rsidR="008B02FB" w:rsidRPr="00F1292F" w:rsidRDefault="00BC6753" w:rsidP="008B02FB">
      <w:pPr>
        <w:rPr>
          <w:sz w:val="32"/>
        </w:rPr>
      </w:pPr>
      <w:r>
        <w:rPr>
          <w:noProof/>
          <w:szCs w:val="24"/>
        </w:rPr>
        <w:t>31</w:t>
      </w:r>
      <w:r w:rsidR="008266CB">
        <w:rPr>
          <w:noProof/>
          <w:szCs w:val="24"/>
        </w:rPr>
        <w:t xml:space="preserve">: </w:t>
      </w:r>
      <w:r w:rsidR="008266CB" w:rsidRPr="00E80212">
        <w:rPr>
          <w:noProof/>
          <w:szCs w:val="24"/>
        </w:rPr>
        <w:t>Schuurman-Wolters</w:t>
      </w:r>
      <w:r w:rsidR="008266CB">
        <w:rPr>
          <w:noProof/>
          <w:szCs w:val="24"/>
        </w:rPr>
        <w:t xml:space="preserve"> et al </w:t>
      </w:r>
      <w:r w:rsidR="008266CB" w:rsidRPr="00E80212">
        <w:rPr>
          <w:noProof/>
          <w:szCs w:val="24"/>
        </w:rPr>
        <w:t>2018</w:t>
      </w:r>
      <w:r w:rsidR="008B02FB">
        <w:rPr>
          <w:noProof/>
          <w:szCs w:val="24"/>
        </w:rPr>
        <w:t xml:space="preserve"> </w:t>
      </w:r>
      <w:r w:rsidR="008B02FB" w:rsidRPr="00F1292F">
        <w:rPr>
          <w:sz w:val="32"/>
        </w:rPr>
        <w:t>**</w:t>
      </w:r>
    </w:p>
    <w:p w14:paraId="5218E662" w14:textId="1E1A657D" w:rsidR="008266CB" w:rsidRDefault="008266CB">
      <w:pPr>
        <w:rPr>
          <w:noProof/>
          <w:szCs w:val="24"/>
        </w:rPr>
      </w:pPr>
      <w:r>
        <w:rPr>
          <w:noProof/>
          <w:szCs w:val="24"/>
        </w:rPr>
        <w:t>This paper examines the role of the inter-domain linkers of the fused SBPs in the amino acid transporter GlnPQ. The study demonstrates some of the potential constraints for the linker sequences</w:t>
      </w:r>
      <w:r w:rsidR="00B009D2">
        <w:rPr>
          <w:noProof/>
          <w:szCs w:val="24"/>
        </w:rPr>
        <w:t>, and would therefore be especially interesting for those studying the effects of artificial linkers in fusion proteins</w:t>
      </w:r>
      <w:r>
        <w:rPr>
          <w:noProof/>
          <w:szCs w:val="24"/>
        </w:rPr>
        <w:t>. If the linker is too short, the intera</w:t>
      </w:r>
      <w:r w:rsidR="00B009D2">
        <w:rPr>
          <w:noProof/>
          <w:szCs w:val="24"/>
        </w:rPr>
        <w:t>ctions of the SBPs with the tra</w:t>
      </w:r>
      <w:r>
        <w:rPr>
          <w:noProof/>
          <w:szCs w:val="24"/>
        </w:rPr>
        <w:t>n</w:t>
      </w:r>
      <w:r w:rsidR="00B009D2">
        <w:rPr>
          <w:noProof/>
          <w:szCs w:val="24"/>
        </w:rPr>
        <w:t>s</w:t>
      </w:r>
      <w:r>
        <w:rPr>
          <w:noProof/>
          <w:szCs w:val="24"/>
        </w:rPr>
        <w:t xml:space="preserve">porter are impaired; conversely, if the linkers are too </w:t>
      </w:r>
      <w:r w:rsidR="00B009D2">
        <w:rPr>
          <w:noProof/>
          <w:szCs w:val="24"/>
        </w:rPr>
        <w:t>long</w:t>
      </w:r>
      <w:r>
        <w:rPr>
          <w:noProof/>
          <w:szCs w:val="24"/>
        </w:rPr>
        <w:t>, the V</w:t>
      </w:r>
      <w:r w:rsidRPr="00CC0C85">
        <w:rPr>
          <w:noProof/>
          <w:szCs w:val="24"/>
          <w:vertAlign w:val="subscript"/>
        </w:rPr>
        <w:t>max</w:t>
      </w:r>
      <w:r>
        <w:rPr>
          <w:noProof/>
          <w:szCs w:val="24"/>
        </w:rPr>
        <w:t xml:space="preserve"> for transport decreases as the SBP takes more time to bind the transporter, and the K</w:t>
      </w:r>
      <w:r w:rsidRPr="00CC0C85">
        <w:rPr>
          <w:noProof/>
          <w:szCs w:val="24"/>
          <w:vertAlign w:val="subscript"/>
        </w:rPr>
        <w:t>m</w:t>
      </w:r>
      <w:r>
        <w:rPr>
          <w:noProof/>
          <w:szCs w:val="24"/>
        </w:rPr>
        <w:t xml:space="preserve"> for</w:t>
      </w:r>
      <w:r w:rsidR="00B009D2">
        <w:rPr>
          <w:noProof/>
          <w:szCs w:val="24"/>
        </w:rPr>
        <w:t xml:space="preserve"> transport of</w:t>
      </w:r>
      <w:r>
        <w:rPr>
          <w:noProof/>
          <w:szCs w:val="24"/>
        </w:rPr>
        <w:t xml:space="preserve"> weakly binding substrates increases as the rate of transport decreases relative to the rate of release into the supernatant. </w:t>
      </w:r>
    </w:p>
    <w:p w14:paraId="24E28121" w14:textId="01AF27C9" w:rsidR="008B02FB" w:rsidRPr="00F1292F" w:rsidRDefault="00BC6753" w:rsidP="008B02FB">
      <w:pPr>
        <w:rPr>
          <w:sz w:val="32"/>
        </w:rPr>
      </w:pPr>
      <w:r>
        <w:rPr>
          <w:noProof/>
          <w:szCs w:val="24"/>
        </w:rPr>
        <w:t>43</w:t>
      </w:r>
      <w:r w:rsidR="00AA2321">
        <w:rPr>
          <w:noProof/>
          <w:szCs w:val="24"/>
        </w:rPr>
        <w:t xml:space="preserve">: Heinkel </w:t>
      </w:r>
      <w:r w:rsidR="00AA2321" w:rsidRPr="00E80212">
        <w:rPr>
          <w:i/>
          <w:iCs/>
          <w:noProof/>
          <w:szCs w:val="24"/>
        </w:rPr>
        <w:t>et al.</w:t>
      </w:r>
      <w:r w:rsidR="00AA2321" w:rsidRPr="00E80212">
        <w:rPr>
          <w:noProof/>
          <w:szCs w:val="24"/>
        </w:rPr>
        <w:t xml:space="preserve"> 2018</w:t>
      </w:r>
      <w:r w:rsidR="008B02FB">
        <w:rPr>
          <w:noProof/>
          <w:szCs w:val="24"/>
        </w:rPr>
        <w:t xml:space="preserve"> </w:t>
      </w:r>
      <w:r w:rsidR="008B02FB" w:rsidRPr="00F1292F">
        <w:rPr>
          <w:sz w:val="32"/>
        </w:rPr>
        <w:t>*</w:t>
      </w:r>
    </w:p>
    <w:p w14:paraId="3A8BAD02" w14:textId="2BFB9CEB" w:rsidR="00660710" w:rsidRDefault="00660710">
      <w:pPr>
        <w:rPr>
          <w:noProof/>
          <w:szCs w:val="24"/>
        </w:rPr>
      </w:pPr>
      <w:r>
        <w:rPr>
          <w:noProof/>
          <w:szCs w:val="24"/>
        </w:rPr>
        <w:t xml:space="preserve">This study describes the interesting potential regulatory module of </w:t>
      </w:r>
      <w:r w:rsidRPr="00660710">
        <w:rPr>
          <w:noProof/>
          <w:szCs w:val="24"/>
        </w:rPr>
        <w:t>Rv1747</w:t>
      </w:r>
      <w:r>
        <w:rPr>
          <w:noProof/>
          <w:szCs w:val="24"/>
        </w:rPr>
        <w:t>, where the fused FHA domains are able to bind to the phosphorylated linker peptide. Although the effect on transporter activity was not experimentally confirmed, the results of the paper suggest that this allows the activity of the trasnporter to be fine-tuned through the alteration of the phosphorylation state of the linker regions.</w:t>
      </w:r>
    </w:p>
    <w:p w14:paraId="7256C071" w14:textId="762AAA3E" w:rsidR="008B02FB" w:rsidRPr="00F1292F" w:rsidRDefault="00BC6753" w:rsidP="008B02FB">
      <w:pPr>
        <w:rPr>
          <w:sz w:val="32"/>
        </w:rPr>
      </w:pPr>
      <w:r>
        <w:rPr>
          <w:noProof/>
          <w:szCs w:val="24"/>
        </w:rPr>
        <w:t>53</w:t>
      </w:r>
      <w:r w:rsidR="008B3DD4">
        <w:rPr>
          <w:noProof/>
          <w:szCs w:val="24"/>
        </w:rPr>
        <w:t xml:space="preserve">: </w:t>
      </w:r>
      <w:r w:rsidR="008B3DD4" w:rsidRPr="00E80212">
        <w:rPr>
          <w:noProof/>
          <w:szCs w:val="24"/>
        </w:rPr>
        <w:t xml:space="preserve">Tomita </w:t>
      </w:r>
      <w:r w:rsidR="008B3DD4" w:rsidRPr="00E80212">
        <w:rPr>
          <w:i/>
          <w:iCs/>
          <w:noProof/>
          <w:szCs w:val="24"/>
        </w:rPr>
        <w:t>et al.</w:t>
      </w:r>
      <w:r w:rsidR="008B3DD4">
        <w:rPr>
          <w:i/>
          <w:iCs/>
          <w:noProof/>
          <w:szCs w:val="24"/>
        </w:rPr>
        <w:t xml:space="preserve"> </w:t>
      </w:r>
      <w:r w:rsidR="008B3DD4" w:rsidRPr="00E80212">
        <w:rPr>
          <w:noProof/>
          <w:szCs w:val="24"/>
        </w:rPr>
        <w:t>2017</w:t>
      </w:r>
      <w:r w:rsidR="008B02FB">
        <w:rPr>
          <w:noProof/>
          <w:szCs w:val="24"/>
        </w:rPr>
        <w:t xml:space="preserve"> </w:t>
      </w:r>
      <w:r w:rsidR="008B02FB" w:rsidRPr="00F1292F">
        <w:rPr>
          <w:sz w:val="32"/>
        </w:rPr>
        <w:t>**</w:t>
      </w:r>
    </w:p>
    <w:p w14:paraId="6B86E5FF" w14:textId="1CE1A39E" w:rsidR="008B3DD4" w:rsidRDefault="005E093E">
      <w:pPr>
        <w:rPr>
          <w:noProof/>
          <w:szCs w:val="24"/>
        </w:rPr>
      </w:pPr>
      <w:r>
        <w:rPr>
          <w:noProof/>
          <w:szCs w:val="24"/>
        </w:rPr>
        <w:t>The study describes a unique regulatory role for the CBS domains of the magnesium channel MgtE, where the binding of ATP sensitises the channel to intracellular magnesium, thus promoting the closure of the channel at physiological magnesium concentrations. The uptake of magnesium by this channel is therefore connected to both the concentrations of internal magnesium and ATP.</w:t>
      </w:r>
    </w:p>
    <w:p w14:paraId="52A47479" w14:textId="74FD0285" w:rsidR="008B02FB" w:rsidRPr="00F1292F" w:rsidRDefault="00BC6753" w:rsidP="008B02FB">
      <w:pPr>
        <w:rPr>
          <w:sz w:val="32"/>
        </w:rPr>
      </w:pPr>
      <w:r>
        <w:t>62</w:t>
      </w:r>
      <w:r w:rsidR="008B3DD4">
        <w:t xml:space="preserve">: </w:t>
      </w:r>
      <w:r w:rsidR="007570A6">
        <w:t xml:space="preserve">Méheust </w:t>
      </w:r>
      <w:r w:rsidR="008B3DD4" w:rsidRPr="008B3DD4">
        <w:t>et al</w:t>
      </w:r>
      <w:r w:rsidR="007570A6">
        <w:t xml:space="preserve"> 20</w:t>
      </w:r>
      <w:r w:rsidR="008B3DD4" w:rsidRPr="008B3DD4">
        <w:t>18</w:t>
      </w:r>
      <w:r w:rsidR="008B02FB">
        <w:t xml:space="preserve"> </w:t>
      </w:r>
      <w:r w:rsidR="008B02FB" w:rsidRPr="00F1292F">
        <w:rPr>
          <w:sz w:val="32"/>
        </w:rPr>
        <w:t>*</w:t>
      </w:r>
    </w:p>
    <w:p w14:paraId="30A59779" w14:textId="1B42A8FA" w:rsidR="005E093E" w:rsidRPr="00570EDF" w:rsidRDefault="005E093E">
      <w:r>
        <w:t>The study provides evidence that</w:t>
      </w:r>
      <w:r w:rsidR="00570EDF">
        <w:t xml:space="preserve"> gene fusion, including fusion of domains acquired from bacteria,</w:t>
      </w:r>
      <w:r>
        <w:t xml:space="preserve"> has resulted in the formation of numerous </w:t>
      </w:r>
      <w:r w:rsidR="00570EDF">
        <w:t xml:space="preserve">chimeric genes in </w:t>
      </w:r>
      <w:r w:rsidR="00570EDF" w:rsidRPr="00CC0C85">
        <w:rPr>
          <w:i/>
        </w:rPr>
        <w:t>Haloarchaea</w:t>
      </w:r>
      <w:r w:rsidR="00570EDF">
        <w:t xml:space="preserve">, and </w:t>
      </w:r>
      <w:r w:rsidR="008A192C">
        <w:t xml:space="preserve">identifies that many of these are involved in core metabolism and adaptation to high salt concentrations, </w:t>
      </w:r>
      <w:r w:rsidR="00570EDF">
        <w:t>suggest</w:t>
      </w:r>
      <w:r w:rsidR="008A192C">
        <w:t>ing</w:t>
      </w:r>
      <w:r w:rsidR="00570EDF">
        <w:t xml:space="preserve"> that </w:t>
      </w:r>
      <w:r w:rsidR="008A192C">
        <w:t>they</w:t>
      </w:r>
      <w:r w:rsidR="00570EDF">
        <w:t xml:space="preserve"> have been important in the adaptation of the </w:t>
      </w:r>
      <w:r w:rsidR="00570EDF" w:rsidRPr="00CC0C85">
        <w:rPr>
          <w:i/>
        </w:rPr>
        <w:t>Haloarchaea</w:t>
      </w:r>
      <w:r w:rsidR="00570EDF">
        <w:t xml:space="preserve"> to their environmental niche.</w:t>
      </w:r>
    </w:p>
    <w:p w14:paraId="35E35243" w14:textId="739F0601" w:rsidR="008B02FB" w:rsidRPr="00F1292F" w:rsidRDefault="00BC6753" w:rsidP="008B02FB">
      <w:pPr>
        <w:rPr>
          <w:sz w:val="32"/>
        </w:rPr>
      </w:pPr>
      <w:r>
        <w:t>97</w:t>
      </w:r>
      <w:r w:rsidR="00142B38">
        <w:t>. Sandhu &amp; Akhter, 2018.</w:t>
      </w:r>
      <w:r w:rsidR="008B02FB" w:rsidRPr="008B02FB">
        <w:rPr>
          <w:sz w:val="32"/>
        </w:rPr>
        <w:t xml:space="preserve"> </w:t>
      </w:r>
      <w:r w:rsidR="008B02FB">
        <w:rPr>
          <w:sz w:val="32"/>
        </w:rPr>
        <w:t>*</w:t>
      </w:r>
    </w:p>
    <w:p w14:paraId="320C3C33" w14:textId="7437CEC2" w:rsidR="00142B38" w:rsidRPr="00CC0C85" w:rsidRDefault="00142B38" w:rsidP="00142B38">
      <w:r w:rsidRPr="00CC0C85">
        <w:lastRenderedPageBreak/>
        <w:t xml:space="preserve">This paper </w:t>
      </w:r>
      <w:r w:rsidR="00604786">
        <w:t xml:space="preserve">is a focussed study on the molecular evolution of the Mycobacterial </w:t>
      </w:r>
      <w:r w:rsidRPr="00CC0C85">
        <w:t>MmpL RND efflux pump.</w:t>
      </w:r>
      <w:r w:rsidR="00604786">
        <w:t xml:space="preserve"> </w:t>
      </w:r>
      <w:r w:rsidRPr="00CC0C85">
        <w:t>It introduces the role of fusion and gene duplication, exploring the importance of this event in producing internal symmetry</w:t>
      </w:r>
      <w:r w:rsidR="00604786">
        <w:t>. It also suggests examples of fissions, although these examples need experimental characterisation</w:t>
      </w:r>
    </w:p>
    <w:p w14:paraId="27609FD5" w14:textId="10112CDC" w:rsidR="008B02FB" w:rsidRPr="00F1292F" w:rsidRDefault="00BC6753" w:rsidP="008B02FB">
      <w:pPr>
        <w:rPr>
          <w:sz w:val="32"/>
        </w:rPr>
      </w:pPr>
      <w:r>
        <w:t>99</w:t>
      </w:r>
      <w:r w:rsidR="00142B38">
        <w:t xml:space="preserve">: Major et al 2017. </w:t>
      </w:r>
      <w:r w:rsidR="008B02FB" w:rsidRPr="00F1292F">
        <w:rPr>
          <w:sz w:val="32"/>
        </w:rPr>
        <w:t>**</w:t>
      </w:r>
    </w:p>
    <w:p w14:paraId="22B5A8B4" w14:textId="06A3ED77" w:rsidR="00142B38" w:rsidRPr="00CC0C85" w:rsidRDefault="00142B38">
      <w:r w:rsidRPr="008B02FB">
        <w:t xml:space="preserve">This paper offers an interesting insight into the fusion partners of NTTs. Phylogenetic analysis suggests a single, bacterial origin for the NTT-HEAT fusion, and offers multiple theories about the uptake of this fusion in the bacterial and eukaryotic lines containing it. </w:t>
      </w:r>
    </w:p>
    <w:p w14:paraId="7DD7F925" w14:textId="30E3ED1E" w:rsidR="00142B38" w:rsidRPr="00CC0C85" w:rsidRDefault="00BC6753">
      <w:pPr>
        <w:rPr>
          <w:sz w:val="32"/>
        </w:rPr>
      </w:pPr>
      <w:r>
        <w:t>101</w:t>
      </w:r>
      <w:r w:rsidR="00142B38">
        <w:t>: Farr et al 2017.</w:t>
      </w:r>
      <w:r w:rsidR="008B02FB">
        <w:t xml:space="preserve"> </w:t>
      </w:r>
      <w:r w:rsidR="008B02FB" w:rsidRPr="00CC0C85">
        <w:rPr>
          <w:sz w:val="32"/>
        </w:rPr>
        <w:t>**</w:t>
      </w:r>
    </w:p>
    <w:p w14:paraId="26D8DEE3" w14:textId="35A7831C" w:rsidR="00142B38" w:rsidRPr="008B02FB" w:rsidRDefault="008B02FB">
      <w:r>
        <w:t xml:space="preserve">This beautiful experimental evolution approach demonstrated real adaptation of </w:t>
      </w:r>
      <w:r>
        <w:rPr>
          <w:i/>
        </w:rPr>
        <w:t>Pseudomonas fluorescens</w:t>
      </w:r>
      <w:r>
        <w:t xml:space="preserve"> to a new phenotype, finding multiple genetics changes that bring a di-guanylate cyclase domain to the membrane through fusion with an integral membrane protein. </w:t>
      </w:r>
    </w:p>
    <w:p w14:paraId="742DCA63" w14:textId="39D493C5" w:rsidR="008B02FB" w:rsidRPr="00F1292F" w:rsidRDefault="00BC6753" w:rsidP="008B02FB">
      <w:pPr>
        <w:rPr>
          <w:sz w:val="32"/>
        </w:rPr>
      </w:pPr>
      <w:r>
        <w:t>102</w:t>
      </w:r>
      <w:r w:rsidR="00142B38">
        <w:t>: Schavemaker, Boersma &amp; Poolman 2018</w:t>
      </w:r>
      <w:r w:rsidR="008B02FB">
        <w:t xml:space="preserve"> </w:t>
      </w:r>
      <w:r w:rsidR="008B02FB" w:rsidRPr="00F1292F">
        <w:rPr>
          <w:sz w:val="32"/>
        </w:rPr>
        <w:t>*</w:t>
      </w:r>
    </w:p>
    <w:p w14:paraId="66A4ACF5" w14:textId="0D072B06" w:rsidR="00650DC8" w:rsidRPr="00CC0C85" w:rsidRDefault="008B02FB">
      <w:r>
        <w:t xml:space="preserve">An interesting review on the importance of protein diffusion in prokaryotes which poses questions in the field that need answers that are critical to help elucidate when membrane transporter/enzyme fusions would be functionally beneficial. </w:t>
      </w:r>
    </w:p>
    <w:p w14:paraId="568C2186" w14:textId="77777777" w:rsidR="00650DC8" w:rsidRPr="00CC0C85" w:rsidRDefault="00650DC8"/>
    <w:p w14:paraId="58EEE872" w14:textId="77777777" w:rsidR="00650DC8" w:rsidRPr="00CC0C85" w:rsidRDefault="00650DC8"/>
    <w:sectPr w:rsidR="00650DC8" w:rsidRPr="00CC0C85">
      <w:footerReference w:type="default" r:id="rId9"/>
      <w:pgSz w:w="11906" w:h="16838"/>
      <w:pgMar w:top="1440" w:right="1440" w:bottom="1440" w:left="1440" w:header="708" w:footer="708" w:gutter="0"/>
      <w:pgNumType w:start="1"/>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791B766" w16cid:durableId="20BB36C9"/>
  <w16cid:commentId w16cid:paraId="0AE7D171" w16cid:durableId="20BB36FE"/>
  <w16cid:commentId w16cid:paraId="33545A90" w16cid:durableId="20BB373E"/>
  <w16cid:commentId w16cid:paraId="31EA6382" w16cid:durableId="20BB3759"/>
  <w16cid:commentId w16cid:paraId="7AC36E7C" w16cid:durableId="20BB3799"/>
  <w16cid:commentId w16cid:paraId="5BE4C8B2" w16cid:durableId="20BB37B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9429DC" w14:textId="77777777" w:rsidR="007435BB" w:rsidRDefault="007435BB" w:rsidP="00AC6980">
      <w:pPr>
        <w:spacing w:after="0" w:line="240" w:lineRule="auto"/>
      </w:pPr>
      <w:r>
        <w:separator/>
      </w:r>
    </w:p>
  </w:endnote>
  <w:endnote w:type="continuationSeparator" w:id="0">
    <w:p w14:paraId="3C7481C9" w14:textId="77777777" w:rsidR="007435BB" w:rsidRDefault="007435BB" w:rsidP="00AC69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mp;quo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2425105"/>
      <w:docPartObj>
        <w:docPartGallery w:val="Page Numbers (Bottom of Page)"/>
        <w:docPartUnique/>
      </w:docPartObj>
    </w:sdtPr>
    <w:sdtEndPr>
      <w:rPr>
        <w:noProof/>
      </w:rPr>
    </w:sdtEndPr>
    <w:sdtContent>
      <w:p w14:paraId="38C3B7E0" w14:textId="354B92D1" w:rsidR="00754EF9" w:rsidRDefault="00754EF9">
        <w:pPr>
          <w:pStyle w:val="Footer"/>
          <w:jc w:val="center"/>
        </w:pPr>
        <w:r>
          <w:fldChar w:fldCharType="begin"/>
        </w:r>
        <w:r>
          <w:instrText xml:space="preserve"> PAGE   \* MERGEFORMAT </w:instrText>
        </w:r>
        <w:r>
          <w:fldChar w:fldCharType="separate"/>
        </w:r>
        <w:r w:rsidR="0051629D">
          <w:rPr>
            <w:noProof/>
          </w:rPr>
          <w:t>1</w:t>
        </w:r>
        <w:r>
          <w:rPr>
            <w:noProof/>
          </w:rPr>
          <w:fldChar w:fldCharType="end"/>
        </w:r>
      </w:p>
    </w:sdtContent>
  </w:sdt>
  <w:p w14:paraId="5129592A" w14:textId="77777777" w:rsidR="00754EF9" w:rsidRDefault="00754E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F54648" w14:textId="77777777" w:rsidR="007435BB" w:rsidRDefault="007435BB" w:rsidP="00AC6980">
      <w:pPr>
        <w:spacing w:after="0" w:line="240" w:lineRule="auto"/>
      </w:pPr>
      <w:r>
        <w:separator/>
      </w:r>
    </w:p>
  </w:footnote>
  <w:footnote w:type="continuationSeparator" w:id="0">
    <w:p w14:paraId="7AF0C95E" w14:textId="77777777" w:rsidR="007435BB" w:rsidRDefault="007435BB" w:rsidP="00AC698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DC8"/>
    <w:rsid w:val="0001050F"/>
    <w:rsid w:val="00017D21"/>
    <w:rsid w:val="000214B6"/>
    <w:rsid w:val="000338CB"/>
    <w:rsid w:val="00054C7D"/>
    <w:rsid w:val="0007416C"/>
    <w:rsid w:val="000D26A6"/>
    <w:rsid w:val="000D5827"/>
    <w:rsid w:val="000E090A"/>
    <w:rsid w:val="000E2F58"/>
    <w:rsid w:val="000F053C"/>
    <w:rsid w:val="000F484B"/>
    <w:rsid w:val="00127AAA"/>
    <w:rsid w:val="00142B38"/>
    <w:rsid w:val="001527EE"/>
    <w:rsid w:val="001B356B"/>
    <w:rsid w:val="001B3DA5"/>
    <w:rsid w:val="001C4F22"/>
    <w:rsid w:val="001F5E39"/>
    <w:rsid w:val="002607F2"/>
    <w:rsid w:val="002A54F2"/>
    <w:rsid w:val="002A7AEF"/>
    <w:rsid w:val="002C6DA8"/>
    <w:rsid w:val="002F46C9"/>
    <w:rsid w:val="00344424"/>
    <w:rsid w:val="003468EB"/>
    <w:rsid w:val="00356ED7"/>
    <w:rsid w:val="00385760"/>
    <w:rsid w:val="00393B0D"/>
    <w:rsid w:val="003C7C67"/>
    <w:rsid w:val="00420DE6"/>
    <w:rsid w:val="004340C6"/>
    <w:rsid w:val="0043593B"/>
    <w:rsid w:val="00461E32"/>
    <w:rsid w:val="00464DF5"/>
    <w:rsid w:val="00474FB0"/>
    <w:rsid w:val="00492BE2"/>
    <w:rsid w:val="004B71E9"/>
    <w:rsid w:val="004F0CFF"/>
    <w:rsid w:val="00500F96"/>
    <w:rsid w:val="0051629D"/>
    <w:rsid w:val="0053471F"/>
    <w:rsid w:val="00537874"/>
    <w:rsid w:val="00570EDF"/>
    <w:rsid w:val="005B1C35"/>
    <w:rsid w:val="005C5643"/>
    <w:rsid w:val="005E093E"/>
    <w:rsid w:val="005E0CDC"/>
    <w:rsid w:val="005F680E"/>
    <w:rsid w:val="0060018C"/>
    <w:rsid w:val="00604786"/>
    <w:rsid w:val="00612A30"/>
    <w:rsid w:val="006158F5"/>
    <w:rsid w:val="00634810"/>
    <w:rsid w:val="00637186"/>
    <w:rsid w:val="00650DC8"/>
    <w:rsid w:val="00650E54"/>
    <w:rsid w:val="006574E0"/>
    <w:rsid w:val="00660710"/>
    <w:rsid w:val="006609D5"/>
    <w:rsid w:val="00691DA8"/>
    <w:rsid w:val="006B4506"/>
    <w:rsid w:val="006B6C65"/>
    <w:rsid w:val="006C5548"/>
    <w:rsid w:val="006D6859"/>
    <w:rsid w:val="00710C75"/>
    <w:rsid w:val="007435BB"/>
    <w:rsid w:val="00754EF9"/>
    <w:rsid w:val="007570A6"/>
    <w:rsid w:val="00772B7C"/>
    <w:rsid w:val="00795070"/>
    <w:rsid w:val="007A415B"/>
    <w:rsid w:val="007E13FA"/>
    <w:rsid w:val="007F2315"/>
    <w:rsid w:val="007F40B4"/>
    <w:rsid w:val="007F5EAB"/>
    <w:rsid w:val="00804232"/>
    <w:rsid w:val="008225FA"/>
    <w:rsid w:val="008266CB"/>
    <w:rsid w:val="008454CF"/>
    <w:rsid w:val="00846D0E"/>
    <w:rsid w:val="00850260"/>
    <w:rsid w:val="00887482"/>
    <w:rsid w:val="00892B43"/>
    <w:rsid w:val="008A192C"/>
    <w:rsid w:val="008B02FB"/>
    <w:rsid w:val="008B3DD4"/>
    <w:rsid w:val="008C5697"/>
    <w:rsid w:val="009045DA"/>
    <w:rsid w:val="00907255"/>
    <w:rsid w:val="009165CB"/>
    <w:rsid w:val="00931AC6"/>
    <w:rsid w:val="00956813"/>
    <w:rsid w:val="009731EB"/>
    <w:rsid w:val="009A0EF3"/>
    <w:rsid w:val="009A27D5"/>
    <w:rsid w:val="009C2183"/>
    <w:rsid w:val="009D7E58"/>
    <w:rsid w:val="00A27122"/>
    <w:rsid w:val="00A339C4"/>
    <w:rsid w:val="00A34A72"/>
    <w:rsid w:val="00A427E8"/>
    <w:rsid w:val="00A67722"/>
    <w:rsid w:val="00A85C4A"/>
    <w:rsid w:val="00A944C9"/>
    <w:rsid w:val="00A97363"/>
    <w:rsid w:val="00AA1FF1"/>
    <w:rsid w:val="00AA2321"/>
    <w:rsid w:val="00AA628C"/>
    <w:rsid w:val="00AC36A6"/>
    <w:rsid w:val="00AC6980"/>
    <w:rsid w:val="00B009D2"/>
    <w:rsid w:val="00B10E34"/>
    <w:rsid w:val="00B22235"/>
    <w:rsid w:val="00B55440"/>
    <w:rsid w:val="00B84820"/>
    <w:rsid w:val="00BC1FBE"/>
    <w:rsid w:val="00BC6753"/>
    <w:rsid w:val="00BD17CE"/>
    <w:rsid w:val="00BD4728"/>
    <w:rsid w:val="00BE4FB0"/>
    <w:rsid w:val="00C23A32"/>
    <w:rsid w:val="00C317ED"/>
    <w:rsid w:val="00C45B56"/>
    <w:rsid w:val="00C4672F"/>
    <w:rsid w:val="00C52CD9"/>
    <w:rsid w:val="00C71B0C"/>
    <w:rsid w:val="00CA4861"/>
    <w:rsid w:val="00CA683D"/>
    <w:rsid w:val="00CC0C85"/>
    <w:rsid w:val="00CE29A7"/>
    <w:rsid w:val="00CE6077"/>
    <w:rsid w:val="00D019F5"/>
    <w:rsid w:val="00D229B5"/>
    <w:rsid w:val="00D23E2F"/>
    <w:rsid w:val="00D656B2"/>
    <w:rsid w:val="00D73A90"/>
    <w:rsid w:val="00D839AC"/>
    <w:rsid w:val="00D9032C"/>
    <w:rsid w:val="00D9696A"/>
    <w:rsid w:val="00DB6DAE"/>
    <w:rsid w:val="00E0593F"/>
    <w:rsid w:val="00E445A6"/>
    <w:rsid w:val="00E47439"/>
    <w:rsid w:val="00E6383D"/>
    <w:rsid w:val="00E80212"/>
    <w:rsid w:val="00E80BBA"/>
    <w:rsid w:val="00E97295"/>
    <w:rsid w:val="00EA1EEB"/>
    <w:rsid w:val="00ED64DB"/>
    <w:rsid w:val="00F41DAB"/>
    <w:rsid w:val="00F61FF4"/>
    <w:rsid w:val="00F85916"/>
    <w:rsid w:val="00F92468"/>
    <w:rsid w:val="00F93848"/>
    <w:rsid w:val="00FB055E"/>
    <w:rsid w:val="00FE2067"/>
    <w:rsid w:val="00FE34C5"/>
    <w:rsid w:val="00FF55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6E0CF5"/>
  <w15:docId w15:val="{08039A2D-4C04-4D8C-A6C9-368F08544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656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56B2"/>
    <w:rPr>
      <w:rFonts w:ascii="Segoe UI" w:hAnsi="Segoe UI" w:cs="Segoe UI"/>
      <w:sz w:val="18"/>
      <w:szCs w:val="18"/>
    </w:rPr>
  </w:style>
  <w:style w:type="paragraph" w:styleId="FootnoteText">
    <w:name w:val="footnote text"/>
    <w:basedOn w:val="Normal"/>
    <w:link w:val="FootnoteTextChar"/>
    <w:uiPriority w:val="99"/>
    <w:semiHidden/>
    <w:unhideWhenUsed/>
    <w:rsid w:val="00AC69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6980"/>
    <w:rPr>
      <w:sz w:val="20"/>
      <w:szCs w:val="20"/>
    </w:rPr>
  </w:style>
  <w:style w:type="character" w:styleId="FootnoteReference">
    <w:name w:val="footnote reference"/>
    <w:basedOn w:val="DefaultParagraphFont"/>
    <w:uiPriority w:val="99"/>
    <w:semiHidden/>
    <w:unhideWhenUsed/>
    <w:rsid w:val="00AC6980"/>
    <w:rPr>
      <w:vertAlign w:val="superscript"/>
    </w:rPr>
  </w:style>
  <w:style w:type="paragraph" w:styleId="CommentSubject">
    <w:name w:val="annotation subject"/>
    <w:basedOn w:val="CommentText"/>
    <w:next w:val="CommentText"/>
    <w:link w:val="CommentSubjectChar"/>
    <w:uiPriority w:val="99"/>
    <w:semiHidden/>
    <w:unhideWhenUsed/>
    <w:rsid w:val="00344424"/>
    <w:rPr>
      <w:b/>
      <w:bCs/>
    </w:rPr>
  </w:style>
  <w:style w:type="character" w:customStyle="1" w:styleId="CommentSubjectChar">
    <w:name w:val="Comment Subject Char"/>
    <w:basedOn w:val="CommentTextChar"/>
    <w:link w:val="CommentSubject"/>
    <w:uiPriority w:val="99"/>
    <w:semiHidden/>
    <w:rsid w:val="00344424"/>
    <w:rPr>
      <w:b/>
      <w:bCs/>
      <w:sz w:val="20"/>
      <w:szCs w:val="20"/>
    </w:rPr>
  </w:style>
  <w:style w:type="paragraph" w:styleId="Header">
    <w:name w:val="header"/>
    <w:basedOn w:val="Normal"/>
    <w:link w:val="HeaderChar"/>
    <w:uiPriority w:val="99"/>
    <w:unhideWhenUsed/>
    <w:rsid w:val="00B554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5440"/>
  </w:style>
  <w:style w:type="paragraph" w:styleId="Footer">
    <w:name w:val="footer"/>
    <w:basedOn w:val="Normal"/>
    <w:link w:val="FooterChar"/>
    <w:uiPriority w:val="99"/>
    <w:unhideWhenUsed/>
    <w:rsid w:val="00B554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54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763617">
      <w:bodyDiv w:val="1"/>
      <w:marLeft w:val="0"/>
      <w:marRight w:val="0"/>
      <w:marTop w:val="0"/>
      <w:marBottom w:val="0"/>
      <w:divBdr>
        <w:top w:val="none" w:sz="0" w:space="0" w:color="auto"/>
        <w:left w:val="none" w:sz="0" w:space="0" w:color="auto"/>
        <w:bottom w:val="none" w:sz="0" w:space="0" w:color="auto"/>
        <w:right w:val="none" w:sz="0" w:space="0" w:color="auto"/>
      </w:divBdr>
    </w:div>
    <w:div w:id="591472846">
      <w:bodyDiv w:val="1"/>
      <w:marLeft w:val="0"/>
      <w:marRight w:val="0"/>
      <w:marTop w:val="0"/>
      <w:marBottom w:val="0"/>
      <w:divBdr>
        <w:top w:val="none" w:sz="0" w:space="0" w:color="auto"/>
        <w:left w:val="none" w:sz="0" w:space="0" w:color="auto"/>
        <w:bottom w:val="none" w:sz="0" w:space="0" w:color="auto"/>
        <w:right w:val="none" w:sz="0" w:space="0" w:color="auto"/>
      </w:divBdr>
    </w:div>
    <w:div w:id="709040255">
      <w:bodyDiv w:val="1"/>
      <w:marLeft w:val="0"/>
      <w:marRight w:val="0"/>
      <w:marTop w:val="0"/>
      <w:marBottom w:val="0"/>
      <w:divBdr>
        <w:top w:val="none" w:sz="0" w:space="0" w:color="auto"/>
        <w:left w:val="none" w:sz="0" w:space="0" w:color="auto"/>
        <w:bottom w:val="none" w:sz="0" w:space="0" w:color="auto"/>
        <w:right w:val="none" w:sz="0" w:space="0" w:color="auto"/>
      </w:divBdr>
    </w:div>
    <w:div w:id="1162352690">
      <w:bodyDiv w:val="1"/>
      <w:marLeft w:val="0"/>
      <w:marRight w:val="0"/>
      <w:marTop w:val="0"/>
      <w:marBottom w:val="0"/>
      <w:divBdr>
        <w:top w:val="none" w:sz="0" w:space="0" w:color="auto"/>
        <w:left w:val="none" w:sz="0" w:space="0" w:color="auto"/>
        <w:bottom w:val="none" w:sz="0" w:space="0" w:color="auto"/>
        <w:right w:val="none" w:sz="0" w:space="0" w:color="auto"/>
      </w:divBdr>
    </w:div>
    <w:div w:id="1182738373">
      <w:bodyDiv w:val="1"/>
      <w:marLeft w:val="0"/>
      <w:marRight w:val="0"/>
      <w:marTop w:val="0"/>
      <w:marBottom w:val="0"/>
      <w:divBdr>
        <w:top w:val="none" w:sz="0" w:space="0" w:color="auto"/>
        <w:left w:val="none" w:sz="0" w:space="0" w:color="auto"/>
        <w:bottom w:val="none" w:sz="0" w:space="0" w:color="auto"/>
        <w:right w:val="none" w:sz="0" w:space="0" w:color="auto"/>
      </w:divBdr>
    </w:div>
    <w:div w:id="1388458213">
      <w:bodyDiv w:val="1"/>
      <w:marLeft w:val="0"/>
      <w:marRight w:val="0"/>
      <w:marTop w:val="0"/>
      <w:marBottom w:val="0"/>
      <w:divBdr>
        <w:top w:val="none" w:sz="0" w:space="0" w:color="auto"/>
        <w:left w:val="none" w:sz="0" w:space="0" w:color="auto"/>
        <w:bottom w:val="none" w:sz="0" w:space="0" w:color="auto"/>
        <w:right w:val="none" w:sz="0" w:space="0" w:color="auto"/>
      </w:divBdr>
    </w:div>
    <w:div w:id="1593709549">
      <w:bodyDiv w:val="1"/>
      <w:marLeft w:val="0"/>
      <w:marRight w:val="0"/>
      <w:marTop w:val="0"/>
      <w:marBottom w:val="0"/>
      <w:divBdr>
        <w:top w:val="none" w:sz="0" w:space="0" w:color="auto"/>
        <w:left w:val="none" w:sz="0" w:space="0" w:color="auto"/>
        <w:bottom w:val="none" w:sz="0" w:space="0" w:color="auto"/>
        <w:right w:val="none" w:sz="0" w:space="0" w:color="auto"/>
      </w:divBdr>
    </w:div>
    <w:div w:id="1618639356">
      <w:bodyDiv w:val="1"/>
      <w:marLeft w:val="0"/>
      <w:marRight w:val="0"/>
      <w:marTop w:val="0"/>
      <w:marBottom w:val="0"/>
      <w:divBdr>
        <w:top w:val="none" w:sz="0" w:space="0" w:color="auto"/>
        <w:left w:val="none" w:sz="0" w:space="0" w:color="auto"/>
        <w:bottom w:val="none" w:sz="0" w:space="0" w:color="auto"/>
        <w:right w:val="none" w:sz="0" w:space="0" w:color="auto"/>
      </w:divBdr>
    </w:div>
    <w:div w:id="1619415403">
      <w:bodyDiv w:val="1"/>
      <w:marLeft w:val="0"/>
      <w:marRight w:val="0"/>
      <w:marTop w:val="0"/>
      <w:marBottom w:val="0"/>
      <w:divBdr>
        <w:top w:val="none" w:sz="0" w:space="0" w:color="auto"/>
        <w:left w:val="none" w:sz="0" w:space="0" w:color="auto"/>
        <w:bottom w:val="none" w:sz="0" w:space="0" w:color="auto"/>
        <w:right w:val="none" w:sz="0" w:space="0" w:color="auto"/>
      </w:divBdr>
    </w:div>
    <w:div w:id="1630434511">
      <w:bodyDiv w:val="1"/>
      <w:marLeft w:val="0"/>
      <w:marRight w:val="0"/>
      <w:marTop w:val="0"/>
      <w:marBottom w:val="0"/>
      <w:divBdr>
        <w:top w:val="none" w:sz="0" w:space="0" w:color="auto"/>
        <w:left w:val="none" w:sz="0" w:space="0" w:color="auto"/>
        <w:bottom w:val="none" w:sz="0" w:space="0" w:color="auto"/>
        <w:right w:val="none" w:sz="0" w:space="0" w:color="auto"/>
      </w:divBdr>
    </w:div>
    <w:div w:id="19786090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E1C11-04C1-456A-AFE7-C6B63B2AC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54640</Words>
  <Characters>311453</Characters>
  <Application>Microsoft Office Word</Application>
  <DocSecurity>0</DocSecurity>
  <Lines>2595</Lines>
  <Paragraphs>730</Paragraphs>
  <ScaleCrop>false</ScaleCrop>
  <HeadingPairs>
    <vt:vector size="2" baseType="variant">
      <vt:variant>
        <vt:lpstr>Title</vt:lpstr>
      </vt:variant>
      <vt:variant>
        <vt:i4>1</vt:i4>
      </vt:variant>
    </vt:vector>
  </HeadingPairs>
  <TitlesOfParts>
    <vt:vector size="1" baseType="lpstr">
      <vt:lpstr/>
    </vt:vector>
  </TitlesOfParts>
  <Company>University of York</Company>
  <LinksUpToDate>false</LinksUpToDate>
  <CharactersWithSpaces>365363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Liam Chapman</dc:creator>
  <cp:lastModifiedBy>Gavin Thomas</cp:lastModifiedBy>
  <cp:revision>3</cp:revision>
  <dcterms:created xsi:type="dcterms:W3CDTF">2019-08-27T16:07:00Z</dcterms:created>
  <dcterms:modified xsi:type="dcterms:W3CDTF">2019-08-27T16:07:00Z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http://www.zotero.org/styles/current-opinion-in-microbiology</vt:lpwstr>
  </property>
  <property fmtid="{D5CDD505-2E9C-101B-9397-08002B2CF9AE}" pid="13" name="Mendeley Recent Style Name 5_1">
    <vt:lpwstr>Current Opinion in Microbiology</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66dfde44-2cd4-383d-879d-74b0b5c65676</vt:lpwstr>
  </property>
  <property fmtid="{D5CDD505-2E9C-101B-9397-08002B2CF9AE}" pid="24" name="Mendeley Citation Style_1">
    <vt:lpwstr>http://www.zotero.org/styles/current-opinion-in-microbiology</vt:lpwstr>
  </property>
</Properties>
</file>