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5E18BD" w14:textId="77777777" w:rsidR="004C479A" w:rsidRPr="00EB5AA5" w:rsidRDefault="004C479A" w:rsidP="00EB5AA5">
      <w:pPr>
        <w:pStyle w:val="Title"/>
        <w:spacing w:after="160"/>
        <w:contextualSpacing w:val="0"/>
        <w:rPr>
          <w:rFonts w:ascii="Times New Roman" w:hAnsi="Times New Roman" w:cs="Times New Roman"/>
          <w:noProof/>
        </w:rPr>
      </w:pPr>
      <w:bookmarkStart w:id="0" w:name="_Hlk8645323"/>
      <w:bookmarkStart w:id="1" w:name="_Hlk527134969"/>
      <w:bookmarkStart w:id="2" w:name="_Hlk17733417"/>
      <w:r w:rsidRPr="00EB5AA5">
        <w:rPr>
          <w:rFonts w:ascii="Times New Roman" w:hAnsi="Times New Roman" w:cs="Times New Roman"/>
          <w:noProof/>
        </w:rPr>
        <w:t>The trilemma of EU social benefits law: Seeing the wood and the trees</w:t>
      </w:r>
      <w:bookmarkEnd w:id="0"/>
      <w:bookmarkEnd w:id="1"/>
    </w:p>
    <w:p w14:paraId="37E7FA87" w14:textId="77777777" w:rsidR="004C479A" w:rsidRPr="00EB5AA5" w:rsidRDefault="004C479A" w:rsidP="008638AF">
      <w:pPr>
        <w:spacing w:line="360" w:lineRule="auto"/>
        <w:rPr>
          <w:rFonts w:ascii="Times New Roman"/>
          <w:noProof/>
        </w:rPr>
      </w:pPr>
      <w:r w:rsidRPr="00EB5AA5">
        <w:rPr>
          <w:rFonts w:ascii="Times New Roman"/>
          <w:noProof/>
        </w:rPr>
        <w:t>Nicolas Rennuy, York</w:t>
      </w:r>
      <w:r w:rsidRPr="00EB5AA5">
        <w:rPr>
          <w:rStyle w:val="EndnoteReference"/>
          <w:rFonts w:ascii="Times New Roman"/>
          <w:noProof/>
        </w:rPr>
        <w:endnoteReference w:id="1"/>
      </w:r>
    </w:p>
    <w:p w14:paraId="5982EE26" w14:textId="77777777" w:rsidR="004C479A" w:rsidRPr="00EB5AA5" w:rsidRDefault="004C479A" w:rsidP="008638AF">
      <w:pPr>
        <w:pStyle w:val="Heading1"/>
        <w:numPr>
          <w:ilvl w:val="0"/>
          <w:numId w:val="16"/>
        </w:numPr>
        <w:spacing w:before="0" w:after="160" w:line="360" w:lineRule="auto"/>
        <w:rPr>
          <w:rFonts w:ascii="Times New Roman" w:hAnsi="Times New Roman" w:cs="Times New Roman"/>
          <w:noProof/>
          <w:color w:val="auto"/>
        </w:rPr>
      </w:pPr>
      <w:bookmarkStart w:id="4" w:name="_Toc9341391"/>
      <w:bookmarkStart w:id="5" w:name="_Hlk7527612"/>
      <w:bookmarkStart w:id="6" w:name="_Hlk8643404"/>
      <w:r w:rsidRPr="00EB5AA5">
        <w:rPr>
          <w:rFonts w:ascii="Times New Roman" w:hAnsi="Times New Roman" w:cs="Times New Roman"/>
          <w:noProof/>
          <w:color w:val="auto"/>
        </w:rPr>
        <w:t>Introduction</w:t>
      </w:r>
      <w:bookmarkEnd w:id="4"/>
    </w:p>
    <w:p w14:paraId="0EF7113B" w14:textId="77777777" w:rsidR="004C479A" w:rsidRPr="00EB5AA5" w:rsidRDefault="004C479A" w:rsidP="008638AF">
      <w:pPr>
        <w:spacing w:line="360" w:lineRule="auto"/>
        <w:rPr>
          <w:rFonts w:ascii="Times New Roman"/>
          <w:noProof/>
        </w:rPr>
      </w:pPr>
      <w:bookmarkStart w:id="7" w:name="_Hlk7692295"/>
      <w:bookmarkStart w:id="8" w:name="_Hlk7880238"/>
      <w:bookmarkStart w:id="9" w:name="_Hlk8389868"/>
      <w:r w:rsidRPr="00EB5AA5">
        <w:rPr>
          <w:rFonts w:ascii="Times New Roman"/>
          <w:noProof/>
        </w:rPr>
        <w:t>The law on the cross-border access to social benefits makes a forbidding impression. It spans a number of complex, overlapping and dynamic legal frameworks: the abstruse Regulation 883/2004 on the coordination of social security systems; the open-textured Treaty provisions on free movement and EU citizenship; their partial codification in the Citizenship Directive, the Patient Mobility Directive and Regulation 492/2011; and often labyrinthine domestic welfare law.</w:t>
      </w:r>
      <w:r w:rsidRPr="00EB5AA5">
        <w:rPr>
          <w:rFonts w:ascii="Times New Roman"/>
          <w:noProof/>
          <w:vertAlign w:val="superscript"/>
        </w:rPr>
        <w:footnoteReference w:id="1"/>
      </w:r>
      <w:r w:rsidRPr="00EB5AA5">
        <w:rPr>
          <w:rFonts w:ascii="Times New Roman"/>
          <w:noProof/>
        </w:rPr>
        <w:t xml:space="preserve"> This article is an attempt to see the wood through the trees. Much as the distinctiveness of the doctrinal frameworks deserves respect, it should not blind us to their commonalities. While neither the ECJ nor commentators think in silos, this article goes one step further by asking what unites those legal frameworks. I argue that, because they share regulatory tools and values, it makes sense to talk of what could be called “EU social benefits law”.</w:t>
      </w:r>
    </w:p>
    <w:p w14:paraId="375CCDB7" w14:textId="77777777" w:rsidR="004C479A" w:rsidRPr="00EB5AA5" w:rsidRDefault="004C479A" w:rsidP="008638AF">
      <w:pPr>
        <w:spacing w:line="360" w:lineRule="auto"/>
        <w:rPr>
          <w:rFonts w:ascii="Times New Roman"/>
          <w:noProof/>
        </w:rPr>
      </w:pPr>
      <w:r w:rsidRPr="00EB5AA5">
        <w:rPr>
          <w:rFonts w:ascii="Times New Roman"/>
          <w:noProof/>
        </w:rPr>
        <w:t xml:space="preserve">A question central to that law and this article is whether the State of origin, the State of destination, and/or the migrant should bear the consequences when a social risk such as unemployment or poverty materializes. The four basic answers—the tools of EU social benefits law—can be illustrated by imagining variations on the </w:t>
      </w:r>
      <w:r w:rsidRPr="00EB5AA5">
        <w:rPr>
          <w:rFonts w:ascii="Times New Roman"/>
          <w:i/>
          <w:iCs/>
          <w:noProof/>
        </w:rPr>
        <w:t>Dano</w:t>
      </w:r>
      <w:r w:rsidRPr="00EB5AA5">
        <w:rPr>
          <w:rFonts w:ascii="Times New Roman"/>
          <w:noProof/>
        </w:rPr>
        <w:t xml:space="preserve"> judgment, in which an economically inactive mother who had moved from Romania to Germany was left without benefits.</w:t>
      </w:r>
      <w:r w:rsidRPr="00EB5AA5">
        <w:rPr>
          <w:rStyle w:val="FootnoteReference"/>
          <w:rFonts w:ascii="Times New Roman"/>
          <w:noProof/>
        </w:rPr>
        <w:footnoteReference w:id="2"/>
      </w:r>
      <w:r w:rsidRPr="00EB5AA5">
        <w:rPr>
          <w:rFonts w:ascii="Times New Roman"/>
          <w:noProof/>
        </w:rPr>
        <w:t xml:space="preserve"> She did not receive Romanian benefits, and the ECJ allowed Germany to reject her claim for minimum subsistence benefits until she establishes a right to reside under the Citizenship Directive. Alternatively, Ms Dano could have been supported by Romania as long as she is barred from German benefits—effectively both States would use the same waiting period. Or she could have been entitled to German benefits and excluded from Romanian benefits as soon as she moved. Finally, she could have drawn partial benefits from both States. These are the four basic tools available to rule-makers regulating the cross-border access to any social benefit: a waiting period in the State of destination only; a waiting period in the State of </w:t>
      </w:r>
      <w:r w:rsidRPr="00EB5AA5">
        <w:rPr>
          <w:rFonts w:ascii="Times New Roman"/>
          <w:noProof/>
        </w:rPr>
        <w:lastRenderedPageBreak/>
        <w:t>origin and the State of destination; an instant transition from the former to the latter; and partial benefits from both.</w:t>
      </w:r>
      <w:r w:rsidRPr="00EB5AA5">
        <w:rPr>
          <w:rFonts w:ascii="Times New Roman"/>
          <w:noProof/>
          <w:vertAlign w:val="superscript"/>
        </w:rPr>
        <w:footnoteReference w:id="3"/>
      </w:r>
    </w:p>
    <w:p w14:paraId="7E4CB1AE" w14:textId="77777777" w:rsidR="004C479A" w:rsidRPr="00EB5AA5" w:rsidRDefault="004C479A" w:rsidP="008638AF">
      <w:pPr>
        <w:spacing w:line="360" w:lineRule="auto"/>
        <w:rPr>
          <w:rFonts w:ascii="Times New Roman"/>
          <w:noProof/>
        </w:rPr>
      </w:pPr>
      <w:r w:rsidRPr="00EB5AA5">
        <w:rPr>
          <w:rFonts w:ascii="Times New Roman"/>
          <w:noProof/>
        </w:rPr>
        <w:t xml:space="preserve">What should guide rule-makers choosing between those regulatory tools? That depends on what they seek to achieve. I do not propose to present an inventory of the goals of EU social benefits law, but rather to highlight three values. First, </w:t>
      </w:r>
      <w:bookmarkStart w:id="10" w:name="_Hlk17652222"/>
      <w:r w:rsidRPr="00EB5AA5">
        <w:rPr>
          <w:rFonts w:ascii="Times New Roman"/>
          <w:noProof/>
        </w:rPr>
        <w:t>a person’s social protection should relate to his or her integration</w:t>
      </w:r>
      <w:bookmarkEnd w:id="10"/>
      <w:r w:rsidRPr="00EB5AA5">
        <w:rPr>
          <w:rFonts w:ascii="Times New Roman"/>
          <w:noProof/>
        </w:rPr>
        <w:t xml:space="preserve">. For instance, waiting periods are often defended on the grounds that newcomers are insufficiently integrated in the State of destination to immediately lay claim on its social benefits. Second, a migrant should have access to social protection </w:t>
      </w:r>
      <w:r w:rsidRPr="00EB5AA5">
        <w:rPr>
          <w:rFonts w:ascii="Times New Roman"/>
          <w:i/>
          <w:iCs/>
          <w:noProof/>
        </w:rPr>
        <w:t>somewhere</w:t>
      </w:r>
      <w:r w:rsidRPr="00EB5AA5">
        <w:rPr>
          <w:rFonts w:ascii="Times New Roman"/>
          <w:noProof/>
        </w:rPr>
        <w:t xml:space="preserve"> at all times—while migration might entail a shift from one welfare system to another, no migrant should fall between two stools, as Ms Dano did. Several tools can ensure continuous social protection. The last, most mysterious value will be referred to as harmony. </w:t>
      </w:r>
      <w:bookmarkStart w:id="11" w:name="_Hlk8642749"/>
      <w:bookmarkStart w:id="12" w:name="_Hlk7512029"/>
      <w:r w:rsidRPr="00EB5AA5">
        <w:rPr>
          <w:rFonts w:ascii="Times New Roman"/>
          <w:noProof/>
        </w:rPr>
        <w:t xml:space="preserve">Some tools bring the laws of two or more Member States to bear on a single case. </w:t>
      </w:r>
      <w:bookmarkEnd w:id="11"/>
      <w:r w:rsidRPr="00EB5AA5">
        <w:rPr>
          <w:rFonts w:ascii="Times New Roman"/>
          <w:noProof/>
        </w:rPr>
        <w:t xml:space="preserve">The resulting imbroglio may well lead to migrants receiving or contributing too little or too much. Harmony is most effectively maintained by avoiding the involvement of several legal orders. </w:t>
      </w:r>
      <w:bookmarkEnd w:id="12"/>
      <w:r w:rsidRPr="00EB5AA5">
        <w:rPr>
          <w:rFonts w:ascii="Times New Roman"/>
          <w:noProof/>
        </w:rPr>
        <w:t xml:space="preserve">One reason for singling out these values lies in their importance for the coordination of any social benefit—much like the tools, they are threads that run through the fabric of EU social benefits law. </w:t>
      </w:r>
    </w:p>
    <w:p w14:paraId="5F4955FF" w14:textId="77777777" w:rsidR="004C479A" w:rsidRPr="00EB5AA5" w:rsidRDefault="004C479A" w:rsidP="008638AF">
      <w:pPr>
        <w:spacing w:line="360" w:lineRule="auto"/>
        <w:rPr>
          <w:rFonts w:ascii="Times New Roman"/>
          <w:noProof/>
        </w:rPr>
      </w:pPr>
      <w:r w:rsidRPr="00EB5AA5">
        <w:rPr>
          <w:rFonts w:ascii="Times New Roman"/>
          <w:noProof/>
        </w:rPr>
        <w:t xml:space="preserve">Another reason is that their relationship is fraught. It is impossible to regulate the rights and duties of Ms Dano—or, for that matter, anyone—such as to make social protection continuous, link it to integration, </w:t>
      </w:r>
      <w:r w:rsidRPr="00EB5AA5">
        <w:rPr>
          <w:rFonts w:ascii="Times New Roman"/>
          <w:i/>
          <w:iCs/>
          <w:noProof/>
        </w:rPr>
        <w:t>and</w:t>
      </w:r>
      <w:r w:rsidRPr="00EB5AA5">
        <w:rPr>
          <w:rFonts w:ascii="Times New Roman"/>
          <w:noProof/>
        </w:rPr>
        <w:t xml:space="preserve"> secure harmony. A trilemma afflicts EU social benefits law: </w:t>
      </w:r>
      <w:bookmarkStart w:id="13" w:name="_Hlk18943739"/>
      <w:r w:rsidRPr="00EB5AA5">
        <w:rPr>
          <w:rFonts w:ascii="Times New Roman"/>
          <w:noProof/>
        </w:rPr>
        <w:t>each tool can achieve two values, but not three.</w:t>
      </w:r>
      <w:bookmarkEnd w:id="13"/>
    </w:p>
    <w:p w14:paraId="1B750629" w14:textId="77777777" w:rsidR="004C479A" w:rsidRPr="00EB5AA5" w:rsidRDefault="004C479A" w:rsidP="008638AF">
      <w:pPr>
        <w:spacing w:line="360" w:lineRule="auto"/>
        <w:rPr>
          <w:rFonts w:ascii="Times New Roman"/>
          <w:noProof/>
        </w:rPr>
      </w:pPr>
      <w:r w:rsidRPr="00EB5AA5">
        <w:rPr>
          <w:rFonts w:ascii="Times New Roman"/>
          <w:noProof/>
        </w:rPr>
        <w:t xml:space="preserve">EU social benefits law, then, is best seen as a patchwork of variants on four regulatory tools affecting three values. The trilemma goes some way towards explaining why the EU legislature and the ECJ have experimented with all tools: they are unwilling to drop one value altogether and prefer to pursue different pairs of values for different benefits and beneficiaries. The tools and values help to justify some rules and criticize others. It is far from irrelevant whether a rule realizes continuous protection, whether it safeguards harmony, whether it aptly links integration to social protection, and what its alternatives are. Yet to my knowledge no study comments on all three values or juxtaposes one solution to its three alternatives. A sharper understanding of the commonalities of EU social benefits law can enrich more granular analyses, though it cannot replace them. Context matters. Whether a particular version of a tool is desirable, depends on the people and benefits it covers, the many goals and interests it engages, and so on. There is no one-size-fits-all solution to the challenge of coordinating the cross-border access to social benefits. This article lays out the options and identifies some of their strengths and weaknesses. The most fashionable tool, used e.g. in </w:t>
      </w:r>
      <w:r w:rsidRPr="00EB5AA5">
        <w:rPr>
          <w:rFonts w:ascii="Times New Roman"/>
          <w:i/>
          <w:iCs/>
          <w:noProof/>
        </w:rPr>
        <w:t>Dano</w:t>
      </w:r>
      <w:r w:rsidRPr="00EB5AA5">
        <w:rPr>
          <w:rFonts w:ascii="Times New Roman"/>
          <w:noProof/>
        </w:rPr>
        <w:t xml:space="preserve">, is the most </w:t>
      </w:r>
      <w:r w:rsidRPr="00EB5AA5">
        <w:rPr>
          <w:rFonts w:ascii="Times New Roman"/>
          <w:noProof/>
        </w:rPr>
        <w:lastRenderedPageBreak/>
        <w:t>questionable. Both States increasingly wash their hands of some migrants—the State of origin shirks responsibility as soon as a person moves, while the State of destination imposes a waiting period.</w:t>
      </w:r>
      <w:bookmarkStart w:id="14" w:name="_Hlk6923870"/>
      <w:bookmarkEnd w:id="7"/>
      <w:bookmarkEnd w:id="8"/>
    </w:p>
    <w:p w14:paraId="737A034C" w14:textId="77777777" w:rsidR="004C479A" w:rsidRPr="00EB5AA5" w:rsidRDefault="004C479A" w:rsidP="008638AF">
      <w:pPr>
        <w:spacing w:line="360" w:lineRule="auto"/>
        <w:rPr>
          <w:rFonts w:ascii="Times New Roman"/>
          <w:noProof/>
        </w:rPr>
      </w:pPr>
      <w:r w:rsidRPr="00EB5AA5">
        <w:rPr>
          <w:rFonts w:ascii="Times New Roman"/>
          <w:noProof/>
        </w:rPr>
        <w:t xml:space="preserve">I will begin by showing why it is important to connect social protection to integration, plug gaps in social protection, and maintain harmony (Sections 2–4). Drawing on various parts of EU social benefits law, I will illustrate that rule-makers take these values seriously. </w:t>
      </w:r>
      <w:bookmarkStart w:id="15" w:name="_Hlk5716917"/>
      <w:bookmarkStart w:id="16" w:name="_Hlk6923877"/>
      <w:bookmarkEnd w:id="14"/>
      <w:r w:rsidRPr="00EB5AA5">
        <w:rPr>
          <w:rFonts w:ascii="Times New Roman"/>
          <w:noProof/>
        </w:rPr>
        <w:t xml:space="preserve">The second half of the article will examine the tools in the light of the values and demonstrate the trilemma. </w:t>
      </w:r>
      <w:bookmarkEnd w:id="15"/>
      <w:r w:rsidRPr="00EB5AA5">
        <w:rPr>
          <w:rFonts w:ascii="Times New Roman"/>
          <w:noProof/>
        </w:rPr>
        <w:t xml:space="preserve">Section 5 will analyze the options for timing the transition from one welfare system to another: should access to benefits be delayed, and, if so, how? In Section 6, I will briefly discuss how the State of origin and the State of destination can simultaneously offer partial social protection. I will then argue that the type of waiting period employed in </w:t>
      </w:r>
      <w:r w:rsidRPr="00EB5AA5">
        <w:rPr>
          <w:rFonts w:ascii="Times New Roman"/>
          <w:i/>
          <w:iCs/>
          <w:noProof/>
        </w:rPr>
        <w:t>Dano</w:t>
      </w:r>
      <w:r w:rsidRPr="00EB5AA5">
        <w:rPr>
          <w:rFonts w:ascii="Times New Roman"/>
          <w:noProof/>
        </w:rPr>
        <w:t xml:space="preserve"> is overrated (Section 7), before concluding.</w:t>
      </w:r>
      <w:bookmarkStart w:id="17" w:name="_Toc9341392"/>
      <w:bookmarkStart w:id="18" w:name="_Hlk531776471"/>
      <w:bookmarkEnd w:id="5"/>
      <w:bookmarkEnd w:id="6"/>
      <w:bookmarkEnd w:id="9"/>
      <w:bookmarkEnd w:id="16"/>
    </w:p>
    <w:p w14:paraId="2ADD617D" w14:textId="77777777" w:rsidR="004C479A" w:rsidRPr="00EB5AA5" w:rsidRDefault="004C479A" w:rsidP="008638AF">
      <w:pPr>
        <w:pStyle w:val="Heading1"/>
        <w:numPr>
          <w:ilvl w:val="0"/>
          <w:numId w:val="16"/>
        </w:numPr>
        <w:spacing w:before="0" w:after="160" w:line="360" w:lineRule="auto"/>
        <w:rPr>
          <w:rFonts w:ascii="Times New Roman" w:hAnsi="Times New Roman" w:cs="Times New Roman"/>
          <w:noProof/>
          <w:color w:val="auto"/>
        </w:rPr>
      </w:pPr>
      <w:r w:rsidRPr="00EB5AA5">
        <w:rPr>
          <w:rFonts w:ascii="Times New Roman" w:hAnsi="Times New Roman" w:cs="Times New Roman"/>
          <w:noProof/>
          <w:color w:val="auto"/>
        </w:rPr>
        <w:t xml:space="preserve">The </w:t>
      </w:r>
      <w:bookmarkStart w:id="19" w:name="_Hlk18413975"/>
      <w:r w:rsidRPr="00EB5AA5">
        <w:rPr>
          <w:rFonts w:ascii="Times New Roman" w:hAnsi="Times New Roman" w:cs="Times New Roman"/>
          <w:noProof/>
          <w:color w:val="auto"/>
        </w:rPr>
        <w:t>integration–protection nexus</w:t>
      </w:r>
      <w:bookmarkEnd w:id="17"/>
      <w:bookmarkEnd w:id="18"/>
      <w:bookmarkEnd w:id="19"/>
    </w:p>
    <w:p w14:paraId="09F1BB06" w14:textId="77777777" w:rsidR="004C479A" w:rsidRPr="00EB5AA5" w:rsidRDefault="004C479A" w:rsidP="008638AF">
      <w:pPr>
        <w:spacing w:line="360" w:lineRule="auto"/>
        <w:rPr>
          <w:rFonts w:ascii="Times New Roman"/>
          <w:noProof/>
        </w:rPr>
      </w:pPr>
      <w:r w:rsidRPr="00EB5AA5">
        <w:rPr>
          <w:rFonts w:ascii="Times New Roman"/>
          <w:noProof/>
        </w:rPr>
        <w:t xml:space="preserve">The first value traversing EU social benefits law concerns integration. </w:t>
      </w:r>
      <w:bookmarkStart w:id="20" w:name="_Hlk17303943"/>
      <w:r w:rsidRPr="00EB5AA5">
        <w:rPr>
          <w:rFonts w:ascii="Times New Roman"/>
          <w:noProof/>
        </w:rPr>
        <w:t xml:space="preserve">Other things being equal, a person’s social protection in a State should bear a relation to his or her integration there. </w:t>
      </w:r>
      <w:bookmarkStart w:id="21" w:name="_Hlk17722750"/>
      <w:r w:rsidRPr="00EB5AA5">
        <w:rPr>
          <w:rFonts w:ascii="Times New Roman"/>
          <w:noProof/>
        </w:rPr>
        <w:t>Integration takes many guises in EU law, depending on the context.</w:t>
      </w:r>
      <w:r w:rsidRPr="00EB5AA5">
        <w:rPr>
          <w:rStyle w:val="FootnoteReference"/>
          <w:rFonts w:ascii="Times New Roman"/>
          <w:noProof/>
        </w:rPr>
        <w:footnoteReference w:id="4"/>
      </w:r>
      <w:r w:rsidRPr="00EB5AA5">
        <w:rPr>
          <w:rFonts w:ascii="Times New Roman"/>
          <w:noProof/>
        </w:rPr>
        <w:t xml:space="preserve"> </w:t>
      </w:r>
      <w:bookmarkEnd w:id="20"/>
      <w:bookmarkEnd w:id="21"/>
      <w:r w:rsidRPr="00EB5AA5">
        <w:rPr>
          <w:rFonts w:ascii="Times New Roman"/>
          <w:noProof/>
        </w:rPr>
        <w:t>In this article, it is shorthand for the connections between a citizen and a State. The questions addressed in this Section are why integration matters to social protection (2.1), and how EU law connects them (2.2).</w:t>
      </w:r>
      <w:bookmarkStart w:id="22" w:name="_Toc9341393"/>
      <w:bookmarkStart w:id="23" w:name="_Hlk4415968"/>
    </w:p>
    <w:p w14:paraId="19A09B04" w14:textId="77777777" w:rsidR="004C479A" w:rsidRPr="00EB5AA5" w:rsidRDefault="004C479A" w:rsidP="008638AF">
      <w:pPr>
        <w:pStyle w:val="Heading2"/>
        <w:numPr>
          <w:ilvl w:val="1"/>
          <w:numId w:val="16"/>
        </w:numPr>
        <w:spacing w:before="0" w:after="160" w:line="360" w:lineRule="auto"/>
        <w:rPr>
          <w:rFonts w:ascii="Times New Roman" w:hAnsi="Times New Roman" w:cs="Times New Roman"/>
          <w:noProof/>
          <w:color w:val="auto"/>
        </w:rPr>
      </w:pPr>
      <w:r w:rsidRPr="00EB5AA5">
        <w:rPr>
          <w:rFonts w:ascii="Times New Roman" w:hAnsi="Times New Roman" w:cs="Times New Roman"/>
          <w:noProof/>
          <w:color w:val="auto"/>
        </w:rPr>
        <w:t>As a value</w:t>
      </w:r>
      <w:bookmarkEnd w:id="22"/>
    </w:p>
    <w:bookmarkEnd w:id="23"/>
    <w:p w14:paraId="4167A705" w14:textId="77777777" w:rsidR="004C479A" w:rsidRPr="00EB5AA5" w:rsidRDefault="004C479A" w:rsidP="008638AF">
      <w:pPr>
        <w:spacing w:line="360" w:lineRule="auto"/>
        <w:rPr>
          <w:rFonts w:ascii="Times New Roman"/>
          <w:noProof/>
        </w:rPr>
      </w:pPr>
      <w:r w:rsidRPr="00EB5AA5">
        <w:rPr>
          <w:rFonts w:ascii="Times New Roman"/>
          <w:noProof/>
        </w:rPr>
        <w:t xml:space="preserve">The integration–protection nexus can be grounded in justice. Each State expresses, through its welfare system, a certain vision of what is just. </w:t>
      </w:r>
      <w:bookmarkStart w:id="24" w:name="_Hlk8589068"/>
      <w:r w:rsidRPr="00EB5AA5">
        <w:rPr>
          <w:rFonts w:ascii="Times New Roman"/>
          <w:noProof/>
        </w:rPr>
        <w:t xml:space="preserve">It singles out events (e.g. illness or unemployment) and choices (e.g. studying or raising a family) that warrant public support. </w:t>
      </w:r>
      <w:bookmarkEnd w:id="24"/>
      <w:r w:rsidRPr="00EB5AA5">
        <w:rPr>
          <w:rFonts w:ascii="Times New Roman"/>
          <w:noProof/>
        </w:rPr>
        <w:t xml:space="preserve">Which version of social justice should define someone’s life chances? It would be wrong to subject him or her to the welfare system of a State with which he or she has no ties whatsoever. Neither is it just to bar someone from the welfare system of the State he or she has never left. This suggests a link between the centre of gravity of people’s life and their social protection. </w:t>
      </w:r>
    </w:p>
    <w:p w14:paraId="407F37FE" w14:textId="77777777" w:rsidR="004C479A" w:rsidRPr="00EB5AA5" w:rsidRDefault="004C479A" w:rsidP="008638AF">
      <w:pPr>
        <w:spacing w:line="360" w:lineRule="auto"/>
        <w:rPr>
          <w:rFonts w:ascii="Times New Roman"/>
          <w:noProof/>
        </w:rPr>
      </w:pPr>
      <w:r w:rsidRPr="00EB5AA5">
        <w:rPr>
          <w:rFonts w:ascii="Times New Roman"/>
          <w:noProof/>
        </w:rPr>
        <w:t xml:space="preserve">This linkage draws support from ethical accounts of the redistributive rights of migrants such as </w:t>
      </w:r>
      <w:bookmarkStart w:id="25" w:name="_Hlk1835348"/>
      <w:r w:rsidRPr="00EB5AA5">
        <w:rPr>
          <w:rFonts w:ascii="Times New Roman"/>
          <w:noProof/>
        </w:rPr>
        <w:t xml:space="preserve">Carens’ theory of social membership, which seeks to set a floor of moral rights for migrants. </w:t>
      </w:r>
      <w:bookmarkStart w:id="26" w:name="_Hlk1835373"/>
      <w:r w:rsidRPr="00EB5AA5">
        <w:rPr>
          <w:rFonts w:ascii="Times New Roman"/>
          <w:noProof/>
        </w:rPr>
        <w:t>While many rights should be available to all those present on a particular territory, welfare rights can morally be reserved to members of society.</w:t>
      </w:r>
      <w:bookmarkStart w:id="27" w:name="_Ref18857911"/>
      <w:r w:rsidRPr="00EB5AA5">
        <w:rPr>
          <w:rStyle w:val="FootnoteReference"/>
          <w:rFonts w:ascii="Times New Roman"/>
          <w:noProof/>
        </w:rPr>
        <w:footnoteReference w:id="5"/>
      </w:r>
      <w:bookmarkEnd w:id="27"/>
      <w:r w:rsidRPr="00EB5AA5">
        <w:rPr>
          <w:rFonts w:ascii="Times New Roman"/>
          <w:noProof/>
        </w:rPr>
        <w:t xml:space="preserve"> </w:t>
      </w:r>
      <w:bookmarkEnd w:id="25"/>
      <w:bookmarkEnd w:id="26"/>
      <w:r w:rsidRPr="00EB5AA5">
        <w:rPr>
          <w:rFonts w:ascii="Times New Roman"/>
          <w:noProof/>
        </w:rPr>
        <w:t xml:space="preserve">Essentially, his theory is that “living within the territorial boundaries of a state makes one a member of society, that this social membership gives rise to moral </w:t>
      </w:r>
      <w:r w:rsidRPr="00EB5AA5">
        <w:rPr>
          <w:rFonts w:ascii="Times New Roman"/>
          <w:noProof/>
        </w:rPr>
        <w:lastRenderedPageBreak/>
        <w:t>claims in relation to the political community, and that these claims deepen over time.”</w:t>
      </w:r>
      <w:r w:rsidRPr="00EB5AA5">
        <w:rPr>
          <w:rStyle w:val="FootnoteReference"/>
          <w:rFonts w:ascii="Times New Roman"/>
          <w:noProof/>
        </w:rPr>
        <w:footnoteReference w:id="6"/>
      </w:r>
      <w:r w:rsidRPr="00EB5AA5">
        <w:rPr>
          <w:rFonts w:ascii="Times New Roman"/>
          <w:noProof/>
        </w:rPr>
        <w:t xml:space="preserve"> </w:t>
      </w:r>
      <w:bookmarkStart w:id="28" w:name="_Hlk5266235"/>
      <w:r w:rsidRPr="00EB5AA5">
        <w:rPr>
          <w:rFonts w:ascii="Times New Roman"/>
          <w:noProof/>
        </w:rPr>
        <w:t>Similar positions are defended in political theory.</w:t>
      </w:r>
      <w:bookmarkStart w:id="29" w:name="_Ref18857882"/>
      <w:r w:rsidRPr="00EB5AA5">
        <w:rPr>
          <w:rFonts w:ascii="Times New Roman"/>
          <w:noProof/>
          <w:vertAlign w:val="superscript"/>
        </w:rPr>
        <w:footnoteReference w:id="7"/>
      </w:r>
      <w:bookmarkEnd w:id="29"/>
    </w:p>
    <w:p w14:paraId="6B93E88F" w14:textId="77777777" w:rsidR="004C479A" w:rsidRPr="00EB5AA5" w:rsidRDefault="004C479A" w:rsidP="008638AF">
      <w:pPr>
        <w:tabs>
          <w:tab w:val="left" w:pos="2136"/>
        </w:tabs>
        <w:spacing w:line="360" w:lineRule="auto"/>
        <w:rPr>
          <w:rFonts w:ascii="Times New Roman"/>
          <w:noProof/>
          <w:lang w:bidi="as-IN"/>
        </w:rPr>
      </w:pPr>
      <w:bookmarkStart w:id="30" w:name="_Hlk17281009"/>
      <w:bookmarkEnd w:id="28"/>
      <w:r w:rsidRPr="00EB5AA5">
        <w:rPr>
          <w:rFonts w:ascii="Times New Roman"/>
          <w:noProof/>
          <w:lang w:bidi="as-IN"/>
        </w:rPr>
        <w:t xml:space="preserve">The broad intuitive appeal of the integration–protection nexus also stems from the fact that the main </w:t>
      </w:r>
      <w:r w:rsidRPr="00EB5AA5">
        <w:rPr>
          <w:rFonts w:ascii="Times New Roman"/>
          <w:noProof/>
        </w:rPr>
        <w:t>arguments against extending social protection to migrants are blunted when directed at well-integrated claimants</w:t>
      </w:r>
      <w:r w:rsidRPr="00EB5AA5">
        <w:rPr>
          <w:rFonts w:ascii="Times New Roman"/>
          <w:noProof/>
          <w:lang w:bidi="as-IN"/>
        </w:rPr>
        <w:t xml:space="preserve">. </w:t>
      </w:r>
    </w:p>
    <w:p w14:paraId="244D9543" w14:textId="77777777" w:rsidR="004C479A" w:rsidRPr="00EB5AA5" w:rsidRDefault="004C479A" w:rsidP="008638AF">
      <w:pPr>
        <w:tabs>
          <w:tab w:val="left" w:pos="2136"/>
        </w:tabs>
        <w:spacing w:line="360" w:lineRule="auto"/>
        <w:rPr>
          <w:rFonts w:ascii="Times New Roman"/>
          <w:noProof/>
        </w:rPr>
      </w:pPr>
      <w:bookmarkStart w:id="31" w:name="_Hlk8640144"/>
      <w:bookmarkStart w:id="32" w:name="_Hlk9433671"/>
      <w:bookmarkEnd w:id="30"/>
      <w:r w:rsidRPr="00EB5AA5">
        <w:rPr>
          <w:rFonts w:ascii="Times New Roman"/>
          <w:noProof/>
          <w:lang w:bidi="as-IN"/>
        </w:rPr>
        <w:t>EU migrants are commonly thought to receive more in benefits than they contribute in taxes,</w:t>
      </w:r>
      <w:bookmarkStart w:id="33" w:name="_Ref18739704"/>
      <w:r w:rsidRPr="00EB5AA5">
        <w:rPr>
          <w:rStyle w:val="FootnoteReference"/>
          <w:rFonts w:ascii="Times New Roman"/>
          <w:noProof/>
          <w:lang w:bidi="as-IN"/>
        </w:rPr>
        <w:footnoteReference w:id="8"/>
      </w:r>
      <w:bookmarkEnd w:id="33"/>
      <w:r w:rsidRPr="00EB5AA5">
        <w:rPr>
          <w:rFonts w:ascii="Times New Roman"/>
          <w:noProof/>
          <w:lang w:bidi="as-IN"/>
        </w:rPr>
        <w:t xml:space="preserve"> </w:t>
      </w:r>
      <w:bookmarkEnd w:id="31"/>
      <w:r w:rsidRPr="00EB5AA5">
        <w:rPr>
          <w:rFonts w:ascii="Times New Roman"/>
          <w:noProof/>
          <w:lang w:bidi="as-IN"/>
        </w:rPr>
        <w:t>even though the opposite is generally true.</w:t>
      </w:r>
      <w:r w:rsidRPr="00EB5AA5">
        <w:rPr>
          <w:rStyle w:val="FootnoteReference"/>
          <w:rFonts w:ascii="Times New Roman"/>
          <w:noProof/>
          <w:lang w:bidi="as-IN"/>
        </w:rPr>
        <w:footnoteReference w:id="9"/>
      </w:r>
      <w:r w:rsidRPr="00EB5AA5">
        <w:rPr>
          <w:rFonts w:ascii="Times New Roman"/>
          <w:noProof/>
          <w:lang w:bidi="as-IN"/>
        </w:rPr>
        <w:t xml:space="preserve"> There are calls for rejecting claims unless the applicant has personally contributed to the upkeep of the welfare state. The persuasiveness of this financial argument depends on integration. </w:t>
      </w:r>
      <w:bookmarkEnd w:id="32"/>
      <w:r w:rsidRPr="00EB5AA5">
        <w:rPr>
          <w:rFonts w:ascii="Times New Roman"/>
          <w:noProof/>
        </w:rPr>
        <w:t>The more a person is integrated, the likelier that his or her past contributions and taxes mitigate or even neutralize the burden his or her claim puts on public finances. More fundamentally, whether a burden is reasonable depends on the claimant’s integration. “The greater the level of integration attained by the Union citizen in the host Member State, the less important are the Member States’ financial interests.”</w:t>
      </w:r>
      <w:r w:rsidRPr="00EB5AA5">
        <w:rPr>
          <w:rStyle w:val="FootnoteReference"/>
          <w:rFonts w:ascii="Times New Roman"/>
          <w:noProof/>
        </w:rPr>
        <w:footnoteReference w:id="10"/>
      </w:r>
      <w:r w:rsidRPr="00EB5AA5">
        <w:rPr>
          <w:rFonts w:ascii="Times New Roman"/>
          <w:noProof/>
        </w:rPr>
        <w:t xml:space="preserve"> </w:t>
      </w:r>
      <w:bookmarkStart w:id="35" w:name="_Hlk8756005"/>
      <w:r w:rsidRPr="00EB5AA5">
        <w:rPr>
          <w:rFonts w:ascii="Times New Roman"/>
          <w:noProof/>
        </w:rPr>
        <w:t xml:space="preserve">The </w:t>
      </w:r>
      <w:r w:rsidRPr="00EB5AA5">
        <w:rPr>
          <w:rFonts w:ascii="Times New Roman"/>
          <w:noProof/>
          <w:lang w:bidi="as-IN"/>
        </w:rPr>
        <w:t>integration–protection nexus speaks to issues of fair burden-sharing that so much occupy political minds.</w:t>
      </w:r>
      <w:bookmarkEnd w:id="35"/>
    </w:p>
    <w:p w14:paraId="4F63E09D" w14:textId="77777777" w:rsidR="004C479A" w:rsidRPr="00EB5AA5" w:rsidRDefault="004C479A" w:rsidP="008638AF">
      <w:pPr>
        <w:tabs>
          <w:tab w:val="left" w:pos="2136"/>
        </w:tabs>
        <w:spacing w:line="360" w:lineRule="auto"/>
        <w:rPr>
          <w:rFonts w:ascii="Times New Roman"/>
          <w:noProof/>
        </w:rPr>
      </w:pPr>
      <w:r w:rsidRPr="00EB5AA5">
        <w:rPr>
          <w:rFonts w:ascii="Times New Roman"/>
          <w:noProof/>
        </w:rPr>
        <w:t>In the same vein, the belief that migrants are attracted by “magnetic” welfare systems is widespread. If social protection is withheld until claimants have demonstrated a certain level of integration, the argument loses much of its already dubious</w:t>
      </w:r>
      <w:r w:rsidRPr="00EB5AA5">
        <w:rPr>
          <w:rStyle w:val="FootnoteReference"/>
          <w:rFonts w:ascii="Times New Roman"/>
          <w:noProof/>
        </w:rPr>
        <w:footnoteReference w:id="11"/>
      </w:r>
      <w:r w:rsidRPr="00EB5AA5">
        <w:rPr>
          <w:rFonts w:ascii="Times New Roman"/>
          <w:noProof/>
        </w:rPr>
        <w:t xml:space="preserve"> plausibility.</w:t>
      </w:r>
      <w:bookmarkStart w:id="36" w:name="_Ref18858287"/>
      <w:r w:rsidRPr="00EB5AA5">
        <w:rPr>
          <w:rStyle w:val="FootnoteReference"/>
          <w:rFonts w:ascii="Times New Roman"/>
          <w:noProof/>
        </w:rPr>
        <w:footnoteReference w:id="12"/>
      </w:r>
      <w:bookmarkEnd w:id="36"/>
      <w:r w:rsidRPr="00EB5AA5">
        <w:rPr>
          <w:rFonts w:ascii="Times New Roman"/>
          <w:noProof/>
        </w:rPr>
        <w:t xml:space="preserve"> As the ECJ acknowledges, a five-year waiting period “makes it possible, in the context of economically inactive Union citizens, to avoid the risk of ‘study grant forum shopping’”.</w:t>
      </w:r>
      <w:r w:rsidRPr="00EB5AA5">
        <w:rPr>
          <w:rStyle w:val="FootnoteReference"/>
          <w:rFonts w:ascii="Times New Roman"/>
          <w:noProof/>
        </w:rPr>
        <w:footnoteReference w:id="13"/>
      </w:r>
    </w:p>
    <w:p w14:paraId="45ACC67E" w14:textId="77777777" w:rsidR="004C479A" w:rsidRPr="00EB5AA5" w:rsidRDefault="004C479A" w:rsidP="008638AF">
      <w:pPr>
        <w:tabs>
          <w:tab w:val="left" w:pos="2136"/>
        </w:tabs>
        <w:spacing w:line="360" w:lineRule="auto"/>
        <w:rPr>
          <w:rFonts w:ascii="Times New Roman"/>
          <w:noProof/>
        </w:rPr>
      </w:pPr>
      <w:r w:rsidRPr="00EB5AA5">
        <w:rPr>
          <w:rFonts w:ascii="Times New Roman"/>
          <w:noProof/>
        </w:rPr>
        <w:t xml:space="preserve">Solidarity is commonly characterized as bounded—the in-group is reluctant to share with the out-group. </w:t>
      </w:r>
      <w:bookmarkStart w:id="37" w:name="_Hlk5475252"/>
      <w:r w:rsidRPr="00EB5AA5">
        <w:rPr>
          <w:rFonts w:ascii="Times New Roman"/>
          <w:noProof/>
        </w:rPr>
        <w:t>This engenders fears that free movement erodes support for the welfare state.</w:t>
      </w:r>
      <w:r w:rsidRPr="00EB5AA5">
        <w:rPr>
          <w:rStyle w:val="FootnoteReference"/>
          <w:rFonts w:ascii="Times New Roman"/>
          <w:noProof/>
        </w:rPr>
        <w:footnoteReference w:id="14"/>
      </w:r>
      <w:bookmarkStart w:id="38" w:name="_Hlk4853872"/>
      <w:r w:rsidRPr="00EB5AA5">
        <w:rPr>
          <w:rFonts w:ascii="Times New Roman"/>
          <w:noProof/>
        </w:rPr>
        <w:t xml:space="preserve"> </w:t>
      </w:r>
      <w:bookmarkStart w:id="39" w:name="_Hlk18160764"/>
      <w:bookmarkEnd w:id="37"/>
      <w:r w:rsidRPr="00EB5AA5">
        <w:rPr>
          <w:rFonts w:ascii="Times New Roman"/>
          <w:noProof/>
        </w:rPr>
        <w:t xml:space="preserve">Since integrated migrants tend to be regarded as members of the in-group, foregrounding the nexus could </w:t>
      </w:r>
      <w:r w:rsidRPr="00EB5AA5">
        <w:rPr>
          <w:rFonts w:ascii="Times New Roman"/>
          <w:noProof/>
        </w:rPr>
        <w:lastRenderedPageBreak/>
        <w:t>reduce these anxieties as well as wider worries that the pressures free movement exerts on States of destination could lead to welfare state retrenchment.</w:t>
      </w:r>
      <w:bookmarkStart w:id="40" w:name="_Ref18858840"/>
      <w:r w:rsidRPr="00EB5AA5">
        <w:rPr>
          <w:rStyle w:val="FootnoteReference"/>
          <w:rFonts w:ascii="Times New Roman"/>
          <w:noProof/>
        </w:rPr>
        <w:footnoteReference w:id="15"/>
      </w:r>
      <w:bookmarkEnd w:id="40"/>
      <w:r w:rsidRPr="00EB5AA5">
        <w:rPr>
          <w:rFonts w:ascii="Times New Roman"/>
          <w:noProof/>
        </w:rPr>
        <w:t xml:space="preserve"> </w:t>
      </w:r>
      <w:bookmarkStart w:id="41" w:name="_Hlk8589601"/>
      <w:bookmarkEnd w:id="39"/>
      <w:r w:rsidRPr="00EB5AA5">
        <w:rPr>
          <w:rFonts w:ascii="Times New Roman"/>
          <w:noProof/>
        </w:rPr>
        <w:t>Finally, Brexit illustrates the risk that dissatisfaction with the EU’s perceived generosity towards migrants feeds into disenchantment with free movement and the European project as a whole.</w:t>
      </w:r>
    </w:p>
    <w:p w14:paraId="1047B95A" w14:textId="77777777" w:rsidR="004C479A" w:rsidRPr="00EB5AA5" w:rsidRDefault="004C479A" w:rsidP="008638AF">
      <w:pPr>
        <w:tabs>
          <w:tab w:val="left" w:pos="2136"/>
        </w:tabs>
        <w:spacing w:line="360" w:lineRule="auto"/>
        <w:rPr>
          <w:rFonts w:ascii="Times New Roman"/>
          <w:noProof/>
          <w:lang w:bidi="as-IN"/>
        </w:rPr>
      </w:pPr>
      <w:bookmarkStart w:id="42" w:name="_Hlk5701415"/>
      <w:bookmarkEnd w:id="38"/>
      <w:bookmarkEnd w:id="41"/>
      <w:r w:rsidRPr="00EB5AA5">
        <w:rPr>
          <w:rFonts w:ascii="Times New Roman"/>
          <w:noProof/>
        </w:rPr>
        <w:t>The agreement on the desirability of a link between integration and social protection does not stretch to the details. There is little consensus as to what level of integration is necessary before social protection is extended or how integration is best measured.</w:t>
      </w:r>
      <w:bookmarkEnd w:id="42"/>
      <w:r w:rsidRPr="00EB5AA5">
        <w:rPr>
          <w:rFonts w:ascii="Times New Roman"/>
          <w:noProof/>
        </w:rPr>
        <w:t xml:space="preserve"> </w:t>
      </w:r>
      <w:r w:rsidRPr="00EB5AA5">
        <w:rPr>
          <w:rFonts w:ascii="Times New Roman"/>
          <w:noProof/>
          <w:lang w:bidi="as-IN"/>
        </w:rPr>
        <w:t>A range of views fits under the broad umbrella of the nexus.</w:t>
      </w:r>
      <w:bookmarkStart w:id="43" w:name="_Ref18858322"/>
      <w:r w:rsidRPr="00EB5AA5">
        <w:rPr>
          <w:rStyle w:val="FootnoteReference"/>
          <w:rFonts w:ascii="Times New Roman"/>
          <w:noProof/>
          <w:lang w:bidi="as-IN"/>
        </w:rPr>
        <w:footnoteReference w:id="16"/>
      </w:r>
      <w:bookmarkEnd w:id="43"/>
      <w:r w:rsidRPr="00EB5AA5">
        <w:rPr>
          <w:rFonts w:ascii="Times New Roman"/>
          <w:noProof/>
          <w:lang w:bidi="as-IN"/>
        </w:rPr>
        <w:t xml:space="preserve"> At one end of the spectrum are demanding visions that set a high threshold of integration for social protection. States may require that the applicant’s life has been, is, and likely will remain entirely centred in its society and labour market. The emphasis on the past translates into lengthy waiting periods. More lenient versions of the integration–protection nexus require less integration and recognize that it can be demonstrated in a number of ways. </w:t>
      </w:r>
      <w:bookmarkStart w:id="44" w:name="_Hlk17281677"/>
      <w:r w:rsidRPr="00EB5AA5">
        <w:rPr>
          <w:rFonts w:ascii="Times New Roman"/>
          <w:noProof/>
          <w:lang w:bidi="as-IN"/>
        </w:rPr>
        <w:t>But “[n]obody would say that a one-day employment is sufficient integration.”</w:t>
      </w:r>
      <w:bookmarkStart w:id="45" w:name="_Ref18858165"/>
      <w:r w:rsidRPr="00EB5AA5">
        <w:rPr>
          <w:rStyle w:val="FootnoteReference"/>
          <w:rFonts w:ascii="Times New Roman"/>
          <w:noProof/>
          <w:lang w:bidi="as-IN"/>
        </w:rPr>
        <w:footnoteReference w:id="17"/>
      </w:r>
      <w:bookmarkEnd w:id="45"/>
      <w:r w:rsidRPr="00EB5AA5">
        <w:rPr>
          <w:rFonts w:ascii="Times New Roman"/>
          <w:noProof/>
          <w:lang w:bidi="as-IN"/>
        </w:rPr>
        <w:t xml:space="preserve"> </w:t>
      </w:r>
      <w:bookmarkEnd w:id="44"/>
      <w:r w:rsidRPr="00EB5AA5">
        <w:rPr>
          <w:rFonts w:ascii="Times New Roman"/>
          <w:noProof/>
          <w:lang w:bidi="as-IN"/>
        </w:rPr>
        <w:t xml:space="preserve">Even the most lenient view of the nexus is not indifferent to the claimant’s past. </w:t>
      </w:r>
      <w:bookmarkStart w:id="46" w:name="_Hlk7535663"/>
      <w:r w:rsidRPr="00EB5AA5">
        <w:rPr>
          <w:rFonts w:ascii="Times New Roman"/>
          <w:noProof/>
          <w:lang w:bidi="as-IN"/>
        </w:rPr>
        <w:t xml:space="preserve">Rules entitling migrants to full social protection days or weeks after they first set foot in a State deviate from the integration–protection nexus. </w:t>
      </w:r>
    </w:p>
    <w:p w14:paraId="2A9E628D" w14:textId="77777777" w:rsidR="004C479A" w:rsidRPr="00EB5AA5" w:rsidRDefault="004C479A" w:rsidP="008638AF">
      <w:pPr>
        <w:spacing w:line="360" w:lineRule="auto"/>
        <w:rPr>
          <w:rFonts w:ascii="Times New Roman"/>
          <w:noProof/>
        </w:rPr>
      </w:pPr>
      <w:bookmarkStart w:id="47" w:name="_Hlk527375029"/>
      <w:bookmarkEnd w:id="46"/>
      <w:r w:rsidRPr="00EB5AA5">
        <w:rPr>
          <w:rFonts w:ascii="Times New Roman"/>
          <w:noProof/>
        </w:rPr>
        <w:t xml:space="preserve">In sum, it is desirable for protection to relate to integration, other things being equal. The </w:t>
      </w:r>
      <w:r w:rsidRPr="00EB5AA5">
        <w:rPr>
          <w:rFonts w:ascii="Times New Roman"/>
          <w:noProof/>
          <w:lang w:bidi="as-IN"/>
        </w:rPr>
        <w:t xml:space="preserve">integration–protection </w:t>
      </w:r>
      <w:r w:rsidRPr="00EB5AA5">
        <w:rPr>
          <w:rFonts w:ascii="Times New Roman"/>
          <w:noProof/>
        </w:rPr>
        <w:t>nexus could be misconstrued as an apologist for welfare chauvinism—“the idea that native citizens are unwilling to grant social rights to foreigners”.</w:t>
      </w:r>
      <w:r w:rsidRPr="00EB5AA5">
        <w:rPr>
          <w:rStyle w:val="FootnoteReference"/>
          <w:rFonts w:ascii="Times New Roman"/>
          <w:noProof/>
        </w:rPr>
        <w:footnoteReference w:id="18"/>
      </w:r>
      <w:r w:rsidRPr="00EB5AA5">
        <w:rPr>
          <w:rFonts w:ascii="Times New Roman"/>
          <w:noProof/>
        </w:rPr>
        <w:t xml:space="preserve"> While it supports the exclusion of migrants from the welfare systems of States with which they are not or tenuously connected, it calls for their inclusion in the systems of States with which they have meaningful connections. </w:t>
      </w:r>
    </w:p>
    <w:p w14:paraId="19377F2F" w14:textId="77777777" w:rsidR="004C479A" w:rsidRPr="00EB5AA5" w:rsidRDefault="004C479A" w:rsidP="008638AF">
      <w:pPr>
        <w:spacing w:line="360" w:lineRule="auto"/>
        <w:rPr>
          <w:rFonts w:ascii="Times New Roman"/>
          <w:noProof/>
          <w:lang w:bidi="as-IN"/>
        </w:rPr>
      </w:pPr>
      <w:r w:rsidRPr="00EB5AA5">
        <w:rPr>
          <w:rFonts w:ascii="Times New Roman"/>
          <w:noProof/>
        </w:rPr>
        <w:t xml:space="preserve">Low integration should not necessarily result in low or no protection, as reasons including a commitment to continuous protection and harmony can outweigh </w:t>
      </w:r>
      <w:r w:rsidRPr="00EB5AA5">
        <w:rPr>
          <w:rFonts w:ascii="Times New Roman"/>
          <w:noProof/>
          <w:lang w:bidi="as-IN"/>
        </w:rPr>
        <w:t>the integration–protection nexus. For instance, f</w:t>
      </w:r>
      <w:r w:rsidRPr="00EB5AA5">
        <w:rPr>
          <w:rFonts w:ascii="Times New Roman"/>
          <w:noProof/>
        </w:rPr>
        <w:t xml:space="preserve">ew would deny that people should have access to urgent healthcare in whichever </w:t>
      </w:r>
      <w:r w:rsidRPr="00EB5AA5">
        <w:rPr>
          <w:rFonts w:ascii="Times New Roman"/>
          <w:noProof/>
        </w:rPr>
        <w:lastRenderedPageBreak/>
        <w:t>Member State they happen to be, regardless of their integration.</w:t>
      </w:r>
      <w:r w:rsidRPr="00EB5AA5">
        <w:rPr>
          <w:rStyle w:val="FootnoteReference"/>
          <w:rFonts w:ascii="Times New Roman"/>
          <w:noProof/>
        </w:rPr>
        <w:footnoteReference w:id="19"/>
      </w:r>
      <w:r w:rsidRPr="00EB5AA5">
        <w:rPr>
          <w:rFonts w:ascii="Times New Roman"/>
          <w:noProof/>
          <w:lang w:bidi="as-IN"/>
        </w:rPr>
        <w:t xml:space="preserve"> </w:t>
      </w:r>
      <w:r w:rsidRPr="00EB5AA5">
        <w:rPr>
          <w:rFonts w:ascii="Times New Roman"/>
          <w:noProof/>
        </w:rPr>
        <w:t>As one value among others, the integration–protection nexus advises against, but does not prevent, social protection being based on very little integration. Neither does it necessarily result in migrants being left without benefits.</w:t>
      </w:r>
      <w:r w:rsidRPr="00EB5AA5">
        <w:rPr>
          <w:rStyle w:val="FootnoteReference"/>
          <w:rFonts w:ascii="Times New Roman"/>
          <w:noProof/>
        </w:rPr>
        <w:footnoteReference w:id="20"/>
      </w:r>
      <w:bookmarkEnd w:id="47"/>
    </w:p>
    <w:p w14:paraId="0116FE40" w14:textId="77777777" w:rsidR="004C479A" w:rsidRPr="00EB5AA5" w:rsidRDefault="004C479A" w:rsidP="008638AF">
      <w:pPr>
        <w:pStyle w:val="Heading2"/>
        <w:numPr>
          <w:ilvl w:val="1"/>
          <w:numId w:val="16"/>
        </w:numPr>
        <w:spacing w:before="0" w:after="160" w:line="360" w:lineRule="auto"/>
        <w:rPr>
          <w:rFonts w:ascii="Times New Roman" w:hAnsi="Times New Roman" w:cs="Times New Roman"/>
          <w:noProof/>
          <w:color w:val="auto"/>
        </w:rPr>
      </w:pPr>
      <w:bookmarkStart w:id="48" w:name="_Hlk4417848"/>
      <w:r w:rsidRPr="00EB5AA5">
        <w:rPr>
          <w:rFonts w:ascii="Times New Roman" w:hAnsi="Times New Roman" w:cs="Times New Roman"/>
          <w:noProof/>
          <w:color w:val="auto"/>
        </w:rPr>
        <w:t>In EU law</w:t>
      </w:r>
    </w:p>
    <w:bookmarkEnd w:id="48"/>
    <w:p w14:paraId="6A249E5C" w14:textId="77777777" w:rsidR="004C479A" w:rsidRPr="00EB5AA5" w:rsidRDefault="004C479A" w:rsidP="008638AF">
      <w:pPr>
        <w:spacing w:line="360" w:lineRule="auto"/>
        <w:rPr>
          <w:rFonts w:ascii="Times New Roman"/>
          <w:noProof/>
        </w:rPr>
      </w:pPr>
      <w:r w:rsidRPr="00EB5AA5">
        <w:rPr>
          <w:rFonts w:ascii="Times New Roman"/>
          <w:noProof/>
        </w:rPr>
        <w:t>The integration–protection nexus permeates EU social benefits law. In domestic law, migrants must typically reside and/or work on the national territory for a certain time before they can claim benefits.</w:t>
      </w:r>
      <w:r w:rsidRPr="00EB5AA5">
        <w:rPr>
          <w:rStyle w:val="FootnoteReference"/>
          <w:rFonts w:ascii="Times New Roman"/>
          <w:noProof/>
        </w:rPr>
        <w:footnoteReference w:id="21"/>
      </w:r>
      <w:r w:rsidRPr="00EB5AA5">
        <w:rPr>
          <w:rFonts w:ascii="Times New Roman"/>
          <w:noProof/>
        </w:rPr>
        <w:t xml:space="preserve"> Although EU law is markedly more inclusive than national law, it still bases social protection on integration. It never permits citizens to claim the benefits of a State with which they are not at all connected. </w:t>
      </w:r>
    </w:p>
    <w:p w14:paraId="19DC29B5" w14:textId="77777777" w:rsidR="004C479A" w:rsidRPr="00EB5AA5" w:rsidRDefault="004C479A" w:rsidP="008638AF">
      <w:pPr>
        <w:spacing w:line="360" w:lineRule="auto"/>
        <w:rPr>
          <w:rFonts w:ascii="Times New Roman"/>
          <w:noProof/>
        </w:rPr>
      </w:pPr>
      <w:r w:rsidRPr="00EB5AA5">
        <w:rPr>
          <w:rFonts w:ascii="Times New Roman"/>
          <w:noProof/>
        </w:rPr>
        <w:t>Regulation 883/2004 loosens the integration requirements of national law to the greatest extent. Nonetheless, it aims “to determine the Member State that [EU citizens] are </w:t>
      </w:r>
      <w:r w:rsidRPr="00EB5AA5">
        <w:rPr>
          <w:rFonts w:ascii="Times New Roman"/>
          <w:i/>
          <w:iCs/>
          <w:noProof/>
        </w:rPr>
        <w:t>in fact</w:t>
      </w:r>
      <w:r w:rsidRPr="00EB5AA5">
        <w:rPr>
          <w:rFonts w:ascii="Times New Roman"/>
          <w:noProof/>
        </w:rPr>
        <w:t> most closely connected with.”</w:t>
      </w:r>
      <w:r w:rsidRPr="00EB5AA5">
        <w:rPr>
          <w:rStyle w:val="FootnoteReference"/>
          <w:rFonts w:ascii="Times New Roman"/>
          <w:noProof/>
        </w:rPr>
        <w:footnoteReference w:id="22"/>
      </w:r>
      <w:r w:rsidRPr="00EB5AA5">
        <w:rPr>
          <w:rFonts w:ascii="Times New Roman"/>
          <w:noProof/>
        </w:rPr>
        <w:t xml:space="preserve"> The </w:t>
      </w:r>
      <w:r w:rsidRPr="00EB5AA5">
        <w:rPr>
          <w:rFonts w:ascii="Times New Roman"/>
          <w:i/>
          <w:noProof/>
        </w:rPr>
        <w:t>lex loci domicilii</w:t>
      </w:r>
      <w:r w:rsidRPr="00EB5AA5">
        <w:rPr>
          <w:rFonts w:ascii="Times New Roman"/>
          <w:noProof/>
        </w:rPr>
        <w:t xml:space="preserve"> subjects an economically inactive citizen to the legislation of the State where he habitually resides,</w:t>
      </w:r>
      <w:r w:rsidRPr="00EB5AA5">
        <w:rPr>
          <w:rStyle w:val="FootnoteReference"/>
          <w:rFonts w:ascii="Times New Roman"/>
          <w:noProof/>
        </w:rPr>
        <w:footnoteReference w:id="23"/>
      </w:r>
      <w:r w:rsidRPr="00EB5AA5">
        <w:rPr>
          <w:rFonts w:ascii="Times New Roman"/>
          <w:noProof/>
        </w:rPr>
        <w:t xml:space="preserve"> which is “</w:t>
      </w:r>
      <w:r w:rsidRPr="00EB5AA5">
        <w:rPr>
          <w:rFonts w:ascii="Times New Roman"/>
          <w:iCs/>
          <w:noProof/>
        </w:rPr>
        <w:t>where the habitual centre of his interests is […] situated.”</w:t>
      </w:r>
      <w:r w:rsidRPr="00EB5AA5">
        <w:rPr>
          <w:rStyle w:val="FootnoteReference"/>
          <w:rFonts w:ascii="Times New Roman"/>
          <w:iCs/>
          <w:noProof/>
        </w:rPr>
        <w:footnoteReference w:id="24"/>
      </w:r>
      <w:r w:rsidRPr="00EB5AA5">
        <w:rPr>
          <w:rFonts w:ascii="Times New Roman"/>
          <w:iCs/>
          <w:noProof/>
        </w:rPr>
        <w:t xml:space="preserve"> The other major conflict rule of Regulation 883/2004, </w:t>
      </w:r>
      <w:r w:rsidRPr="00EB5AA5">
        <w:rPr>
          <w:rFonts w:ascii="Times New Roman"/>
          <w:noProof/>
        </w:rPr>
        <w:t xml:space="preserve">the </w:t>
      </w:r>
      <w:r w:rsidRPr="00EB5AA5">
        <w:rPr>
          <w:rFonts w:ascii="Times New Roman"/>
          <w:i/>
          <w:noProof/>
        </w:rPr>
        <w:t>lex loci laboris</w:t>
      </w:r>
      <w:r w:rsidRPr="00EB5AA5">
        <w:rPr>
          <w:rFonts w:ascii="Times New Roman"/>
          <w:iCs/>
          <w:noProof/>
        </w:rPr>
        <w:t>, subjects</w:t>
      </w:r>
      <w:r w:rsidRPr="00EB5AA5">
        <w:rPr>
          <w:rFonts w:ascii="Times New Roman"/>
          <w:noProof/>
        </w:rPr>
        <w:t xml:space="preserve"> </w:t>
      </w:r>
      <w:bookmarkStart w:id="49" w:name="_Hlk18151162"/>
      <w:r w:rsidRPr="00EB5AA5">
        <w:rPr>
          <w:rFonts w:ascii="Times New Roman"/>
          <w:noProof/>
        </w:rPr>
        <w:t>people to the social security laws of the State in which they currently work.</w:t>
      </w:r>
      <w:r w:rsidRPr="00EB5AA5">
        <w:rPr>
          <w:rStyle w:val="FootnoteReference"/>
          <w:rFonts w:ascii="Times New Roman"/>
          <w:noProof/>
        </w:rPr>
        <w:footnoteReference w:id="25"/>
      </w:r>
      <w:r w:rsidRPr="00EB5AA5">
        <w:rPr>
          <w:rFonts w:ascii="Times New Roman"/>
          <w:noProof/>
        </w:rPr>
        <w:t xml:space="preserve"> It often identifies the centre of their professional interests, which usually coincides with the centre of gravity of their life.</w:t>
      </w:r>
      <w:bookmarkEnd w:id="49"/>
      <w:r w:rsidRPr="00EB5AA5">
        <w:rPr>
          <w:rFonts w:ascii="Times New Roman"/>
          <w:noProof/>
        </w:rPr>
        <w:t xml:space="preserve"> The </w:t>
      </w:r>
      <w:r w:rsidRPr="00EB5AA5">
        <w:rPr>
          <w:rFonts w:ascii="Times New Roman"/>
          <w:i/>
          <w:noProof/>
        </w:rPr>
        <w:t>lex loci laboris</w:t>
      </w:r>
      <w:r w:rsidRPr="00EB5AA5">
        <w:rPr>
          <w:rFonts w:ascii="Times New Roman"/>
          <w:iCs/>
          <w:noProof/>
        </w:rPr>
        <w:t xml:space="preserve"> however strains or even displaces </w:t>
      </w:r>
      <w:r w:rsidRPr="00EB5AA5">
        <w:rPr>
          <w:rFonts w:ascii="Times New Roman"/>
          <w:noProof/>
        </w:rPr>
        <w:t xml:space="preserve">the integration–protection nexus when it bases full protection on a brief economic activity. That is the case where a person claims benefits soon after starting work, even though in order to retain them he or she will generally need to continue working (under the </w:t>
      </w:r>
      <w:r w:rsidRPr="00EB5AA5">
        <w:rPr>
          <w:rFonts w:ascii="Times New Roman"/>
          <w:i/>
          <w:noProof/>
        </w:rPr>
        <w:t>lex loci laboris</w:t>
      </w:r>
      <w:r w:rsidRPr="00EB5AA5">
        <w:rPr>
          <w:rFonts w:ascii="Times New Roman"/>
          <w:noProof/>
        </w:rPr>
        <w:t xml:space="preserve">) or residing (under the </w:t>
      </w:r>
      <w:r w:rsidRPr="00EB5AA5">
        <w:rPr>
          <w:rFonts w:ascii="Times New Roman"/>
          <w:i/>
          <w:noProof/>
        </w:rPr>
        <w:t>lex loci domicilii</w:t>
      </w:r>
      <w:r w:rsidRPr="00EB5AA5">
        <w:rPr>
          <w:rFonts w:ascii="Times New Roman"/>
          <w:noProof/>
        </w:rPr>
        <w:t>) in the State in question.</w:t>
      </w:r>
    </w:p>
    <w:p w14:paraId="2E38D47B" w14:textId="77777777" w:rsidR="004C479A" w:rsidRPr="00EB5AA5" w:rsidRDefault="004C479A" w:rsidP="008638AF">
      <w:pPr>
        <w:spacing w:line="360" w:lineRule="auto"/>
        <w:rPr>
          <w:rFonts w:ascii="Times New Roman"/>
          <w:noProof/>
        </w:rPr>
      </w:pPr>
      <w:r w:rsidRPr="00EB5AA5">
        <w:rPr>
          <w:rFonts w:ascii="Times New Roman"/>
          <w:noProof/>
        </w:rPr>
        <w:t xml:space="preserve">The integration–protection nexus can also be seen outside the context of Regulation 883/2004. </w:t>
      </w:r>
      <w:bookmarkStart w:id="50" w:name="_Hlk4418325"/>
      <w:r w:rsidRPr="00EB5AA5">
        <w:rPr>
          <w:rFonts w:ascii="Times New Roman"/>
          <w:noProof/>
        </w:rPr>
        <w:t xml:space="preserve">The Treaty freedoms, Regulation 492/2011 and the Citizenship Directive draw a double link between integration and social protection. </w:t>
      </w:r>
      <w:bookmarkEnd w:id="50"/>
      <w:r w:rsidRPr="00EB5AA5">
        <w:rPr>
          <w:rFonts w:ascii="Times New Roman"/>
          <w:noProof/>
        </w:rPr>
        <w:t>First, they reserve the right to equal treatment to those who have a certain connection to the State in question. Workers’ equal treatment rights are based on their “real and genuine”</w:t>
      </w:r>
      <w:r w:rsidRPr="00EB5AA5">
        <w:rPr>
          <w:rFonts w:ascii="Times New Roman"/>
          <w:noProof/>
          <w:vertAlign w:val="superscript"/>
        </w:rPr>
        <w:footnoteReference w:id="26"/>
      </w:r>
      <w:r w:rsidRPr="00EB5AA5">
        <w:rPr>
          <w:rFonts w:ascii="Times New Roman"/>
          <w:noProof/>
        </w:rPr>
        <w:t xml:space="preserve"> activities on its territory. </w:t>
      </w:r>
      <w:bookmarkStart w:id="51" w:name="_Hlk5475661"/>
      <w:r w:rsidRPr="00EB5AA5">
        <w:rPr>
          <w:rFonts w:ascii="Times New Roman"/>
          <w:noProof/>
        </w:rPr>
        <w:t xml:space="preserve">In order to be entitled to equal treatment, non-workers must </w:t>
      </w:r>
      <w:r w:rsidRPr="00EB5AA5">
        <w:rPr>
          <w:rFonts w:ascii="Times New Roman"/>
          <w:noProof/>
        </w:rPr>
        <w:lastRenderedPageBreak/>
        <w:t>rely on weaker economic connections (work-seeking,</w:t>
      </w:r>
      <w:r w:rsidRPr="00EB5AA5">
        <w:rPr>
          <w:rStyle w:val="FootnoteReference"/>
          <w:rFonts w:ascii="Times New Roman"/>
          <w:noProof/>
        </w:rPr>
        <w:footnoteReference w:id="27"/>
      </w:r>
      <w:r w:rsidRPr="00EB5AA5">
        <w:rPr>
          <w:rFonts w:ascii="Times New Roman"/>
          <w:noProof/>
        </w:rPr>
        <w:t xml:space="preserve"> past work,</w:t>
      </w:r>
      <w:r w:rsidRPr="00EB5AA5">
        <w:rPr>
          <w:rStyle w:val="FootnoteReference"/>
          <w:rFonts w:ascii="Times New Roman"/>
          <w:noProof/>
        </w:rPr>
        <w:footnoteReference w:id="28"/>
      </w:r>
      <w:r w:rsidRPr="00EB5AA5">
        <w:rPr>
          <w:rFonts w:ascii="Times New Roman"/>
          <w:noProof/>
        </w:rPr>
        <w:t xml:space="preserve"> or family links with workers</w:t>
      </w:r>
      <w:r w:rsidRPr="00EB5AA5">
        <w:rPr>
          <w:rStyle w:val="FootnoteReference"/>
          <w:rFonts w:ascii="Times New Roman"/>
          <w:noProof/>
        </w:rPr>
        <w:footnoteReference w:id="29"/>
      </w:r>
      <w:r w:rsidRPr="00EB5AA5">
        <w:rPr>
          <w:rFonts w:ascii="Times New Roman"/>
          <w:noProof/>
        </w:rPr>
        <w:t xml:space="preserve">) </w:t>
      </w:r>
      <w:bookmarkEnd w:id="51"/>
      <w:r w:rsidRPr="00EB5AA5">
        <w:rPr>
          <w:rFonts w:ascii="Times New Roman"/>
          <w:noProof/>
        </w:rPr>
        <w:t xml:space="preserve">or </w:t>
      </w:r>
      <w:bookmarkStart w:id="52" w:name="_Hlk18315928"/>
      <w:r w:rsidRPr="00EB5AA5">
        <w:rPr>
          <w:rFonts w:ascii="Times New Roman"/>
          <w:noProof/>
        </w:rPr>
        <w:t>on social ties evidenced mostly by lawful residence over time.</w:t>
      </w:r>
      <w:r w:rsidRPr="00EB5AA5">
        <w:rPr>
          <w:rStyle w:val="FootnoteReference"/>
          <w:rFonts w:ascii="Times New Roman"/>
          <w:noProof/>
        </w:rPr>
        <w:footnoteReference w:id="30"/>
      </w:r>
      <w:r w:rsidRPr="00EB5AA5">
        <w:rPr>
          <w:rFonts w:ascii="Times New Roman"/>
          <w:noProof/>
        </w:rPr>
        <w:t xml:space="preserve"> </w:t>
      </w:r>
      <w:bookmarkStart w:id="53" w:name="_Hlk9329026"/>
      <w:bookmarkEnd w:id="52"/>
      <w:r w:rsidRPr="00EB5AA5">
        <w:rPr>
          <w:rFonts w:ascii="Times New Roman"/>
          <w:noProof/>
        </w:rPr>
        <w:t>The Citizenship Directive “provides for three successive levels of integration of a Union citizen in the host Member State”, depending largely on length of residence, and attaches different levels of welfare protection to each.</w:t>
      </w:r>
      <w:r w:rsidRPr="00EB5AA5">
        <w:rPr>
          <w:rStyle w:val="FootnoteReference"/>
          <w:rFonts w:ascii="Times New Roman"/>
          <w:noProof/>
        </w:rPr>
        <w:footnoteReference w:id="31"/>
      </w:r>
      <w:r w:rsidRPr="00EB5AA5">
        <w:rPr>
          <w:rFonts w:ascii="Times New Roman"/>
          <w:noProof/>
        </w:rPr>
        <w:t xml:space="preserve"> </w:t>
      </w:r>
      <w:bookmarkEnd w:id="53"/>
      <w:r w:rsidRPr="00EB5AA5">
        <w:rPr>
          <w:rFonts w:ascii="Times New Roman"/>
          <w:noProof/>
        </w:rPr>
        <w:t xml:space="preserve">A measure of integration is needed, not only to have a right to equal treatment, but also to defeat attempts to justify </w:t>
      </w:r>
      <w:r w:rsidRPr="00EB5AA5">
        <w:rPr>
          <w:rFonts w:ascii="Times New Roman"/>
          <w:i/>
          <w:iCs/>
          <w:noProof/>
        </w:rPr>
        <w:t>prima facie</w:t>
      </w:r>
      <w:r w:rsidRPr="00EB5AA5">
        <w:rPr>
          <w:rFonts w:ascii="Times New Roman"/>
          <w:noProof/>
        </w:rPr>
        <w:t xml:space="preserve"> discriminatory or non-discriminatory obstacles to free movement. In respect of workers and inactive EU citizens alike, </w:t>
      </w:r>
      <w:bookmarkStart w:id="54" w:name="_Hlk527210472"/>
      <w:r w:rsidRPr="00EB5AA5">
        <w:rPr>
          <w:rFonts w:ascii="Times New Roman"/>
          <w:noProof/>
        </w:rPr>
        <w:t>the ECJ has recognized “the Member States’ power […] to require nationals of other Member States to show a certain degree of integration in their societies in order to receive social advantages”.</w:t>
      </w:r>
      <w:r w:rsidRPr="00EB5AA5">
        <w:rPr>
          <w:rStyle w:val="FootnoteReference"/>
          <w:rFonts w:ascii="Times New Roman"/>
          <w:noProof/>
        </w:rPr>
        <w:footnoteReference w:id="32"/>
      </w:r>
      <w:bookmarkEnd w:id="54"/>
      <w:r w:rsidRPr="00EB5AA5">
        <w:rPr>
          <w:rFonts w:ascii="Times New Roman"/>
          <w:noProof/>
        </w:rPr>
        <w:t xml:space="preserve"> Worker status goes a long way towards reaching that threshold: </w:t>
      </w:r>
    </w:p>
    <w:p w14:paraId="553C3059" w14:textId="77777777" w:rsidR="004C479A" w:rsidRPr="00EB5AA5" w:rsidRDefault="004C479A" w:rsidP="008638AF">
      <w:pPr>
        <w:spacing w:line="360" w:lineRule="auto"/>
        <w:ind w:left="720"/>
        <w:rPr>
          <w:rFonts w:ascii="Times New Roman"/>
          <w:noProof/>
        </w:rPr>
      </w:pPr>
      <w:bookmarkStart w:id="55" w:name="_Hlk17290166"/>
      <w:r w:rsidRPr="00EB5AA5">
        <w:rPr>
          <w:rFonts w:ascii="Times New Roman"/>
          <w:noProof/>
        </w:rPr>
        <w:t>“according to settled case-law, the fact that migrant and frontier workers have participated in the labour market of a Member State creates, in principle, a sufficient link of integration with the society of that State, allowing them to benefit from the principle of equal treatment, as compared with national workers, as regards social advantages”.</w:t>
      </w:r>
      <w:r w:rsidRPr="00EB5AA5">
        <w:rPr>
          <w:rStyle w:val="FootnoteReference"/>
          <w:rFonts w:ascii="Times New Roman"/>
          <w:noProof/>
        </w:rPr>
        <w:footnoteReference w:id="33"/>
      </w:r>
    </w:p>
    <w:bookmarkEnd w:id="55"/>
    <w:p w14:paraId="0117B2FB" w14:textId="77777777" w:rsidR="004C479A" w:rsidRPr="00EB5AA5" w:rsidRDefault="004C479A" w:rsidP="008638AF">
      <w:pPr>
        <w:spacing w:line="360" w:lineRule="auto"/>
        <w:rPr>
          <w:rFonts w:ascii="Times New Roman"/>
          <w:noProof/>
        </w:rPr>
      </w:pPr>
      <w:r w:rsidRPr="00EB5AA5">
        <w:rPr>
          <w:rFonts w:ascii="Times New Roman"/>
          <w:noProof/>
        </w:rPr>
        <w:t xml:space="preserve">Economically inactive EU citizens must demonstrate their integration credentials on the basis of other proxies. </w:t>
      </w:r>
      <w:bookmarkStart w:id="56" w:name="_Hlk8590875"/>
      <w:r w:rsidRPr="00EB5AA5">
        <w:rPr>
          <w:rFonts w:ascii="Times New Roman"/>
          <w:noProof/>
        </w:rPr>
        <w:t>Durational residence is central to that exercise: “the existence of a certain degree of integration may be regarded as established by a finding that the [claimant] has resided in the host Member State for a certain length of time.”</w:t>
      </w:r>
      <w:r w:rsidRPr="00EB5AA5">
        <w:rPr>
          <w:rStyle w:val="FootnoteReference"/>
          <w:rFonts w:ascii="Times New Roman"/>
          <w:noProof/>
        </w:rPr>
        <w:footnoteReference w:id="34"/>
      </w:r>
      <w:r w:rsidRPr="00EB5AA5">
        <w:rPr>
          <w:rFonts w:ascii="Times New Roman"/>
          <w:noProof/>
        </w:rPr>
        <w:t xml:space="preserve"> </w:t>
      </w:r>
      <w:bookmarkEnd w:id="56"/>
      <w:r w:rsidRPr="00EB5AA5">
        <w:rPr>
          <w:rFonts w:ascii="Times New Roman"/>
          <w:noProof/>
        </w:rPr>
        <w:t>A sufficient connection to its society may also be found “where the student is a national of the State concerned and was educated there for a significant period or on account of other factors such as, in particular, his family, employment, language skills or the existence of other social and economic factors.”</w:t>
      </w:r>
      <w:r w:rsidRPr="00EB5AA5">
        <w:rPr>
          <w:rStyle w:val="FootnoteReference"/>
          <w:rFonts w:ascii="Times New Roman"/>
          <w:noProof/>
        </w:rPr>
        <w:footnoteReference w:id="35"/>
      </w:r>
      <w:r w:rsidRPr="00EB5AA5">
        <w:rPr>
          <w:rFonts w:ascii="Times New Roman"/>
          <w:noProof/>
        </w:rPr>
        <w:t xml:space="preserve"> In order to qualify for benefits, even those who are entitled to equal treatment might need to wait until they have forged a real or genuine link with the host State. In summary, </w:t>
      </w:r>
    </w:p>
    <w:p w14:paraId="053A0933" w14:textId="77777777" w:rsidR="004C479A" w:rsidRPr="00EB5AA5" w:rsidRDefault="004C479A" w:rsidP="008638AF">
      <w:pPr>
        <w:spacing w:line="360" w:lineRule="auto"/>
        <w:ind w:left="720"/>
        <w:rPr>
          <w:rFonts w:ascii="Times New Roman"/>
          <w:noProof/>
        </w:rPr>
      </w:pPr>
      <w:r w:rsidRPr="00EB5AA5">
        <w:rPr>
          <w:rFonts w:ascii="Times New Roman"/>
          <w:noProof/>
        </w:rPr>
        <w:t xml:space="preserve">“[t]he closer the bond between the individual claimant and the Member State, the more secure will be the claimant’s right to reside within the territory, free from the fear of expulsion on </w:t>
      </w:r>
      <w:r w:rsidRPr="00EB5AA5">
        <w:rPr>
          <w:rFonts w:ascii="Times New Roman"/>
          <w:noProof/>
        </w:rPr>
        <w:lastRenderedPageBreak/>
        <w:t>economic or financial grounds; and the more extensive his or her right to equal treatment within the host society, as regards welfare and other social benefits.”</w:t>
      </w:r>
      <w:bookmarkStart w:id="57" w:name="_Ref18858371"/>
      <w:r w:rsidRPr="00EB5AA5">
        <w:rPr>
          <w:rFonts w:ascii="Times New Roman"/>
          <w:noProof/>
          <w:vertAlign w:val="superscript"/>
        </w:rPr>
        <w:footnoteReference w:id="36"/>
      </w:r>
      <w:bookmarkEnd w:id="57"/>
    </w:p>
    <w:p w14:paraId="1E7F9DFB" w14:textId="77777777" w:rsidR="004C479A" w:rsidRPr="00EB5AA5" w:rsidRDefault="004C479A" w:rsidP="008638AF">
      <w:pPr>
        <w:spacing w:line="360" w:lineRule="auto"/>
        <w:rPr>
          <w:rFonts w:ascii="Times New Roman"/>
          <w:noProof/>
        </w:rPr>
      </w:pPr>
      <w:bookmarkStart w:id="58" w:name="_Hlk18151444"/>
      <w:r w:rsidRPr="00EB5AA5">
        <w:rPr>
          <w:rFonts w:ascii="Times New Roman"/>
          <w:noProof/>
        </w:rPr>
        <w:t xml:space="preserve">Regardless of whether they derive from national law, Regulation 883/2004, Regulation 492/2011, the Citizenship Directive, or the Treaty, all cross-border benefit claims are affected by the integration of the applicant. </w:t>
      </w:r>
      <w:bookmarkEnd w:id="58"/>
    </w:p>
    <w:p w14:paraId="20DC6ADA" w14:textId="77777777" w:rsidR="004C479A" w:rsidRPr="00EB5AA5" w:rsidRDefault="004C479A" w:rsidP="008638AF">
      <w:pPr>
        <w:spacing w:line="360" w:lineRule="auto"/>
        <w:rPr>
          <w:rFonts w:ascii="Times New Roman"/>
          <w:noProof/>
        </w:rPr>
      </w:pPr>
      <w:r w:rsidRPr="00EB5AA5">
        <w:rPr>
          <w:rFonts w:ascii="Times New Roman"/>
          <w:noProof/>
        </w:rPr>
        <w:t>In Sections 5, 6 and 7, I will discuss the ability of each regulatory tool to embody the integration–protection nexus. Rules giving newcomers instant or quick access to the social benefits of the State of destination stand accused of downplaying the importance of integration. In the proposals to amend Regulation 883/2004 they currently negotiate, the Commission, the European Parliament and the Council heavily rely on waiting periods to coordinate unemployment benefits and regulate the position of posted workers.</w:t>
      </w:r>
      <w:r w:rsidRPr="00EB5AA5">
        <w:rPr>
          <w:rFonts w:ascii="Times New Roman"/>
          <w:noProof/>
          <w:vertAlign w:val="superscript"/>
        </w:rPr>
        <w:footnoteReference w:id="37"/>
      </w:r>
      <w:r w:rsidRPr="00EB5AA5">
        <w:rPr>
          <w:rStyle w:val="FootnoteReference"/>
          <w:rFonts w:ascii="Times New Roman"/>
          <w:noProof/>
          <w:lang w:bidi="as-IN"/>
        </w:rPr>
        <w:t xml:space="preserve"> </w:t>
      </w:r>
      <w:r w:rsidRPr="00EB5AA5">
        <w:rPr>
          <w:rFonts w:ascii="Times New Roman"/>
          <w:noProof/>
        </w:rPr>
        <w:t>Delaying social protection aligns with popular views</w:t>
      </w:r>
      <w:bookmarkStart w:id="59" w:name="_Ref18857822"/>
      <w:r w:rsidRPr="00EB5AA5">
        <w:rPr>
          <w:rStyle w:val="FootnoteReference"/>
          <w:rFonts w:ascii="Times New Roman" w:eastAsiaTheme="majorEastAsia"/>
          <w:noProof/>
        </w:rPr>
        <w:footnoteReference w:id="38"/>
      </w:r>
      <w:bookmarkEnd w:id="59"/>
      <w:r w:rsidRPr="00EB5AA5">
        <w:rPr>
          <w:rFonts w:ascii="Times New Roman"/>
          <w:noProof/>
        </w:rPr>
        <w:t xml:space="preserve"> and enjoys a measure of academic support from disciplines including sociology,</w:t>
      </w:r>
      <w:r w:rsidRPr="00EB5AA5">
        <w:rPr>
          <w:rFonts w:ascii="Times New Roman"/>
          <w:noProof/>
          <w:vertAlign w:val="superscript"/>
        </w:rPr>
        <w:footnoteReference w:id="39"/>
      </w:r>
      <w:r w:rsidRPr="00EB5AA5">
        <w:rPr>
          <w:rFonts w:ascii="Times New Roman"/>
          <w:noProof/>
        </w:rPr>
        <w:t xml:space="preserve"> public finance</w:t>
      </w:r>
      <w:r w:rsidRPr="00EB5AA5">
        <w:rPr>
          <w:rFonts w:ascii="Times New Roman"/>
          <w:noProof/>
          <w:vertAlign w:val="superscript"/>
        </w:rPr>
        <w:footnoteReference w:id="40"/>
      </w:r>
      <w:r w:rsidRPr="00EB5AA5">
        <w:rPr>
          <w:rFonts w:ascii="Times New Roman"/>
          <w:noProof/>
        </w:rPr>
        <w:t xml:space="preserve"> and political theory.</w:t>
      </w:r>
      <w:r w:rsidRPr="00EB5AA5">
        <w:rPr>
          <w:rFonts w:ascii="Times New Roman"/>
          <w:noProof/>
          <w:vertAlign w:val="superscript"/>
        </w:rPr>
        <w:footnoteReference w:id="41"/>
      </w:r>
      <w:r w:rsidRPr="00EB5AA5">
        <w:rPr>
          <w:rFonts w:ascii="Times New Roman"/>
          <w:noProof/>
        </w:rPr>
        <w:t xml:space="preserve"> I will argue that too much is made of waiting periods in the State of destination, because they serve the integration–protection nexus less well than two other tools and they interrupt social protection.</w:t>
      </w:r>
    </w:p>
    <w:p w14:paraId="42FBFE61" w14:textId="77777777" w:rsidR="004C479A" w:rsidRPr="00EB5AA5" w:rsidRDefault="004C479A" w:rsidP="008638AF">
      <w:pPr>
        <w:pStyle w:val="Heading1"/>
        <w:numPr>
          <w:ilvl w:val="0"/>
          <w:numId w:val="16"/>
        </w:numPr>
        <w:spacing w:before="0" w:after="160" w:line="360" w:lineRule="auto"/>
        <w:rPr>
          <w:rFonts w:ascii="Times New Roman" w:hAnsi="Times New Roman" w:cs="Times New Roman"/>
          <w:noProof/>
          <w:color w:val="auto"/>
        </w:rPr>
      </w:pPr>
      <w:bookmarkStart w:id="60" w:name="_Toc9341395"/>
      <w:bookmarkStart w:id="61" w:name="_Hlk531776478"/>
      <w:r w:rsidRPr="00EB5AA5">
        <w:rPr>
          <w:rFonts w:ascii="Times New Roman" w:hAnsi="Times New Roman" w:cs="Times New Roman"/>
          <w:noProof/>
          <w:color w:val="auto"/>
        </w:rPr>
        <w:t>Continuous social protection</w:t>
      </w:r>
      <w:bookmarkEnd w:id="60"/>
    </w:p>
    <w:p w14:paraId="585AB4E1" w14:textId="77777777" w:rsidR="004C479A" w:rsidRPr="00EB5AA5" w:rsidRDefault="004C479A" w:rsidP="008638AF">
      <w:pPr>
        <w:pStyle w:val="Heading2"/>
        <w:numPr>
          <w:ilvl w:val="1"/>
          <w:numId w:val="16"/>
        </w:numPr>
        <w:spacing w:before="0" w:after="160" w:line="360" w:lineRule="auto"/>
        <w:rPr>
          <w:rFonts w:ascii="Times New Roman" w:hAnsi="Times New Roman" w:cs="Times New Roman"/>
          <w:noProof/>
          <w:color w:val="auto"/>
        </w:rPr>
      </w:pPr>
      <w:bookmarkStart w:id="62" w:name="_Toc9341396"/>
      <w:r w:rsidRPr="00EB5AA5">
        <w:rPr>
          <w:rFonts w:ascii="Times New Roman" w:hAnsi="Times New Roman" w:cs="Times New Roman"/>
          <w:noProof/>
          <w:color w:val="auto"/>
        </w:rPr>
        <w:t>As a value</w:t>
      </w:r>
      <w:bookmarkEnd w:id="62"/>
    </w:p>
    <w:p w14:paraId="2AD9F19C" w14:textId="77777777" w:rsidR="004C479A" w:rsidRPr="00EB5AA5" w:rsidRDefault="004C479A" w:rsidP="008638AF">
      <w:pPr>
        <w:spacing w:line="360" w:lineRule="auto"/>
        <w:rPr>
          <w:rFonts w:ascii="Times New Roman"/>
          <w:noProof/>
        </w:rPr>
      </w:pPr>
      <w:r w:rsidRPr="00EB5AA5">
        <w:rPr>
          <w:rFonts w:ascii="Times New Roman"/>
          <w:noProof/>
        </w:rPr>
        <w:t xml:space="preserve">A second value that guides rule-makers is </w:t>
      </w:r>
      <w:bookmarkEnd w:id="61"/>
      <w:r w:rsidRPr="00EB5AA5">
        <w:rPr>
          <w:rFonts w:ascii="Times New Roman"/>
          <w:noProof/>
        </w:rPr>
        <w:t xml:space="preserve">continuous social protection. It does not presuppose constant receipt of benefits. Rather, it exists where one State pays full benefits; where several States grant adequate partial benefits; and where benefit claims are rejected on grounds entirely unrelated to </w:t>
      </w:r>
      <w:r w:rsidRPr="00EB5AA5">
        <w:rPr>
          <w:rFonts w:ascii="Times New Roman"/>
          <w:noProof/>
        </w:rPr>
        <w:lastRenderedPageBreak/>
        <w:t>migration.</w:t>
      </w:r>
      <w:r w:rsidRPr="00EB5AA5">
        <w:rPr>
          <w:rStyle w:val="FootnoteReference"/>
          <w:rFonts w:ascii="Times New Roman"/>
          <w:noProof/>
        </w:rPr>
        <w:footnoteReference w:id="42"/>
      </w:r>
      <w:r w:rsidRPr="00EB5AA5">
        <w:rPr>
          <w:rFonts w:ascii="Times New Roman"/>
          <w:noProof/>
        </w:rPr>
        <w:t xml:space="preserve"> Put simply, old-age pensions should not be granted to the young, but neither should they be refused to the elderly because of their nationality or place of residence. Social protection would not be continuous should it be more costly for migrants than for sedentary persons, because their contribution duties or other duties (e.g. jobseeking) are inflated. </w:t>
      </w:r>
    </w:p>
    <w:p w14:paraId="0616A74C" w14:textId="77777777" w:rsidR="004C479A" w:rsidRPr="00EB5AA5" w:rsidRDefault="004C479A" w:rsidP="008638AF">
      <w:pPr>
        <w:spacing w:line="360" w:lineRule="auto"/>
        <w:rPr>
          <w:rFonts w:ascii="Times New Roman"/>
          <w:noProof/>
        </w:rPr>
      </w:pPr>
      <w:r w:rsidRPr="00EB5AA5">
        <w:rPr>
          <w:rFonts w:ascii="Times New Roman"/>
          <w:noProof/>
        </w:rPr>
        <w:t xml:space="preserve">The case for continuous protection is easily made. Other things being equal, people should have access to social protection somewhere. </w:t>
      </w:r>
      <w:bookmarkStart w:id="63" w:name="_Hlk4418649"/>
      <w:r w:rsidRPr="00EB5AA5">
        <w:rPr>
          <w:rFonts w:ascii="Times New Roman"/>
          <w:noProof/>
        </w:rPr>
        <w:t>Retirees should receive pensions. Migrants might switch from one welfare system to another, but allowing them to fall between two stools would weaken the social justice principles immanent in welfare systems, such as protecting people against social risks.</w:t>
      </w:r>
      <w:bookmarkStart w:id="64" w:name="_Hlk4745690"/>
      <w:r w:rsidRPr="00EB5AA5">
        <w:rPr>
          <w:rFonts w:ascii="Times New Roman"/>
          <w:noProof/>
        </w:rPr>
        <w:t xml:space="preserve"> Migrants’ capacity to lead a good life would be bereft of public support. Exclusion from certain welfare benefits, such as minimum subsistence benefits and healthcare, even threatens “the capacity of citizens to live their lives with at least a minimum of autonomy and dignity”.</w:t>
      </w:r>
      <w:r w:rsidRPr="00EB5AA5">
        <w:rPr>
          <w:rStyle w:val="FootnoteReference"/>
          <w:rFonts w:ascii="Times New Roman"/>
          <w:noProof/>
        </w:rPr>
        <w:footnoteReference w:id="43"/>
      </w:r>
      <w:bookmarkEnd w:id="63"/>
      <w:bookmarkEnd w:id="64"/>
      <w:r w:rsidRPr="00EB5AA5">
        <w:rPr>
          <w:rFonts w:ascii="Times New Roman"/>
          <w:noProof/>
        </w:rPr>
        <w:t xml:space="preserve"> More broadly, if social protection is discontinued, social risks that all interested States consider to be public would be privatized. The burden they entail would be born, not by the welfare state, but by their victims. Finally, continuous social protection promotes fundamental rights. In addition to social rights, it imbues EU citizenship with meaning, facilitates the right to free movement, and realizes equality between migrants and non-migrants.</w:t>
      </w:r>
    </w:p>
    <w:p w14:paraId="2E1CB5E0" w14:textId="77777777" w:rsidR="004C479A" w:rsidRPr="00EB5AA5" w:rsidRDefault="004C479A" w:rsidP="008638AF">
      <w:pPr>
        <w:spacing w:line="360" w:lineRule="auto"/>
        <w:rPr>
          <w:rFonts w:ascii="Times New Roman"/>
          <w:noProof/>
        </w:rPr>
      </w:pPr>
      <w:r w:rsidRPr="00EB5AA5">
        <w:rPr>
          <w:rFonts w:ascii="Times New Roman"/>
          <w:noProof/>
        </w:rPr>
        <w:t>Integration is often put on a pedestal. While accepting that ranking values in the abstract is a perilous exercise, I generally favour continuous social protection over the integration–protection nexus and harmony, in no small part because of the profoundly disruptive impact on people’s lives that (the prospect of) a lack of social protection has.</w:t>
      </w:r>
      <w:bookmarkStart w:id="65" w:name="_Ref18858076"/>
      <w:r w:rsidRPr="00EB5AA5">
        <w:rPr>
          <w:rFonts w:ascii="Times New Roman"/>
          <w:iCs/>
          <w:noProof/>
          <w:vertAlign w:val="superscript"/>
        </w:rPr>
        <w:footnoteReference w:id="44"/>
      </w:r>
      <w:bookmarkEnd w:id="65"/>
    </w:p>
    <w:p w14:paraId="1E7A0CBF" w14:textId="77777777" w:rsidR="004C479A" w:rsidRPr="00EB5AA5" w:rsidRDefault="004C479A" w:rsidP="008638AF">
      <w:pPr>
        <w:pStyle w:val="Heading2"/>
        <w:numPr>
          <w:ilvl w:val="1"/>
          <w:numId w:val="16"/>
        </w:numPr>
        <w:spacing w:before="0" w:after="160" w:line="360" w:lineRule="auto"/>
        <w:rPr>
          <w:rFonts w:ascii="Times New Roman" w:hAnsi="Times New Roman" w:cs="Times New Roman"/>
          <w:noProof/>
          <w:color w:val="auto"/>
        </w:rPr>
      </w:pPr>
      <w:r w:rsidRPr="00EB5AA5">
        <w:rPr>
          <w:rFonts w:ascii="Times New Roman" w:hAnsi="Times New Roman" w:cs="Times New Roman"/>
          <w:noProof/>
          <w:color w:val="auto"/>
        </w:rPr>
        <w:t>In EU law</w:t>
      </w:r>
    </w:p>
    <w:p w14:paraId="4B47C1F8" w14:textId="77777777" w:rsidR="004C479A" w:rsidRPr="00EB5AA5" w:rsidRDefault="004C479A" w:rsidP="008638AF">
      <w:pPr>
        <w:spacing w:line="360" w:lineRule="auto"/>
        <w:rPr>
          <w:rFonts w:ascii="Times New Roman"/>
          <w:iCs/>
          <w:noProof/>
        </w:rPr>
      </w:pPr>
      <w:r w:rsidRPr="00EB5AA5">
        <w:rPr>
          <w:rFonts w:ascii="Times New Roman"/>
          <w:noProof/>
        </w:rPr>
        <w:t xml:space="preserve">The EU legislator’s commitment to continuous social protection is evident from the measures it took to neutralize migration-related disqualification grounds. Nationality discrimination and residence conditions are banned by Articles 4 and 7 Regulation 883/2004. Under its Article 6, a State conditioning benefits on past work, insurance or residence ought to aggregate—i.e. take into account—foreign periods of work, insurance or residence. Waiting periods can be set, but they affect sedentary persons as much as migrants. </w:t>
      </w:r>
      <w:bookmarkStart w:id="66" w:name="_Hlk5475992"/>
      <w:r w:rsidRPr="00EB5AA5">
        <w:rPr>
          <w:rFonts w:ascii="Times New Roman"/>
          <w:noProof/>
        </w:rPr>
        <w:t xml:space="preserve">Article 5 Regulation 883/2004 requires a Member State to </w:t>
      </w:r>
      <w:r w:rsidRPr="00EB5AA5">
        <w:rPr>
          <w:rFonts w:ascii="Times New Roman"/>
          <w:noProof/>
        </w:rPr>
        <w:lastRenderedPageBreak/>
        <w:t xml:space="preserve">treat facts or events occurring abroad as if they took place on its own territory. </w:t>
      </w:r>
      <w:bookmarkStart w:id="67" w:name="_Hlk4418731"/>
      <w:bookmarkEnd w:id="66"/>
      <w:r w:rsidRPr="00EB5AA5">
        <w:rPr>
          <w:rFonts w:ascii="Times New Roman"/>
          <w:iCs/>
          <w:noProof/>
        </w:rPr>
        <w:t>The ECJ goes to great lengths to plug gaps in social protection.</w:t>
      </w:r>
      <w:r w:rsidRPr="00EB5AA5">
        <w:rPr>
          <w:rStyle w:val="FootnoteReference"/>
          <w:rFonts w:ascii="Times New Roman"/>
          <w:iCs/>
          <w:noProof/>
        </w:rPr>
        <w:footnoteReference w:id="45"/>
      </w:r>
      <w:r w:rsidRPr="00EB5AA5">
        <w:rPr>
          <w:rFonts w:ascii="Times New Roman"/>
          <w:iCs/>
          <w:noProof/>
        </w:rPr>
        <w:t xml:space="preserve"> It </w:t>
      </w:r>
    </w:p>
    <w:p w14:paraId="1AE924FB" w14:textId="77777777" w:rsidR="004C479A" w:rsidRPr="00EB5AA5" w:rsidRDefault="004C479A" w:rsidP="008638AF">
      <w:pPr>
        <w:spacing w:line="360" w:lineRule="auto"/>
        <w:ind w:left="720"/>
        <w:rPr>
          <w:rFonts w:ascii="Times New Roman"/>
          <w:iCs/>
          <w:noProof/>
        </w:rPr>
      </w:pPr>
      <w:r w:rsidRPr="00EB5AA5">
        <w:rPr>
          <w:rFonts w:ascii="Times New Roman"/>
          <w:iCs/>
          <w:noProof/>
        </w:rPr>
        <w:t>“has repeatedly held that the aim of Article 45 TFEU would not be met if, through exercising their right to freedom of movement, migrant workers were to lose social security advantages guaranteed to them by the laws of a Member State. Such a consequence might discourage European Union workers from exercising their right to freedom of movement and would therefore constitute an obstacle to that freedom”.</w:t>
      </w:r>
      <w:r w:rsidRPr="00EB5AA5">
        <w:rPr>
          <w:rStyle w:val="FootnoteReference"/>
          <w:rFonts w:ascii="Times New Roman"/>
          <w:iCs/>
          <w:noProof/>
        </w:rPr>
        <w:footnoteReference w:id="46"/>
      </w:r>
      <w:r w:rsidRPr="00EB5AA5">
        <w:rPr>
          <w:rFonts w:ascii="Times New Roman"/>
          <w:iCs/>
          <w:noProof/>
        </w:rPr>
        <w:t xml:space="preserve"> </w:t>
      </w:r>
      <w:bookmarkEnd w:id="67"/>
    </w:p>
    <w:p w14:paraId="7D3C7B82" w14:textId="77777777" w:rsidR="004C479A" w:rsidRPr="00EB5AA5" w:rsidRDefault="004C479A" w:rsidP="008638AF">
      <w:pPr>
        <w:spacing w:line="360" w:lineRule="auto"/>
        <w:rPr>
          <w:rFonts w:ascii="Times New Roman"/>
          <w:noProof/>
        </w:rPr>
      </w:pPr>
      <w:r w:rsidRPr="00EB5AA5">
        <w:rPr>
          <w:rFonts w:ascii="Times New Roman"/>
          <w:iCs/>
          <w:noProof/>
        </w:rPr>
        <w:t xml:space="preserve">As regards benefits other than social security, the equal treatment and free movement provisions of primary and secondary law are the principal means to avoid gaps in social protection. </w:t>
      </w:r>
      <w:r w:rsidRPr="00EB5AA5">
        <w:rPr>
          <w:rFonts w:ascii="Times New Roman"/>
          <w:noProof/>
        </w:rPr>
        <w:t>None of this is to say that continuous social protection is guaranteed to all, as some migrants fail to clear the obstacles that EU law</w:t>
      </w:r>
      <w:bookmarkStart w:id="69" w:name="_Ref9437022"/>
      <w:r w:rsidRPr="00EB5AA5">
        <w:rPr>
          <w:rStyle w:val="FootnoteReference"/>
          <w:rFonts w:ascii="Times New Roman"/>
          <w:noProof/>
        </w:rPr>
        <w:footnoteReference w:id="47"/>
      </w:r>
      <w:bookmarkEnd w:id="69"/>
      <w:r w:rsidRPr="00EB5AA5">
        <w:rPr>
          <w:rFonts w:ascii="Times New Roman"/>
          <w:noProof/>
        </w:rPr>
        <w:t xml:space="preserve"> and national practices</w:t>
      </w:r>
      <w:r w:rsidRPr="00EB5AA5">
        <w:rPr>
          <w:rStyle w:val="FootnoteReference"/>
          <w:rFonts w:ascii="Times New Roman"/>
          <w:noProof/>
        </w:rPr>
        <w:footnoteReference w:id="48"/>
      </w:r>
      <w:r w:rsidRPr="00EB5AA5">
        <w:rPr>
          <w:rFonts w:ascii="Times New Roman"/>
          <w:noProof/>
        </w:rPr>
        <w:t xml:space="preserve"> place in their way. </w:t>
      </w:r>
    </w:p>
    <w:p w14:paraId="145B31A0" w14:textId="77777777" w:rsidR="004C479A" w:rsidRPr="00EB5AA5" w:rsidRDefault="004C479A" w:rsidP="008638AF">
      <w:pPr>
        <w:spacing w:line="360" w:lineRule="auto"/>
        <w:rPr>
          <w:rFonts w:ascii="Times New Roman"/>
          <w:noProof/>
        </w:rPr>
      </w:pPr>
      <w:r w:rsidRPr="00EB5AA5">
        <w:rPr>
          <w:rFonts w:ascii="Times New Roman"/>
          <w:noProof/>
        </w:rPr>
        <w:t>It is often assumed that there must be a trade-off between continuous social protection and the integration–protection nexus: to take integration seriously is to interrupt the social protection of migrants with poor integration credentials, and to make social protection continuous is to lower integration thresholds. Sections 5 and 6 will show this dilemma to be partly false: two of the three tools that can ensure continuous social protection also serve the integration–protection nexus.</w:t>
      </w:r>
    </w:p>
    <w:p w14:paraId="098B834C" w14:textId="77777777" w:rsidR="004C479A" w:rsidRPr="00EB5AA5" w:rsidRDefault="004C479A" w:rsidP="008638AF">
      <w:pPr>
        <w:pStyle w:val="Heading1"/>
        <w:numPr>
          <w:ilvl w:val="0"/>
          <w:numId w:val="16"/>
        </w:numPr>
        <w:spacing w:before="0" w:after="160" w:line="360" w:lineRule="auto"/>
        <w:rPr>
          <w:rFonts w:ascii="Times New Roman" w:hAnsi="Times New Roman" w:cs="Times New Roman"/>
          <w:noProof/>
          <w:color w:val="auto"/>
        </w:rPr>
      </w:pPr>
      <w:bookmarkStart w:id="70" w:name="_Hlk531776490"/>
      <w:bookmarkStart w:id="71" w:name="_Toc9341398"/>
      <w:bookmarkStart w:id="72" w:name="_Hlk18947365"/>
      <w:r w:rsidRPr="00EB5AA5">
        <w:rPr>
          <w:rFonts w:ascii="Times New Roman" w:hAnsi="Times New Roman" w:cs="Times New Roman"/>
          <w:noProof/>
          <w:color w:val="auto"/>
        </w:rPr>
        <w:t>Harmony</w:t>
      </w:r>
      <w:bookmarkEnd w:id="70"/>
      <w:bookmarkEnd w:id="71"/>
    </w:p>
    <w:bookmarkEnd w:id="72"/>
    <w:p w14:paraId="4838A89D" w14:textId="77777777" w:rsidR="004C479A" w:rsidRPr="00EB5AA5" w:rsidRDefault="004C479A" w:rsidP="008638AF">
      <w:pPr>
        <w:spacing w:line="360" w:lineRule="auto"/>
        <w:rPr>
          <w:rFonts w:ascii="Times New Roman"/>
          <w:noProof/>
        </w:rPr>
      </w:pPr>
      <w:r w:rsidRPr="00EB5AA5">
        <w:rPr>
          <w:rFonts w:ascii="Times New Roman"/>
          <w:noProof/>
        </w:rPr>
        <w:t xml:space="preserve">The last value is seen most clearly when disturbed. Harmony suffers when several legal orders are relevant, because they apply consecutively (4.1) or simultaneously (4.3), or because a person is outside the State whose laws apply (4.2). The fundamental problem is that, while the interpretation and application of rules is harmonious within a single legal order, rules are hard to interpret and apply when combined with rules from another legal order. The involvement of several legal orders may generate frictions that distort the outcome of cases. </w:t>
      </w:r>
      <w:bookmarkStart w:id="73" w:name="_Hlk536035673"/>
      <w:r w:rsidRPr="00EB5AA5">
        <w:rPr>
          <w:rFonts w:ascii="Times New Roman"/>
          <w:noProof/>
        </w:rPr>
        <w:t>I will argue that attempts to restore harmony come at a cost</w:t>
      </w:r>
      <w:bookmarkEnd w:id="73"/>
      <w:r w:rsidRPr="00EB5AA5">
        <w:rPr>
          <w:rFonts w:ascii="Times New Roman"/>
          <w:noProof/>
        </w:rPr>
        <w:t xml:space="preserve">—literally, as they tax administrative capacity, and figuratively, in that they undermine legal certainty among other things. There is therefore a clear interest in maintaining harmony by avoiding the engagement of more than one legal order. </w:t>
      </w:r>
      <w:bookmarkStart w:id="74" w:name="_Hlk17292732"/>
      <w:r w:rsidRPr="00EB5AA5">
        <w:rPr>
          <w:rFonts w:ascii="Times New Roman"/>
          <w:noProof/>
        </w:rPr>
        <w:t xml:space="preserve">While a number of disharmonies have been commented </w:t>
      </w:r>
      <w:r w:rsidRPr="00EB5AA5">
        <w:rPr>
          <w:rFonts w:ascii="Times New Roman"/>
          <w:noProof/>
        </w:rPr>
        <w:lastRenderedPageBreak/>
        <w:t>upon in the literature,</w:t>
      </w:r>
      <w:r w:rsidRPr="00EB5AA5">
        <w:rPr>
          <w:rStyle w:val="FootnoteReference"/>
          <w:rFonts w:ascii="Times New Roman"/>
          <w:noProof/>
        </w:rPr>
        <w:footnoteReference w:id="49"/>
      </w:r>
      <w:r w:rsidRPr="00EB5AA5">
        <w:rPr>
          <w:rFonts w:ascii="Times New Roman"/>
          <w:noProof/>
        </w:rPr>
        <w:t xml:space="preserve"> </w:t>
      </w:r>
      <w:bookmarkStart w:id="75" w:name="_Hlk8665144"/>
      <w:r w:rsidRPr="00EB5AA5">
        <w:rPr>
          <w:rFonts w:ascii="Times New Roman"/>
          <w:noProof/>
        </w:rPr>
        <w:t>harmony is very rarely studied as a broader phenomenon.</w:t>
      </w:r>
      <w:r w:rsidRPr="00EB5AA5">
        <w:rPr>
          <w:rStyle w:val="FootnoteReference"/>
          <w:rFonts w:ascii="Times New Roman"/>
          <w:noProof/>
        </w:rPr>
        <w:footnoteReference w:id="50"/>
      </w:r>
      <w:r w:rsidRPr="00EB5AA5">
        <w:rPr>
          <w:rFonts w:ascii="Times New Roman"/>
          <w:noProof/>
        </w:rPr>
        <w:t xml:space="preserve"> </w:t>
      </w:r>
      <w:bookmarkEnd w:id="74"/>
      <w:bookmarkEnd w:id="75"/>
      <w:r w:rsidRPr="00EB5AA5">
        <w:rPr>
          <w:rFonts w:ascii="Times New Roman"/>
          <w:noProof/>
        </w:rPr>
        <w:t>This Section will identify three causes of disharmonies. It will close with an attempt to flesh out the conceptual basis of harmony by building on private international law (4.4).</w:t>
      </w:r>
    </w:p>
    <w:p w14:paraId="40A97D1B" w14:textId="77777777" w:rsidR="004C479A" w:rsidRPr="00EB5AA5" w:rsidRDefault="004C479A" w:rsidP="008638AF">
      <w:pPr>
        <w:pStyle w:val="Heading2"/>
        <w:numPr>
          <w:ilvl w:val="1"/>
          <w:numId w:val="16"/>
        </w:numPr>
        <w:spacing w:before="0" w:after="160" w:line="360" w:lineRule="auto"/>
        <w:rPr>
          <w:rFonts w:ascii="Times New Roman" w:hAnsi="Times New Roman" w:cs="Times New Roman"/>
          <w:noProof/>
          <w:color w:val="auto"/>
        </w:rPr>
      </w:pPr>
      <w:bookmarkStart w:id="77" w:name="_Toc9341399"/>
      <w:bookmarkStart w:id="78" w:name="_Hlk531956736"/>
      <w:r w:rsidRPr="00EB5AA5">
        <w:rPr>
          <w:rFonts w:ascii="Times New Roman" w:hAnsi="Times New Roman" w:cs="Times New Roman"/>
          <w:noProof/>
          <w:color w:val="auto"/>
        </w:rPr>
        <w:t>Consecutive application</w:t>
      </w:r>
      <w:bookmarkEnd w:id="77"/>
    </w:p>
    <w:bookmarkEnd w:id="78"/>
    <w:p w14:paraId="41314821" w14:textId="77777777" w:rsidR="004C479A" w:rsidRPr="00EB5AA5" w:rsidRDefault="004C479A" w:rsidP="008638AF">
      <w:pPr>
        <w:spacing w:line="360" w:lineRule="auto"/>
        <w:rPr>
          <w:rFonts w:ascii="Times New Roman"/>
          <w:noProof/>
        </w:rPr>
      </w:pPr>
      <w:r w:rsidRPr="00EB5AA5">
        <w:rPr>
          <w:rFonts w:ascii="Times New Roman"/>
          <w:noProof/>
        </w:rPr>
        <w:t xml:space="preserve">It would be absurd for everyone to permanently remain affiliated to the welfare schemes of their State of birth, regardless of their movements. </w:t>
      </w:r>
      <w:bookmarkStart w:id="79" w:name="_Hlk534727449"/>
      <w:r w:rsidRPr="00EB5AA5">
        <w:rPr>
          <w:rFonts w:ascii="Times New Roman"/>
          <w:noProof/>
        </w:rPr>
        <w:t>If the integration–protection nexus is not to be stretched to breaking point, migration must often be accompanied by</w:t>
      </w:r>
      <w:r w:rsidRPr="00EB5AA5" w:rsidDel="005402DF">
        <w:rPr>
          <w:rFonts w:ascii="Times New Roman"/>
          <w:noProof/>
        </w:rPr>
        <w:t xml:space="preserve"> </w:t>
      </w:r>
      <w:r w:rsidRPr="00EB5AA5">
        <w:rPr>
          <w:rFonts w:ascii="Times New Roman"/>
          <w:noProof/>
        </w:rPr>
        <w:t>a shift in welfare system.</w:t>
      </w:r>
      <w:bookmarkEnd w:id="79"/>
    </w:p>
    <w:p w14:paraId="1AA8F33B" w14:textId="77777777" w:rsidR="004C479A" w:rsidRPr="00EB5AA5" w:rsidRDefault="004C479A" w:rsidP="008638AF">
      <w:pPr>
        <w:spacing w:line="360" w:lineRule="auto"/>
        <w:rPr>
          <w:rFonts w:ascii="Times New Roman"/>
          <w:noProof/>
        </w:rPr>
      </w:pPr>
      <w:r w:rsidRPr="00EB5AA5">
        <w:rPr>
          <w:rFonts w:ascii="Times New Roman"/>
          <w:noProof/>
        </w:rPr>
        <w:t>This transfer is liable to generate disharmonies, because welfare states take an interest in claimants’ past. A State may for instance require two years of work. If its legislation applied throughout that period, it simply needs to ascertain whether the claimant lawfully worked at the time. Should he or she have spent part of that period working abroad, affiliated to foreign welfare schemes, a State faces difficult decisions.</w:t>
      </w:r>
    </w:p>
    <w:p w14:paraId="5E87DEB8" w14:textId="77777777" w:rsidR="004C479A" w:rsidRPr="00EB5AA5" w:rsidRDefault="004C479A" w:rsidP="008638AF">
      <w:pPr>
        <w:spacing w:line="360" w:lineRule="auto"/>
        <w:rPr>
          <w:rFonts w:ascii="Times New Roman"/>
          <w:noProof/>
        </w:rPr>
      </w:pPr>
      <w:r w:rsidRPr="00EB5AA5">
        <w:rPr>
          <w:rFonts w:ascii="Times New Roman"/>
          <w:noProof/>
        </w:rPr>
        <w:t>First, it could decide to ignore all foreign periods and deny newcomers benefits, even though they might have worked abroad—impeding the free movement of persons.</w:t>
      </w:r>
      <w:r w:rsidRPr="00EB5AA5">
        <w:rPr>
          <w:rStyle w:val="FootnoteReference"/>
          <w:rFonts w:ascii="Times New Roman"/>
          <w:noProof/>
        </w:rPr>
        <w:footnoteReference w:id="51"/>
      </w:r>
    </w:p>
    <w:p w14:paraId="1D783334" w14:textId="77777777" w:rsidR="004C479A" w:rsidRPr="00EB5AA5" w:rsidRDefault="004C479A" w:rsidP="008638AF">
      <w:pPr>
        <w:spacing w:line="360" w:lineRule="auto"/>
        <w:rPr>
          <w:rFonts w:ascii="Times New Roman"/>
          <w:noProof/>
        </w:rPr>
      </w:pPr>
      <w:r w:rsidRPr="00EB5AA5">
        <w:rPr>
          <w:rFonts w:ascii="Times New Roman"/>
          <w:noProof/>
        </w:rPr>
        <w:t xml:space="preserve">Alternatively, a State could accept all foreign periods, regardless of what they relate to. </w:t>
      </w:r>
      <w:bookmarkStart w:id="80" w:name="_Hlk17298103"/>
      <w:r w:rsidRPr="00EB5AA5">
        <w:rPr>
          <w:rFonts w:ascii="Times New Roman"/>
          <w:noProof/>
        </w:rPr>
        <w:t>A period of study or unemployment might then count as a period of work.</w:t>
      </w:r>
      <w:r w:rsidRPr="00EB5AA5">
        <w:rPr>
          <w:rStyle w:val="FootnoteReference"/>
          <w:rFonts w:ascii="Times New Roman"/>
          <w:noProof/>
        </w:rPr>
        <w:footnoteReference w:id="52"/>
      </w:r>
      <w:r w:rsidRPr="00EB5AA5">
        <w:rPr>
          <w:rFonts w:ascii="Times New Roman"/>
          <w:noProof/>
        </w:rPr>
        <w:t xml:space="preserve"> </w:t>
      </w:r>
      <w:bookmarkStart w:id="81" w:name="_Hlk4420412"/>
      <w:bookmarkEnd w:id="80"/>
      <w:r w:rsidRPr="00EB5AA5">
        <w:rPr>
          <w:rFonts w:ascii="Times New Roman"/>
          <w:noProof/>
        </w:rPr>
        <w:t xml:space="preserve">While migrant-friendly, indiscriminately taking into account all periods would be problematic. </w:t>
      </w:r>
      <w:bookmarkEnd w:id="81"/>
      <w:r w:rsidRPr="00EB5AA5">
        <w:rPr>
          <w:rFonts w:ascii="Times New Roman"/>
          <w:noProof/>
        </w:rPr>
        <w:t xml:space="preserve">The ECJ (over)stated that “compelling Member States to treat [periods during which workers participated in certain …] schemes </w:t>
      </w:r>
      <w:r w:rsidRPr="00EB5AA5">
        <w:rPr>
          <w:rFonts w:ascii="Times New Roman"/>
          <w:i/>
          <w:noProof/>
        </w:rPr>
        <w:t>automatically</w:t>
      </w:r>
      <w:r w:rsidRPr="00EB5AA5">
        <w:rPr>
          <w:rFonts w:ascii="Times New Roman"/>
          <w:noProof/>
        </w:rPr>
        <w:t xml:space="preserve"> as equivalent would in effect deprive them of their competence in the field of social protection.”</w:t>
      </w:r>
      <w:r w:rsidRPr="00EB5AA5">
        <w:rPr>
          <w:rStyle w:val="FootnoteReference"/>
          <w:rFonts w:ascii="Times New Roman"/>
          <w:noProof/>
        </w:rPr>
        <w:footnoteReference w:id="53"/>
      </w:r>
      <w:r w:rsidRPr="00EB5AA5">
        <w:rPr>
          <w:rFonts w:ascii="Times New Roman"/>
          <w:noProof/>
        </w:rPr>
        <w:t xml:space="preserve"> </w:t>
      </w:r>
    </w:p>
    <w:p w14:paraId="27511D1F" w14:textId="77777777" w:rsidR="004C479A" w:rsidRPr="00EB5AA5" w:rsidRDefault="004C479A" w:rsidP="008638AF">
      <w:pPr>
        <w:spacing w:line="360" w:lineRule="auto"/>
        <w:rPr>
          <w:rFonts w:ascii="Times New Roman"/>
          <w:noProof/>
        </w:rPr>
      </w:pPr>
      <w:r w:rsidRPr="00EB5AA5">
        <w:rPr>
          <w:rFonts w:ascii="Times New Roman"/>
          <w:noProof/>
        </w:rPr>
        <w:t>From a blind equation of foreign and domestic periods, it is only a small step to waive the period requirement altogether for migrants. This would treat them more favourably than national workers and exacerbate the loss in competence.</w:t>
      </w:r>
    </w:p>
    <w:p w14:paraId="6DD6EFD2" w14:textId="77777777" w:rsidR="004C479A" w:rsidRPr="00EB5AA5" w:rsidRDefault="004C479A" w:rsidP="008638AF">
      <w:pPr>
        <w:spacing w:line="360" w:lineRule="auto"/>
        <w:rPr>
          <w:rFonts w:ascii="Times New Roman"/>
          <w:noProof/>
        </w:rPr>
      </w:pPr>
      <w:r w:rsidRPr="00EB5AA5">
        <w:rPr>
          <w:rFonts w:ascii="Times New Roman"/>
          <w:noProof/>
        </w:rPr>
        <w:lastRenderedPageBreak/>
        <w:t>A last option would be to equate foreign periods if they are equivalent to the required periods—like is treated alike. This approach, prescribed by Articles 5 and 6 Regulation 883/2004, has great merits in reconciling social competence with equal treatment,</w:t>
      </w:r>
      <w:r w:rsidRPr="00EB5AA5">
        <w:rPr>
          <w:rStyle w:val="FootnoteReference"/>
          <w:rFonts w:ascii="Times New Roman"/>
          <w:noProof/>
        </w:rPr>
        <w:footnoteReference w:id="54"/>
      </w:r>
      <w:r w:rsidRPr="00EB5AA5">
        <w:rPr>
          <w:rFonts w:ascii="Times New Roman"/>
          <w:noProof/>
        </w:rPr>
        <w:t xml:space="preserve"> but often necessitates “a comparative examination […] on a case-by-case basis”.</w:t>
      </w:r>
      <w:r w:rsidRPr="00EB5AA5">
        <w:rPr>
          <w:rStyle w:val="FootnoteReference"/>
          <w:rFonts w:ascii="Times New Roman"/>
          <w:noProof/>
        </w:rPr>
        <w:footnoteReference w:id="55"/>
      </w:r>
      <w:r w:rsidRPr="00EB5AA5">
        <w:rPr>
          <w:rFonts w:ascii="Times New Roman"/>
          <w:noProof/>
        </w:rPr>
        <w:t xml:space="preserve"> </w:t>
      </w:r>
      <w:bookmarkStart w:id="82" w:name="_Hlk536087540"/>
      <w:r w:rsidRPr="00EB5AA5">
        <w:rPr>
          <w:rFonts w:ascii="Times New Roman"/>
          <w:noProof/>
        </w:rPr>
        <w:t xml:space="preserve">In order to establish equivalence, the institutions of the competent State have to determine whether the person worked at the time in accordance with the relevant foreign law; </w:t>
      </w:r>
      <w:bookmarkEnd w:id="82"/>
      <w:r w:rsidRPr="00EB5AA5">
        <w:rPr>
          <w:rFonts w:ascii="Times New Roman"/>
          <w:noProof/>
        </w:rPr>
        <w:t xml:space="preserve">and whether the period is equivalent to their own period. </w:t>
      </w:r>
      <w:bookmarkStart w:id="83" w:name="_Hlk18857121"/>
      <w:bookmarkStart w:id="84" w:name="_Hlk4420754"/>
      <w:r w:rsidRPr="00EB5AA5">
        <w:rPr>
          <w:rFonts w:ascii="Times New Roman"/>
          <w:noProof/>
        </w:rPr>
        <w:t>They must apply foreign law and compare it to their own.</w:t>
      </w:r>
      <w:r w:rsidRPr="00EB5AA5">
        <w:rPr>
          <w:rStyle w:val="FootnoteReference"/>
          <w:rFonts w:ascii="Times New Roman"/>
          <w:noProof/>
        </w:rPr>
        <w:footnoteReference w:id="56"/>
      </w:r>
      <w:bookmarkEnd w:id="83"/>
      <w:r w:rsidRPr="00EB5AA5">
        <w:rPr>
          <w:rFonts w:ascii="Times New Roman"/>
          <w:noProof/>
        </w:rPr>
        <w:t xml:space="preserve"> </w:t>
      </w:r>
      <w:bookmarkStart w:id="85" w:name="_Hlk4420684"/>
      <w:bookmarkStart w:id="86" w:name="_Hlk4420702"/>
      <w:bookmarkEnd w:id="84"/>
      <w:r w:rsidRPr="00EB5AA5">
        <w:rPr>
          <w:rFonts w:ascii="Times New Roman"/>
          <w:noProof/>
        </w:rPr>
        <w:t xml:space="preserve">This labour-intensive exercise involves considerable administrative expense, which acquires heightened relevance in times of austerity. </w:t>
      </w:r>
      <w:bookmarkEnd w:id="85"/>
      <w:r w:rsidRPr="00EB5AA5">
        <w:rPr>
          <w:rFonts w:ascii="Times New Roman"/>
          <w:noProof/>
        </w:rPr>
        <w:t>It is susceptible to error due to a lack of resources and expertise.</w:t>
      </w:r>
    </w:p>
    <w:bookmarkEnd w:id="86"/>
    <w:p w14:paraId="69BB4904" w14:textId="77777777" w:rsidR="004C479A" w:rsidRPr="00EB5AA5" w:rsidRDefault="004C479A" w:rsidP="008638AF">
      <w:pPr>
        <w:spacing w:line="360" w:lineRule="auto"/>
        <w:rPr>
          <w:rFonts w:ascii="Times New Roman"/>
          <w:noProof/>
        </w:rPr>
      </w:pPr>
      <w:r w:rsidRPr="00EB5AA5">
        <w:rPr>
          <w:rFonts w:ascii="Times New Roman"/>
          <w:noProof/>
        </w:rPr>
        <w:t>Work periods are part of a broader group of prior conditions—conditions that ought to be fulfilled before the benefit claim—that raise disharmonies by bringing legal orders into contact. While reasoning in terms of equivalence mostly yields satisfactory results, it would be simpler to avoid foreign law becoming relevant. Disharmonies can be prevented by removing their first cause: the consecutive application of several legal orders.</w:t>
      </w:r>
      <w:r w:rsidRPr="00EB5AA5">
        <w:rPr>
          <w:rStyle w:val="FootnoteReference"/>
          <w:rFonts w:ascii="Times New Roman"/>
          <w:noProof/>
        </w:rPr>
        <w:footnoteReference w:id="57"/>
      </w:r>
      <w:r w:rsidRPr="00EB5AA5">
        <w:rPr>
          <w:rFonts w:ascii="Times New Roman"/>
          <w:noProof/>
        </w:rPr>
        <w:t xml:space="preserve"> Ideally, conflict rules would not switch the applicable legislation every time a person crosses a border.</w:t>
      </w:r>
    </w:p>
    <w:p w14:paraId="50ED16DD" w14:textId="77777777" w:rsidR="004C479A" w:rsidRPr="00EB5AA5" w:rsidRDefault="004C479A" w:rsidP="008638AF">
      <w:pPr>
        <w:spacing w:line="360" w:lineRule="auto"/>
        <w:rPr>
          <w:rFonts w:ascii="Times New Roman"/>
          <w:noProof/>
        </w:rPr>
      </w:pPr>
      <w:r w:rsidRPr="00EB5AA5">
        <w:rPr>
          <w:rFonts w:ascii="Times New Roman"/>
          <w:noProof/>
        </w:rPr>
        <w:t xml:space="preserve">EU law has at best a mixed record in this respect. Most conflict rules of Regulation 883/2004 promptly respond to movement. Under the </w:t>
      </w:r>
      <w:r w:rsidRPr="00EB5AA5">
        <w:rPr>
          <w:rFonts w:ascii="Times New Roman"/>
          <w:i/>
          <w:noProof/>
        </w:rPr>
        <w:t>lex loci laboris</w:t>
      </w:r>
      <w:r w:rsidRPr="00EB5AA5">
        <w:rPr>
          <w:rFonts w:ascii="Times New Roman"/>
          <w:noProof/>
        </w:rPr>
        <w:t>, the day a person takes up work in another Member State is the day he or she becomes subject to its legislation.</w:t>
      </w:r>
      <w:r w:rsidRPr="00EB5AA5">
        <w:rPr>
          <w:rStyle w:val="FootnoteReference"/>
          <w:rFonts w:ascii="Times New Roman"/>
          <w:noProof/>
        </w:rPr>
        <w:footnoteReference w:id="58"/>
      </w:r>
      <w:r w:rsidRPr="00EB5AA5">
        <w:rPr>
          <w:rFonts w:ascii="Times New Roman"/>
          <w:noProof/>
        </w:rPr>
        <w:t xml:space="preserve"> </w:t>
      </w:r>
      <w:bookmarkStart w:id="87" w:name="_Hlk18840214"/>
      <w:r w:rsidRPr="00EB5AA5">
        <w:rPr>
          <w:rFonts w:ascii="Times New Roman"/>
          <w:noProof/>
        </w:rPr>
        <w:t>The EU legislator’s wish to curb the excesses of that rule by countering avoidable switches in the applicable legislation is evident from the posting rule.</w:t>
      </w:r>
      <w:r w:rsidRPr="00EB5AA5">
        <w:rPr>
          <w:rStyle w:val="FootnoteReference"/>
          <w:rFonts w:ascii="Times New Roman"/>
          <w:noProof/>
        </w:rPr>
        <w:footnoteReference w:id="59"/>
      </w:r>
      <w:r w:rsidRPr="00EB5AA5">
        <w:rPr>
          <w:rFonts w:ascii="Times New Roman"/>
          <w:noProof/>
        </w:rPr>
        <w:t xml:space="preserve"> </w:t>
      </w:r>
      <w:bookmarkEnd w:id="87"/>
      <w:r w:rsidRPr="00EB5AA5">
        <w:rPr>
          <w:rFonts w:ascii="Times New Roman"/>
          <w:noProof/>
        </w:rPr>
        <w:t>Without that rule, service providers performing a short stint abroad would be subject to the legislation of their State of establishment, before fleetingly transferring to the laws of the other State, and finally reverting to the first laws. Each switch could result in disharmonies if the prior conditions of one State relate to a time when its legislation was inapplicable. By anchoring such service providers to the social security system of their State of establishment even when they temporarily work abroad, the posting rule averts those disharmonies. Harmony thus contributes to justifying the posting rule.</w:t>
      </w:r>
    </w:p>
    <w:p w14:paraId="3292F227" w14:textId="77777777" w:rsidR="004C479A" w:rsidRPr="00EB5AA5" w:rsidRDefault="004C479A" w:rsidP="008638AF">
      <w:pPr>
        <w:pStyle w:val="Heading2"/>
        <w:numPr>
          <w:ilvl w:val="1"/>
          <w:numId w:val="16"/>
        </w:numPr>
        <w:spacing w:before="0" w:after="160" w:line="360" w:lineRule="auto"/>
        <w:rPr>
          <w:rFonts w:ascii="Times New Roman" w:hAnsi="Times New Roman" w:cs="Times New Roman"/>
          <w:noProof/>
          <w:color w:val="auto"/>
        </w:rPr>
      </w:pPr>
      <w:bookmarkStart w:id="88" w:name="_Toc9341400"/>
      <w:bookmarkStart w:id="89" w:name="_Hlk531956727"/>
      <w:r w:rsidRPr="00EB5AA5">
        <w:rPr>
          <w:rFonts w:ascii="Times New Roman" w:hAnsi="Times New Roman" w:cs="Times New Roman"/>
          <w:noProof/>
          <w:color w:val="auto"/>
        </w:rPr>
        <w:t>Absence</w:t>
      </w:r>
      <w:bookmarkEnd w:id="88"/>
    </w:p>
    <w:p w14:paraId="4A60A227" w14:textId="77777777" w:rsidR="004C479A" w:rsidRPr="00EB5AA5" w:rsidRDefault="004C479A" w:rsidP="008638AF">
      <w:pPr>
        <w:spacing w:line="360" w:lineRule="auto"/>
        <w:rPr>
          <w:rFonts w:ascii="Times New Roman"/>
          <w:noProof/>
        </w:rPr>
      </w:pPr>
      <w:bookmarkStart w:id="90" w:name="_Hlk18840050"/>
      <w:bookmarkEnd w:id="89"/>
      <w:r w:rsidRPr="00EB5AA5">
        <w:rPr>
          <w:rFonts w:ascii="Times New Roman"/>
          <w:noProof/>
        </w:rPr>
        <w:t xml:space="preserve">The </w:t>
      </w:r>
      <w:r w:rsidRPr="00EB5AA5">
        <w:rPr>
          <w:rFonts w:ascii="Times New Roman"/>
          <w:i/>
          <w:noProof/>
        </w:rPr>
        <w:t>Naruschawicus</w:t>
      </w:r>
      <w:r w:rsidRPr="00EB5AA5">
        <w:rPr>
          <w:rFonts w:ascii="Times New Roman"/>
          <w:noProof/>
        </w:rPr>
        <w:t xml:space="preserve"> case illustrates that harmony is also diminished when a person is abroad.</w:t>
      </w:r>
      <w:r w:rsidRPr="00EB5AA5">
        <w:rPr>
          <w:rStyle w:val="FootnoteReference"/>
          <w:rFonts w:ascii="Times New Roman"/>
          <w:noProof/>
        </w:rPr>
        <w:footnoteReference w:id="60"/>
      </w:r>
      <w:r w:rsidRPr="00EB5AA5">
        <w:rPr>
          <w:rFonts w:ascii="Times New Roman"/>
          <w:noProof/>
        </w:rPr>
        <w:t xml:space="preserve"> </w:t>
      </w:r>
      <w:bookmarkEnd w:id="90"/>
      <w:r w:rsidRPr="00EB5AA5">
        <w:rPr>
          <w:rFonts w:ascii="Times New Roman"/>
          <w:noProof/>
        </w:rPr>
        <w:t xml:space="preserve">The predecessor of Regulation 883/2004 allowed some jobseekers to claim the unemployment benefits of </w:t>
      </w:r>
      <w:r w:rsidRPr="00EB5AA5">
        <w:rPr>
          <w:rFonts w:ascii="Times New Roman"/>
          <w:noProof/>
        </w:rPr>
        <w:lastRenderedPageBreak/>
        <w:t>a State in which they did not reside.</w:t>
      </w:r>
      <w:r w:rsidRPr="00EB5AA5">
        <w:rPr>
          <w:rStyle w:val="FootnoteReference"/>
          <w:rFonts w:ascii="Times New Roman"/>
          <w:noProof/>
        </w:rPr>
        <w:footnoteReference w:id="61"/>
      </w:r>
      <w:r w:rsidRPr="00EB5AA5">
        <w:rPr>
          <w:rFonts w:ascii="Times New Roman"/>
          <w:noProof/>
        </w:rPr>
        <w:t xml:space="preserve"> The Belgian institutions had to decide whether to grant unemployment benefits to Ms Naruschawicus, whom they considered not to be available to the Belgian labour market because she resided in Germany.</w:t>
      </w:r>
      <w:r w:rsidRPr="00EB5AA5">
        <w:rPr>
          <w:rStyle w:val="FootnoteReference"/>
          <w:rFonts w:ascii="Times New Roman"/>
          <w:noProof/>
        </w:rPr>
        <w:footnoteReference w:id="62"/>
      </w:r>
      <w:r w:rsidRPr="00EB5AA5">
        <w:rPr>
          <w:rFonts w:ascii="Times New Roman"/>
          <w:noProof/>
        </w:rPr>
        <w:t xml:space="preserve"> Essentially, they could (i) waive or relax their jobseeking requirement; (ii) equate jobseeking in Germany to jobseeking in Belgium under certain conditions; or (iii) insist on full availability to the Belgian labour market.</w:t>
      </w:r>
      <w:r w:rsidRPr="00EB5AA5">
        <w:rPr>
          <w:rStyle w:val="FootnoteReference"/>
          <w:rFonts w:ascii="Times New Roman"/>
          <w:noProof/>
        </w:rPr>
        <w:footnoteReference w:id="63"/>
      </w:r>
    </w:p>
    <w:p w14:paraId="78397FCA" w14:textId="77777777" w:rsidR="004C479A" w:rsidRPr="00EB5AA5" w:rsidRDefault="004C479A" w:rsidP="008638AF">
      <w:pPr>
        <w:spacing w:line="360" w:lineRule="auto"/>
        <w:rPr>
          <w:rFonts w:ascii="Times New Roman"/>
          <w:noProof/>
        </w:rPr>
      </w:pPr>
      <w:r w:rsidRPr="00EB5AA5">
        <w:rPr>
          <w:rFonts w:ascii="Times New Roman"/>
          <w:noProof/>
        </w:rPr>
        <w:t xml:space="preserve">None of the options are entirely satisfactory. A waiver or relaxation would lead Belgium to grant unemployment benefits to persons who do not seek work—demonstrably, sufficiently, or at all. It would undermine unemployment schemes and treat migrants more favourably than sedentary persons. </w:t>
      </w:r>
      <w:bookmarkStart w:id="92" w:name="_Hlk536090377"/>
      <w:bookmarkStart w:id="93" w:name="_Hlk7281753"/>
      <w:r w:rsidRPr="00EB5AA5">
        <w:rPr>
          <w:rFonts w:ascii="Times New Roman"/>
          <w:noProof/>
        </w:rPr>
        <w:t xml:space="preserve">In order to take into account jobseeking abroad, Belgium would have </w:t>
      </w:r>
      <w:bookmarkEnd w:id="92"/>
      <w:r w:rsidRPr="00EB5AA5">
        <w:rPr>
          <w:rFonts w:ascii="Times New Roman"/>
          <w:noProof/>
        </w:rPr>
        <w:t>to regularly send inspectors to the place of residence of the claimant, which is impracticable; or to trust foreign employment services to monitor jobseeking efforts, which is implausible.</w:t>
      </w:r>
      <w:r w:rsidRPr="00EB5AA5">
        <w:rPr>
          <w:rStyle w:val="FootnoteReference"/>
          <w:rFonts w:ascii="Times New Roman"/>
          <w:noProof/>
        </w:rPr>
        <w:footnoteReference w:id="64"/>
      </w:r>
      <w:r w:rsidRPr="00EB5AA5">
        <w:rPr>
          <w:rFonts w:ascii="Times New Roman"/>
          <w:noProof/>
        </w:rPr>
        <w:t xml:space="preserve"> </w:t>
      </w:r>
      <w:bookmarkStart w:id="94" w:name="_Hlk531874391"/>
      <w:bookmarkEnd w:id="93"/>
      <w:r w:rsidRPr="00EB5AA5">
        <w:rPr>
          <w:rFonts w:ascii="Times New Roman"/>
          <w:noProof/>
        </w:rPr>
        <w:t>The final option—to ignore jobseeking efforts abroad—</w:t>
      </w:r>
      <w:bookmarkEnd w:id="94"/>
      <w:r w:rsidRPr="00EB5AA5">
        <w:rPr>
          <w:rFonts w:ascii="Times New Roman"/>
          <w:noProof/>
        </w:rPr>
        <w:t>would at best inconvenience unemployed persons, who might have to travel far and often, and at worst strip them of benefits, even though they worked in Belgium and contributed to the Belgian unemployment schemes.</w:t>
      </w:r>
    </w:p>
    <w:p w14:paraId="50E86F7A" w14:textId="77777777" w:rsidR="004C479A" w:rsidRPr="00EB5AA5" w:rsidRDefault="004C479A" w:rsidP="008638AF">
      <w:pPr>
        <w:spacing w:line="360" w:lineRule="auto"/>
        <w:rPr>
          <w:rFonts w:ascii="Times New Roman"/>
          <w:noProof/>
        </w:rPr>
      </w:pPr>
      <w:r w:rsidRPr="00EB5AA5">
        <w:rPr>
          <w:rFonts w:ascii="Times New Roman"/>
          <w:noProof/>
        </w:rPr>
        <w:t xml:space="preserve">No such hard choices would need to be made had Ms Naruschawicus received German benefits or resided in Belgium. The difficulties arose because she was outside the State responsible for her benefits. </w:t>
      </w:r>
    </w:p>
    <w:p w14:paraId="00098858" w14:textId="77777777" w:rsidR="004C479A" w:rsidRPr="00EB5AA5" w:rsidRDefault="004C479A" w:rsidP="008638AF">
      <w:pPr>
        <w:spacing w:line="360" w:lineRule="auto"/>
        <w:rPr>
          <w:rFonts w:ascii="Times New Roman"/>
          <w:noProof/>
        </w:rPr>
      </w:pPr>
      <w:r w:rsidRPr="00EB5AA5">
        <w:rPr>
          <w:rFonts w:ascii="Times New Roman"/>
          <w:noProof/>
        </w:rPr>
        <w:t xml:space="preserve">This type of disharmony is liable to arise whenever a State must verify whether a person who is abroad complies with contemporaneous conditions. What requirements ought to be fulfilled during the payment of the benefit? Eligibility always depends on the existence of the social risk: if unemployment, ill health or poverty come to an end, so will related benefits. Other factors that influence entitlements, such as the claimant’s family situation, also need periodic verification. Benefits are increasingly activated, in that the beneficiary has obligations to act during the payment of the benefit. </w:t>
      </w:r>
      <w:bookmarkStart w:id="95" w:name="_Hlk17293057"/>
      <w:r w:rsidRPr="00EB5AA5">
        <w:rPr>
          <w:rFonts w:ascii="Times New Roman"/>
          <w:noProof/>
        </w:rPr>
        <w:t xml:space="preserve">Jobseekers and persons with disabilities in particular are expected to participate in programmes facilitating their return to the labour market. </w:t>
      </w:r>
      <w:bookmarkEnd w:id="95"/>
      <w:r w:rsidRPr="00EB5AA5">
        <w:rPr>
          <w:rFonts w:ascii="Times New Roman"/>
          <w:noProof/>
        </w:rPr>
        <w:t xml:space="preserve">Each contemporaneous condition has the potential of generating a disharmony when the claimant is abroad. </w:t>
      </w:r>
      <w:bookmarkStart w:id="96" w:name="_Hlk7281874"/>
      <w:r w:rsidRPr="00EB5AA5">
        <w:rPr>
          <w:rFonts w:ascii="Times New Roman"/>
          <w:noProof/>
        </w:rPr>
        <w:t xml:space="preserve">Such requirements represent a significant challenge, </w:t>
      </w:r>
      <w:bookmarkStart w:id="97" w:name="_Hlk9437443"/>
      <w:r w:rsidRPr="00EB5AA5">
        <w:rPr>
          <w:rFonts w:ascii="Times New Roman"/>
          <w:noProof/>
        </w:rPr>
        <w:t>because of their prevalence in domestic welfare law</w:t>
      </w:r>
      <w:r w:rsidRPr="00EB5AA5">
        <w:rPr>
          <w:rStyle w:val="FootnoteReference"/>
          <w:rFonts w:ascii="Times New Roman"/>
          <w:noProof/>
        </w:rPr>
        <w:footnoteReference w:id="65"/>
      </w:r>
      <w:bookmarkEnd w:id="97"/>
      <w:r w:rsidRPr="00EB5AA5">
        <w:rPr>
          <w:rFonts w:ascii="Times New Roman"/>
          <w:noProof/>
        </w:rPr>
        <w:t xml:space="preserve"> in combination with the State’s duties to export benefits and to take into account foreign facts.</w:t>
      </w:r>
      <w:r w:rsidRPr="00EB5AA5">
        <w:rPr>
          <w:rStyle w:val="FootnoteReference"/>
          <w:rFonts w:ascii="Times New Roman"/>
          <w:noProof/>
        </w:rPr>
        <w:footnoteReference w:id="66"/>
      </w:r>
    </w:p>
    <w:bookmarkEnd w:id="96"/>
    <w:p w14:paraId="08C05676" w14:textId="77777777" w:rsidR="004C479A" w:rsidRPr="00EB5AA5" w:rsidRDefault="004C479A" w:rsidP="008638AF">
      <w:pPr>
        <w:spacing w:line="360" w:lineRule="auto"/>
        <w:rPr>
          <w:rFonts w:ascii="Times New Roman"/>
          <w:noProof/>
        </w:rPr>
      </w:pPr>
      <w:r w:rsidRPr="00EB5AA5">
        <w:rPr>
          <w:rFonts w:ascii="Times New Roman"/>
          <w:noProof/>
        </w:rPr>
        <w:lastRenderedPageBreak/>
        <w:t xml:space="preserve">To prevent this disharmony, people are best governed by the legislation of the State where they are at any given time. The two main conflict rules of Regulation 883/2004 largely, if incompletely, conform to this ideal. The </w:t>
      </w:r>
      <w:r w:rsidRPr="00EB5AA5">
        <w:rPr>
          <w:rFonts w:ascii="Times New Roman"/>
          <w:i/>
          <w:noProof/>
        </w:rPr>
        <w:t>lex loci laboris</w:t>
      </w:r>
      <w:r w:rsidRPr="00EB5AA5">
        <w:rPr>
          <w:rFonts w:ascii="Times New Roman"/>
          <w:noProof/>
        </w:rPr>
        <w:t xml:space="preserve"> subjects workers to the legislation of the State where they currently work (even though they may reside elsewhere); the </w:t>
      </w:r>
      <w:r w:rsidRPr="00EB5AA5">
        <w:rPr>
          <w:rFonts w:ascii="Times New Roman"/>
          <w:i/>
          <w:noProof/>
        </w:rPr>
        <w:t>lex loci domicilii</w:t>
      </w:r>
      <w:r w:rsidRPr="00EB5AA5">
        <w:rPr>
          <w:rFonts w:ascii="Times New Roman"/>
          <w:noProof/>
        </w:rPr>
        <w:t xml:space="preserve"> subjects economically inactive persons to the laws of the State where they habitually reside (even though they may stay elsewhere). Neither rule subjects all persons to the laws of the State where they are on a particular day.</w:t>
      </w:r>
    </w:p>
    <w:p w14:paraId="55C1B313" w14:textId="77777777" w:rsidR="004C479A" w:rsidRPr="00EB5AA5" w:rsidRDefault="004C479A" w:rsidP="008638AF">
      <w:pPr>
        <w:pStyle w:val="Heading2"/>
        <w:numPr>
          <w:ilvl w:val="1"/>
          <w:numId w:val="16"/>
        </w:numPr>
        <w:spacing w:before="0" w:after="160" w:line="360" w:lineRule="auto"/>
        <w:rPr>
          <w:rFonts w:ascii="Times New Roman" w:hAnsi="Times New Roman" w:cs="Times New Roman"/>
          <w:noProof/>
          <w:color w:val="auto"/>
        </w:rPr>
      </w:pPr>
      <w:bookmarkStart w:id="98" w:name="_Toc9341401"/>
      <w:bookmarkStart w:id="99" w:name="_Hlk531956718"/>
      <w:r w:rsidRPr="00EB5AA5">
        <w:rPr>
          <w:rFonts w:ascii="Times New Roman" w:hAnsi="Times New Roman" w:cs="Times New Roman"/>
          <w:noProof/>
          <w:color w:val="auto"/>
        </w:rPr>
        <w:t>Simultaneous application</w:t>
      </w:r>
      <w:bookmarkEnd w:id="98"/>
    </w:p>
    <w:bookmarkEnd w:id="99"/>
    <w:p w14:paraId="02FFCEF8" w14:textId="77777777" w:rsidR="004C479A" w:rsidRPr="00EB5AA5" w:rsidRDefault="004C479A" w:rsidP="008638AF">
      <w:pPr>
        <w:spacing w:line="360" w:lineRule="auto"/>
        <w:rPr>
          <w:rFonts w:ascii="Times New Roman"/>
          <w:noProof/>
        </w:rPr>
      </w:pPr>
      <w:r w:rsidRPr="00EB5AA5">
        <w:rPr>
          <w:rFonts w:ascii="Times New Roman"/>
          <w:noProof/>
        </w:rPr>
        <w:t>Finally, harmony is dented where more than one legal order applies simultaneously. Imagine that the responsibility to pay unemployment benefits is split between the two States where a jobseeker has worked. What formula would be used to calculate an appropriate amount? In a different context, Advocate General Warner argued that “what […] constitutes ‘unjustifiable’ duplication of benefits is a matter of opinion. There is no objective standard by which it can be judged”.</w:t>
      </w:r>
      <w:r w:rsidRPr="00EB5AA5">
        <w:rPr>
          <w:rStyle w:val="FootnoteReference"/>
          <w:rFonts w:ascii="Times New Roman"/>
          <w:noProof/>
        </w:rPr>
        <w:footnoteReference w:id="67"/>
      </w:r>
      <w:r w:rsidRPr="00EB5AA5">
        <w:rPr>
          <w:rFonts w:ascii="Times New Roman"/>
          <w:noProof/>
        </w:rPr>
        <w:t xml:space="preserve"> Would the beneficiary have to seek work in both States? Alternatively, would one State have to take into account jobseeking efforts abroad, and, if so, which? What if one State obliges jobseekers to take part in work placements, which the other considers to end the unemployment and the benefits?</w:t>
      </w:r>
    </w:p>
    <w:p w14:paraId="2AB3B30C" w14:textId="77777777" w:rsidR="004C479A" w:rsidRPr="00EB5AA5" w:rsidRDefault="004C479A" w:rsidP="008638AF">
      <w:pPr>
        <w:spacing w:line="360" w:lineRule="auto"/>
        <w:rPr>
          <w:rFonts w:ascii="Times New Roman"/>
          <w:noProof/>
        </w:rPr>
      </w:pPr>
      <w:bookmarkStart w:id="100" w:name="_Hlk4575743"/>
      <w:r w:rsidRPr="00EB5AA5">
        <w:rPr>
          <w:rFonts w:ascii="Times New Roman"/>
          <w:noProof/>
        </w:rPr>
        <w:t>While sophisticated answers to these questions are conceivable,</w:t>
      </w:r>
      <w:r w:rsidRPr="00EB5AA5">
        <w:rPr>
          <w:rStyle w:val="FootnoteReference"/>
          <w:rFonts w:ascii="Times New Roman"/>
          <w:noProof/>
        </w:rPr>
        <w:footnoteReference w:id="68"/>
      </w:r>
      <w:r w:rsidRPr="00EB5AA5">
        <w:rPr>
          <w:rFonts w:ascii="Times New Roman"/>
          <w:noProof/>
        </w:rPr>
        <w:t xml:space="preserve"> the path of least resistance surely is to avoid the simultaneous application of several legal orders. Regulation 883/2004 and ECJ case law suggest that this lesson has been partly learned. Contributions are never due in more than one State at any given point in time.</w:t>
      </w:r>
      <w:r w:rsidRPr="00EB5AA5">
        <w:rPr>
          <w:rStyle w:val="FootnoteReference"/>
          <w:rFonts w:ascii="Times New Roman"/>
          <w:noProof/>
        </w:rPr>
        <w:footnoteReference w:id="69"/>
      </w:r>
      <w:r w:rsidRPr="00EB5AA5">
        <w:rPr>
          <w:rFonts w:ascii="Times New Roman"/>
          <w:noProof/>
        </w:rPr>
        <w:t xml:space="preserve"> </w:t>
      </w:r>
      <w:bookmarkStart w:id="101" w:name="_Hlk5476516"/>
      <w:r w:rsidRPr="00EB5AA5">
        <w:rPr>
          <w:rFonts w:ascii="Times New Roman"/>
          <w:noProof/>
        </w:rPr>
        <w:t>Benefits are sometimes divided between States, but not without reason.</w:t>
      </w:r>
      <w:r w:rsidRPr="00EB5AA5">
        <w:rPr>
          <w:rStyle w:val="FootnoteReference"/>
          <w:rFonts w:ascii="Times New Roman"/>
          <w:noProof/>
        </w:rPr>
        <w:footnoteReference w:id="70"/>
      </w:r>
      <w:r w:rsidRPr="00EB5AA5">
        <w:rPr>
          <w:rFonts w:ascii="Times New Roman"/>
          <w:noProof/>
        </w:rPr>
        <w:t xml:space="preserve"> </w:t>
      </w:r>
      <w:bookmarkStart w:id="102" w:name="_Hlk17293827"/>
      <w:bookmarkEnd w:id="101"/>
      <w:r w:rsidRPr="00EB5AA5">
        <w:rPr>
          <w:rFonts w:ascii="Times New Roman"/>
          <w:noProof/>
        </w:rPr>
        <w:t>One purpose of the regulation’s conflict rules is “to prevent the simultaneous application of a number of national legislative systems and the complications which might ensue”.</w:t>
      </w:r>
      <w:r w:rsidRPr="00EB5AA5">
        <w:rPr>
          <w:rStyle w:val="FootnoteReference"/>
          <w:rFonts w:ascii="Times New Roman" w:eastAsiaTheme="minorHAnsi"/>
          <w:noProof/>
        </w:rPr>
        <w:footnoteReference w:id="71"/>
      </w:r>
      <w:r w:rsidRPr="00EB5AA5">
        <w:rPr>
          <w:rFonts w:ascii="Times New Roman"/>
          <w:noProof/>
        </w:rPr>
        <w:t xml:space="preserve"> </w:t>
      </w:r>
      <w:bookmarkEnd w:id="100"/>
      <w:bookmarkEnd w:id="102"/>
      <w:r w:rsidRPr="00EB5AA5">
        <w:rPr>
          <w:rFonts w:ascii="Times New Roman"/>
          <w:noProof/>
        </w:rPr>
        <w:t>This judicial mantra is paraphrased in the fifteenth recital of the preamble to Regulation 883/2004, and elevated to the principle that “[p]ersons to whom this Regulation applies shall be subject to the legislation of a single Member State only.”</w:t>
      </w:r>
      <w:r w:rsidRPr="00EB5AA5">
        <w:rPr>
          <w:rStyle w:val="FootnoteReference"/>
          <w:rFonts w:ascii="Times New Roman"/>
          <w:noProof/>
        </w:rPr>
        <w:footnoteReference w:id="72"/>
      </w:r>
    </w:p>
    <w:p w14:paraId="4AE89A9E" w14:textId="77777777" w:rsidR="004C479A" w:rsidRPr="00EB5AA5" w:rsidRDefault="004C479A" w:rsidP="008638AF">
      <w:pPr>
        <w:pStyle w:val="Heading2"/>
        <w:numPr>
          <w:ilvl w:val="1"/>
          <w:numId w:val="16"/>
        </w:numPr>
        <w:spacing w:before="0" w:after="160" w:line="360" w:lineRule="auto"/>
        <w:rPr>
          <w:rFonts w:ascii="Times New Roman" w:hAnsi="Times New Roman" w:cs="Times New Roman"/>
          <w:noProof/>
          <w:color w:val="auto"/>
        </w:rPr>
      </w:pPr>
      <w:bookmarkStart w:id="104" w:name="_Toc9341402"/>
      <w:r w:rsidRPr="00EB5AA5">
        <w:rPr>
          <w:rFonts w:ascii="Times New Roman" w:hAnsi="Times New Roman" w:cs="Times New Roman"/>
          <w:noProof/>
          <w:color w:val="auto"/>
        </w:rPr>
        <w:t>The unity and spatial limits of the legal order</w:t>
      </w:r>
      <w:bookmarkEnd w:id="104"/>
    </w:p>
    <w:p w14:paraId="58808646" w14:textId="77777777" w:rsidR="004C479A" w:rsidRPr="00EB5AA5" w:rsidRDefault="004C479A" w:rsidP="008638AF">
      <w:pPr>
        <w:spacing w:line="360" w:lineRule="auto"/>
        <w:rPr>
          <w:rFonts w:ascii="Times New Roman"/>
          <w:noProof/>
        </w:rPr>
      </w:pPr>
      <w:r w:rsidRPr="00EB5AA5">
        <w:rPr>
          <w:rFonts w:ascii="Times New Roman"/>
          <w:noProof/>
        </w:rPr>
        <w:t xml:space="preserve">Having illustrated the difficulties that arise when several legal orders bear on a single case, flesh can now be added to the bones of harmony by borrowing and adapting insights from private international </w:t>
      </w:r>
      <w:r w:rsidRPr="00EB5AA5">
        <w:rPr>
          <w:rFonts w:ascii="Times New Roman"/>
          <w:noProof/>
        </w:rPr>
        <w:lastRenderedPageBreak/>
        <w:t>law. A legal order is conceived as a self-contained unity.</w:t>
      </w:r>
      <w:r w:rsidRPr="00EB5AA5">
        <w:rPr>
          <w:rStyle w:val="FootnoteReference"/>
          <w:rFonts w:ascii="Times New Roman"/>
          <w:noProof/>
        </w:rPr>
        <w:footnoteReference w:id="73"/>
      </w:r>
      <w:r w:rsidRPr="00EB5AA5">
        <w:rPr>
          <w:rFonts w:ascii="Times New Roman"/>
          <w:noProof/>
        </w:rPr>
        <w:t xml:space="preserve"> </w:t>
      </w:r>
      <w:bookmarkStart w:id="105" w:name="_Hlk5222419"/>
      <w:r w:rsidRPr="00EB5AA5">
        <w:rPr>
          <w:rFonts w:ascii="Times New Roman"/>
          <w:noProof/>
        </w:rPr>
        <w:t>A State regulates interconnected questions in a coherent manner</w:t>
      </w:r>
      <w:bookmarkEnd w:id="105"/>
      <w:r w:rsidRPr="00EB5AA5">
        <w:rPr>
          <w:rFonts w:ascii="Times New Roman"/>
          <w:noProof/>
        </w:rPr>
        <w:t>:</w:t>
      </w:r>
      <w:r w:rsidRPr="00EB5AA5">
        <w:rPr>
          <w:rStyle w:val="FootnoteReference"/>
          <w:rFonts w:ascii="Times New Roman"/>
          <w:noProof/>
        </w:rPr>
        <w:footnoteReference w:id="74"/>
      </w:r>
      <w:r w:rsidRPr="00EB5AA5">
        <w:rPr>
          <w:rFonts w:ascii="Times New Roman"/>
          <w:noProof/>
        </w:rPr>
        <w:t xml:space="preserve"> the solution selected in one domain is conditioned by the choices made in another. Germany for instance grants an early retirement pension to those who have participated in a German part-time work scheme for older employees. The German legislator coordinates its social security law with its labour law. </w:t>
      </w:r>
      <w:bookmarkStart w:id="106" w:name="_Hlk5222256"/>
      <w:r w:rsidRPr="00EB5AA5">
        <w:rPr>
          <w:rFonts w:ascii="Times New Roman"/>
          <w:noProof/>
        </w:rPr>
        <w:t>German rules are well adapted to one another</w:t>
      </w:r>
      <w:bookmarkEnd w:id="106"/>
      <w:r w:rsidRPr="00EB5AA5">
        <w:rPr>
          <w:rFonts w:ascii="Times New Roman"/>
          <w:noProof/>
        </w:rPr>
        <w:t>.</w:t>
      </w:r>
      <w:r w:rsidRPr="00EB5AA5">
        <w:rPr>
          <w:rStyle w:val="FootnoteReference"/>
          <w:rFonts w:ascii="Times New Roman"/>
          <w:noProof/>
        </w:rPr>
        <w:footnoteReference w:id="75"/>
      </w:r>
      <w:r w:rsidRPr="00EB5AA5">
        <w:rPr>
          <w:rFonts w:ascii="Times New Roman"/>
          <w:noProof/>
        </w:rPr>
        <w:t xml:space="preserve"> Consequently, the application of law is harmonious, as long as all the relevant law belongs to the same legal order.</w:t>
      </w:r>
      <w:r w:rsidRPr="00EB5AA5">
        <w:rPr>
          <w:rStyle w:val="FootnoteReference"/>
          <w:rFonts w:ascii="Times New Roman"/>
          <w:noProof/>
        </w:rPr>
        <w:footnoteReference w:id="76"/>
      </w:r>
      <w:r w:rsidRPr="00EB5AA5">
        <w:rPr>
          <w:rFonts w:ascii="Times New Roman"/>
          <w:noProof/>
        </w:rPr>
        <w:t xml:space="preserve"> </w:t>
      </w:r>
    </w:p>
    <w:p w14:paraId="55AC1454" w14:textId="77777777" w:rsidR="004C479A" w:rsidRPr="00EB5AA5" w:rsidRDefault="004C479A" w:rsidP="008638AF">
      <w:pPr>
        <w:spacing w:line="360" w:lineRule="auto"/>
        <w:rPr>
          <w:rFonts w:ascii="Times New Roman"/>
          <w:noProof/>
        </w:rPr>
      </w:pPr>
      <w:r w:rsidRPr="00EB5AA5">
        <w:rPr>
          <w:rFonts w:ascii="Times New Roman"/>
          <w:noProof/>
        </w:rPr>
        <w:t>Cases with meaningful ties to several States, however, may engage their rules, perturbing the unity of each legal order:</w:t>
      </w:r>
    </w:p>
    <w:p w14:paraId="4594BFBE" w14:textId="77777777" w:rsidR="004C479A" w:rsidRPr="00EB5AA5" w:rsidRDefault="004C479A" w:rsidP="008638AF">
      <w:pPr>
        <w:spacing w:line="360" w:lineRule="auto"/>
        <w:ind w:left="720"/>
        <w:rPr>
          <w:rFonts w:ascii="Times New Roman"/>
          <w:noProof/>
        </w:rPr>
      </w:pPr>
      <w:r w:rsidRPr="00EB5AA5">
        <w:rPr>
          <w:rFonts w:ascii="Times New Roman"/>
          <w:noProof/>
        </w:rPr>
        <w:t>“Le litige international met en mouvement à la fois des règles nationales et des règles de droit étranger. Or si l’application simultanée et l’enchaînement d’une multitude de règles juridiques aboutissent à une solution satisfaisante et harmonieuse en droit interne, il n’est plus ainsi dès que l’on unit les règles internes aux règles de provenance étrangère”.</w:t>
      </w:r>
      <w:bookmarkStart w:id="107" w:name="_Ref18858122"/>
      <w:r w:rsidRPr="00EB5AA5">
        <w:rPr>
          <w:rStyle w:val="FootnoteReference"/>
          <w:rFonts w:ascii="Times New Roman"/>
          <w:noProof/>
        </w:rPr>
        <w:footnoteReference w:id="77"/>
      </w:r>
      <w:bookmarkEnd w:id="107"/>
    </w:p>
    <w:p w14:paraId="768CC512" w14:textId="77777777" w:rsidR="004C479A" w:rsidRPr="00EB5AA5" w:rsidRDefault="004C479A" w:rsidP="008638AF">
      <w:pPr>
        <w:spacing w:line="360" w:lineRule="auto"/>
        <w:rPr>
          <w:rFonts w:ascii="Times New Roman"/>
          <w:noProof/>
        </w:rPr>
      </w:pPr>
      <w:r w:rsidRPr="00EB5AA5">
        <w:rPr>
          <w:rFonts w:ascii="Times New Roman"/>
          <w:noProof/>
        </w:rPr>
        <w:t>After a career spanning Germany and Austria, Mr Larcher claimed a German early retirement pension, having taken part in an Austrian part-time work scheme for older employees. How well do German social security law and Austrian labour law combine?</w:t>
      </w:r>
    </w:p>
    <w:p w14:paraId="117136B5" w14:textId="77777777" w:rsidR="004C479A" w:rsidRPr="00EB5AA5" w:rsidRDefault="004C479A" w:rsidP="008638AF">
      <w:pPr>
        <w:spacing w:line="360" w:lineRule="auto"/>
        <w:rPr>
          <w:rFonts w:ascii="Times New Roman"/>
          <w:noProof/>
        </w:rPr>
      </w:pPr>
      <w:r w:rsidRPr="00EB5AA5">
        <w:rPr>
          <w:rFonts w:ascii="Times New Roman"/>
          <w:noProof/>
        </w:rPr>
        <w:t xml:space="preserve">The problem is exacerbated by the fact that almost all welfare law is created in and for a purely domestic context. </w:t>
      </w:r>
      <w:bookmarkStart w:id="108" w:name="_Hlk4581393"/>
      <w:bookmarkStart w:id="109" w:name="_Hlk5135329"/>
      <w:r w:rsidRPr="00EB5AA5">
        <w:rPr>
          <w:rFonts w:ascii="Times New Roman"/>
          <w:noProof/>
        </w:rPr>
        <w:t>Disharmonies are often unforeseeable, given that they result from the encounter of domestic and foreign law.</w:t>
      </w:r>
      <w:r w:rsidRPr="00EB5AA5">
        <w:rPr>
          <w:rStyle w:val="FootnoteReference"/>
          <w:rFonts w:ascii="Times New Roman"/>
          <w:noProof/>
        </w:rPr>
        <w:footnoteReference w:id="78"/>
      </w:r>
      <w:bookmarkEnd w:id="108"/>
      <w:bookmarkEnd w:id="109"/>
      <w:r w:rsidRPr="00EB5AA5">
        <w:rPr>
          <w:rFonts w:ascii="Times New Roman"/>
          <w:noProof/>
        </w:rPr>
        <w:t xml:space="preserve"> Even a zealous and enlightened rule-maker bent on regulating with one eye on transnational cases would struggle to predict let alone satisfactorily resolve more than a fraction of the disharmonies that can arise. German social security law can be combined with the labour law of any country. I would therefore argue that disharmonies are caused by intrinsic features of legal orders—their spatial scope is bounded, and they are conceived as a cohesive whole by rule-makers with limited capacities.</w:t>
      </w:r>
    </w:p>
    <w:p w14:paraId="3F4C7846" w14:textId="77777777" w:rsidR="004C479A" w:rsidRPr="00EB5AA5" w:rsidRDefault="004C479A" w:rsidP="008638AF">
      <w:pPr>
        <w:spacing w:line="360" w:lineRule="auto"/>
        <w:rPr>
          <w:rFonts w:ascii="Times New Roman"/>
          <w:noProof/>
        </w:rPr>
      </w:pPr>
      <w:r w:rsidRPr="00EB5AA5">
        <w:rPr>
          <w:rFonts w:ascii="Times New Roman"/>
          <w:noProof/>
        </w:rPr>
        <w:lastRenderedPageBreak/>
        <w:t xml:space="preserve">The most structural and effective way to maintain harmony is to preclude more than one legal order from being relevant. Prevention may or may not be better than cure, it certainly is easier. </w:t>
      </w:r>
      <w:bookmarkStart w:id="110" w:name="_Hlk7282038"/>
      <w:r w:rsidRPr="00EB5AA5">
        <w:rPr>
          <w:rFonts w:ascii="Times New Roman"/>
          <w:noProof/>
        </w:rPr>
        <w:t xml:space="preserve">The EU’s (half-conscious) commitment to harmony is apparent from its efforts to base the applicable legislation on presence and to avoid the consecutive or simultaneous application of several legal orders. </w:t>
      </w:r>
      <w:bookmarkEnd w:id="110"/>
      <w:r w:rsidRPr="00EB5AA5">
        <w:rPr>
          <w:rFonts w:ascii="Times New Roman"/>
          <w:noProof/>
        </w:rPr>
        <w:t>Disharmonies, however, cannot be rooted out entirely, and, as we shall see, attempts to maximize harmony undermine competing values, in particular continuous social protection and the integration–protection nexus (Sections 5 and 6).</w:t>
      </w:r>
    </w:p>
    <w:p w14:paraId="73AEE9F2" w14:textId="77777777" w:rsidR="004C479A" w:rsidRPr="00EB5AA5" w:rsidRDefault="004C479A" w:rsidP="008638AF">
      <w:pPr>
        <w:spacing w:line="360" w:lineRule="auto"/>
        <w:rPr>
          <w:rFonts w:ascii="Times New Roman"/>
          <w:noProof/>
        </w:rPr>
      </w:pPr>
      <w:bookmarkStart w:id="111" w:name="_Hlk4581187"/>
      <w:r w:rsidRPr="00EB5AA5">
        <w:rPr>
          <w:rFonts w:ascii="Times New Roman"/>
          <w:noProof/>
        </w:rPr>
        <w:t xml:space="preserve">Disharmonies throw up thorny issues. </w:t>
      </w:r>
      <w:bookmarkEnd w:id="111"/>
      <w:r w:rsidRPr="00EB5AA5">
        <w:rPr>
          <w:rFonts w:ascii="Times New Roman"/>
          <w:noProof/>
        </w:rPr>
        <w:t>Much as it might be tempting for administrations to disregard foreign law, in so doing they risk contravening EU law and distorting the outcome of a case.</w:t>
      </w:r>
      <w:r w:rsidRPr="00EB5AA5">
        <w:rPr>
          <w:rFonts w:ascii="Times New Roman"/>
          <w:noProof/>
          <w:vertAlign w:val="superscript"/>
        </w:rPr>
        <w:footnoteReference w:id="79"/>
      </w:r>
      <w:r w:rsidRPr="00EB5AA5">
        <w:rPr>
          <w:rFonts w:ascii="Times New Roman"/>
          <w:noProof/>
        </w:rPr>
        <w:t xml:space="preserve"> Citizens might receive too little or too much, or contribute too little or too much. Disharmonies that are not or poorly dealt with could undermine national or EU goals by affecting social security bodies, who might for instance see their ability to monitor jobseeking curtailed, or migrants, who might see their jobseeking duties doubled. Seeing as the root of disharmonies lies in the involvement of foreign law, most satisfactory solutions involve consulting it with a view to deciding whether to take it into account. This is a resource-intensive process, which is not necessarily performed often and well, even though it is generally mandatory.</w:t>
      </w:r>
      <w:r w:rsidRPr="00EB5AA5">
        <w:rPr>
          <w:rStyle w:val="FootnoteReference"/>
          <w:rFonts w:ascii="Times New Roman"/>
          <w:noProof/>
        </w:rPr>
        <w:footnoteReference w:id="80"/>
      </w:r>
      <w:r w:rsidRPr="00EB5AA5">
        <w:rPr>
          <w:rFonts w:ascii="Times New Roman"/>
          <w:noProof/>
        </w:rPr>
        <w:t xml:space="preserve"> The relevance of several legal orders creates mess that institutions are ill-equipped to clear, given the pressures they face and the number of seasoned comparatists in their ranks. The imbroglio </w:t>
      </w:r>
      <w:r w:rsidRPr="00EB5AA5">
        <w:rPr>
          <w:rFonts w:ascii="Times New Roman"/>
          <w:iCs/>
          <w:noProof/>
        </w:rPr>
        <w:t xml:space="preserve">inflates the costs of administering welfare cases and fits uneasily with the demands of mass administration. </w:t>
      </w:r>
      <w:r w:rsidRPr="00EB5AA5">
        <w:rPr>
          <w:rFonts w:ascii="Times New Roman"/>
          <w:noProof/>
        </w:rPr>
        <w:t xml:space="preserve">Rules are hard to interpret when combined with rules of another legal order. </w:t>
      </w:r>
      <w:bookmarkStart w:id="112" w:name="_Hlk5222487"/>
      <w:r w:rsidRPr="00EB5AA5">
        <w:rPr>
          <w:rFonts w:ascii="Times New Roman"/>
          <w:noProof/>
        </w:rPr>
        <w:t xml:space="preserve">Legal uncertainty ensues. </w:t>
      </w:r>
      <w:bookmarkEnd w:id="112"/>
      <w:r w:rsidRPr="00EB5AA5">
        <w:rPr>
          <w:rFonts w:ascii="Times New Roman"/>
          <w:noProof/>
        </w:rPr>
        <w:t>Other things being equal, then, the involvement of more than one legal order is best avoided. We shall see that the four regulatory tools differ in their capacity to prevent disharmonies.</w:t>
      </w:r>
    </w:p>
    <w:p w14:paraId="1851E4EC" w14:textId="77777777" w:rsidR="004C479A" w:rsidRPr="00EB5AA5" w:rsidRDefault="004C479A" w:rsidP="008638AF">
      <w:pPr>
        <w:pStyle w:val="Heading1"/>
        <w:numPr>
          <w:ilvl w:val="0"/>
          <w:numId w:val="16"/>
        </w:numPr>
        <w:spacing w:before="0" w:after="160" w:line="360" w:lineRule="auto"/>
        <w:rPr>
          <w:rFonts w:ascii="Times New Roman" w:hAnsi="Times New Roman" w:cs="Times New Roman"/>
          <w:noProof/>
          <w:color w:val="auto"/>
        </w:rPr>
      </w:pPr>
      <w:r w:rsidRPr="00EB5AA5">
        <w:rPr>
          <w:rFonts w:ascii="Times New Roman" w:hAnsi="Times New Roman" w:cs="Times New Roman"/>
          <w:noProof/>
          <w:color w:val="auto"/>
        </w:rPr>
        <w:t>From the State of origin to the State of destination</w:t>
      </w:r>
    </w:p>
    <w:p w14:paraId="18C7FCE4" w14:textId="77777777" w:rsidR="004C479A" w:rsidRPr="00EB5AA5" w:rsidRDefault="004C479A" w:rsidP="008638AF">
      <w:pPr>
        <w:spacing w:line="360" w:lineRule="auto"/>
        <w:rPr>
          <w:rFonts w:ascii="Times New Roman"/>
          <w:noProof/>
        </w:rPr>
      </w:pPr>
      <w:r w:rsidRPr="00EB5AA5">
        <w:rPr>
          <w:rFonts w:ascii="Times New Roman"/>
          <w:noProof/>
        </w:rPr>
        <w:t xml:space="preserve">EU social benefits law is animated by many values, goals and interests, three of which are foregrounded here. The integration–protection nexus, continuous protection and harmony are worth pursuing, at least other things being equal. That seems to be broadly the position of the EU legislator and the ECJ, judging by their statements and decisions. The three values are internalized by EU </w:t>
      </w:r>
      <w:r w:rsidRPr="00EB5AA5">
        <w:rPr>
          <w:rFonts w:ascii="Times New Roman"/>
          <w:noProof/>
        </w:rPr>
        <w:lastRenderedPageBreak/>
        <w:t>institutions, at least partly, instinctively and inchoately. They help to explain rules of EU social benefits law, ranging from the principle that the legislation of a single Member State shall apply</w:t>
      </w:r>
      <w:r w:rsidRPr="00EB5AA5">
        <w:rPr>
          <w:rStyle w:val="FootnoteReference"/>
          <w:rFonts w:ascii="Times New Roman"/>
          <w:noProof/>
        </w:rPr>
        <w:footnoteReference w:id="81"/>
      </w:r>
      <w:r w:rsidRPr="00EB5AA5">
        <w:rPr>
          <w:rFonts w:ascii="Times New Roman"/>
          <w:noProof/>
        </w:rPr>
        <w:t xml:space="preserve"> to the </w:t>
      </w:r>
      <w:r w:rsidRPr="00EB5AA5">
        <w:rPr>
          <w:rFonts w:ascii="Times New Roman"/>
          <w:i/>
          <w:noProof/>
        </w:rPr>
        <w:t>lex loci laboris</w:t>
      </w:r>
      <w:r w:rsidRPr="00EB5AA5">
        <w:rPr>
          <w:rFonts w:ascii="Times New Roman"/>
          <w:noProof/>
        </w:rPr>
        <w:t xml:space="preserve">. The significance of the values goes beyond description and explanation. They can contribute to appraising rules. Whether a rule effects continuous protection, and how it relates to integration and harmony, matters a great deal. And yet, no rule of EU social benefits law has been assessed against all three values. </w:t>
      </w:r>
    </w:p>
    <w:p w14:paraId="4B3D716C" w14:textId="77777777" w:rsidR="004C479A" w:rsidRPr="00EB5AA5" w:rsidRDefault="004C479A" w:rsidP="008638AF">
      <w:pPr>
        <w:spacing w:line="360" w:lineRule="auto"/>
        <w:rPr>
          <w:rFonts w:ascii="Times New Roman"/>
          <w:noProof/>
        </w:rPr>
      </w:pPr>
      <w:r w:rsidRPr="00EB5AA5">
        <w:rPr>
          <w:rFonts w:ascii="Times New Roman"/>
          <w:noProof/>
        </w:rPr>
        <w:t xml:space="preserve">In the remainder of this article, I will show that the different parts of EU social benefits law share not only values but also regulatory tools. I will first depict each tool as a vehicle for achieving a pair of values, but no more (5.1–5.4). This finding about the relationship between tools and values sheds light on the relationship between values: a trilemma is at work (5.5). I will then give examples of rules incarnating the tools (5.6). </w:t>
      </w:r>
      <w:bookmarkStart w:id="113" w:name="_Hlk18930326"/>
      <w:r w:rsidRPr="00EB5AA5">
        <w:rPr>
          <w:rFonts w:ascii="Times New Roman"/>
          <w:noProof/>
        </w:rPr>
        <w:t xml:space="preserve">Not only the trilemma, but also the Treaty limits what can be done in EU social benefits law (5.7). </w:t>
      </w:r>
      <w:bookmarkEnd w:id="113"/>
      <w:r w:rsidRPr="00EB5AA5">
        <w:rPr>
          <w:rFonts w:ascii="Times New Roman"/>
          <w:noProof/>
        </w:rPr>
        <w:t xml:space="preserve">In Section 6, I will turn to the last tool, plurality, which involves the simultaneous application of the laws of more than one State, such that a migrant’s social protection is effectively spread over several welfare systems. </w:t>
      </w:r>
    </w:p>
    <w:p w14:paraId="0F3517BA" w14:textId="77777777" w:rsidR="004C479A" w:rsidRPr="00EB5AA5" w:rsidRDefault="004C479A" w:rsidP="008638AF">
      <w:pPr>
        <w:pStyle w:val="Heading2"/>
        <w:numPr>
          <w:ilvl w:val="1"/>
          <w:numId w:val="16"/>
        </w:numPr>
        <w:spacing w:before="0" w:after="160" w:line="360" w:lineRule="auto"/>
        <w:rPr>
          <w:rFonts w:ascii="Times New Roman" w:hAnsi="Times New Roman" w:cs="Times New Roman"/>
          <w:noProof/>
          <w:color w:val="auto"/>
        </w:rPr>
      </w:pPr>
      <w:r w:rsidRPr="00EB5AA5">
        <w:rPr>
          <w:rFonts w:ascii="Times New Roman" w:hAnsi="Times New Roman" w:cs="Times New Roman"/>
          <w:noProof/>
          <w:color w:val="auto"/>
        </w:rPr>
        <w:t>Timing the transition</w:t>
      </w:r>
    </w:p>
    <w:p w14:paraId="02DBE5BC" w14:textId="77777777" w:rsidR="004C479A" w:rsidRPr="00EB5AA5" w:rsidRDefault="004C479A" w:rsidP="008638AF">
      <w:pPr>
        <w:spacing w:line="360" w:lineRule="auto"/>
        <w:rPr>
          <w:rFonts w:ascii="Times New Roman"/>
          <w:noProof/>
        </w:rPr>
      </w:pPr>
      <w:r w:rsidRPr="00EB5AA5">
        <w:rPr>
          <w:rFonts w:ascii="Times New Roman"/>
          <w:noProof/>
        </w:rPr>
        <w:t>Even in its simplest form, migration entails a series of choices and actions. It begins with a decision to relocate and arrangements made to that end. Then comes the day the person becomes a migrant by crossing the border. In the following weeks and months, she will acquaint herself with her new environment and sink increasingly deep roots. At some point, she might self-identify as a full member of the society and labour market of the State of destination. There will also be a moment when the centre of gravity of her personal or professional life can be said to have moved. Along this timeline, when exactly is social protection to be lost in the State of origin and acquired in the State of destination? The transition into and out of welfare systems ought to be timed precisely.</w:t>
      </w:r>
    </w:p>
    <w:p w14:paraId="49090263" w14:textId="77777777" w:rsidR="004C479A" w:rsidRPr="00EB5AA5" w:rsidRDefault="004C479A" w:rsidP="008638AF">
      <w:pPr>
        <w:spacing w:line="360" w:lineRule="auto"/>
        <w:rPr>
          <w:rFonts w:ascii="Times New Roman"/>
          <w:noProof/>
        </w:rPr>
      </w:pPr>
      <w:r w:rsidRPr="00EB5AA5">
        <w:rPr>
          <w:rFonts w:ascii="Times New Roman"/>
          <w:noProof/>
        </w:rPr>
        <w:t xml:space="preserve">The first possibility would be for the shift in social protection to concur with the crossing of the border. </w:t>
      </w:r>
      <w:bookmarkStart w:id="114" w:name="_Hlk4510244"/>
      <w:r w:rsidRPr="00EB5AA5">
        <w:rPr>
          <w:rFonts w:ascii="Times New Roman"/>
          <w:noProof/>
        </w:rPr>
        <w:t xml:space="preserve">As a result, the day people move is the day they lose and acquire social protection. </w:t>
      </w:r>
      <w:bookmarkEnd w:id="114"/>
      <w:r w:rsidRPr="00EB5AA5">
        <w:rPr>
          <w:rFonts w:ascii="Times New Roman"/>
          <w:noProof/>
        </w:rPr>
        <w:t xml:space="preserve">The </w:t>
      </w:r>
      <w:r w:rsidRPr="00EB5AA5">
        <w:rPr>
          <w:rFonts w:ascii="Times New Roman"/>
          <w:i/>
          <w:iCs/>
          <w:noProof/>
        </w:rPr>
        <w:t>lex loci laboris</w:t>
      </w:r>
      <w:r w:rsidRPr="00EB5AA5">
        <w:rPr>
          <w:rFonts w:ascii="Times New Roman"/>
          <w:noProof/>
        </w:rPr>
        <w:t xml:space="preserve"> implements that idea, in that workers are subject to the social security system of their State of work from their first till their last day at work.</w:t>
      </w:r>
      <w:r w:rsidRPr="00EB5AA5">
        <w:rPr>
          <w:rStyle w:val="FootnoteReference"/>
          <w:rFonts w:ascii="Times New Roman"/>
          <w:noProof/>
        </w:rPr>
        <w:footnoteReference w:id="82"/>
      </w:r>
      <w:r w:rsidRPr="00EB5AA5">
        <w:rPr>
          <w:rFonts w:ascii="Times New Roman"/>
          <w:noProof/>
        </w:rPr>
        <w:t xml:space="preserve"> </w:t>
      </w:r>
    </w:p>
    <w:p w14:paraId="79AD666E" w14:textId="77777777" w:rsidR="004C479A" w:rsidRPr="00EB5AA5" w:rsidRDefault="004C479A" w:rsidP="008638AF">
      <w:pPr>
        <w:spacing w:line="360" w:lineRule="auto"/>
        <w:rPr>
          <w:rFonts w:ascii="Times New Roman"/>
          <w:noProof/>
        </w:rPr>
      </w:pPr>
      <w:r w:rsidRPr="00EB5AA5">
        <w:rPr>
          <w:rFonts w:ascii="Times New Roman"/>
          <w:noProof/>
        </w:rPr>
        <w:t xml:space="preserve">Such an instant transition seems to have fallen out of favour with rule-makers. </w:t>
      </w:r>
      <w:bookmarkStart w:id="115" w:name="_Hlk5223730"/>
      <w:r w:rsidRPr="00EB5AA5">
        <w:rPr>
          <w:rFonts w:ascii="Times New Roman"/>
          <w:noProof/>
        </w:rPr>
        <w:t xml:space="preserve">Four interior ministers set the tone in a 2013 letter to the Irish </w:t>
      </w:r>
      <w:bookmarkEnd w:id="115"/>
      <w:r w:rsidRPr="00EB5AA5">
        <w:rPr>
          <w:rFonts w:ascii="Times New Roman"/>
          <w:noProof/>
        </w:rPr>
        <w:t>Presidency of the Council of the European Union:</w:t>
      </w:r>
    </w:p>
    <w:p w14:paraId="0C3F9255" w14:textId="77777777" w:rsidR="004C479A" w:rsidRPr="00EB5AA5" w:rsidRDefault="004C479A" w:rsidP="008638AF">
      <w:pPr>
        <w:spacing w:line="360" w:lineRule="auto"/>
        <w:ind w:left="720"/>
        <w:rPr>
          <w:rFonts w:ascii="Times New Roman"/>
          <w:noProof/>
        </w:rPr>
      </w:pPr>
      <w:r w:rsidRPr="00EB5AA5">
        <w:rPr>
          <w:rFonts w:ascii="Times New Roman"/>
          <w:noProof/>
        </w:rPr>
        <w:t xml:space="preserve">“Arrangements at national or EU level that allow those who have only recently arrived in a Member State and have never been employed or paid taxes there to claim the same social </w:t>
      </w:r>
      <w:r w:rsidRPr="00EB5AA5">
        <w:rPr>
          <w:rFonts w:ascii="Times New Roman"/>
          <w:noProof/>
        </w:rPr>
        <w:lastRenderedPageBreak/>
        <w:t>security benefits as that Member State’s own citizens are an affront to common sense and ought to be reviewed urgently.”</w:t>
      </w:r>
      <w:bookmarkStart w:id="116" w:name="_Ref18858804"/>
      <w:r w:rsidRPr="00EB5AA5">
        <w:rPr>
          <w:rStyle w:val="FootnoteReference"/>
          <w:rFonts w:ascii="Times New Roman"/>
          <w:noProof/>
        </w:rPr>
        <w:footnoteReference w:id="83"/>
      </w:r>
      <w:bookmarkEnd w:id="116"/>
    </w:p>
    <w:p w14:paraId="7DDD90D4" w14:textId="77777777" w:rsidR="004C479A" w:rsidRPr="00EB5AA5" w:rsidRDefault="004C479A" w:rsidP="008638AF">
      <w:pPr>
        <w:spacing w:line="360" w:lineRule="auto"/>
        <w:rPr>
          <w:rFonts w:ascii="Times New Roman"/>
          <w:noProof/>
        </w:rPr>
      </w:pPr>
      <w:r w:rsidRPr="00EB5AA5">
        <w:rPr>
          <w:rFonts w:ascii="Times New Roman"/>
          <w:noProof/>
        </w:rPr>
        <w:t xml:space="preserve">Waiting periods delay the transition from one welfare system to another. They often create a gap—social protection is lost upon exiting the State of origin, without being acquired upon entering the State of destination. Ms Dano for instance was left without minimum subsistence benefits. </w:t>
      </w:r>
    </w:p>
    <w:p w14:paraId="380A1FEF" w14:textId="77777777" w:rsidR="004C479A" w:rsidRPr="00EB5AA5" w:rsidRDefault="004C479A" w:rsidP="008638AF">
      <w:pPr>
        <w:spacing w:line="360" w:lineRule="auto"/>
        <w:rPr>
          <w:rFonts w:ascii="Times New Roman"/>
          <w:noProof/>
        </w:rPr>
      </w:pPr>
      <w:r w:rsidRPr="00EB5AA5">
        <w:rPr>
          <w:rFonts w:ascii="Times New Roman"/>
          <w:noProof/>
        </w:rPr>
        <w:t>That waiting periods need not result in a gap in social protection is illustrated by the posted worker who overstays the two-year posting period.</w:t>
      </w:r>
      <w:r w:rsidRPr="00EB5AA5">
        <w:rPr>
          <w:rStyle w:val="FootnoteReference"/>
          <w:rFonts w:ascii="Times New Roman"/>
          <w:noProof/>
        </w:rPr>
        <w:footnoteReference w:id="84"/>
      </w:r>
      <w:r w:rsidRPr="00EB5AA5">
        <w:rPr>
          <w:rFonts w:ascii="Times New Roman"/>
          <w:noProof/>
        </w:rPr>
        <w:t xml:space="preserve"> </w:t>
      </w:r>
      <w:bookmarkStart w:id="117" w:name="_Hlk5224162"/>
      <w:r w:rsidRPr="00EB5AA5">
        <w:rPr>
          <w:rFonts w:ascii="Times New Roman"/>
          <w:noProof/>
        </w:rPr>
        <w:t xml:space="preserve">For the first two years, he or she remains subject to the social security schemes of his or her State of origin, after which he or she segues into the schemes of the State of destination. </w:t>
      </w:r>
      <w:bookmarkEnd w:id="117"/>
      <w:r w:rsidRPr="00EB5AA5">
        <w:rPr>
          <w:rFonts w:ascii="Times New Roman"/>
          <w:noProof/>
        </w:rPr>
        <w:t>Such a waiting period might appeal to rule-makers who are wedded to continuous protection.</w:t>
      </w:r>
    </w:p>
    <w:p w14:paraId="7777E4AB" w14:textId="77777777" w:rsidR="004C479A" w:rsidRPr="00EB5AA5" w:rsidRDefault="004C479A" w:rsidP="008638AF">
      <w:pPr>
        <w:spacing w:line="360" w:lineRule="auto"/>
        <w:rPr>
          <w:rFonts w:ascii="Times New Roman"/>
          <w:noProof/>
        </w:rPr>
      </w:pPr>
      <w:bookmarkStart w:id="118" w:name="_Hlk8586906"/>
      <w:r w:rsidRPr="00EB5AA5">
        <w:rPr>
          <w:rFonts w:ascii="Times New Roman"/>
          <w:noProof/>
        </w:rPr>
        <w:t>There are accordingly three tools for organizing the shift from the State of origin to the State of destination: the instant transition, the waiting period in the State of destination only (“the asymmetrical waiting period”), and the waiting period in both States (“the symmetrical waiting period”). Asymmetrical waiting periods have attracted most academic attention.</w:t>
      </w:r>
      <w:bookmarkStart w:id="119" w:name="_Ref9436829"/>
      <w:r w:rsidRPr="00EB5AA5">
        <w:rPr>
          <w:rStyle w:val="FootnoteReference"/>
          <w:rFonts w:ascii="Times New Roman"/>
          <w:noProof/>
        </w:rPr>
        <w:footnoteReference w:id="85"/>
      </w:r>
      <w:bookmarkEnd w:id="119"/>
      <w:r w:rsidRPr="00EB5AA5">
        <w:rPr>
          <w:rFonts w:ascii="Times New Roman"/>
          <w:noProof/>
        </w:rPr>
        <w:t xml:space="preserve"> The instant transition is occasionally discussed as the “one-day rule.”</w:t>
      </w:r>
      <w:r w:rsidRPr="00EB5AA5">
        <w:rPr>
          <w:rFonts w:ascii="Times New Roman"/>
          <w:noProof/>
          <w:vertAlign w:val="superscript"/>
        </w:rPr>
        <w:footnoteReference w:id="86"/>
      </w:r>
      <w:r w:rsidRPr="00EB5AA5">
        <w:rPr>
          <w:rFonts w:ascii="Times New Roman"/>
          <w:noProof/>
        </w:rPr>
        <w:t xml:space="preserve"> Plurality</w:t>
      </w:r>
      <w:bookmarkStart w:id="120" w:name="_Ref9437504"/>
      <w:r w:rsidRPr="00EB5AA5">
        <w:rPr>
          <w:rFonts w:ascii="Times New Roman"/>
          <w:noProof/>
          <w:vertAlign w:val="superscript"/>
        </w:rPr>
        <w:footnoteReference w:id="87"/>
      </w:r>
      <w:bookmarkEnd w:id="120"/>
      <w:r w:rsidRPr="00EB5AA5">
        <w:rPr>
          <w:rFonts w:ascii="Times New Roman"/>
          <w:noProof/>
        </w:rPr>
        <w:t xml:space="preserve"> and symmetrical waiting periods</w:t>
      </w:r>
      <w:r w:rsidRPr="00EB5AA5">
        <w:rPr>
          <w:rFonts w:ascii="Times New Roman"/>
          <w:noProof/>
          <w:vertAlign w:val="superscript"/>
        </w:rPr>
        <w:footnoteReference w:id="88"/>
      </w:r>
      <w:r w:rsidRPr="00EB5AA5">
        <w:rPr>
          <w:rFonts w:ascii="Times New Roman"/>
          <w:noProof/>
        </w:rPr>
        <w:t xml:space="preserve"> are infrequently floated as an alternative to asymmetrical waiting periods, but otherwise neglected. While rules embodying the four regulatory tools have been commented upon, they have yet to be analyzed as distinct phenomena in the light of the three values.</w:t>
      </w:r>
    </w:p>
    <w:p w14:paraId="4D8C73F3" w14:textId="77777777" w:rsidR="004C479A" w:rsidRPr="00EB5AA5" w:rsidRDefault="004C479A" w:rsidP="008638AF">
      <w:pPr>
        <w:pStyle w:val="Heading2"/>
        <w:numPr>
          <w:ilvl w:val="1"/>
          <w:numId w:val="16"/>
        </w:numPr>
        <w:spacing w:before="0" w:after="160" w:line="360" w:lineRule="auto"/>
        <w:rPr>
          <w:rFonts w:ascii="Times New Roman" w:hAnsi="Times New Roman" w:cs="Times New Roman"/>
          <w:noProof/>
          <w:color w:val="auto"/>
        </w:rPr>
      </w:pPr>
      <w:bookmarkStart w:id="122" w:name="_Toc9341405"/>
      <w:bookmarkEnd w:id="118"/>
      <w:r w:rsidRPr="00EB5AA5">
        <w:rPr>
          <w:rFonts w:ascii="Times New Roman" w:hAnsi="Times New Roman" w:cs="Times New Roman"/>
          <w:noProof/>
          <w:color w:val="auto"/>
        </w:rPr>
        <w:lastRenderedPageBreak/>
        <w:t>The asymmetrical waiting period</w:t>
      </w:r>
      <w:bookmarkEnd w:id="122"/>
    </w:p>
    <w:p w14:paraId="2049069F" w14:textId="77777777" w:rsidR="004C479A" w:rsidRPr="00EB5AA5" w:rsidRDefault="004C479A" w:rsidP="008638AF">
      <w:pPr>
        <w:spacing w:line="360" w:lineRule="auto"/>
        <w:rPr>
          <w:rFonts w:ascii="Times New Roman"/>
          <w:noProof/>
        </w:rPr>
      </w:pPr>
      <w:r w:rsidRPr="00EB5AA5">
        <w:rPr>
          <w:rFonts w:ascii="Times New Roman"/>
          <w:noProof/>
        </w:rPr>
        <w:t>Asymmetrical waiting periods interrupt social protection, which is lost upon departure and only recovered after a while, it at all.</w:t>
      </w:r>
      <w:r w:rsidRPr="00EB5AA5">
        <w:rPr>
          <w:rStyle w:val="FootnoteReference"/>
          <w:rFonts w:ascii="Times New Roman"/>
          <w:noProof/>
        </w:rPr>
        <w:footnoteReference w:id="89"/>
      </w:r>
    </w:p>
    <w:p w14:paraId="2C8FD755" w14:textId="77777777" w:rsidR="004C479A" w:rsidRPr="00EB5AA5" w:rsidRDefault="004C479A" w:rsidP="008638AF">
      <w:pPr>
        <w:spacing w:line="360" w:lineRule="auto"/>
        <w:rPr>
          <w:rFonts w:ascii="Times New Roman"/>
          <w:noProof/>
        </w:rPr>
      </w:pPr>
      <w:r w:rsidRPr="00EB5AA5">
        <w:rPr>
          <w:rFonts w:ascii="Times New Roman"/>
          <w:noProof/>
        </w:rPr>
        <w:t xml:space="preserve">Their relation to the integration–protection nexus is ambiguous. It is implausible to claim full membership of the solidaristic community of the State of destination on the date of arrival. A well-calibrated waiting period, the duration of which reflects the time necessary to establish meaningful connections and considers the person’s intention to settle, would therefore seem to align with the nexus. From the perspective of the State of origin, however, asymmetrical waiting periods end social protection prematurely, as </w:t>
      </w:r>
      <w:bookmarkStart w:id="123" w:name="_Hlk5466716"/>
      <w:r w:rsidRPr="00EB5AA5">
        <w:rPr>
          <w:rFonts w:ascii="Times New Roman"/>
          <w:noProof/>
        </w:rPr>
        <w:t>integration does not vanish the moment a person crosses a border.</w:t>
      </w:r>
      <w:bookmarkEnd w:id="123"/>
      <w:r w:rsidRPr="00EB5AA5">
        <w:rPr>
          <w:rFonts w:ascii="Times New Roman"/>
          <w:noProof/>
        </w:rPr>
        <w:t xml:space="preserve"> Ms Dano did not sever all ties with Romania the day she left—yet that is when she presumably lost all Romanian benefits.</w:t>
      </w:r>
    </w:p>
    <w:p w14:paraId="25449BFE" w14:textId="77777777" w:rsidR="004C479A" w:rsidRPr="00EB5AA5" w:rsidRDefault="004C479A" w:rsidP="008638AF">
      <w:pPr>
        <w:spacing w:line="360" w:lineRule="auto"/>
        <w:rPr>
          <w:rFonts w:ascii="Times New Roman"/>
          <w:noProof/>
        </w:rPr>
      </w:pPr>
      <w:r w:rsidRPr="00EB5AA5">
        <w:rPr>
          <w:rFonts w:ascii="Times New Roman"/>
          <w:noProof/>
        </w:rPr>
        <w:t xml:space="preserve">While an </w:t>
      </w:r>
      <w:bookmarkStart w:id="124" w:name="_Hlk4744305"/>
      <w:r w:rsidRPr="00EB5AA5">
        <w:rPr>
          <w:rFonts w:ascii="Times New Roman"/>
          <w:noProof/>
        </w:rPr>
        <w:t xml:space="preserve">asymmetrical waiting period </w:t>
      </w:r>
      <w:bookmarkEnd w:id="124"/>
      <w:r w:rsidRPr="00EB5AA5">
        <w:rPr>
          <w:rFonts w:ascii="Times New Roman"/>
          <w:noProof/>
        </w:rPr>
        <w:t xml:space="preserve">could incarnate the integration–protection nexus, albeit suboptimally, the period set in </w:t>
      </w:r>
      <w:r w:rsidRPr="00EB5AA5">
        <w:rPr>
          <w:rFonts w:ascii="Times New Roman"/>
          <w:i/>
          <w:noProof/>
        </w:rPr>
        <w:t>Dano</w:t>
      </w:r>
      <w:r w:rsidRPr="00EB5AA5">
        <w:rPr>
          <w:rFonts w:ascii="Times New Roman"/>
          <w:noProof/>
        </w:rPr>
        <w:t xml:space="preserve"> is excessively long </w:t>
      </w:r>
      <w:bookmarkStart w:id="125" w:name="_Hlk18590219"/>
      <w:r w:rsidRPr="00EB5AA5">
        <w:rPr>
          <w:rFonts w:ascii="Times New Roman"/>
          <w:noProof/>
        </w:rPr>
        <w:t>since</w:t>
      </w:r>
      <w:bookmarkEnd w:id="125"/>
      <w:r w:rsidRPr="00EB5AA5">
        <w:rPr>
          <w:rFonts w:ascii="Times New Roman"/>
          <w:noProof/>
        </w:rPr>
        <w:t xml:space="preserve"> it allows States to refuse benefits to migrants who for all intents and purposes are fully integrated. </w:t>
      </w:r>
      <w:bookmarkStart w:id="126" w:name="_Hlk5466649"/>
      <w:bookmarkStart w:id="127" w:name="_Hlk5466661"/>
      <w:r w:rsidRPr="00EB5AA5">
        <w:rPr>
          <w:rFonts w:ascii="Times New Roman"/>
          <w:noProof/>
        </w:rPr>
        <w:t>Ms Dano would qualify for German minimum subsistence benefits only when her circumstances change, which could take five years or longer.</w:t>
      </w:r>
      <w:bookmarkEnd w:id="126"/>
      <w:r w:rsidRPr="00EB5AA5">
        <w:rPr>
          <w:rStyle w:val="FootnoteReference"/>
          <w:rFonts w:ascii="Times New Roman"/>
          <w:noProof/>
        </w:rPr>
        <w:footnoteReference w:id="90"/>
      </w:r>
      <w:bookmarkEnd w:id="127"/>
    </w:p>
    <w:p w14:paraId="54211705" w14:textId="77777777" w:rsidR="004C479A" w:rsidRPr="00EB5AA5" w:rsidRDefault="004C479A" w:rsidP="008638AF">
      <w:pPr>
        <w:spacing w:line="360" w:lineRule="auto"/>
        <w:rPr>
          <w:rFonts w:ascii="Times New Roman"/>
          <w:noProof/>
        </w:rPr>
      </w:pPr>
      <w:r w:rsidRPr="00EB5AA5">
        <w:rPr>
          <w:rFonts w:ascii="Times New Roman"/>
          <w:noProof/>
        </w:rPr>
        <w:t xml:space="preserve">We saw that harmony suffers in three scenarios. A first source of disharmony—the simultaneous applicability of two legal orders—is not triggered by asymmetrical waiting periods. Neither is it relevant to symmetrical waiting periods or an instant transition. Second, disharmonies may appear where two legal orders apply consecutively, because the prior conditions of the competent State relate to a period when its legislation was not yet applicable. Such a shift in applicable legislation characterizes asymmetrical waiting periods, but it is near-inevitable. Few would argue that Ms Dano, who left Romania in her early 20s with no reported intention to return, should remain subject to Romanian law for life. </w:t>
      </w:r>
      <w:bookmarkStart w:id="128" w:name="_Hlk4511159"/>
      <w:r w:rsidRPr="00EB5AA5">
        <w:rPr>
          <w:rFonts w:ascii="Times New Roman"/>
          <w:noProof/>
        </w:rPr>
        <w:t>I assume that migrants are not highly mobile—for such migrants the effects on harmony of the various options for timing the transition are too complex to be modelled here.</w:t>
      </w:r>
      <w:bookmarkStart w:id="129" w:name="_Ref9437591"/>
      <w:r w:rsidRPr="00EB5AA5">
        <w:rPr>
          <w:rStyle w:val="FootnoteReference"/>
          <w:rFonts w:ascii="Times New Roman"/>
          <w:noProof/>
        </w:rPr>
        <w:footnoteReference w:id="91"/>
      </w:r>
      <w:bookmarkEnd w:id="129"/>
      <w:r w:rsidRPr="00EB5AA5">
        <w:rPr>
          <w:rFonts w:ascii="Times New Roman"/>
          <w:noProof/>
        </w:rPr>
        <w:t xml:space="preserve"> With </w:t>
      </w:r>
      <w:r w:rsidRPr="00EB5AA5">
        <w:rPr>
          <w:rFonts w:ascii="Times New Roman"/>
          <w:noProof/>
        </w:rPr>
        <w:lastRenderedPageBreak/>
        <w:t xml:space="preserve">that caveat, the threat to harmony springing from the consecutive application of several laws is not much affected by the existence and features of waiting periods. </w:t>
      </w:r>
      <w:bookmarkEnd w:id="128"/>
      <w:r w:rsidRPr="00EB5AA5">
        <w:rPr>
          <w:rFonts w:ascii="Times New Roman"/>
          <w:noProof/>
        </w:rPr>
        <w:t>The third source of disharmony is the presence of the person outside the competent State. Asymmetrical waiting periods do not disturb harmony in that way.</w:t>
      </w:r>
    </w:p>
    <w:p w14:paraId="147CFA0E" w14:textId="77777777" w:rsidR="004C479A" w:rsidRPr="00EB5AA5" w:rsidRDefault="004C479A" w:rsidP="008638AF">
      <w:pPr>
        <w:spacing w:line="360" w:lineRule="auto"/>
        <w:rPr>
          <w:rFonts w:ascii="Times New Roman"/>
          <w:noProof/>
        </w:rPr>
      </w:pPr>
      <w:r w:rsidRPr="00EB5AA5">
        <w:rPr>
          <w:rFonts w:ascii="Times New Roman"/>
          <w:noProof/>
        </w:rPr>
        <w:t>On the whole, then, they are conducive to harmony, but puncture the continuous web of social protection. They are capable of translating the integration–protection nexus into law, although the immediate loss of social protection in the State of origin is very far from ideal. Two values can be combined, but not three.</w:t>
      </w:r>
    </w:p>
    <w:p w14:paraId="19919965" w14:textId="77777777" w:rsidR="004C479A" w:rsidRPr="00EB5AA5" w:rsidRDefault="004C479A" w:rsidP="008638AF">
      <w:pPr>
        <w:pStyle w:val="Heading2"/>
        <w:numPr>
          <w:ilvl w:val="1"/>
          <w:numId w:val="16"/>
        </w:numPr>
        <w:spacing w:before="0" w:after="160" w:line="360" w:lineRule="auto"/>
        <w:rPr>
          <w:rFonts w:ascii="Times New Roman" w:hAnsi="Times New Roman" w:cs="Times New Roman"/>
          <w:noProof/>
          <w:color w:val="auto"/>
        </w:rPr>
      </w:pPr>
      <w:bookmarkStart w:id="130" w:name="_Toc9341406"/>
      <w:r w:rsidRPr="00EB5AA5">
        <w:rPr>
          <w:rFonts w:ascii="Times New Roman" w:hAnsi="Times New Roman" w:cs="Times New Roman"/>
          <w:noProof/>
          <w:color w:val="auto"/>
        </w:rPr>
        <w:t>The instant transition</w:t>
      </w:r>
      <w:bookmarkEnd w:id="130"/>
    </w:p>
    <w:p w14:paraId="01B674E9" w14:textId="77777777" w:rsidR="004C479A" w:rsidRPr="00EB5AA5" w:rsidRDefault="004C479A" w:rsidP="008638AF">
      <w:pPr>
        <w:spacing w:line="360" w:lineRule="auto"/>
        <w:rPr>
          <w:rFonts w:ascii="Times New Roman"/>
          <w:noProof/>
        </w:rPr>
      </w:pPr>
      <w:bookmarkStart w:id="131" w:name="_Hlk536009304"/>
      <w:r w:rsidRPr="00EB5AA5">
        <w:rPr>
          <w:rFonts w:ascii="Times New Roman"/>
          <w:noProof/>
        </w:rPr>
        <w:t xml:space="preserve">An EU legislator minded to plug the gap in social protection could synchronize the legal shift with the crossing of the border. </w:t>
      </w:r>
      <w:bookmarkEnd w:id="131"/>
      <w:r w:rsidRPr="00EB5AA5">
        <w:rPr>
          <w:rFonts w:ascii="Times New Roman"/>
          <w:noProof/>
        </w:rPr>
        <w:t>Ms Dano would qualify for German benefits upon entering Germany. While politically unpalatable with regard to citizens in her situation, such an instant transition has many merits. It would be roughly</w:t>
      </w:r>
      <w:r w:rsidRPr="00EB5AA5">
        <w:rPr>
          <w:rStyle w:val="FootnoteReference"/>
          <w:rFonts w:ascii="Times New Roman"/>
          <w:noProof/>
        </w:rPr>
        <w:footnoteReference w:id="92"/>
      </w:r>
      <w:r w:rsidRPr="00EB5AA5">
        <w:rPr>
          <w:rFonts w:ascii="Times New Roman"/>
          <w:noProof/>
        </w:rPr>
        <w:t xml:space="preserve"> as effective as asymmetrical waiting periods in achieving harmony. Claimants would not generally be present outside the competent State; one law only would apply at any given time; and switches in the applicable legislation are unavoidable up to a point. The main objection to an instant transition is the integration–protection nexus. Ms Dano would lose Romanian benefits immediately, although she is still very strongly connected to Romania, and acquire German benefits when she has only just arrived in Germany. The instant transition accordingly furthers two values.</w:t>
      </w:r>
    </w:p>
    <w:p w14:paraId="4FAFD17B" w14:textId="77777777" w:rsidR="004C479A" w:rsidRPr="00EB5AA5" w:rsidRDefault="004C479A" w:rsidP="008638AF">
      <w:pPr>
        <w:pStyle w:val="Heading2"/>
        <w:numPr>
          <w:ilvl w:val="1"/>
          <w:numId w:val="16"/>
        </w:numPr>
        <w:spacing w:before="0" w:after="160" w:line="360" w:lineRule="auto"/>
        <w:rPr>
          <w:rFonts w:ascii="Times New Roman" w:hAnsi="Times New Roman" w:cs="Times New Roman"/>
          <w:noProof/>
          <w:color w:val="auto"/>
        </w:rPr>
      </w:pPr>
      <w:bookmarkStart w:id="132" w:name="_Toc9341407"/>
      <w:r w:rsidRPr="00EB5AA5">
        <w:rPr>
          <w:rFonts w:ascii="Times New Roman" w:hAnsi="Times New Roman" w:cs="Times New Roman"/>
          <w:noProof/>
          <w:color w:val="auto"/>
        </w:rPr>
        <w:t>The symmetrical waiting period</w:t>
      </w:r>
      <w:bookmarkEnd w:id="132"/>
    </w:p>
    <w:p w14:paraId="2704366D" w14:textId="77777777" w:rsidR="004C479A" w:rsidRPr="00EB5AA5" w:rsidRDefault="004C479A" w:rsidP="008638AF">
      <w:pPr>
        <w:spacing w:line="360" w:lineRule="auto"/>
        <w:rPr>
          <w:rFonts w:ascii="Times New Roman"/>
          <w:noProof/>
        </w:rPr>
      </w:pPr>
      <w:bookmarkStart w:id="133" w:name="_Hlk8651807"/>
      <w:r w:rsidRPr="00EB5AA5">
        <w:rPr>
          <w:rFonts w:ascii="Times New Roman"/>
          <w:noProof/>
        </w:rPr>
        <w:t xml:space="preserve">In academic and policy circles, some criticize the gap in social protection </w:t>
      </w:r>
      <w:r w:rsidRPr="00EB5AA5">
        <w:rPr>
          <w:rFonts w:ascii="Times New Roman"/>
          <w:i/>
          <w:iCs/>
          <w:noProof/>
        </w:rPr>
        <w:t>Dano</w:t>
      </w:r>
      <w:r w:rsidRPr="00EB5AA5">
        <w:rPr>
          <w:rFonts w:ascii="Times New Roman"/>
          <w:noProof/>
        </w:rPr>
        <w:t xml:space="preserve"> creates, while others welcome the fact that social protection is withheld from those who have weak integration credentials.</w:t>
      </w:r>
      <w:r w:rsidRPr="00EB5AA5">
        <w:rPr>
          <w:rStyle w:val="FootnoteReference"/>
          <w:rFonts w:ascii="Times New Roman"/>
          <w:noProof/>
        </w:rPr>
        <w:footnoteReference w:id="93"/>
      </w:r>
      <w:r w:rsidRPr="00EB5AA5">
        <w:rPr>
          <w:rFonts w:ascii="Times New Roman"/>
          <w:noProof/>
        </w:rPr>
        <w:t xml:space="preserve"> </w:t>
      </w:r>
      <w:bookmarkEnd w:id="133"/>
      <w:r w:rsidRPr="00EB5AA5">
        <w:rPr>
          <w:rFonts w:ascii="Times New Roman"/>
          <w:noProof/>
        </w:rPr>
        <w:t>Could a symmetrical waiting period satisfy both camps, reconciling as it does continuous social protection with the integration–protection nexus? After moving, Ms Dano would remain eligible for Romanian benefits as long as she is deprived of German benefits. Social protection, though continuous, might be inadequate inasmuch as Romanian minimum subsistence benefits match Romanian rather than German living standards.</w:t>
      </w:r>
      <w:r w:rsidRPr="00EB5AA5">
        <w:rPr>
          <w:rStyle w:val="FootnoteReference"/>
          <w:rFonts w:ascii="Times New Roman"/>
          <w:noProof/>
        </w:rPr>
        <w:footnoteReference w:id="94"/>
      </w:r>
    </w:p>
    <w:p w14:paraId="67A8BCCD" w14:textId="77777777" w:rsidR="004C479A" w:rsidRPr="00EB5AA5" w:rsidRDefault="004C479A" w:rsidP="008638AF">
      <w:pPr>
        <w:spacing w:line="360" w:lineRule="auto"/>
        <w:rPr>
          <w:rFonts w:ascii="Times New Roman"/>
          <w:noProof/>
        </w:rPr>
      </w:pPr>
      <w:r w:rsidRPr="00EB5AA5">
        <w:rPr>
          <w:rFonts w:ascii="Times New Roman"/>
          <w:noProof/>
        </w:rPr>
        <w:t xml:space="preserve">The symmetrical waiting period can serve the integration–protection nexus better than the two tools discussed above. It speaks directly to the intuition that newcomers are not immediately integrated, and </w:t>
      </w:r>
      <w:r w:rsidRPr="00EB5AA5">
        <w:rPr>
          <w:rFonts w:ascii="Times New Roman"/>
          <w:noProof/>
        </w:rPr>
        <w:lastRenderedPageBreak/>
        <w:t>contradicts portrayals of migrants as “nomads who, like offshore mutual funds in search of fiscal windfalls, move hither and tither [sic] across the Continent to grow rich on loopholes in social security laws”.</w:t>
      </w:r>
      <w:r w:rsidRPr="00EB5AA5">
        <w:rPr>
          <w:rFonts w:ascii="Times New Roman"/>
          <w:noProof/>
          <w:vertAlign w:val="superscript"/>
        </w:rPr>
        <w:footnoteReference w:id="95"/>
      </w:r>
      <w:r w:rsidRPr="00EB5AA5">
        <w:rPr>
          <w:rFonts w:ascii="Times New Roman"/>
          <w:noProof/>
        </w:rPr>
        <w:t xml:space="preserve"> Saydé noted that, “by suspending the regulatory benefit sought, [waiting] periods seek to ensure that decisions of Union citizens are underpinned by socioeconomic motives, and not only by a gain-seeking choice of law.”</w:t>
      </w:r>
      <w:r w:rsidRPr="00EB5AA5">
        <w:rPr>
          <w:rStyle w:val="FootnoteReference"/>
          <w:rFonts w:ascii="Times New Roman"/>
          <w:noProof/>
        </w:rPr>
        <w:footnoteReference w:id="96"/>
      </w:r>
      <w:r w:rsidRPr="00EB5AA5">
        <w:rPr>
          <w:rFonts w:ascii="Times New Roman"/>
          <w:noProof/>
        </w:rPr>
        <w:t xml:space="preserve"> Unlike the asymmetrical waiting period and the instant transition, the symmetrical waiting period recognizes that States remain responsible for those who leave their territory, at least in first instance, because of their past connections. The integration–protection nexus calls for Member States to support their emigrants in difficulties. This would turn the nationality argument that is so readily invoked as an exclusionary shield against foreigners into an inclusionary device in favour of </w:t>
      </w:r>
      <w:bookmarkStart w:id="134" w:name="_Hlk5480922"/>
      <w:r w:rsidRPr="00EB5AA5">
        <w:rPr>
          <w:rFonts w:ascii="Times New Roman"/>
          <w:noProof/>
        </w:rPr>
        <w:t>expatriates—or, preferably, emigrants</w:t>
      </w:r>
      <w:bookmarkEnd w:id="134"/>
      <w:r w:rsidRPr="00EB5AA5">
        <w:rPr>
          <w:rFonts w:ascii="Times New Roman"/>
          <w:noProof/>
        </w:rPr>
        <w:t xml:space="preserve"> whatever their nationality. “Conceptually, limitations on incoming citizens and generosity for outgoing nationals are two sides of the same coin, if social affiliation – not territorial presence – guides the scope of transnational rights.”</w:t>
      </w:r>
      <w:bookmarkStart w:id="135" w:name="_Ref18740574"/>
      <w:r w:rsidRPr="00EB5AA5">
        <w:rPr>
          <w:rStyle w:val="FootnoteReference"/>
          <w:rFonts w:ascii="Times New Roman"/>
          <w:noProof/>
        </w:rPr>
        <w:footnoteReference w:id="97"/>
      </w:r>
      <w:bookmarkEnd w:id="135"/>
    </w:p>
    <w:p w14:paraId="4F5FF012" w14:textId="77777777" w:rsidR="004C479A" w:rsidRPr="00EB5AA5" w:rsidRDefault="004C479A" w:rsidP="008638AF">
      <w:pPr>
        <w:spacing w:line="360" w:lineRule="auto"/>
        <w:rPr>
          <w:rFonts w:ascii="Times New Roman"/>
          <w:noProof/>
        </w:rPr>
      </w:pPr>
      <w:r w:rsidRPr="00EB5AA5">
        <w:rPr>
          <w:rFonts w:ascii="Times New Roman"/>
          <w:noProof/>
        </w:rPr>
        <w:t xml:space="preserve">While they might help to allay fears surrounding immigration without depriving migrants of social protection, symmetrical waiting periods come at a considerable cost in terms of harmony. True, they do not result in the simultaneous application of two legal orders, whose consecutive application is often inevitable. What sets symmetrical waiting periods apart is that they require a State to award benefits to a person who has left its territory. Eligibility depends on the continued compliance with contemporaneous conditions. How is Romania to verify whether Ms Dano fulfils her duties after she left its territory? If Romanian benefits are conditional upon participation in labour market activation programmes, should Ms Dano partake in equivalent German programmes? The Romanian institutions would have to investigate those programmes with a view to comparing them to Romanian programmes. </w:t>
      </w:r>
      <w:bookmarkStart w:id="136" w:name="_Hlk4573854"/>
      <w:r w:rsidRPr="00EB5AA5">
        <w:rPr>
          <w:rFonts w:ascii="Times New Roman"/>
          <w:noProof/>
        </w:rPr>
        <w:t>This disharmony does not plague the two tools discussed above.</w:t>
      </w:r>
    </w:p>
    <w:p w14:paraId="2E89B616" w14:textId="77777777" w:rsidR="004C479A" w:rsidRPr="00EB5AA5" w:rsidRDefault="004C479A" w:rsidP="008638AF">
      <w:pPr>
        <w:pStyle w:val="Heading2"/>
        <w:numPr>
          <w:ilvl w:val="1"/>
          <w:numId w:val="16"/>
        </w:numPr>
        <w:spacing w:before="0" w:after="160" w:line="360" w:lineRule="auto"/>
        <w:rPr>
          <w:rFonts w:ascii="Times New Roman" w:hAnsi="Times New Roman" w:cs="Times New Roman"/>
          <w:noProof/>
          <w:color w:val="auto"/>
        </w:rPr>
      </w:pPr>
      <w:bookmarkStart w:id="137" w:name="_Toc9341408"/>
      <w:bookmarkStart w:id="138" w:name="_Hlk18601809"/>
      <w:bookmarkEnd w:id="136"/>
      <w:r w:rsidRPr="00EB5AA5">
        <w:rPr>
          <w:rFonts w:ascii="Times New Roman" w:hAnsi="Times New Roman" w:cs="Times New Roman"/>
          <w:noProof/>
          <w:color w:val="auto"/>
        </w:rPr>
        <w:t>The trilemma</w:t>
      </w:r>
      <w:bookmarkEnd w:id="137"/>
    </w:p>
    <w:p w14:paraId="741B31C5" w14:textId="77777777" w:rsidR="004C479A" w:rsidRPr="00EB5AA5" w:rsidRDefault="004C479A" w:rsidP="008638AF">
      <w:pPr>
        <w:spacing w:line="360" w:lineRule="auto"/>
        <w:rPr>
          <w:rFonts w:ascii="Times New Roman"/>
          <w:noProof/>
        </w:rPr>
      </w:pPr>
      <w:r w:rsidRPr="00EB5AA5">
        <w:rPr>
          <w:rFonts w:ascii="Times New Roman"/>
          <w:noProof/>
        </w:rPr>
        <w:t xml:space="preserve">In sum, there are three major tools for timing the transition from one welfare system to another. All are capable of achieving two values, but not three. The instant transition harms the integration–protection nexus; the asymmetrical waiting period discontinues social protection; and the symmetrical waiting period undermines harmony. </w:t>
      </w:r>
      <w:bookmarkStart w:id="139" w:name="_Hlk9434163"/>
      <w:r w:rsidRPr="00EB5AA5">
        <w:rPr>
          <w:rFonts w:ascii="Times New Roman"/>
          <w:noProof/>
        </w:rPr>
        <w:t>This, then, is the trilemma.</w:t>
      </w:r>
      <w:r w:rsidRPr="00EB5AA5">
        <w:rPr>
          <w:rStyle w:val="FootnoteReference"/>
          <w:rFonts w:ascii="Times New Roman"/>
          <w:noProof/>
        </w:rPr>
        <w:footnoteReference w:id="98"/>
      </w:r>
      <w:bookmarkEnd w:id="139"/>
      <w:r w:rsidRPr="00EB5AA5">
        <w:rPr>
          <w:rFonts w:ascii="Times New Roman"/>
          <w:noProof/>
        </w:rPr>
        <w:t xml:space="preserve"> Along with the tools and the values, it is a thread running through EU social benefits law.</w:t>
      </w:r>
    </w:p>
    <w:p w14:paraId="52515338" w14:textId="77777777" w:rsidR="004C479A" w:rsidRPr="00EB5AA5" w:rsidRDefault="004C479A" w:rsidP="008638AF">
      <w:pPr>
        <w:spacing w:line="360" w:lineRule="auto"/>
        <w:rPr>
          <w:rFonts w:ascii="Times New Roman"/>
          <w:noProof/>
        </w:rPr>
      </w:pPr>
      <w:r w:rsidRPr="00EB5AA5">
        <w:rPr>
          <w:rFonts w:ascii="Times New Roman"/>
          <w:noProof/>
        </w:rPr>
        <w:lastRenderedPageBreak/>
        <w:t xml:space="preserve">Estimating the effectiveness of tools in attaining values does not only demonstrate the trilemma. It allows to recommend tools to rule-makers on the basis of their normative preferences, and to infer those preferences from the tools they have used. A choice of tool is a choice of values. </w:t>
      </w:r>
    </w:p>
    <w:p w14:paraId="14F2608A" w14:textId="77777777" w:rsidR="004C479A" w:rsidRPr="00EB5AA5" w:rsidRDefault="004C479A" w:rsidP="008638AF">
      <w:pPr>
        <w:spacing w:line="360" w:lineRule="auto"/>
        <w:rPr>
          <w:rFonts w:ascii="Times New Roman"/>
          <w:noProof/>
        </w:rPr>
      </w:pPr>
      <w:r w:rsidRPr="00EB5AA5">
        <w:rPr>
          <w:rFonts w:ascii="Times New Roman"/>
          <w:noProof/>
        </w:rPr>
        <w:t xml:space="preserve">The trilemma constrains the EU legislator and the ECJ. Their reliance on all tools, illustrated more amply below, means that they are unable to either wholly abandon or fully commit to one value. Whether by accident or design, they prioritize different values in different contexts. The trilemma at once sharpens and blunts criticism: one can find fault with any rule for running counter at least one value, but with no rule for failing to serve all three values. </w:t>
      </w:r>
    </w:p>
    <w:bookmarkEnd w:id="138"/>
    <w:p w14:paraId="316E55C4" w14:textId="77777777" w:rsidR="004C479A" w:rsidRPr="00EB5AA5" w:rsidRDefault="004C479A" w:rsidP="008638AF">
      <w:pPr>
        <w:spacing w:line="360" w:lineRule="auto"/>
        <w:rPr>
          <w:rFonts w:ascii="Times New Roman"/>
          <w:noProof/>
        </w:rPr>
      </w:pPr>
      <w:r w:rsidRPr="00EB5AA5">
        <w:rPr>
          <w:rFonts w:ascii="Times New Roman"/>
          <w:noProof/>
        </w:rPr>
        <w:t xml:space="preserve">To identify the trilemma is not to resolve it. </w:t>
      </w:r>
      <w:bookmarkStart w:id="141" w:name="_Hlk18856714"/>
      <w:r w:rsidRPr="00EB5AA5">
        <w:rPr>
          <w:rFonts w:ascii="Times New Roman"/>
          <w:noProof/>
        </w:rPr>
        <w:t>Which regulatory tool one prefers</w:t>
      </w:r>
      <w:bookmarkEnd w:id="141"/>
      <w:r w:rsidRPr="00EB5AA5">
        <w:rPr>
          <w:rFonts w:ascii="Times New Roman"/>
          <w:noProof/>
        </w:rPr>
        <w:t xml:space="preserve">, depends in part on how one ranks the values in the abstract. While I argued that continuous protection generally takes pride of place, ultimately the trade-offs must be made in full knowledge of the features of the benefit and the beneficiary. Other values, objectives and interests animating EU social benefits law also feed into the “ideal” timing of the transition. </w:t>
      </w:r>
      <w:bookmarkStart w:id="142" w:name="_Hlk17627181"/>
      <w:r w:rsidRPr="00EB5AA5">
        <w:rPr>
          <w:rFonts w:ascii="Times New Roman"/>
          <w:noProof/>
        </w:rPr>
        <w:t>That body of law is meant to realize equality,</w:t>
      </w:r>
      <w:r w:rsidRPr="00EB5AA5">
        <w:rPr>
          <w:rStyle w:val="FootnoteReference"/>
          <w:rFonts w:ascii="Times New Roman"/>
          <w:noProof/>
        </w:rPr>
        <w:footnoteReference w:id="99"/>
      </w:r>
      <w:r w:rsidRPr="00EB5AA5">
        <w:rPr>
          <w:rFonts w:ascii="Times New Roman"/>
          <w:noProof/>
        </w:rPr>
        <w:t xml:space="preserve"> facilitate free movement,</w:t>
      </w:r>
      <w:r w:rsidRPr="00EB5AA5">
        <w:rPr>
          <w:rStyle w:val="FootnoteReference"/>
          <w:rFonts w:ascii="Times New Roman"/>
          <w:noProof/>
        </w:rPr>
        <w:footnoteReference w:id="100"/>
      </w:r>
      <w:r w:rsidRPr="00EB5AA5">
        <w:rPr>
          <w:rFonts w:ascii="Times New Roman"/>
          <w:noProof/>
        </w:rPr>
        <w:t xml:space="preserve"> </w:t>
      </w:r>
      <w:bookmarkStart w:id="143" w:name="_Hlk18740259"/>
      <w:r w:rsidRPr="00EB5AA5">
        <w:rPr>
          <w:rFonts w:ascii="Times New Roman"/>
          <w:noProof/>
        </w:rPr>
        <w:t>enable fair competition,</w:t>
      </w:r>
      <w:r w:rsidRPr="00EB5AA5">
        <w:rPr>
          <w:rStyle w:val="FootnoteReference"/>
          <w:rFonts w:ascii="Times New Roman"/>
          <w:noProof/>
        </w:rPr>
        <w:footnoteReference w:id="101"/>
      </w:r>
      <w:bookmarkEnd w:id="143"/>
      <w:r w:rsidRPr="00EB5AA5">
        <w:rPr>
          <w:rFonts w:ascii="Times New Roman"/>
          <w:noProof/>
        </w:rPr>
        <w:t xml:space="preserve"> respect the integrity of welfare systems,</w:t>
      </w:r>
      <w:r w:rsidRPr="00EB5AA5">
        <w:rPr>
          <w:rStyle w:val="FootnoteReference"/>
          <w:rFonts w:ascii="Times New Roman"/>
          <w:noProof/>
        </w:rPr>
        <w:footnoteReference w:id="102"/>
      </w:r>
      <w:r w:rsidRPr="00EB5AA5">
        <w:rPr>
          <w:rFonts w:ascii="Times New Roman"/>
          <w:noProof/>
        </w:rPr>
        <w:t xml:space="preserve"> preserve the regulatory autonomy of Member States,</w:t>
      </w:r>
      <w:r w:rsidRPr="00EB5AA5">
        <w:rPr>
          <w:rStyle w:val="FootnoteReference"/>
          <w:rFonts w:ascii="Times New Roman"/>
          <w:noProof/>
        </w:rPr>
        <w:footnoteReference w:id="103"/>
      </w:r>
      <w:r w:rsidRPr="00EB5AA5">
        <w:rPr>
          <w:rFonts w:ascii="Times New Roman"/>
          <w:noProof/>
        </w:rPr>
        <w:t xml:space="preserve"> support the autonomy of migrants,</w:t>
      </w:r>
      <w:r w:rsidRPr="00EB5AA5">
        <w:rPr>
          <w:rStyle w:val="FootnoteReference"/>
          <w:rFonts w:ascii="Times New Roman"/>
          <w:noProof/>
        </w:rPr>
        <w:footnoteReference w:id="104"/>
      </w:r>
      <w:r w:rsidRPr="00EB5AA5">
        <w:rPr>
          <w:rFonts w:ascii="Times New Roman"/>
          <w:noProof/>
        </w:rPr>
        <w:t xml:space="preserve"> minimize fraud and error,</w:t>
      </w:r>
      <w:r w:rsidRPr="00EB5AA5">
        <w:rPr>
          <w:rStyle w:val="FootnoteReference"/>
          <w:rFonts w:ascii="Times New Roman"/>
          <w:noProof/>
        </w:rPr>
        <w:footnoteReference w:id="105"/>
      </w:r>
      <w:r w:rsidRPr="00EB5AA5">
        <w:rPr>
          <w:rFonts w:ascii="Times New Roman"/>
          <w:noProof/>
        </w:rPr>
        <w:t xml:space="preserve"> …</w:t>
      </w:r>
      <w:bookmarkEnd w:id="142"/>
      <w:r w:rsidRPr="00EB5AA5">
        <w:rPr>
          <w:rFonts w:ascii="Times New Roman"/>
          <w:noProof/>
        </w:rPr>
        <w:t xml:space="preserve"> Constitutional considerations are at play, given that the regulatory tools calibrate the balance between the State of destination, the State of origin and the citizen. </w:t>
      </w:r>
      <w:r w:rsidRPr="00EB5AA5">
        <w:rPr>
          <w:rFonts w:ascii="Times New Roman"/>
          <w:i/>
          <w:iCs/>
          <w:noProof/>
        </w:rPr>
        <w:t>Dano</w:t>
      </w:r>
      <w:r w:rsidRPr="00EB5AA5">
        <w:rPr>
          <w:rFonts w:ascii="Times New Roman"/>
          <w:noProof/>
        </w:rPr>
        <w:t>, for instance, shifts the risk of poverty from the State of destination to citizens.</w:t>
      </w:r>
      <w:r w:rsidRPr="00EB5AA5">
        <w:rPr>
          <w:rStyle w:val="FootnoteReference"/>
          <w:rFonts w:ascii="Times New Roman"/>
          <w:noProof/>
        </w:rPr>
        <w:footnoteReference w:id="106"/>
      </w:r>
      <w:r w:rsidRPr="00EB5AA5">
        <w:rPr>
          <w:rFonts w:ascii="Times New Roman"/>
          <w:noProof/>
        </w:rPr>
        <w:t xml:space="preserve"> The posting rule allocates social risks between the State of origin, which remains competent for two years after departure, and the State of destination, which becomes competent at that point.</w:t>
      </w:r>
      <w:r w:rsidRPr="00EB5AA5">
        <w:rPr>
          <w:rStyle w:val="FootnoteReference"/>
          <w:rFonts w:ascii="Times New Roman"/>
          <w:noProof/>
        </w:rPr>
        <w:footnoteReference w:id="107"/>
      </w:r>
    </w:p>
    <w:p w14:paraId="70DD0C8D" w14:textId="77777777" w:rsidR="004C479A" w:rsidRPr="00EB5AA5" w:rsidRDefault="004C479A" w:rsidP="008638AF">
      <w:pPr>
        <w:pStyle w:val="Heading2"/>
        <w:numPr>
          <w:ilvl w:val="1"/>
          <w:numId w:val="16"/>
        </w:numPr>
        <w:spacing w:before="0" w:after="160" w:line="360" w:lineRule="auto"/>
        <w:rPr>
          <w:rFonts w:ascii="Times New Roman" w:hAnsi="Times New Roman" w:cs="Times New Roman"/>
          <w:noProof/>
          <w:color w:val="auto"/>
        </w:rPr>
      </w:pPr>
      <w:r w:rsidRPr="00EB5AA5">
        <w:rPr>
          <w:rFonts w:ascii="Times New Roman" w:hAnsi="Times New Roman" w:cs="Times New Roman"/>
          <w:noProof/>
          <w:color w:val="auto"/>
        </w:rPr>
        <w:lastRenderedPageBreak/>
        <w:t>Variations on three themes</w:t>
      </w:r>
    </w:p>
    <w:p w14:paraId="6B3780F2" w14:textId="77777777" w:rsidR="004C479A" w:rsidRPr="00EB5AA5" w:rsidRDefault="004C479A" w:rsidP="008638AF">
      <w:pPr>
        <w:spacing w:line="360" w:lineRule="auto"/>
        <w:rPr>
          <w:rFonts w:ascii="Times New Roman"/>
          <w:noProof/>
        </w:rPr>
      </w:pPr>
      <w:bookmarkStart w:id="144" w:name="_Hlk5036904"/>
      <w:r w:rsidRPr="00EB5AA5">
        <w:rPr>
          <w:rFonts w:ascii="Times New Roman"/>
          <w:noProof/>
        </w:rPr>
        <w:t xml:space="preserve">Rule-makers have experimented with each regulatory tool. The instant transition is embedded in Regulation 883/2004. The </w:t>
      </w:r>
      <w:r w:rsidRPr="00EB5AA5">
        <w:rPr>
          <w:rFonts w:ascii="Times New Roman"/>
          <w:i/>
          <w:iCs/>
          <w:noProof/>
        </w:rPr>
        <w:t>lex loci laboris</w:t>
      </w:r>
      <w:r w:rsidRPr="00EB5AA5">
        <w:rPr>
          <w:rFonts w:ascii="Times New Roman"/>
          <w:noProof/>
        </w:rPr>
        <w:t xml:space="preserve"> switches the applicable law for most social security benefits as soon as a person takes up work in the State of destination, which cannot delay the transition.</w:t>
      </w:r>
      <w:r w:rsidRPr="00EB5AA5">
        <w:rPr>
          <w:rStyle w:val="FootnoteReference"/>
          <w:rFonts w:ascii="Times New Roman"/>
          <w:noProof/>
        </w:rPr>
        <w:footnoteReference w:id="108"/>
      </w:r>
      <w:r w:rsidRPr="00EB5AA5">
        <w:rPr>
          <w:rFonts w:ascii="Times New Roman"/>
          <w:noProof/>
        </w:rPr>
        <w:t xml:space="preserve"> Article 7(2) Regulation 492/2011 and Article 45 TFEU permit migrant workers to claim social advantages immediately: </w:t>
      </w:r>
      <w:bookmarkStart w:id="145" w:name="_Hlk18152584"/>
      <w:r w:rsidRPr="00EB5AA5">
        <w:rPr>
          <w:rFonts w:ascii="Times New Roman"/>
          <w:noProof/>
        </w:rPr>
        <w:t>the State of work can neither demand past residence</w:t>
      </w:r>
      <w:bookmarkStart w:id="146" w:name="_Ref18691322"/>
      <w:r w:rsidRPr="00EB5AA5">
        <w:rPr>
          <w:rStyle w:val="FootnoteReference"/>
          <w:rFonts w:ascii="Times New Roman"/>
          <w:noProof/>
        </w:rPr>
        <w:footnoteReference w:id="109"/>
      </w:r>
      <w:bookmarkEnd w:id="146"/>
      <w:r w:rsidRPr="00EB5AA5">
        <w:rPr>
          <w:rFonts w:ascii="Times New Roman"/>
          <w:noProof/>
        </w:rPr>
        <w:t xml:space="preserve"> nor past work</w:t>
      </w:r>
      <w:bookmarkStart w:id="147" w:name="_Ref18691330"/>
      <w:r w:rsidRPr="00EB5AA5">
        <w:rPr>
          <w:rFonts w:ascii="Times New Roman"/>
          <w:noProof/>
          <w:vertAlign w:val="superscript"/>
        </w:rPr>
        <w:footnoteReference w:id="110"/>
      </w:r>
      <w:bookmarkEnd w:id="145"/>
      <w:bookmarkEnd w:id="147"/>
      <w:r w:rsidRPr="00EB5AA5">
        <w:rPr>
          <w:rFonts w:ascii="Times New Roman"/>
          <w:noProof/>
        </w:rPr>
        <w:t xml:space="preserve">—though, as we shall see shortly, change might be afoot. </w:t>
      </w:r>
      <w:bookmarkStart w:id="148" w:name="_Hlk17980434"/>
      <w:r w:rsidRPr="00EB5AA5">
        <w:rPr>
          <w:rFonts w:ascii="Times New Roman"/>
          <w:noProof/>
        </w:rPr>
        <w:t>Finally, the Patient Mobility Directive entitles patients to seek some treatments in the Member State of their choice without delay.</w:t>
      </w:r>
      <w:bookmarkEnd w:id="148"/>
    </w:p>
    <w:p w14:paraId="4B5AAA57" w14:textId="77777777" w:rsidR="004C479A" w:rsidRPr="00EB5AA5" w:rsidRDefault="004C479A" w:rsidP="008638AF">
      <w:pPr>
        <w:spacing w:line="360" w:lineRule="auto"/>
        <w:rPr>
          <w:rFonts w:ascii="Times New Roman"/>
          <w:noProof/>
        </w:rPr>
      </w:pPr>
      <w:r w:rsidRPr="00EB5AA5">
        <w:rPr>
          <w:rFonts w:ascii="Times New Roman"/>
          <w:noProof/>
        </w:rPr>
        <w:t xml:space="preserve">Symmetrical waiting periods are housed almost exclusively in Regulation 883/2004. The simplest example is the two-year period for posted workers. The </w:t>
      </w:r>
      <w:r w:rsidRPr="00EB5AA5">
        <w:rPr>
          <w:rFonts w:ascii="Times New Roman"/>
          <w:i/>
          <w:noProof/>
        </w:rPr>
        <w:t>lex loci domicilii</w:t>
      </w:r>
      <w:r w:rsidRPr="00EB5AA5">
        <w:rPr>
          <w:rFonts w:ascii="Times New Roman"/>
          <w:iCs/>
          <w:noProof/>
        </w:rPr>
        <w:t xml:space="preserve"> delays the transition to the social security system of the State of destination until migrants’ </w:t>
      </w:r>
      <w:r w:rsidRPr="00EB5AA5">
        <w:rPr>
          <w:rFonts w:ascii="Times New Roman"/>
          <w:noProof/>
        </w:rPr>
        <w:t>habitual centre of interests has moved; in the interim they remain subject to the system of their State of origin.</w:t>
      </w:r>
      <w:r w:rsidRPr="00EB5AA5">
        <w:rPr>
          <w:rStyle w:val="FootnoteReference"/>
          <w:rFonts w:ascii="Times New Roman"/>
          <w:noProof/>
        </w:rPr>
        <w:footnoteReference w:id="111"/>
      </w:r>
      <w:r w:rsidRPr="00EB5AA5">
        <w:rPr>
          <w:rFonts w:ascii="Times New Roman"/>
          <w:noProof/>
        </w:rPr>
        <w:t xml:space="preserve"> Other symmetrical waiting periods are benefit-specific. Article 57 Regulation 883/2004 provides that migrants in principle do not acquire the old-age pensions, survivors’ pensions and some invalidity pensions of a State until they have been insured or resident there for a year, while ensuring that shorter periods of insurance or residence yield pension rights in other Member States. More generally, the coordination of such pensions amalgamates symmetrical waiting periods with plurality.</w:t>
      </w:r>
      <w:r w:rsidRPr="00EB5AA5">
        <w:rPr>
          <w:rStyle w:val="FootnoteReference"/>
          <w:rFonts w:ascii="Times New Roman"/>
          <w:noProof/>
        </w:rPr>
        <w:footnoteReference w:id="112"/>
      </w:r>
      <w:r w:rsidRPr="00EB5AA5">
        <w:rPr>
          <w:rFonts w:ascii="Times New Roman"/>
          <w:noProof/>
        </w:rPr>
        <w:t xml:space="preserve"> Lastly, the EU legislator is contemplating attaching such periods to unemployment benefits.</w:t>
      </w:r>
      <w:r w:rsidRPr="00EB5AA5">
        <w:rPr>
          <w:rFonts w:ascii="Times New Roman"/>
          <w:noProof/>
          <w:vertAlign w:val="superscript"/>
        </w:rPr>
        <w:footnoteReference w:id="113"/>
      </w:r>
    </w:p>
    <w:p w14:paraId="7045B121" w14:textId="77777777" w:rsidR="004C479A" w:rsidRPr="00EB5AA5" w:rsidRDefault="004C479A" w:rsidP="008638AF">
      <w:pPr>
        <w:spacing w:line="360" w:lineRule="auto"/>
        <w:rPr>
          <w:rFonts w:ascii="Times New Roman"/>
          <w:noProof/>
        </w:rPr>
      </w:pPr>
      <w:bookmarkStart w:id="149" w:name="_Hlk17823174"/>
      <w:r w:rsidRPr="00EB5AA5">
        <w:rPr>
          <w:rFonts w:ascii="Times New Roman"/>
          <w:noProof/>
        </w:rPr>
        <w:t>In domestic law, leavers tend to lose social protection immediately,</w:t>
      </w:r>
      <w:bookmarkEnd w:id="149"/>
      <w:r w:rsidRPr="00EB5AA5">
        <w:rPr>
          <w:rFonts w:ascii="Times New Roman"/>
          <w:noProof/>
        </w:rPr>
        <w:t xml:space="preserve"> while newcomers are made to wait, sometimes indefinitely. </w:t>
      </w:r>
      <w:bookmarkEnd w:id="144"/>
      <w:r w:rsidRPr="00EB5AA5">
        <w:rPr>
          <w:rFonts w:ascii="Times New Roman"/>
          <w:noProof/>
        </w:rPr>
        <w:t xml:space="preserve">The fondness of national lawmakers for asymmetrical waiting periods is indulged in parts of EU law. The Citizenship Directive is largely built around them: the residence rights, equal treatment rights and welfare rights of non-workers in the host State consolidate over time. </w:t>
      </w:r>
      <w:bookmarkStart w:id="150" w:name="_Hlk18676119"/>
      <w:r w:rsidRPr="00EB5AA5">
        <w:rPr>
          <w:rFonts w:ascii="Times New Roman"/>
          <w:noProof/>
        </w:rPr>
        <w:t>Member States can withhold (i) social assistance</w:t>
      </w:r>
      <w:bookmarkStart w:id="151" w:name="_Ref18688781"/>
      <w:r w:rsidRPr="00EB5AA5">
        <w:rPr>
          <w:rStyle w:val="FootnoteReference"/>
          <w:rFonts w:ascii="Times New Roman"/>
          <w:noProof/>
        </w:rPr>
        <w:footnoteReference w:id="114"/>
      </w:r>
      <w:bookmarkEnd w:id="151"/>
      <w:r w:rsidRPr="00EB5AA5">
        <w:rPr>
          <w:rFonts w:ascii="Times New Roman"/>
          <w:noProof/>
        </w:rPr>
        <w:t xml:space="preserve"> and even some pure social security benefits</w:t>
      </w:r>
      <w:bookmarkStart w:id="152" w:name="_Ref18689419"/>
      <w:r w:rsidRPr="00EB5AA5">
        <w:rPr>
          <w:rStyle w:val="FootnoteReference"/>
          <w:rFonts w:ascii="Times New Roman"/>
          <w:noProof/>
        </w:rPr>
        <w:footnoteReference w:id="115"/>
      </w:r>
      <w:bookmarkEnd w:id="152"/>
      <w:r w:rsidRPr="00EB5AA5">
        <w:rPr>
          <w:rFonts w:ascii="Times New Roman"/>
          <w:noProof/>
        </w:rPr>
        <w:t xml:space="preserve"> from economically inactive EU citizens until their right to reside is secure; (ii) social assistance from jobseekers until they acquire a stronger status such as that of worker or permanent resident;</w:t>
      </w:r>
      <w:r w:rsidRPr="00EB5AA5">
        <w:rPr>
          <w:rStyle w:val="FootnoteReference"/>
          <w:rFonts w:ascii="Times New Roman"/>
          <w:noProof/>
        </w:rPr>
        <w:footnoteReference w:id="116"/>
      </w:r>
      <w:r w:rsidRPr="00EB5AA5">
        <w:rPr>
          <w:rFonts w:ascii="Times New Roman"/>
          <w:noProof/>
        </w:rPr>
        <w:t xml:space="preserve"> and (iii) maintenance aid until the student becomes a worker, a family member of a </w:t>
      </w:r>
      <w:r w:rsidRPr="00EB5AA5">
        <w:rPr>
          <w:rFonts w:ascii="Times New Roman"/>
          <w:noProof/>
        </w:rPr>
        <w:lastRenderedPageBreak/>
        <w:t>worker, or a permanent resident.</w:t>
      </w:r>
      <w:bookmarkStart w:id="153" w:name="_Ref18688798"/>
      <w:r w:rsidRPr="00EB5AA5">
        <w:rPr>
          <w:rStyle w:val="FootnoteReference"/>
          <w:rFonts w:ascii="Times New Roman"/>
          <w:noProof/>
        </w:rPr>
        <w:footnoteReference w:id="117"/>
      </w:r>
      <w:bookmarkEnd w:id="153"/>
      <w:r w:rsidRPr="00EB5AA5">
        <w:rPr>
          <w:rFonts w:ascii="Times New Roman"/>
          <w:noProof/>
        </w:rPr>
        <w:t xml:space="preserve"> The ECJ strengthened these asymmetrical waiting periods by insulating them from challenge under primary law, by neutering the principle of proportionality, and by defining “social assistance” broadly.</w:t>
      </w:r>
    </w:p>
    <w:bookmarkEnd w:id="150"/>
    <w:p w14:paraId="3CA943E9" w14:textId="77777777" w:rsidR="004C479A" w:rsidRPr="00EB5AA5" w:rsidRDefault="004C479A" w:rsidP="008638AF">
      <w:pPr>
        <w:spacing w:line="360" w:lineRule="auto"/>
        <w:rPr>
          <w:rFonts w:ascii="Times New Roman"/>
          <w:noProof/>
        </w:rPr>
      </w:pPr>
      <w:r w:rsidRPr="00EB5AA5">
        <w:rPr>
          <w:rFonts w:ascii="Times New Roman"/>
          <w:noProof/>
        </w:rPr>
        <w:t xml:space="preserve">Even the more migrant-friendly </w:t>
      </w:r>
      <w:bookmarkStart w:id="154" w:name="_Hlk17556373"/>
      <w:r w:rsidRPr="00EB5AA5">
        <w:rPr>
          <w:rFonts w:ascii="Times New Roman"/>
          <w:noProof/>
        </w:rPr>
        <w:t xml:space="preserve">“real link” case law </w:t>
      </w:r>
      <w:bookmarkEnd w:id="154"/>
      <w:r w:rsidRPr="00EB5AA5">
        <w:rPr>
          <w:rFonts w:ascii="Times New Roman"/>
          <w:noProof/>
        </w:rPr>
        <w:t>mostly results in asymmetrical waiting periods, as the State of destination may refuse benefits until the person has established a real link with its society or labour market, which tends to be time-consuming.</w:t>
      </w:r>
      <w:r w:rsidRPr="00EB5AA5">
        <w:rPr>
          <w:rStyle w:val="FootnoteReference"/>
          <w:rFonts w:ascii="Times New Roman"/>
          <w:noProof/>
        </w:rPr>
        <w:footnoteReference w:id="118"/>
      </w:r>
      <w:r w:rsidRPr="00EB5AA5">
        <w:rPr>
          <w:rFonts w:ascii="Times New Roman"/>
          <w:noProof/>
        </w:rPr>
        <w:t xml:space="preserve"> The gap in social protection may be shortened if the State of origin is brought to maintain benefits after departure because the real links of the claimant fade rather than ending overnight.</w:t>
      </w:r>
      <w:r w:rsidRPr="00EB5AA5">
        <w:rPr>
          <w:rStyle w:val="FootnoteReference"/>
          <w:rFonts w:ascii="Times New Roman"/>
          <w:noProof/>
        </w:rPr>
        <w:footnoteReference w:id="119"/>
      </w:r>
      <w:r w:rsidRPr="00EB5AA5">
        <w:rPr>
          <w:rFonts w:ascii="Times New Roman"/>
          <w:noProof/>
        </w:rPr>
        <w:t xml:space="preserve"> The increased social responsibilities of the State of origin help “the migrant to move closer to the point at which he or she can instead claim to be assimilated into the welfare system of the host state.”</w:t>
      </w:r>
      <w:r w:rsidRPr="00EB5AA5">
        <w:rPr>
          <w:rStyle w:val="FootnoteReference"/>
          <w:rFonts w:ascii="Times New Roman"/>
          <w:noProof/>
        </w:rPr>
        <w:footnoteReference w:id="120"/>
      </w:r>
      <w:r w:rsidRPr="00EB5AA5">
        <w:rPr>
          <w:rFonts w:ascii="Times New Roman"/>
          <w:noProof/>
        </w:rPr>
        <w:t xml:space="preserve"> If the gap is bridged, the waiting period is symmetrical.</w:t>
      </w:r>
    </w:p>
    <w:p w14:paraId="449F247A" w14:textId="77777777" w:rsidR="004C479A" w:rsidRPr="00EB5AA5" w:rsidRDefault="004C479A" w:rsidP="008638AF">
      <w:pPr>
        <w:spacing w:line="360" w:lineRule="auto"/>
        <w:rPr>
          <w:rFonts w:ascii="Times New Roman"/>
          <w:noProof/>
        </w:rPr>
      </w:pPr>
      <w:bookmarkStart w:id="155" w:name="_Hlk17980573"/>
      <w:bookmarkStart w:id="156" w:name="_Hlk17980566"/>
      <w:r w:rsidRPr="00EB5AA5">
        <w:rPr>
          <w:rFonts w:ascii="Times New Roman"/>
          <w:noProof/>
        </w:rPr>
        <w:t xml:space="preserve">In three recent cases concerning the access of the children of migrant workers to the study finance of Luxembourg, where their parents worked but no family member resided, the ECJ allowed asymmetrical waiting periods to make inroads in the free movement of workers. Luxembourg sought to increase the proportion of its population that is highly educated by offering grants and loans to its residents, even if they study abroad. The ECJ found this residence condition to be indirectly discriminatory in </w:t>
      </w:r>
      <w:r w:rsidRPr="00EB5AA5">
        <w:rPr>
          <w:rFonts w:ascii="Times New Roman"/>
          <w:i/>
          <w:iCs/>
          <w:noProof/>
        </w:rPr>
        <w:t>Giersch</w:t>
      </w:r>
      <w:r w:rsidRPr="00EB5AA5">
        <w:rPr>
          <w:rFonts w:ascii="Times New Roman"/>
          <w:noProof/>
        </w:rPr>
        <w:t>. While its aim was legitimate, it went beyond what is necessary, as other elements could establish “the existence of a reasonable probability that the recipients of that aid will return to settle in Luxembourg and make themselves available to the labour market of that Member State”.</w:t>
      </w:r>
      <w:r w:rsidRPr="00EB5AA5">
        <w:rPr>
          <w:rStyle w:val="FootnoteReference"/>
          <w:rFonts w:ascii="Times New Roman"/>
          <w:noProof/>
        </w:rPr>
        <w:footnoteReference w:id="121"/>
      </w:r>
      <w:r w:rsidRPr="00EB5AA5">
        <w:rPr>
          <w:rFonts w:ascii="Times New Roman"/>
          <w:noProof/>
        </w:rPr>
        <w:t xml:space="preserve"> The ECJ suggested that “the financial aid could be made conditional on the frontier worker, the parent of the student who does not reside in Luxembourg, having worked in that Member State for a certain minimum period of time.”</w:t>
      </w:r>
      <w:r w:rsidRPr="00EB5AA5">
        <w:rPr>
          <w:rFonts w:ascii="Times New Roman"/>
          <w:noProof/>
          <w:vertAlign w:val="superscript"/>
        </w:rPr>
        <w:footnoteReference w:id="122"/>
      </w:r>
      <w:r w:rsidRPr="00EB5AA5">
        <w:rPr>
          <w:rFonts w:ascii="Times New Roman"/>
          <w:noProof/>
        </w:rPr>
        <w:t xml:space="preserve"> Luxembourg reacted by opening its study finance to non-resident students, provided that one of their parents has worked in Luxembourg for a continuous period of five years. In </w:t>
      </w:r>
      <w:bookmarkStart w:id="157" w:name="_Hlk17991843"/>
      <w:r w:rsidRPr="00EB5AA5">
        <w:rPr>
          <w:rFonts w:ascii="Times New Roman"/>
          <w:i/>
          <w:iCs/>
          <w:noProof/>
        </w:rPr>
        <w:t>Bragança Linares Verruga</w:t>
      </w:r>
      <w:bookmarkEnd w:id="157"/>
      <w:r w:rsidRPr="00EB5AA5">
        <w:rPr>
          <w:rFonts w:ascii="Times New Roman"/>
          <w:noProof/>
        </w:rPr>
        <w:t>, the ECJ considered this waiting period to be appropriate, as it establishes a sufficient “connection on the part of those workers to Luxembourg society and a reasonable probability that the student will return to Luxembourg after completing his studies.”</w:t>
      </w:r>
      <w:r w:rsidRPr="00EB5AA5">
        <w:rPr>
          <w:rStyle w:val="FootnoteReference"/>
          <w:rFonts w:ascii="Times New Roman"/>
          <w:noProof/>
        </w:rPr>
        <w:footnoteReference w:id="123"/>
      </w:r>
      <w:r w:rsidRPr="00EB5AA5">
        <w:rPr>
          <w:rFonts w:ascii="Times New Roman"/>
          <w:noProof/>
        </w:rPr>
        <w:t xml:space="preserve"> It was however disproportionate, because the student’s parents had worked over five years in Luxembourg, albeit with short interruptions. By the time </w:t>
      </w:r>
      <w:bookmarkStart w:id="158" w:name="_Hlk17991848"/>
      <w:r w:rsidRPr="00EB5AA5">
        <w:rPr>
          <w:rFonts w:ascii="Times New Roman"/>
          <w:i/>
          <w:iCs/>
          <w:noProof/>
        </w:rPr>
        <w:t>Aubriet</w:t>
      </w:r>
      <w:r w:rsidRPr="00EB5AA5">
        <w:rPr>
          <w:rFonts w:ascii="Times New Roman"/>
          <w:noProof/>
        </w:rPr>
        <w:t xml:space="preserve"> </w:t>
      </w:r>
      <w:bookmarkEnd w:id="158"/>
      <w:r w:rsidRPr="00EB5AA5">
        <w:rPr>
          <w:rFonts w:ascii="Times New Roman"/>
          <w:noProof/>
        </w:rPr>
        <w:t xml:space="preserve">was heard, the Luxembourg legislation had again been modified: the parent should have worked five years in the seven years </w:t>
      </w:r>
      <w:r w:rsidRPr="00EB5AA5">
        <w:rPr>
          <w:rFonts w:ascii="Times New Roman"/>
          <w:noProof/>
        </w:rPr>
        <w:lastRenderedPageBreak/>
        <w:t xml:space="preserve">preceding the claim. Mr Aubriet’s father had worked in Luxembourg for over 17 years, but only two of these fell in the seven-year reference period. The ECJ did not question the necessity of the five-year waiting period. Instead, it focused entirely on whether the reference period was necessary to increase the number of highly educated Luxembourg residents. Straying from its usual approach, the ECJ did not require Luxembourg to look into the circumstances of the case to establish whether other ties bind the worker to its society: </w:t>
      </w:r>
    </w:p>
    <w:p w14:paraId="28472634" w14:textId="77777777" w:rsidR="004C479A" w:rsidRPr="00EB5AA5" w:rsidRDefault="004C479A" w:rsidP="008638AF">
      <w:pPr>
        <w:spacing w:line="360" w:lineRule="auto"/>
        <w:ind w:left="720"/>
        <w:rPr>
          <w:rFonts w:ascii="Times New Roman"/>
          <w:noProof/>
        </w:rPr>
      </w:pPr>
      <w:r w:rsidRPr="00EB5AA5">
        <w:rPr>
          <w:rFonts w:ascii="Times New Roman"/>
          <w:noProof/>
        </w:rPr>
        <w:t>“[t]he principle of non-discrimination and the principle of proportionality cannot be interpreted as requiring such an assessment on a case-by-case basis by a public authority responsible for a standardised mass procedure.”</w:t>
      </w:r>
      <w:r w:rsidRPr="00EB5AA5">
        <w:rPr>
          <w:rStyle w:val="FootnoteReference"/>
          <w:rFonts w:ascii="Times New Roman"/>
          <w:noProof/>
        </w:rPr>
        <w:footnoteReference w:id="124"/>
      </w:r>
    </w:p>
    <w:p w14:paraId="4C91501D" w14:textId="77777777" w:rsidR="004C479A" w:rsidRPr="00EB5AA5" w:rsidRDefault="004C479A" w:rsidP="008638AF">
      <w:pPr>
        <w:spacing w:line="360" w:lineRule="auto"/>
        <w:rPr>
          <w:rFonts w:ascii="Times New Roman"/>
          <w:noProof/>
        </w:rPr>
      </w:pPr>
      <w:r w:rsidRPr="00EB5AA5">
        <w:rPr>
          <w:rFonts w:ascii="Times New Roman"/>
          <w:noProof/>
        </w:rPr>
        <w:t>Nonetheless, the seven-year reference period was disproportionate as it “is not sufficient to make full assessment of the significance of that cross-border worker’s connections with the Luxembourg labour market”.</w:t>
      </w:r>
      <w:r w:rsidRPr="00EB5AA5">
        <w:rPr>
          <w:rStyle w:val="FootnoteReference"/>
          <w:rFonts w:ascii="Times New Roman"/>
          <w:noProof/>
        </w:rPr>
        <w:footnoteReference w:id="125"/>
      </w:r>
      <w:r w:rsidRPr="00EB5AA5">
        <w:rPr>
          <w:rFonts w:ascii="Times New Roman"/>
          <w:noProof/>
        </w:rPr>
        <w:t xml:space="preserve"> The three rulings show that the ECJ now treats five-year waiting periods with a degree of deference</w:t>
      </w:r>
      <w:r w:rsidRPr="00EB5AA5">
        <w:rPr>
          <w:rStyle w:val="FootnoteReference"/>
          <w:rFonts w:ascii="Times New Roman"/>
          <w:noProof/>
        </w:rPr>
        <w:footnoteReference w:id="126"/>
      </w:r>
      <w:r w:rsidRPr="00EB5AA5">
        <w:rPr>
          <w:rFonts w:ascii="Times New Roman"/>
          <w:noProof/>
        </w:rPr>
        <w:t xml:space="preserve"> at least for non-resident, economically inactive students, whose parents are non-resident workers and who study outside the State whose study finance they claim. While it remains to be seen how far this leniency extends, especially as it is rare for claimants to be so tenuously linked to the State of work, it is striking that asymmetrical waiting periods are gaining a foothold in the free movement of workers, from which they were once categorically banned.</w:t>
      </w:r>
      <w:bookmarkEnd w:id="155"/>
      <w:r w:rsidRPr="00EB5AA5">
        <w:rPr>
          <w:rStyle w:val="FootnoteReference"/>
          <w:rFonts w:ascii="Times New Roman"/>
          <w:noProof/>
        </w:rPr>
        <w:footnoteReference w:id="127"/>
      </w:r>
      <w:bookmarkEnd w:id="156"/>
    </w:p>
    <w:p w14:paraId="7DBB3D5A" w14:textId="77777777" w:rsidR="004C479A" w:rsidRPr="00EB5AA5" w:rsidRDefault="004C479A" w:rsidP="008638AF">
      <w:pPr>
        <w:spacing w:line="360" w:lineRule="auto"/>
        <w:rPr>
          <w:rFonts w:ascii="Times New Roman"/>
          <w:noProof/>
        </w:rPr>
      </w:pPr>
      <w:r w:rsidRPr="00EB5AA5">
        <w:rPr>
          <w:rFonts w:ascii="Times New Roman"/>
          <w:noProof/>
        </w:rPr>
        <w:t xml:space="preserve">Finally, had the referendum gone the other way, the New Settlement for the United Kingdom within the European Union would have introduced asymmetrical waiting periods for migrant workers rather than their children. An emergency brake would have enabled some Member States </w:t>
      </w:r>
    </w:p>
    <w:p w14:paraId="132D9737" w14:textId="77777777" w:rsidR="004C479A" w:rsidRPr="00EB5AA5" w:rsidRDefault="004C479A" w:rsidP="008638AF">
      <w:pPr>
        <w:spacing w:line="360" w:lineRule="auto"/>
        <w:ind w:left="720"/>
        <w:rPr>
          <w:rFonts w:ascii="Times New Roman"/>
          <w:noProof/>
        </w:rPr>
      </w:pPr>
      <w:r w:rsidRPr="00EB5AA5">
        <w:rPr>
          <w:rFonts w:ascii="Times New Roman"/>
          <w:noProof/>
        </w:rPr>
        <w:t>“to limit the access of newly arriving EU workers to non-contributory in-work benefits for a total period of up to four years from the commencement of employment. The limitation should be graduated, from an initial complete exclusion but gradually increasing access to such benefits to take account of the growing connection of the worker with the labour market of the host Member State.”</w:t>
      </w:r>
      <w:r w:rsidRPr="00EB5AA5">
        <w:rPr>
          <w:rFonts w:ascii="Times New Roman"/>
          <w:noProof/>
          <w:vertAlign w:val="superscript"/>
        </w:rPr>
        <w:footnoteReference w:id="128"/>
      </w:r>
      <w:r w:rsidRPr="00EB5AA5">
        <w:rPr>
          <w:rFonts w:ascii="Times New Roman"/>
          <w:noProof/>
        </w:rPr>
        <w:t xml:space="preserve"> </w:t>
      </w:r>
    </w:p>
    <w:p w14:paraId="570ED3A6" w14:textId="77777777" w:rsidR="004C479A" w:rsidRPr="00EB5AA5" w:rsidRDefault="004C479A" w:rsidP="008638AF">
      <w:pPr>
        <w:spacing w:line="360" w:lineRule="auto"/>
        <w:rPr>
          <w:rFonts w:ascii="Times New Roman"/>
          <w:noProof/>
        </w:rPr>
      </w:pPr>
      <w:r w:rsidRPr="00EB5AA5">
        <w:rPr>
          <w:rFonts w:ascii="Times New Roman"/>
          <w:noProof/>
        </w:rPr>
        <w:t xml:space="preserve">EU institutions accordingly time the transition between the State of origin and the State of destination differently depending on the benefit and beneficiary. It will be seen that the rules of EU social </w:t>
      </w:r>
      <w:r w:rsidRPr="00EB5AA5">
        <w:rPr>
          <w:rFonts w:ascii="Times New Roman"/>
          <w:noProof/>
        </w:rPr>
        <w:lastRenderedPageBreak/>
        <w:t>benefits law that cannot be framed as variations on these three highly stylised tools are instances of the fourth tool, plurality (Section 6).</w:t>
      </w:r>
    </w:p>
    <w:p w14:paraId="6EDA69C2" w14:textId="77777777" w:rsidR="004C479A" w:rsidRPr="00EB5AA5" w:rsidRDefault="004C479A" w:rsidP="008638AF">
      <w:pPr>
        <w:pStyle w:val="Heading2"/>
        <w:numPr>
          <w:ilvl w:val="1"/>
          <w:numId w:val="16"/>
        </w:numPr>
        <w:spacing w:before="0" w:after="160" w:line="360" w:lineRule="auto"/>
        <w:rPr>
          <w:rFonts w:ascii="Times New Roman" w:hAnsi="Times New Roman" w:cs="Times New Roman"/>
          <w:noProof/>
          <w:color w:val="auto"/>
        </w:rPr>
      </w:pPr>
      <w:bookmarkStart w:id="159" w:name="_Toc9341409"/>
      <w:bookmarkStart w:id="160" w:name="_Hlk7527567"/>
      <w:r w:rsidRPr="00EB5AA5">
        <w:rPr>
          <w:rFonts w:ascii="Times New Roman" w:hAnsi="Times New Roman" w:cs="Times New Roman"/>
          <w:noProof/>
          <w:color w:val="auto"/>
        </w:rPr>
        <w:t>An obstacle to free movement?</w:t>
      </w:r>
      <w:bookmarkEnd w:id="159"/>
    </w:p>
    <w:p w14:paraId="4C182B3E" w14:textId="77777777" w:rsidR="004C479A" w:rsidRPr="00EB5AA5" w:rsidRDefault="004C479A" w:rsidP="008638AF">
      <w:pPr>
        <w:spacing w:line="360" w:lineRule="auto"/>
        <w:rPr>
          <w:rFonts w:ascii="Times New Roman"/>
          <w:noProof/>
        </w:rPr>
      </w:pPr>
      <w:bookmarkStart w:id="161" w:name="_Hlk17299094"/>
      <w:r w:rsidRPr="00EB5AA5">
        <w:rPr>
          <w:rFonts w:ascii="Times New Roman"/>
          <w:noProof/>
        </w:rPr>
        <w:t>The EU legislature can choose freely between the tools, as long as it stays within the parameters set by the Treaty. This Section will conclude that the asymmetrical waiting period is at the highest risk of being incompatible with the Treaty.</w:t>
      </w:r>
    </w:p>
    <w:p w14:paraId="563FB56D" w14:textId="77777777" w:rsidR="004C479A" w:rsidRPr="00EB5AA5" w:rsidRDefault="004C479A" w:rsidP="008638AF">
      <w:pPr>
        <w:spacing w:line="360" w:lineRule="auto"/>
        <w:rPr>
          <w:rFonts w:ascii="Times New Roman"/>
          <w:iCs/>
          <w:noProof/>
        </w:rPr>
      </w:pPr>
      <w:r w:rsidRPr="00EB5AA5">
        <w:rPr>
          <w:rFonts w:ascii="Times New Roman"/>
          <w:noProof/>
        </w:rPr>
        <w:t>When it finds a tension between the social security regulations and the Treaty freedoms, the ECJ is traditionally strict.</w:t>
      </w:r>
      <w:r w:rsidRPr="00EB5AA5">
        <w:rPr>
          <w:rStyle w:val="FootnoteReference"/>
          <w:rFonts w:ascii="Times New Roman"/>
          <w:noProof/>
        </w:rPr>
        <w:footnoteReference w:id="129"/>
      </w:r>
      <w:r w:rsidRPr="00EB5AA5">
        <w:rPr>
          <w:rFonts w:ascii="Times New Roman"/>
          <w:noProof/>
        </w:rPr>
        <w:t xml:space="preserve"> While affording the EU legislature “</w:t>
      </w:r>
      <w:r w:rsidRPr="00EB5AA5">
        <w:rPr>
          <w:rFonts w:ascii="Times New Roman"/>
          <w:iCs/>
          <w:noProof/>
        </w:rPr>
        <w:t>wide discretion”</w:t>
      </w:r>
      <w:r w:rsidRPr="00EB5AA5">
        <w:rPr>
          <w:rStyle w:val="FootnoteReference"/>
          <w:rFonts w:ascii="Times New Roman"/>
          <w:iCs/>
          <w:noProof/>
        </w:rPr>
        <w:footnoteReference w:id="130"/>
      </w:r>
      <w:r w:rsidRPr="00EB5AA5">
        <w:rPr>
          <w:rFonts w:ascii="Times New Roman"/>
          <w:iCs/>
          <w:noProof/>
        </w:rPr>
        <w:t xml:space="preserve"> in the field of social security, t</w:t>
      </w:r>
      <w:r w:rsidRPr="00EB5AA5">
        <w:rPr>
          <w:rFonts w:ascii="Times New Roman"/>
          <w:noProof/>
        </w:rPr>
        <w:t>he ECJ has not shied away from invalidating its provisions.</w:t>
      </w:r>
      <w:bookmarkStart w:id="162" w:name="_Hlk17299181"/>
      <w:r w:rsidRPr="00EB5AA5">
        <w:rPr>
          <w:rStyle w:val="FootnoteReference"/>
          <w:rFonts w:ascii="Times New Roman"/>
          <w:noProof/>
        </w:rPr>
        <w:footnoteReference w:id="131"/>
      </w:r>
      <w:bookmarkEnd w:id="162"/>
      <w:r w:rsidRPr="00EB5AA5">
        <w:rPr>
          <w:rFonts w:ascii="Times New Roman"/>
          <w:noProof/>
        </w:rPr>
        <w:t xml:space="preserve"> </w:t>
      </w:r>
      <w:bookmarkStart w:id="163" w:name="_Hlk6513784"/>
      <w:bookmarkEnd w:id="161"/>
      <w:r w:rsidRPr="00EB5AA5">
        <w:rPr>
          <w:rFonts w:ascii="Times New Roman"/>
          <w:noProof/>
        </w:rPr>
        <w:t>Teleological interpretation also enables it to steer a Treaty-friendly course, “emasculating”</w:t>
      </w:r>
      <w:bookmarkStart w:id="164" w:name="_Ref18858568"/>
      <w:r w:rsidRPr="00EB5AA5">
        <w:rPr>
          <w:rStyle w:val="FootnoteReference"/>
          <w:rFonts w:ascii="Times New Roman"/>
          <w:noProof/>
        </w:rPr>
        <w:footnoteReference w:id="132"/>
      </w:r>
      <w:bookmarkEnd w:id="164"/>
      <w:r w:rsidRPr="00EB5AA5">
        <w:rPr>
          <w:rFonts w:ascii="Times New Roman"/>
          <w:noProof/>
        </w:rPr>
        <w:t xml:space="preserve"> if need be rules of secondary legislation that stand in its way.</w:t>
      </w:r>
      <w:r w:rsidRPr="00EB5AA5">
        <w:rPr>
          <w:rStyle w:val="FootnoteReference"/>
          <w:rFonts w:ascii="Times New Roman"/>
          <w:noProof/>
        </w:rPr>
        <w:footnoteReference w:id="133"/>
      </w:r>
      <w:bookmarkEnd w:id="163"/>
      <w:r w:rsidRPr="00EB5AA5">
        <w:rPr>
          <w:rFonts w:ascii="Times New Roman"/>
          <w:noProof/>
        </w:rPr>
        <w:t xml:space="preserve"> </w:t>
      </w:r>
      <w:bookmarkStart w:id="165" w:name="_Hlk5739368"/>
      <w:r w:rsidRPr="00EB5AA5">
        <w:rPr>
          <w:rFonts w:ascii="Times New Roman"/>
          <w:noProof/>
        </w:rPr>
        <w:t>I</w:t>
      </w:r>
      <w:r w:rsidRPr="00EB5AA5">
        <w:rPr>
          <w:rFonts w:ascii="Times New Roman"/>
          <w:iCs/>
          <w:noProof/>
        </w:rPr>
        <w:t>t is “settled case-law” that “</w:t>
      </w:r>
      <w:bookmarkStart w:id="166" w:name="_Hlk5739435"/>
      <w:r w:rsidRPr="00EB5AA5">
        <w:rPr>
          <w:rFonts w:ascii="Times New Roman"/>
          <w:iCs/>
          <w:noProof/>
        </w:rPr>
        <w:t xml:space="preserve">the provisions of Regulation No 1408/71 [now Regulation 883/2004] must be interpreted in the light of the purpose of </w:t>
      </w:r>
      <w:bookmarkEnd w:id="166"/>
      <w:r w:rsidRPr="00EB5AA5">
        <w:rPr>
          <w:rFonts w:ascii="Times New Roman"/>
          <w:iCs/>
          <w:noProof/>
        </w:rPr>
        <w:t>Article 48 TFEU, which is to contribute to the establishment of the greatest possible freedom of movement for migrant workers”.</w:t>
      </w:r>
      <w:r w:rsidRPr="00EB5AA5">
        <w:rPr>
          <w:rStyle w:val="FootnoteReference"/>
          <w:rFonts w:ascii="Times New Roman"/>
          <w:iCs/>
          <w:noProof/>
        </w:rPr>
        <w:footnoteReference w:id="134"/>
      </w:r>
      <w:bookmarkStart w:id="167" w:name="_Hlk5555234"/>
      <w:bookmarkEnd w:id="165"/>
      <w:r w:rsidRPr="00EB5AA5">
        <w:rPr>
          <w:rFonts w:ascii="Times New Roman"/>
          <w:iCs/>
          <w:noProof/>
        </w:rPr>
        <w:t xml:space="preserve"> </w:t>
      </w:r>
      <w:bookmarkStart w:id="168" w:name="_Hlk7953588"/>
      <w:r w:rsidRPr="00EB5AA5">
        <w:rPr>
          <w:rFonts w:ascii="Times New Roman"/>
          <w:noProof/>
        </w:rPr>
        <w:t>The ECJ has further narrowed the gap between the regulation and the Treaty by subjecting national measures straightforwardly implementing the former to a proportionality analysis.</w:t>
      </w:r>
      <w:r w:rsidRPr="00EB5AA5">
        <w:rPr>
          <w:rStyle w:val="FootnoteReference"/>
          <w:rFonts w:ascii="Times New Roman"/>
          <w:noProof/>
        </w:rPr>
        <w:footnoteReference w:id="135"/>
      </w:r>
      <w:bookmarkEnd w:id="167"/>
      <w:r w:rsidRPr="00EB5AA5">
        <w:rPr>
          <w:rFonts w:ascii="Times New Roman"/>
          <w:noProof/>
        </w:rPr>
        <w:t xml:space="preserve"> </w:t>
      </w:r>
      <w:bookmarkEnd w:id="168"/>
      <w:r w:rsidRPr="00EB5AA5">
        <w:rPr>
          <w:rFonts w:ascii="Times New Roman"/>
          <w:noProof/>
        </w:rPr>
        <w:t>Indirectly, through the national measure, it is the regulation that is reviewed and softened.</w:t>
      </w:r>
      <w:r w:rsidRPr="00EB5AA5">
        <w:rPr>
          <w:rStyle w:val="FootnoteReference"/>
          <w:rFonts w:ascii="Times New Roman"/>
          <w:noProof/>
        </w:rPr>
        <w:footnoteReference w:id="136"/>
      </w:r>
      <w:r w:rsidRPr="00EB5AA5">
        <w:rPr>
          <w:rFonts w:ascii="Times New Roman"/>
          <w:noProof/>
        </w:rPr>
        <w:t xml:space="preserve"> </w:t>
      </w:r>
      <w:bookmarkStart w:id="169" w:name="_Hlk8408610"/>
      <w:r w:rsidRPr="00EB5AA5">
        <w:rPr>
          <w:rFonts w:ascii="Times New Roman"/>
          <w:noProof/>
        </w:rPr>
        <w:t>Secondary legislation that is neither invalidated nor emasculated can still be circumvented.</w:t>
      </w:r>
      <w:r w:rsidRPr="00EB5AA5">
        <w:rPr>
          <w:rStyle w:val="FootnoteReference"/>
          <w:rFonts w:ascii="Times New Roman"/>
          <w:noProof/>
        </w:rPr>
        <w:footnoteReference w:id="137"/>
      </w:r>
      <w:r w:rsidRPr="00EB5AA5">
        <w:rPr>
          <w:rFonts w:ascii="Times New Roman"/>
          <w:noProof/>
        </w:rPr>
        <w:t xml:space="preserve"> </w:t>
      </w:r>
      <w:bookmarkEnd w:id="169"/>
      <w:r w:rsidRPr="00EB5AA5">
        <w:rPr>
          <w:rFonts w:ascii="Times New Roman"/>
          <w:noProof/>
        </w:rPr>
        <w:t xml:space="preserve">The classic example concerns patient mobility. </w:t>
      </w:r>
      <w:bookmarkStart w:id="170" w:name="_Hlk17990725"/>
      <w:r w:rsidRPr="00EB5AA5">
        <w:rPr>
          <w:rFonts w:ascii="Times New Roman"/>
          <w:noProof/>
        </w:rPr>
        <w:t>Bypassing the regulation, the ECJ has derived new rights to cross-border health care from the free movement of services.</w:t>
      </w:r>
      <w:r w:rsidRPr="00EB5AA5">
        <w:rPr>
          <w:rStyle w:val="FootnoteReference"/>
          <w:rFonts w:ascii="Times New Roman"/>
          <w:noProof/>
        </w:rPr>
        <w:footnoteReference w:id="138"/>
      </w:r>
      <w:r w:rsidRPr="00EB5AA5">
        <w:rPr>
          <w:rFonts w:ascii="Times New Roman"/>
          <w:noProof/>
        </w:rPr>
        <w:t xml:space="preserve"> </w:t>
      </w:r>
      <w:bookmarkEnd w:id="170"/>
    </w:p>
    <w:p w14:paraId="651FF082" w14:textId="77777777" w:rsidR="004C479A" w:rsidRPr="00EB5AA5" w:rsidRDefault="004C479A" w:rsidP="008638AF">
      <w:pPr>
        <w:spacing w:line="360" w:lineRule="auto"/>
        <w:rPr>
          <w:rFonts w:ascii="Times New Roman"/>
          <w:noProof/>
        </w:rPr>
      </w:pPr>
      <w:r w:rsidRPr="00EB5AA5">
        <w:rPr>
          <w:rFonts w:ascii="Times New Roman"/>
          <w:noProof/>
        </w:rPr>
        <w:lastRenderedPageBreak/>
        <w:t xml:space="preserve">Using this arsenal, the ECJ has weakened variants on each option for timing the transition laid down in secondary law. The </w:t>
      </w:r>
      <w:r w:rsidRPr="00EB5AA5">
        <w:rPr>
          <w:rFonts w:ascii="Times New Roman"/>
          <w:i/>
          <w:iCs/>
          <w:noProof/>
        </w:rPr>
        <w:t>lex loci domicilii</w:t>
      </w:r>
      <w:r w:rsidRPr="00EB5AA5">
        <w:rPr>
          <w:rFonts w:ascii="Times New Roman"/>
          <w:noProof/>
        </w:rPr>
        <w:t xml:space="preserve"> organized an instant transition for Mr Hendrix—when he relocated from the Netherlands to Belgium, his Dutch benefit for disabled young people came to an end, as competence for such benefits shifted to Belgium. The ECJ cast serious doubt on the proportionality of the Dutch decision to terminate a benefit paid to a Dutch national working in the Netherlands, with which he “has maintained all of his economic and social links”.</w:t>
      </w:r>
      <w:r w:rsidRPr="00EB5AA5">
        <w:rPr>
          <w:rStyle w:val="FootnoteReference"/>
          <w:rFonts w:ascii="Times New Roman"/>
          <w:noProof/>
        </w:rPr>
        <w:footnoteReference w:id="139"/>
      </w:r>
      <w:r w:rsidRPr="00EB5AA5">
        <w:rPr>
          <w:rFonts w:ascii="Times New Roman"/>
          <w:noProof/>
        </w:rPr>
        <w:t xml:space="preserve"> </w:t>
      </w:r>
      <w:bookmarkStart w:id="171" w:name="_Hlk7953731"/>
      <w:r w:rsidRPr="00EB5AA5">
        <w:rPr>
          <w:rFonts w:ascii="Times New Roman"/>
          <w:noProof/>
        </w:rPr>
        <w:t>An instant transition is thus not necessarily immune to the Treaty.</w:t>
      </w:r>
    </w:p>
    <w:bookmarkEnd w:id="171"/>
    <w:p w14:paraId="155AAA3C" w14:textId="77777777" w:rsidR="004C479A" w:rsidRPr="00EB5AA5" w:rsidRDefault="004C479A" w:rsidP="008638AF">
      <w:pPr>
        <w:spacing w:line="360" w:lineRule="auto"/>
        <w:rPr>
          <w:rFonts w:ascii="Times New Roman"/>
          <w:noProof/>
        </w:rPr>
      </w:pPr>
      <w:r w:rsidRPr="00EB5AA5">
        <w:rPr>
          <w:rFonts w:ascii="Times New Roman"/>
          <w:noProof/>
        </w:rPr>
        <w:t>Neither is a symmetrical waiting period. Posted workers remain subject to the social security system of their State of origin and shift to the State of destination should they continue working there beyond the maximum period. In many respects, then, the cases of Mr Hudziński and Mr Wawrzyniak were textbook: posted from Poland to Germany for a number of months, they could draw Polish but not German child benefits.</w:t>
      </w:r>
      <w:r w:rsidRPr="00EB5AA5">
        <w:rPr>
          <w:rStyle w:val="FootnoteReference"/>
          <w:rFonts w:ascii="Times New Roman"/>
          <w:noProof/>
        </w:rPr>
        <w:footnoteReference w:id="140"/>
      </w:r>
      <w:r w:rsidRPr="00EB5AA5">
        <w:rPr>
          <w:rFonts w:ascii="Times New Roman"/>
          <w:noProof/>
        </w:rPr>
        <w:t xml:space="preserve"> Without questioning the validity of the posting rule, the ECJ deemed its application in this case to be contrary to the free movement of workers. Germany ought to </w:t>
      </w:r>
      <w:r w:rsidRPr="00EB5AA5">
        <w:rPr>
          <w:rFonts w:ascii="Times New Roman"/>
          <w:i/>
          <w:iCs/>
          <w:noProof/>
        </w:rPr>
        <w:t>immediately</w:t>
      </w:r>
      <w:r w:rsidRPr="00EB5AA5">
        <w:rPr>
          <w:rFonts w:ascii="Times New Roman"/>
          <w:noProof/>
        </w:rPr>
        <w:t xml:space="preserve"> award its child benefits, reduced by the amount of the Polish child benefits.</w:t>
      </w:r>
    </w:p>
    <w:p w14:paraId="52416EB4" w14:textId="77777777" w:rsidR="004C479A" w:rsidRPr="00EB5AA5" w:rsidRDefault="004C479A" w:rsidP="008638AF">
      <w:pPr>
        <w:spacing w:line="360" w:lineRule="auto"/>
        <w:rPr>
          <w:rFonts w:ascii="Times New Roman"/>
          <w:noProof/>
        </w:rPr>
      </w:pPr>
      <w:r w:rsidRPr="00EB5AA5">
        <w:rPr>
          <w:rFonts w:ascii="Times New Roman"/>
          <w:noProof/>
        </w:rPr>
        <w:t xml:space="preserve">Asymmetrical waiting periods laid down in EU law are doubly exposed, as both the immediate end of the benefits of the State of origin and the delayed start of the benefits of the State of destination can be challenged. </w:t>
      </w:r>
      <w:bookmarkStart w:id="172" w:name="_Hlk5736039"/>
      <w:bookmarkStart w:id="173" w:name="_Hlk18741280"/>
      <w:r w:rsidRPr="00EB5AA5">
        <w:rPr>
          <w:rFonts w:ascii="Times New Roman"/>
          <w:noProof/>
        </w:rPr>
        <w:t>The ECJ regularly rules against the home State’s refusal to award maintenance aid to students who study abroad.</w:t>
      </w:r>
      <w:r w:rsidRPr="00EB5AA5">
        <w:rPr>
          <w:rStyle w:val="FootnoteReference"/>
          <w:rFonts w:ascii="Times New Roman"/>
          <w:noProof/>
        </w:rPr>
        <w:footnoteReference w:id="141"/>
      </w:r>
      <w:bookmarkEnd w:id="172"/>
      <w:r w:rsidRPr="00EB5AA5">
        <w:rPr>
          <w:rFonts w:ascii="Times New Roman"/>
          <w:noProof/>
        </w:rPr>
        <w:t xml:space="preserve"> </w:t>
      </w:r>
      <w:bookmarkEnd w:id="173"/>
      <w:r w:rsidRPr="00EB5AA5">
        <w:rPr>
          <w:rFonts w:ascii="Times New Roman"/>
          <w:noProof/>
        </w:rPr>
        <w:t>While recognizing that “it may be legitimate for a Member State […] to grant such assistance only to students who have demonstrated a certain degree of integration into the society of that State”, the ECJ considered Ms Morgan and Ms Bucher to be sufficiently integrated because they “were raised in Germany and completed their schooling there.”</w:t>
      </w:r>
      <w:r w:rsidRPr="00EB5AA5">
        <w:rPr>
          <w:rFonts w:ascii="Times New Roman"/>
          <w:noProof/>
          <w:vertAlign w:val="superscript"/>
        </w:rPr>
        <w:footnoteReference w:id="142"/>
      </w:r>
      <w:r w:rsidRPr="00EB5AA5">
        <w:rPr>
          <w:rFonts w:ascii="Times New Roman"/>
          <w:noProof/>
        </w:rPr>
        <w:t xml:space="preserve"> Given that most adolescents find themselves in the same situation, “[i]f the Court’s reasoning were applied systematically, it could amount to the virtual abolition of territorial restrictions on student financial assistance.”</w:t>
      </w:r>
      <w:r w:rsidRPr="00EB5AA5">
        <w:rPr>
          <w:rStyle w:val="FootnoteReference"/>
          <w:rFonts w:ascii="Times New Roman"/>
          <w:noProof/>
        </w:rPr>
        <w:footnoteReference w:id="143"/>
      </w:r>
      <w:bookmarkStart w:id="174" w:name="_Hlk17627630"/>
      <w:r w:rsidRPr="00EB5AA5">
        <w:rPr>
          <w:rFonts w:ascii="Times New Roman"/>
          <w:noProof/>
        </w:rPr>
        <w:t xml:space="preserve"> </w:t>
      </w:r>
      <w:bookmarkStart w:id="175" w:name="_Hlk18328047"/>
      <w:r w:rsidRPr="00EB5AA5">
        <w:rPr>
          <w:rFonts w:ascii="Times New Roman"/>
          <w:noProof/>
        </w:rPr>
        <w:t>The ECJ has created an escape valve by stressing that “EU law does not impose any obligation on the Member State to provide a system of education or training grants for studies in another Member State”,</w:t>
      </w:r>
      <w:r w:rsidRPr="00EB5AA5">
        <w:rPr>
          <w:rStyle w:val="FootnoteReference"/>
          <w:rFonts w:ascii="Times New Roman"/>
          <w:noProof/>
        </w:rPr>
        <w:footnoteReference w:id="144"/>
      </w:r>
      <w:r w:rsidRPr="00EB5AA5">
        <w:rPr>
          <w:rFonts w:ascii="Times New Roman"/>
          <w:noProof/>
        </w:rPr>
        <w:t xml:space="preserve"> but it scrutinizes the policies of those Member States that do export their study finance for some students. </w:t>
      </w:r>
      <w:bookmarkEnd w:id="175"/>
    </w:p>
    <w:bookmarkEnd w:id="174"/>
    <w:p w14:paraId="3340BDFE" w14:textId="77777777" w:rsidR="004C479A" w:rsidRPr="00EB5AA5" w:rsidRDefault="004C479A" w:rsidP="008638AF">
      <w:pPr>
        <w:spacing w:line="360" w:lineRule="auto"/>
        <w:rPr>
          <w:rFonts w:ascii="Times New Roman"/>
          <w:noProof/>
        </w:rPr>
      </w:pPr>
      <w:r w:rsidRPr="00EB5AA5">
        <w:rPr>
          <w:rFonts w:ascii="Times New Roman"/>
          <w:noProof/>
        </w:rPr>
        <w:t xml:space="preserve">The delayed access to the benefits of the State of destination has also been successfully contested. At the root of the </w:t>
      </w:r>
      <w:r w:rsidRPr="00EB5AA5">
        <w:rPr>
          <w:rFonts w:ascii="Times New Roman"/>
          <w:i/>
          <w:iCs/>
          <w:noProof/>
        </w:rPr>
        <w:t>Leyman</w:t>
      </w:r>
      <w:r w:rsidRPr="00EB5AA5">
        <w:rPr>
          <w:rFonts w:ascii="Times New Roman"/>
          <w:noProof/>
        </w:rPr>
        <w:t xml:space="preserve"> case was a provision of Regulation 1408/71 empowering Belgium to set a one-</w:t>
      </w:r>
      <w:r w:rsidRPr="00EB5AA5">
        <w:rPr>
          <w:rFonts w:ascii="Times New Roman"/>
          <w:noProof/>
        </w:rPr>
        <w:lastRenderedPageBreak/>
        <w:t>year waiting period. The ECJ neutralized it: Article 39 EC Treaty (now Art. 45 TFEU) requires Belgium to award its invalidity benefit immediately since delay would result in a migrant worker paying contributions on which there is no return, and being therefore disadvantaged in comparison with a sedentary worker.</w:t>
      </w:r>
      <w:r w:rsidRPr="00EB5AA5">
        <w:rPr>
          <w:rStyle w:val="FootnoteReference"/>
          <w:rFonts w:ascii="Times New Roman"/>
          <w:noProof/>
        </w:rPr>
        <w:footnoteReference w:id="145"/>
      </w:r>
    </w:p>
    <w:p w14:paraId="55C58181" w14:textId="77777777" w:rsidR="004C479A" w:rsidRPr="00EB5AA5" w:rsidRDefault="004C479A" w:rsidP="008638AF">
      <w:pPr>
        <w:spacing w:line="360" w:lineRule="auto"/>
        <w:rPr>
          <w:rFonts w:ascii="Times New Roman"/>
          <w:noProof/>
        </w:rPr>
      </w:pPr>
      <w:r w:rsidRPr="00EB5AA5">
        <w:rPr>
          <w:rFonts w:ascii="Times New Roman"/>
          <w:noProof/>
        </w:rPr>
        <w:t>That the ECJ has on occasion taken issue with all tools does not mean that they are equally vulnerable. Only an instant transition treats newcomers equally to nationals of the State of destination. It also ensures continuous social protection, and it generally serves free movement best. Finally, it aligns well with Article 48 TFEU, which mandates the EU legislature to guarantee “aggregation, for the purpose of acquiring and retaining the right to benefit and of calculating the amount of benefit, of all periods taken into account under the laws of the several countries”.</w:t>
      </w:r>
    </w:p>
    <w:p w14:paraId="15060F9A" w14:textId="77777777" w:rsidR="004C479A" w:rsidRPr="00EB5AA5" w:rsidRDefault="004C479A" w:rsidP="008638AF">
      <w:pPr>
        <w:spacing w:line="360" w:lineRule="auto"/>
        <w:rPr>
          <w:rFonts w:ascii="Times New Roman"/>
          <w:noProof/>
        </w:rPr>
      </w:pPr>
      <w:r w:rsidRPr="00EB5AA5">
        <w:rPr>
          <w:rFonts w:ascii="Times New Roman"/>
          <w:noProof/>
        </w:rPr>
        <w:t>During a symmetrical waiting period, migrants are treated, not like nationals of the State of destination, but like nationals of the State of origin.</w:t>
      </w:r>
      <w:bookmarkStart w:id="176" w:name="_Ref18858910"/>
      <w:r w:rsidRPr="00EB5AA5">
        <w:rPr>
          <w:rStyle w:val="FootnoteReference"/>
          <w:rFonts w:ascii="Times New Roman"/>
          <w:noProof/>
        </w:rPr>
        <w:footnoteReference w:id="146"/>
      </w:r>
      <w:bookmarkEnd w:id="176"/>
      <w:r w:rsidRPr="00EB5AA5">
        <w:rPr>
          <w:rFonts w:ascii="Times New Roman"/>
          <w:noProof/>
        </w:rPr>
        <w:t xml:space="preserve"> While this may be considered to be an inferior kind of equality, the fact that a symmetrical waiting period guarantees continuous protection would help it to pass a test of compliance with the Treaty. </w:t>
      </w:r>
      <w:bookmarkStart w:id="177" w:name="_Hlk7954674"/>
      <w:r w:rsidRPr="00EB5AA5">
        <w:rPr>
          <w:rFonts w:ascii="Times New Roman"/>
          <w:noProof/>
        </w:rPr>
        <w:t>Such waiting periods are reasonably conducive to free movement.</w:t>
      </w:r>
      <w:bookmarkEnd w:id="177"/>
      <w:r w:rsidRPr="00EB5AA5">
        <w:rPr>
          <w:rFonts w:ascii="Times New Roman"/>
          <w:noProof/>
        </w:rPr>
        <w:t xml:space="preserve"> Some might read Article 48 TFEU as requiring an instant transition. Upon closer inspection, a symmetrical waiting period</w:t>
      </w:r>
      <w:r w:rsidRPr="00EB5AA5" w:rsidDel="004B3BDD">
        <w:rPr>
          <w:rFonts w:ascii="Times New Roman"/>
          <w:noProof/>
        </w:rPr>
        <w:t xml:space="preserve"> </w:t>
      </w:r>
      <w:r w:rsidRPr="00EB5AA5">
        <w:rPr>
          <w:rFonts w:ascii="Times New Roman"/>
          <w:noProof/>
        </w:rPr>
        <w:t xml:space="preserve">is compatible with the wording of Article 48 TFEU, seeing as the State of origin aggregates periods until the State of destination takes over that duty. </w:t>
      </w:r>
      <w:bookmarkStart w:id="178" w:name="_Hlk8408968"/>
      <w:r w:rsidRPr="00EB5AA5">
        <w:rPr>
          <w:rFonts w:ascii="Times New Roman"/>
          <w:noProof/>
        </w:rPr>
        <w:t xml:space="preserve">Its spirit is more concerned with continuity of protection than with the speed at which it changes hands. </w:t>
      </w:r>
      <w:bookmarkStart w:id="179" w:name="_Hlk8409010"/>
      <w:bookmarkEnd w:id="178"/>
      <w:r w:rsidRPr="00EB5AA5">
        <w:rPr>
          <w:rFonts w:ascii="Times New Roman"/>
          <w:noProof/>
        </w:rPr>
        <w:t>Although the coordination of pensions in Chapter 5 of Regulation 883/2004 relies in part on symmetrical waiting periods, the ECJ considers it, not as a breach of Article 48 TFEU, but almost as an manifestation thereof.</w:t>
      </w:r>
      <w:r w:rsidRPr="00EB5AA5">
        <w:rPr>
          <w:rStyle w:val="FootnoteReference"/>
          <w:rFonts w:ascii="Times New Roman"/>
          <w:noProof/>
        </w:rPr>
        <w:footnoteReference w:id="147"/>
      </w:r>
      <w:r w:rsidRPr="00EB5AA5">
        <w:rPr>
          <w:rFonts w:ascii="Times New Roman"/>
          <w:noProof/>
        </w:rPr>
        <w:t xml:space="preserve"> </w:t>
      </w:r>
      <w:bookmarkEnd w:id="179"/>
    </w:p>
    <w:p w14:paraId="24914357" w14:textId="77777777" w:rsidR="004C479A" w:rsidRPr="00EB5AA5" w:rsidRDefault="004C479A" w:rsidP="008638AF">
      <w:pPr>
        <w:spacing w:line="360" w:lineRule="auto"/>
        <w:rPr>
          <w:rFonts w:ascii="Times New Roman"/>
          <w:noProof/>
        </w:rPr>
      </w:pPr>
      <w:r w:rsidRPr="00EB5AA5">
        <w:rPr>
          <w:rFonts w:ascii="Times New Roman"/>
          <w:noProof/>
        </w:rPr>
        <w:t>The prospects of asymmetrical waiting periods are least certain, as they treat migrants unlike nationals of either the State of destination or the State of origin, at least in first instance. They make migrants pay for exercising their free movement rights in the currency of social protection. The ECJ has found many asymmetrical waiting periods laid down in national law to be incompatible with the Treaty,</w:t>
      </w:r>
      <w:r w:rsidRPr="00EB5AA5">
        <w:rPr>
          <w:rStyle w:val="FootnoteReference"/>
          <w:rFonts w:ascii="Times New Roman"/>
          <w:noProof/>
        </w:rPr>
        <w:footnoteReference w:id="148"/>
      </w:r>
      <w:r w:rsidRPr="00EB5AA5">
        <w:rPr>
          <w:rFonts w:ascii="Times New Roman"/>
          <w:noProof/>
        </w:rPr>
        <w:t xml:space="preserve"> but might have softened its stance in recent years. </w:t>
      </w:r>
      <w:bookmarkStart w:id="180" w:name="_Hlk18676046"/>
      <w:bookmarkStart w:id="181" w:name="_Hlk18687000"/>
      <w:r w:rsidRPr="00EB5AA5">
        <w:rPr>
          <w:rFonts w:ascii="Times New Roman"/>
          <w:i/>
          <w:iCs/>
          <w:noProof/>
        </w:rPr>
        <w:t>Dano</w:t>
      </w:r>
      <w:r w:rsidRPr="00EB5AA5">
        <w:rPr>
          <w:rFonts w:ascii="Times New Roman"/>
          <w:noProof/>
        </w:rPr>
        <w:t xml:space="preserve"> and </w:t>
      </w:r>
      <w:r w:rsidRPr="00EB5AA5">
        <w:rPr>
          <w:rFonts w:ascii="Times New Roman"/>
          <w:i/>
          <w:iCs/>
          <w:noProof/>
        </w:rPr>
        <w:t xml:space="preserve">Alimanovic </w:t>
      </w:r>
      <w:r w:rsidRPr="00EB5AA5">
        <w:rPr>
          <w:rFonts w:ascii="Times New Roman"/>
          <w:noProof/>
        </w:rPr>
        <w:t xml:space="preserve">energize the directly discriminatory, asymmetrical waiting periods for economically inactive EU citizens and jobseekers laid down in the Citizenship Directive, which </w:t>
      </w:r>
      <w:r w:rsidRPr="00EB5AA5">
        <w:rPr>
          <w:rFonts w:ascii="Times New Roman"/>
          <w:i/>
          <w:iCs/>
          <w:noProof/>
        </w:rPr>
        <w:t>Commission v UK</w:t>
      </w:r>
      <w:r w:rsidRPr="00EB5AA5">
        <w:rPr>
          <w:rFonts w:ascii="Times New Roman"/>
          <w:noProof/>
        </w:rPr>
        <w:t xml:space="preserve"> extends to some pure social security benefits.</w:t>
      </w:r>
      <w:r w:rsidRPr="00EB5AA5">
        <w:rPr>
          <w:rStyle w:val="FootnoteReference"/>
          <w:rFonts w:ascii="Times New Roman"/>
          <w:noProof/>
        </w:rPr>
        <w:footnoteReference w:id="149"/>
      </w:r>
      <w:r w:rsidRPr="00EB5AA5">
        <w:rPr>
          <w:rFonts w:ascii="Times New Roman"/>
          <w:noProof/>
        </w:rPr>
        <w:t xml:space="preserve"> </w:t>
      </w:r>
      <w:bookmarkEnd w:id="180"/>
      <w:bookmarkEnd w:id="181"/>
      <w:r w:rsidRPr="00EB5AA5">
        <w:rPr>
          <w:rFonts w:ascii="Times New Roman"/>
          <w:noProof/>
        </w:rPr>
        <w:t xml:space="preserve">Not even workers—once unreservedly entitled to “full equality of treatment with nationals </w:t>
      </w:r>
      <w:r w:rsidRPr="00EB5AA5">
        <w:rPr>
          <w:rFonts w:ascii="Times New Roman"/>
          <w:noProof/>
        </w:rPr>
        <w:lastRenderedPageBreak/>
        <w:t>from the first day of work in the host Member State”</w:t>
      </w:r>
      <w:r w:rsidRPr="00EB5AA5">
        <w:rPr>
          <w:rStyle w:val="FootnoteReference"/>
          <w:rFonts w:ascii="Times New Roman"/>
          <w:noProof/>
        </w:rPr>
        <w:footnoteReference w:id="150"/>
      </w:r>
      <w:r w:rsidRPr="00EB5AA5">
        <w:rPr>
          <w:rFonts w:ascii="Times New Roman"/>
          <w:noProof/>
        </w:rPr>
        <w:t xml:space="preserve">—are always spared asymmetrical waiting periods. In </w:t>
      </w:r>
      <w:r w:rsidRPr="00EB5AA5">
        <w:rPr>
          <w:rFonts w:ascii="Times New Roman"/>
          <w:i/>
          <w:iCs/>
          <w:noProof/>
        </w:rPr>
        <w:t>Bragança Linares Verruga</w:t>
      </w:r>
      <w:r w:rsidRPr="00EB5AA5">
        <w:rPr>
          <w:rFonts w:ascii="Times New Roman"/>
          <w:noProof/>
        </w:rPr>
        <w:t xml:space="preserve"> and </w:t>
      </w:r>
      <w:r w:rsidRPr="00EB5AA5">
        <w:rPr>
          <w:rFonts w:ascii="Times New Roman"/>
          <w:i/>
          <w:iCs/>
          <w:noProof/>
        </w:rPr>
        <w:t>Aubriet</w:t>
      </w:r>
      <w:r w:rsidRPr="00EB5AA5">
        <w:rPr>
          <w:rFonts w:ascii="Times New Roman"/>
          <w:noProof/>
        </w:rPr>
        <w:t>, the ECJ mildly objects only to very rigid five-year periods that either do not allow for a break of two and a half months over almost eight years’ employment</w:t>
      </w:r>
      <w:r w:rsidRPr="00EB5AA5">
        <w:rPr>
          <w:rStyle w:val="FootnoteReference"/>
          <w:rFonts w:ascii="Times New Roman"/>
          <w:noProof/>
        </w:rPr>
        <w:footnoteReference w:id="151"/>
      </w:r>
      <w:r w:rsidRPr="00EB5AA5">
        <w:rPr>
          <w:rFonts w:ascii="Times New Roman"/>
          <w:noProof/>
        </w:rPr>
        <w:t xml:space="preserve"> or disregard 15 years of work because of a relatively short reference period.</w:t>
      </w:r>
      <w:r w:rsidRPr="00EB5AA5">
        <w:rPr>
          <w:rStyle w:val="FootnoteReference"/>
          <w:rFonts w:ascii="Times New Roman"/>
          <w:noProof/>
        </w:rPr>
        <w:footnoteReference w:id="152"/>
      </w:r>
      <w:r w:rsidRPr="00EB5AA5">
        <w:rPr>
          <w:rFonts w:ascii="Times New Roman"/>
          <w:noProof/>
        </w:rPr>
        <w:t xml:space="preserve"> It is worth bearing in mind that these were domestic measures, which tend to be scrutinized more closely than secondary EU law.</w:t>
      </w:r>
    </w:p>
    <w:p w14:paraId="73D12383" w14:textId="77777777" w:rsidR="004C479A" w:rsidRPr="00EB5AA5" w:rsidRDefault="004C479A" w:rsidP="008638AF">
      <w:pPr>
        <w:spacing w:line="360" w:lineRule="auto"/>
        <w:rPr>
          <w:rFonts w:ascii="Times New Roman"/>
          <w:noProof/>
        </w:rPr>
      </w:pPr>
      <w:r w:rsidRPr="00EB5AA5">
        <w:rPr>
          <w:rFonts w:ascii="Times New Roman"/>
          <w:noProof/>
        </w:rPr>
        <w:t xml:space="preserve">Be that as it may, the likelihood that a particular solution to the question of transition survives a test against the Treaty unscathed depends on its modalities. </w:t>
      </w:r>
      <w:bookmarkStart w:id="182" w:name="_Hlk7985359"/>
      <w:r w:rsidRPr="00EB5AA5">
        <w:rPr>
          <w:rFonts w:ascii="Times New Roman"/>
          <w:noProof/>
        </w:rPr>
        <w:t xml:space="preserve">Workers have the strongest claim to immediate equal treatment. </w:t>
      </w:r>
      <w:bookmarkEnd w:id="182"/>
      <w:r w:rsidRPr="00EB5AA5">
        <w:rPr>
          <w:rFonts w:ascii="Times New Roman"/>
          <w:noProof/>
        </w:rPr>
        <w:t xml:space="preserve">Not only the measure’s scope, but also its substance may be decisive. It is more likely to pass muster if social protection is continuous. </w:t>
      </w:r>
      <w:bookmarkStart w:id="183" w:name="_Hlk8130692"/>
      <w:r w:rsidRPr="00EB5AA5">
        <w:rPr>
          <w:rFonts w:ascii="Times New Roman"/>
          <w:noProof/>
        </w:rPr>
        <w:t>The recipient’s contribution to the funding of the benefit might also be relevant, as the ECJ has made clear its dislike of measures resulting “in the payment of social security contributions on which there is no return”.</w:t>
      </w:r>
      <w:r w:rsidRPr="00EB5AA5">
        <w:rPr>
          <w:rStyle w:val="FootnoteReference"/>
          <w:rFonts w:ascii="Times New Roman"/>
          <w:noProof/>
        </w:rPr>
        <w:footnoteReference w:id="153"/>
      </w:r>
      <w:r w:rsidRPr="00EB5AA5">
        <w:rPr>
          <w:rFonts w:ascii="Times New Roman"/>
          <w:noProof/>
        </w:rPr>
        <w:t xml:space="preserve"> </w:t>
      </w:r>
      <w:bookmarkEnd w:id="183"/>
      <w:r w:rsidRPr="00EB5AA5">
        <w:rPr>
          <w:rFonts w:ascii="Times New Roman"/>
          <w:noProof/>
        </w:rPr>
        <w:t xml:space="preserve">Whether a specific transition contravenes the Treaty also depends on the objective justification invoked and the evidence presented. </w:t>
      </w:r>
      <w:bookmarkStart w:id="184" w:name="_Hlk17305591"/>
      <w:r w:rsidRPr="00EB5AA5">
        <w:rPr>
          <w:rFonts w:ascii="Times New Roman"/>
          <w:noProof/>
        </w:rPr>
        <w:t xml:space="preserve">Although the EU legislature’s margin of discretion has widened, </w:t>
      </w:r>
      <w:bookmarkEnd w:id="184"/>
      <w:r w:rsidRPr="00EB5AA5">
        <w:rPr>
          <w:rFonts w:ascii="Times New Roman"/>
          <w:noProof/>
        </w:rPr>
        <w:t>the compliance of a particular transition with the Treaty is a matter to be painstakingly investigated rather than lightly assumed.</w:t>
      </w:r>
      <w:r w:rsidRPr="00EB5AA5">
        <w:rPr>
          <w:rStyle w:val="FootnoteReference"/>
          <w:rFonts w:ascii="Times New Roman"/>
          <w:noProof/>
        </w:rPr>
        <w:footnoteReference w:id="154"/>
      </w:r>
    </w:p>
    <w:p w14:paraId="394C60A9" w14:textId="77777777" w:rsidR="004C479A" w:rsidRPr="00EB5AA5" w:rsidRDefault="004C479A" w:rsidP="008638AF">
      <w:pPr>
        <w:pStyle w:val="Heading1"/>
        <w:numPr>
          <w:ilvl w:val="0"/>
          <w:numId w:val="16"/>
        </w:numPr>
        <w:spacing w:before="0" w:after="160" w:line="360" w:lineRule="auto"/>
        <w:rPr>
          <w:rFonts w:ascii="Times New Roman" w:hAnsi="Times New Roman" w:cs="Times New Roman"/>
          <w:noProof/>
          <w:color w:val="auto"/>
        </w:rPr>
      </w:pPr>
      <w:bookmarkStart w:id="185" w:name="_Toc9341410"/>
      <w:bookmarkStart w:id="186" w:name="_Hlk18336742"/>
      <w:bookmarkEnd w:id="160"/>
      <w:r w:rsidRPr="00EB5AA5">
        <w:rPr>
          <w:rFonts w:ascii="Times New Roman" w:hAnsi="Times New Roman" w:cs="Times New Roman"/>
          <w:noProof/>
          <w:color w:val="auto"/>
        </w:rPr>
        <w:t>Either the State of origin or the State of destination?</w:t>
      </w:r>
      <w:bookmarkEnd w:id="185"/>
      <w:bookmarkEnd w:id="186"/>
    </w:p>
    <w:p w14:paraId="422507D7" w14:textId="77777777" w:rsidR="004C479A" w:rsidRPr="00EB5AA5" w:rsidRDefault="004C479A" w:rsidP="008638AF">
      <w:pPr>
        <w:spacing w:line="360" w:lineRule="auto"/>
        <w:rPr>
          <w:rFonts w:ascii="Times New Roman"/>
          <w:noProof/>
        </w:rPr>
      </w:pPr>
      <w:r w:rsidRPr="00EB5AA5">
        <w:rPr>
          <w:rFonts w:ascii="Times New Roman"/>
          <w:noProof/>
        </w:rPr>
        <w:t>Three tools were identified by asking when social protection ought to shift. The previous Section—like almost all of the literature</w:t>
      </w:r>
      <w:r w:rsidRPr="00EB5AA5">
        <w:rPr>
          <w:rStyle w:val="FootnoteReference"/>
          <w:rFonts w:ascii="Times New Roman"/>
          <w:noProof/>
        </w:rPr>
        <w:footnoteReference w:id="155"/>
      </w:r>
      <w:r w:rsidRPr="00EB5AA5">
        <w:rPr>
          <w:rFonts w:ascii="Times New Roman"/>
          <w:noProof/>
        </w:rPr>
        <w:t xml:space="preserve">—implicitly assumes that social protection ought to be organized in either the State of origin or the State of destination. Neither the instant transition nor waiting periods of any variety </w:t>
      </w:r>
      <w:bookmarkStart w:id="187" w:name="_Hlk18337559"/>
      <w:r w:rsidRPr="00EB5AA5">
        <w:rPr>
          <w:rFonts w:ascii="Times New Roman"/>
          <w:noProof/>
        </w:rPr>
        <w:t xml:space="preserve">entail the </w:t>
      </w:r>
      <w:r w:rsidRPr="00EB5AA5">
        <w:rPr>
          <w:rFonts w:ascii="Times New Roman"/>
          <w:i/>
          <w:iCs/>
          <w:noProof/>
        </w:rPr>
        <w:t>simultaneous</w:t>
      </w:r>
      <w:r w:rsidRPr="00EB5AA5">
        <w:rPr>
          <w:rFonts w:ascii="Times New Roman"/>
          <w:noProof/>
        </w:rPr>
        <w:t xml:space="preserve"> application of several legal orders, let alone overlapping of benefits. </w:t>
      </w:r>
      <w:bookmarkEnd w:id="187"/>
      <w:r w:rsidRPr="00EB5AA5">
        <w:rPr>
          <w:rFonts w:ascii="Times New Roman"/>
          <w:noProof/>
        </w:rPr>
        <w:t>This assumption is problematic, as more than one State can be involved at the same time. A fundamental question faced by rule-makers is whether to concentrate social protection on a single State (“unicity”) or rather to spread it over several Member States by applying their laws concurrently, which may lead to the award of several partial benefits (“plurality”).</w:t>
      </w:r>
      <w:r w:rsidRPr="00EB5AA5">
        <w:rPr>
          <w:rStyle w:val="FootnoteReference"/>
          <w:rFonts w:ascii="Times New Roman"/>
          <w:noProof/>
        </w:rPr>
        <w:footnoteReference w:id="156"/>
      </w:r>
      <w:r w:rsidRPr="00EB5AA5">
        <w:rPr>
          <w:rFonts w:ascii="Times New Roman"/>
          <w:noProof/>
        </w:rPr>
        <w:t xml:space="preserve"> Could plurality offer welcome relief from the trilemma that afflicts unicity?</w:t>
      </w:r>
    </w:p>
    <w:p w14:paraId="21AA91C8" w14:textId="77777777" w:rsidR="004C479A" w:rsidRPr="00EB5AA5" w:rsidRDefault="004C479A" w:rsidP="008638AF">
      <w:pPr>
        <w:spacing w:line="360" w:lineRule="auto"/>
        <w:rPr>
          <w:rFonts w:ascii="Times New Roman"/>
          <w:noProof/>
        </w:rPr>
      </w:pPr>
      <w:r w:rsidRPr="00EB5AA5">
        <w:rPr>
          <w:rFonts w:ascii="Times New Roman"/>
          <w:noProof/>
        </w:rPr>
        <w:lastRenderedPageBreak/>
        <w:t xml:space="preserve">Split social protection can be continuous, provided the laws of various States are astutely coordinated. </w:t>
      </w:r>
      <w:bookmarkStart w:id="188" w:name="_Hlk18338163"/>
      <w:r w:rsidRPr="00EB5AA5">
        <w:rPr>
          <w:rFonts w:ascii="Times New Roman"/>
          <w:noProof/>
        </w:rPr>
        <w:t>Under Regulation 883/2004, retirees whose career spanned four Member States do not receive a full pension from the last State in which they worked.</w:t>
      </w:r>
      <w:r w:rsidRPr="00EB5AA5">
        <w:rPr>
          <w:rStyle w:val="FootnoteReference"/>
          <w:rFonts w:ascii="Times New Roman"/>
          <w:noProof/>
        </w:rPr>
        <w:footnoteReference w:id="157"/>
      </w:r>
      <w:r w:rsidRPr="00EB5AA5">
        <w:rPr>
          <w:rFonts w:ascii="Times New Roman"/>
          <w:noProof/>
        </w:rPr>
        <w:t xml:space="preserve"> </w:t>
      </w:r>
      <w:bookmarkStart w:id="189" w:name="_Hlk7608171"/>
      <w:bookmarkEnd w:id="188"/>
      <w:r w:rsidRPr="00EB5AA5">
        <w:rPr>
          <w:rFonts w:ascii="Times New Roman"/>
          <w:noProof/>
        </w:rPr>
        <w:t>Instead, they receive four partial pensions, the sum of which corresponds to their entire career.</w:t>
      </w:r>
      <w:bookmarkEnd w:id="189"/>
      <w:r w:rsidRPr="00EB5AA5">
        <w:rPr>
          <w:rStyle w:val="FootnoteReference"/>
          <w:rFonts w:ascii="Times New Roman"/>
          <w:noProof/>
        </w:rPr>
        <w:footnoteReference w:id="158"/>
      </w:r>
    </w:p>
    <w:p w14:paraId="27A774DB" w14:textId="77777777" w:rsidR="004C479A" w:rsidRPr="00EB5AA5" w:rsidRDefault="004C479A" w:rsidP="008638AF">
      <w:pPr>
        <w:spacing w:line="360" w:lineRule="auto"/>
        <w:rPr>
          <w:rFonts w:ascii="Times New Roman"/>
          <w:noProof/>
        </w:rPr>
      </w:pPr>
      <w:bookmarkStart w:id="190" w:name="_Hlk533862086"/>
      <w:r w:rsidRPr="00EB5AA5">
        <w:rPr>
          <w:rFonts w:ascii="Times New Roman"/>
          <w:noProof/>
        </w:rPr>
        <w:t xml:space="preserve">The integration–protection nexus strongly supports plurality. </w:t>
      </w:r>
      <w:bookmarkStart w:id="191" w:name="_Hlk9339499"/>
      <w:r w:rsidRPr="00EB5AA5">
        <w:rPr>
          <w:rFonts w:ascii="Times New Roman"/>
          <w:noProof/>
        </w:rPr>
        <w:t>However subtle the measurement of integration and however well-timed the transition from one State to another, there is something inherently uneasy about the subjection of a person to the laws of only one of the States to which he or she is meaningfully connected.</w:t>
      </w:r>
      <w:r w:rsidRPr="00EB5AA5">
        <w:rPr>
          <w:rFonts w:ascii="Times New Roman"/>
          <w:noProof/>
          <w:vertAlign w:val="superscript"/>
        </w:rPr>
        <w:footnoteReference w:id="159"/>
      </w:r>
      <w:bookmarkEnd w:id="191"/>
      <w:r w:rsidRPr="00EB5AA5">
        <w:rPr>
          <w:rFonts w:ascii="Times New Roman"/>
          <w:noProof/>
        </w:rPr>
        <w:t xml:space="preserve"> The fewer States are tasked with social protection, the more ties are severed. A finer translation of the integration–protection nexus would distribute welfare duties over the States with which migrants are meaningfully connected, in line with their degree of integration. For instance, the amount of each partial pension roughly reflects the time the retiree spent in the State granting it. In general, the integration–protection nexus is better served by plurality than by unicity. </w:t>
      </w:r>
    </w:p>
    <w:p w14:paraId="5E3ACF2C" w14:textId="77777777" w:rsidR="004C479A" w:rsidRPr="00EB5AA5" w:rsidRDefault="004C479A" w:rsidP="008638AF">
      <w:pPr>
        <w:spacing w:line="360" w:lineRule="auto"/>
        <w:rPr>
          <w:rFonts w:ascii="Times New Roman"/>
          <w:noProof/>
        </w:rPr>
      </w:pPr>
      <w:r w:rsidRPr="00EB5AA5">
        <w:rPr>
          <w:rFonts w:ascii="Times New Roman"/>
          <w:noProof/>
        </w:rPr>
        <w:t xml:space="preserve">Why then should welfare rights not always be apportioned to the time the claimant spent in a Member State, such that they collectively reconstitute full social protection? The main objection is that plurality is less harmonious than unicity. </w:t>
      </w:r>
      <w:bookmarkStart w:id="192" w:name="_Hlk460256"/>
      <w:bookmarkEnd w:id="190"/>
      <w:r w:rsidRPr="00EB5AA5">
        <w:rPr>
          <w:rFonts w:ascii="Times New Roman"/>
          <w:noProof/>
        </w:rPr>
        <w:t>Harmony suffers when people are subject to the laws of a State in which they are not present, which is near-inevitable when they are subject to several legal orders—no pensioner is ubiquitous.</w:t>
      </w:r>
      <w:r w:rsidRPr="00EB5AA5">
        <w:rPr>
          <w:rStyle w:val="FootnoteReference"/>
          <w:rFonts w:ascii="Times New Roman"/>
          <w:noProof/>
        </w:rPr>
        <w:footnoteReference w:id="160"/>
      </w:r>
      <w:bookmarkEnd w:id="192"/>
      <w:r w:rsidRPr="00EB5AA5">
        <w:rPr>
          <w:rFonts w:ascii="Times New Roman"/>
          <w:noProof/>
        </w:rPr>
        <w:t xml:space="preserve"> The simultaneous application of multiple bodies of legislation engenders further disharmonies. Each State might levy contributions, impose obligations, and award benefits. The risk of States overpaying, underpaying, overcharging, or undercharging looms large. With considerable administrative effort, this risk is averted for old-age pensions. Only the tightest-knit coordination effectively avoids double burdens and welds partial benefits into the equivalent of a full benefit.</w:t>
      </w:r>
      <w:r w:rsidRPr="00EB5AA5">
        <w:rPr>
          <w:rStyle w:val="FootnoteReference"/>
          <w:rFonts w:ascii="Times New Roman"/>
          <w:noProof/>
        </w:rPr>
        <w:footnoteReference w:id="161"/>
      </w:r>
      <w:r w:rsidRPr="00EB5AA5">
        <w:rPr>
          <w:rFonts w:ascii="Times New Roman"/>
          <w:noProof/>
        </w:rPr>
        <w:t xml:space="preserve"> Plurality offers no escape from the trilemma, as it too fails to combine three values. </w:t>
      </w:r>
    </w:p>
    <w:p w14:paraId="112AAE1E" w14:textId="77777777" w:rsidR="004C479A" w:rsidRPr="00EB5AA5" w:rsidRDefault="004C479A" w:rsidP="008638AF">
      <w:pPr>
        <w:spacing w:line="360" w:lineRule="auto"/>
        <w:rPr>
          <w:rFonts w:ascii="Times New Roman"/>
          <w:noProof/>
        </w:rPr>
      </w:pPr>
      <w:r w:rsidRPr="00EB5AA5">
        <w:rPr>
          <w:rFonts w:ascii="Times New Roman"/>
          <w:noProof/>
        </w:rPr>
        <w:t xml:space="preserve">Despite its fraught relationship with harmony, plurality remains uniquely apt to give shape to the integration–protection nexus in a way that could satisfy both the State of destination, which is relieved of some of its burden, and the citizen, who enjoys continuous protection. </w:t>
      </w:r>
      <w:bookmarkStart w:id="193" w:name="_Hlk5479126"/>
      <w:bookmarkStart w:id="194" w:name="_Hlk7684348"/>
      <w:r w:rsidRPr="00EB5AA5">
        <w:rPr>
          <w:rFonts w:ascii="Times New Roman"/>
          <w:noProof/>
        </w:rPr>
        <w:t xml:space="preserve">Contrary to what might then </w:t>
      </w:r>
      <w:r w:rsidRPr="00EB5AA5">
        <w:rPr>
          <w:rFonts w:ascii="Times New Roman"/>
          <w:noProof/>
        </w:rPr>
        <w:lastRenderedPageBreak/>
        <w:t>be expected, plurality is conspicuous by its absence in policy and academic debates. When commentators discuss plurality, more often than not they call for it to be replaced by unicity.</w:t>
      </w:r>
      <w:bookmarkEnd w:id="193"/>
      <w:r w:rsidRPr="00EB5AA5">
        <w:rPr>
          <w:rStyle w:val="FootnoteReference"/>
          <w:rFonts w:ascii="Times New Roman"/>
          <w:noProof/>
        </w:rPr>
        <w:footnoteReference w:id="162"/>
      </w:r>
    </w:p>
    <w:p w14:paraId="2D66744A" w14:textId="77777777" w:rsidR="004C479A" w:rsidRPr="00EB5AA5" w:rsidRDefault="004C479A" w:rsidP="008638AF">
      <w:pPr>
        <w:spacing w:line="360" w:lineRule="auto"/>
        <w:rPr>
          <w:rFonts w:ascii="Times New Roman"/>
          <w:noProof/>
        </w:rPr>
      </w:pPr>
      <w:r w:rsidRPr="00EB5AA5">
        <w:rPr>
          <w:rFonts w:ascii="Times New Roman"/>
          <w:noProof/>
        </w:rPr>
        <w:t>This is all the more striking as the ECJ has never limited, but routinely extended, plurality. It found only one form of plurality to be contrary to the Treaty. Each State to whose legislation a pensioner has been subject for over a year is competent for his or her old-age pension. Applying Article 46(3) Regulation 1408/71, a Belgian social security body capped Mr Petroni’s pension, despite the fact that he did not need European law to be entitled to it. The ECJ ruled that that provision was incompatible with Article 51 EEC Treaty (now Art. 48 TFEU) to the extent that it reduced rights acquired under national law alone.</w:t>
      </w:r>
      <w:r w:rsidRPr="00EB5AA5">
        <w:rPr>
          <w:rStyle w:val="FootnoteReference"/>
          <w:rFonts w:ascii="Times New Roman"/>
          <w:noProof/>
        </w:rPr>
        <w:footnoteReference w:id="163"/>
      </w:r>
      <w:r w:rsidRPr="00EB5AA5">
        <w:rPr>
          <w:rFonts w:ascii="Times New Roman"/>
          <w:noProof/>
        </w:rPr>
        <w:t xml:space="preserve"> In the ECJ’s eyes, the regulation contained too little plurality rather than too much. While the </w:t>
      </w:r>
      <w:r w:rsidRPr="00EB5AA5">
        <w:rPr>
          <w:rFonts w:ascii="Times New Roman"/>
          <w:i/>
          <w:iCs/>
          <w:noProof/>
        </w:rPr>
        <w:t>Petroni</w:t>
      </w:r>
      <w:r w:rsidRPr="00EB5AA5">
        <w:rPr>
          <w:rFonts w:ascii="Times New Roman"/>
          <w:noProof/>
        </w:rPr>
        <w:t xml:space="preserve"> ruling could have been confined to (i) pension rights (ii) that are based exclusively on the national law (iii) of a State designated as competent by the regulation, later case law chipped away at those limitations, injecting further doses of plurality into the coordination of social security benefits.</w:t>
      </w:r>
    </w:p>
    <w:p w14:paraId="4E8807FC" w14:textId="77777777" w:rsidR="004C479A" w:rsidRPr="00EB5AA5" w:rsidRDefault="004C479A" w:rsidP="008638AF">
      <w:pPr>
        <w:spacing w:line="360" w:lineRule="auto"/>
        <w:rPr>
          <w:rFonts w:ascii="Times New Roman"/>
          <w:noProof/>
        </w:rPr>
      </w:pPr>
      <w:r w:rsidRPr="00EB5AA5">
        <w:rPr>
          <w:rFonts w:ascii="Times New Roman"/>
          <w:noProof/>
        </w:rPr>
        <w:t xml:space="preserve">First, the </w:t>
      </w:r>
      <w:r w:rsidRPr="00EB5AA5">
        <w:rPr>
          <w:rFonts w:ascii="Times New Roman"/>
          <w:i/>
          <w:iCs/>
          <w:noProof/>
        </w:rPr>
        <w:t>Petroni</w:t>
      </w:r>
      <w:r w:rsidRPr="00EB5AA5">
        <w:rPr>
          <w:rFonts w:ascii="Times New Roman"/>
          <w:noProof/>
        </w:rPr>
        <w:t xml:space="preserve"> judgment grew into the </w:t>
      </w:r>
      <w:r w:rsidRPr="00EB5AA5">
        <w:rPr>
          <w:rFonts w:ascii="Times New Roman"/>
          <w:i/>
          <w:iCs/>
          <w:noProof/>
        </w:rPr>
        <w:t>Petroni</w:t>
      </w:r>
      <w:r w:rsidRPr="00EB5AA5">
        <w:rPr>
          <w:rFonts w:ascii="Times New Roman"/>
          <w:noProof/>
        </w:rPr>
        <w:t xml:space="preserve"> principle covering not just pensions but all social security benefits: no entitlement arising purely under the domestic laws of a Member State, leaving aside any provision of primary or secondary EU law, can be corroded by European law.</w:t>
      </w:r>
      <w:bookmarkStart w:id="196" w:name="_Ref18858760"/>
      <w:r w:rsidRPr="00EB5AA5">
        <w:rPr>
          <w:rStyle w:val="FootnoteReference"/>
          <w:rFonts w:ascii="Times New Roman"/>
          <w:noProof/>
        </w:rPr>
        <w:footnoteReference w:id="164"/>
      </w:r>
      <w:bookmarkEnd w:id="196"/>
    </w:p>
    <w:p w14:paraId="53A724DD" w14:textId="77777777" w:rsidR="004C479A" w:rsidRPr="00EB5AA5" w:rsidRDefault="004C479A" w:rsidP="008638AF">
      <w:pPr>
        <w:spacing w:line="360" w:lineRule="auto"/>
        <w:rPr>
          <w:rFonts w:ascii="Times New Roman"/>
          <w:noProof/>
        </w:rPr>
      </w:pPr>
      <w:bookmarkStart w:id="197" w:name="_Hlk17992540"/>
      <w:r w:rsidRPr="00EB5AA5">
        <w:rPr>
          <w:rFonts w:ascii="Times New Roman"/>
          <w:noProof/>
        </w:rPr>
        <w:t xml:space="preserve">Second, the </w:t>
      </w:r>
      <w:r w:rsidRPr="00EB5AA5">
        <w:rPr>
          <w:rFonts w:ascii="Times New Roman"/>
          <w:i/>
          <w:iCs/>
          <w:noProof/>
        </w:rPr>
        <w:t>Laterza</w:t>
      </w:r>
      <w:r w:rsidRPr="00EB5AA5">
        <w:rPr>
          <w:rFonts w:ascii="Times New Roman"/>
          <w:noProof/>
        </w:rPr>
        <w:t xml:space="preserve"> ruling stretched </w:t>
      </w:r>
      <w:r w:rsidRPr="00EB5AA5">
        <w:rPr>
          <w:rFonts w:ascii="Times New Roman"/>
          <w:i/>
          <w:iCs/>
          <w:noProof/>
        </w:rPr>
        <w:t>Petroni</w:t>
      </w:r>
      <w:r w:rsidRPr="00EB5AA5">
        <w:rPr>
          <w:rFonts w:ascii="Times New Roman"/>
          <w:noProof/>
        </w:rPr>
        <w:t xml:space="preserve"> </w:t>
      </w:r>
      <w:bookmarkEnd w:id="197"/>
      <w:r w:rsidRPr="00EB5AA5">
        <w:rPr>
          <w:rFonts w:ascii="Times New Roman"/>
          <w:noProof/>
        </w:rPr>
        <w:t xml:space="preserve">to family benefit entitlements that are </w:t>
      </w:r>
      <w:r w:rsidRPr="00EB5AA5">
        <w:rPr>
          <w:rFonts w:ascii="Times New Roman"/>
          <w:i/>
          <w:iCs/>
          <w:noProof/>
        </w:rPr>
        <w:t>not</w:t>
      </w:r>
      <w:r w:rsidRPr="00EB5AA5">
        <w:rPr>
          <w:rFonts w:ascii="Times New Roman"/>
          <w:noProof/>
        </w:rPr>
        <w:t xml:space="preserve"> based on national law only.</w:t>
      </w:r>
      <w:r w:rsidRPr="00EB5AA5">
        <w:rPr>
          <w:rStyle w:val="FootnoteReference"/>
          <w:rFonts w:ascii="Times New Roman"/>
          <w:noProof/>
        </w:rPr>
        <w:footnoteReference w:id="165"/>
      </w:r>
      <w:r w:rsidRPr="00EB5AA5">
        <w:rPr>
          <w:rFonts w:ascii="Times New Roman"/>
          <w:noProof/>
        </w:rPr>
        <w:t xml:space="preserve"> Under Regulation 1408/71, only Italy, where Mr Laterza resided, should grant a family benefit. The ECJ partially disapplied that rule. Consequently, Belgium, where Mr Laterza had worked in the past, was to supplement the Italian benefit up to the amount of its own family benefit, even though he had no right under Belgian law. The ECJ thus overrode the Council’s choice to concentrate responsibility for family benefits in a single Member State.</w:t>
      </w:r>
      <w:r w:rsidRPr="00EB5AA5">
        <w:rPr>
          <w:rStyle w:val="FootnoteReference"/>
          <w:rFonts w:ascii="Times New Roman"/>
          <w:noProof/>
        </w:rPr>
        <w:footnoteReference w:id="166"/>
      </w:r>
    </w:p>
    <w:p w14:paraId="4E3E15B7" w14:textId="77777777" w:rsidR="004C479A" w:rsidRPr="00EB5AA5" w:rsidRDefault="004C479A" w:rsidP="008638AF">
      <w:pPr>
        <w:spacing w:line="360" w:lineRule="auto"/>
        <w:rPr>
          <w:rFonts w:ascii="Times New Roman"/>
          <w:noProof/>
        </w:rPr>
      </w:pPr>
      <w:r w:rsidRPr="00EB5AA5">
        <w:rPr>
          <w:rFonts w:ascii="Times New Roman"/>
          <w:noProof/>
        </w:rPr>
        <w:t xml:space="preserve">Third, </w:t>
      </w:r>
      <w:r w:rsidRPr="00EB5AA5">
        <w:rPr>
          <w:rFonts w:ascii="Times New Roman"/>
          <w:i/>
          <w:iCs/>
          <w:noProof/>
        </w:rPr>
        <w:t>Bosmann</w:t>
      </w:r>
      <w:r w:rsidRPr="00EB5AA5">
        <w:rPr>
          <w:rFonts w:ascii="Times New Roman"/>
          <w:noProof/>
        </w:rPr>
        <w:t xml:space="preserve"> extended </w:t>
      </w:r>
      <w:r w:rsidRPr="00EB5AA5">
        <w:rPr>
          <w:rFonts w:ascii="Times New Roman"/>
          <w:i/>
          <w:iCs/>
          <w:noProof/>
        </w:rPr>
        <w:t>Petroni</w:t>
      </w:r>
      <w:r w:rsidRPr="00EB5AA5">
        <w:rPr>
          <w:rFonts w:ascii="Times New Roman"/>
          <w:noProof/>
        </w:rPr>
        <w:t xml:space="preserve"> to Member States that are </w:t>
      </w:r>
      <w:r w:rsidRPr="00EB5AA5">
        <w:rPr>
          <w:rFonts w:ascii="Times New Roman"/>
          <w:i/>
          <w:iCs/>
          <w:noProof/>
        </w:rPr>
        <w:t>not</w:t>
      </w:r>
      <w:r w:rsidRPr="00EB5AA5">
        <w:rPr>
          <w:rFonts w:ascii="Times New Roman"/>
          <w:noProof/>
        </w:rPr>
        <w:t xml:space="preserve"> competent under the regulation: alongside their rights in the competent State, migrants are entitled to all benefits available solely under the laws any other Member State.</w:t>
      </w:r>
      <w:r w:rsidRPr="00EB5AA5">
        <w:rPr>
          <w:rStyle w:val="FootnoteReference"/>
          <w:rFonts w:ascii="Times New Roman"/>
          <w:noProof/>
        </w:rPr>
        <w:footnoteReference w:id="167"/>
      </w:r>
      <w:r w:rsidRPr="00EB5AA5">
        <w:rPr>
          <w:rFonts w:ascii="Times New Roman"/>
          <w:noProof/>
        </w:rPr>
        <w:t xml:space="preserve"> In </w:t>
      </w:r>
      <w:r w:rsidRPr="00EB5AA5">
        <w:rPr>
          <w:rFonts w:ascii="Times New Roman"/>
          <w:i/>
          <w:iCs/>
          <w:noProof/>
        </w:rPr>
        <w:t>Hudziński and Wawrzyniak</w:t>
      </w:r>
      <w:r w:rsidRPr="00EB5AA5">
        <w:rPr>
          <w:rFonts w:ascii="Times New Roman"/>
          <w:noProof/>
        </w:rPr>
        <w:t>, the ECJ went even further by obliging a non-competent State to grant benefits that were not based on its national law only.</w:t>
      </w:r>
      <w:r w:rsidRPr="00EB5AA5">
        <w:rPr>
          <w:rStyle w:val="FootnoteReference"/>
          <w:rFonts w:ascii="Times New Roman"/>
          <w:noProof/>
        </w:rPr>
        <w:footnoteReference w:id="168"/>
      </w:r>
    </w:p>
    <w:p w14:paraId="3ED3E8BE" w14:textId="77777777" w:rsidR="004C479A" w:rsidRPr="00EB5AA5" w:rsidRDefault="004C479A" w:rsidP="008638AF">
      <w:pPr>
        <w:spacing w:line="360" w:lineRule="auto"/>
        <w:rPr>
          <w:rFonts w:ascii="Times New Roman"/>
          <w:noProof/>
        </w:rPr>
      </w:pPr>
      <w:r w:rsidRPr="00EB5AA5">
        <w:rPr>
          <w:rFonts w:ascii="Times New Roman"/>
          <w:noProof/>
        </w:rPr>
        <w:lastRenderedPageBreak/>
        <w:t>Each of these controversial rulings broadens the pool of Member States that might have duties for a single person at a given time. The ECJ has strengthened plurality through invalidation (</w:t>
      </w:r>
      <w:r w:rsidRPr="00EB5AA5">
        <w:rPr>
          <w:rFonts w:ascii="Times New Roman"/>
          <w:i/>
          <w:iCs/>
          <w:noProof/>
        </w:rPr>
        <w:t>Petroni</w:t>
      </w:r>
      <w:r w:rsidRPr="00EB5AA5">
        <w:rPr>
          <w:rFonts w:ascii="Times New Roman"/>
          <w:noProof/>
        </w:rPr>
        <w:t>) and replaced unicity by plurality through interpretation (</w:t>
      </w:r>
      <w:r w:rsidRPr="00EB5AA5">
        <w:rPr>
          <w:rFonts w:ascii="Times New Roman"/>
          <w:i/>
          <w:iCs/>
          <w:noProof/>
        </w:rPr>
        <w:t>Laterza</w:t>
      </w:r>
      <w:r w:rsidRPr="00EB5AA5">
        <w:rPr>
          <w:rFonts w:ascii="Times New Roman"/>
          <w:noProof/>
        </w:rPr>
        <w:t xml:space="preserve">, </w:t>
      </w:r>
      <w:r w:rsidRPr="00EB5AA5">
        <w:rPr>
          <w:rFonts w:ascii="Times New Roman"/>
          <w:i/>
          <w:iCs/>
          <w:noProof/>
        </w:rPr>
        <w:t>Bosmann</w:t>
      </w:r>
      <w:r w:rsidRPr="00EB5AA5">
        <w:rPr>
          <w:rFonts w:ascii="Times New Roman"/>
          <w:noProof/>
        </w:rPr>
        <w:t xml:space="preserve">, and </w:t>
      </w:r>
      <w:r w:rsidRPr="00EB5AA5">
        <w:rPr>
          <w:rFonts w:ascii="Times New Roman"/>
          <w:i/>
          <w:iCs/>
          <w:noProof/>
        </w:rPr>
        <w:t>Hudziński and Wawrzyniak</w:t>
      </w:r>
      <w:r w:rsidRPr="00EB5AA5">
        <w:rPr>
          <w:rFonts w:ascii="Times New Roman"/>
          <w:noProof/>
        </w:rPr>
        <w:t>). The common denominator of those cases is that the Treaty demands plurality.</w:t>
      </w:r>
      <w:r w:rsidRPr="00EB5AA5">
        <w:rPr>
          <w:rStyle w:val="FootnoteReference"/>
          <w:rFonts w:ascii="Times New Roman"/>
          <w:noProof/>
        </w:rPr>
        <w:footnoteReference w:id="169"/>
      </w:r>
      <w:r w:rsidRPr="00EB5AA5">
        <w:rPr>
          <w:rFonts w:ascii="Times New Roman"/>
          <w:noProof/>
        </w:rPr>
        <w:t xml:space="preserve"> The warm welcome plurality has found in Luxembourg is hardly unexpected. When carefully wrought, it entails partial equal treatment in both States resulting in continuous social protection and a reasonably supportive environment for free movement.</w:t>
      </w:r>
    </w:p>
    <w:p w14:paraId="6294A400" w14:textId="77777777" w:rsidR="004C479A" w:rsidRPr="00EB5AA5" w:rsidRDefault="004C479A" w:rsidP="008638AF">
      <w:pPr>
        <w:spacing w:line="360" w:lineRule="auto"/>
        <w:rPr>
          <w:rFonts w:ascii="Times New Roman"/>
          <w:noProof/>
        </w:rPr>
      </w:pPr>
      <w:r w:rsidRPr="00EB5AA5">
        <w:rPr>
          <w:rFonts w:ascii="Times New Roman"/>
          <w:noProof/>
        </w:rPr>
        <w:t>While plurality mostly governs social security, it occasionally applies to other benefits. Migrant workers and their children might for instance be able to claim social advantages such as study finance in the State of work and the State of residence on the basis of the Treaty, the Citizenship Directive, and Regulation 492/2011. Member States can take measures against such accidental overlapping.</w:t>
      </w:r>
      <w:r w:rsidRPr="00EB5AA5">
        <w:rPr>
          <w:rFonts w:ascii="Times New Roman"/>
          <w:noProof/>
          <w:vertAlign w:val="superscript"/>
        </w:rPr>
        <w:footnoteReference w:id="170"/>
      </w:r>
    </w:p>
    <w:p w14:paraId="7B64922D" w14:textId="77777777" w:rsidR="004C479A" w:rsidRPr="00EB5AA5" w:rsidRDefault="004C479A" w:rsidP="008638AF">
      <w:pPr>
        <w:pStyle w:val="Heading1"/>
        <w:numPr>
          <w:ilvl w:val="0"/>
          <w:numId w:val="16"/>
        </w:numPr>
        <w:spacing w:before="0" w:after="160" w:line="360" w:lineRule="auto"/>
        <w:rPr>
          <w:rFonts w:ascii="Times New Roman" w:hAnsi="Times New Roman" w:cs="Times New Roman"/>
          <w:noProof/>
          <w:color w:val="auto"/>
        </w:rPr>
      </w:pPr>
      <w:bookmarkStart w:id="198" w:name="_Toc9341411"/>
      <w:bookmarkEnd w:id="194"/>
      <w:r w:rsidRPr="00EB5AA5">
        <w:rPr>
          <w:rFonts w:ascii="Times New Roman" w:hAnsi="Times New Roman" w:cs="Times New Roman"/>
          <w:noProof/>
          <w:color w:val="auto"/>
        </w:rPr>
        <w:t>The regrettable rise of the asymmetrical waiting period</w:t>
      </w:r>
    </w:p>
    <w:p w14:paraId="5C48C40E" w14:textId="77777777" w:rsidR="004C479A" w:rsidRPr="00EB5AA5" w:rsidRDefault="004C479A" w:rsidP="008638AF">
      <w:pPr>
        <w:spacing w:line="360" w:lineRule="auto"/>
        <w:rPr>
          <w:rFonts w:ascii="Times New Roman"/>
          <w:noProof/>
        </w:rPr>
      </w:pPr>
      <w:r w:rsidRPr="00EB5AA5">
        <w:rPr>
          <w:rFonts w:ascii="Times New Roman"/>
          <w:noProof/>
        </w:rPr>
        <w:t xml:space="preserve">Most examples of asymmetrical waiting periods scattered throughout this article are recent. </w:t>
      </w:r>
      <w:bookmarkStart w:id="199" w:name="_Hlk18676170"/>
      <w:bookmarkStart w:id="200" w:name="_Hlk16458045"/>
      <w:r w:rsidRPr="00EB5AA5">
        <w:rPr>
          <w:rFonts w:ascii="Times New Roman"/>
          <w:noProof/>
        </w:rPr>
        <w:t>Since 2014, the ECJ energizes the Citizenship Directive’s waiting periods for the social assistance claims of economically inactive EU citizens and jobseekers.</w:t>
      </w:r>
      <w:r w:rsidRPr="00EB5AA5">
        <w:rPr>
          <w:rStyle w:val="FootnoteReference"/>
          <w:rFonts w:ascii="Times New Roman"/>
          <w:noProof/>
        </w:rPr>
        <w:footnoteReference w:id="171"/>
      </w:r>
      <w:r w:rsidRPr="00EB5AA5">
        <w:rPr>
          <w:rFonts w:ascii="Times New Roman"/>
          <w:noProof/>
        </w:rPr>
        <w:t xml:space="preserve"> </w:t>
      </w:r>
      <w:bookmarkEnd w:id="199"/>
      <w:r w:rsidRPr="00EB5AA5">
        <w:rPr>
          <w:rFonts w:ascii="Times New Roman"/>
          <w:noProof/>
        </w:rPr>
        <w:t>In the lead-up to the 2016 UK referendum, the emergency brake was negotiated and the ECJ enabled Member States to condition some pure social security benefits on the claimant having a right to reside.</w:t>
      </w:r>
      <w:r w:rsidRPr="00EB5AA5">
        <w:rPr>
          <w:rStyle w:val="FootnoteReference"/>
          <w:rFonts w:ascii="Times New Roman"/>
          <w:noProof/>
        </w:rPr>
        <w:footnoteReference w:id="172"/>
      </w:r>
      <w:r w:rsidRPr="00EB5AA5">
        <w:rPr>
          <w:rFonts w:ascii="Times New Roman"/>
          <w:noProof/>
        </w:rPr>
        <w:t xml:space="preserve"> Barely a couple of months have passed since the ECJ confirmed that long waiting periods for some children of migrant workers are appropriate.</w:t>
      </w:r>
      <w:r w:rsidRPr="00EB5AA5">
        <w:rPr>
          <w:rStyle w:val="FootnoteReference"/>
          <w:rFonts w:ascii="Times New Roman"/>
          <w:noProof/>
        </w:rPr>
        <w:footnoteReference w:id="173"/>
      </w:r>
      <w:r w:rsidRPr="00EB5AA5">
        <w:rPr>
          <w:rFonts w:ascii="Times New Roman"/>
          <w:noProof/>
        </w:rPr>
        <w:t xml:space="preserve"> The trend is clear, but unfortunate.</w:t>
      </w:r>
    </w:p>
    <w:bookmarkEnd w:id="200"/>
    <w:p w14:paraId="6E9622BA" w14:textId="77777777" w:rsidR="004C479A" w:rsidRPr="00EB5AA5" w:rsidRDefault="004C479A" w:rsidP="008638AF">
      <w:pPr>
        <w:spacing w:line="360" w:lineRule="auto"/>
        <w:rPr>
          <w:rFonts w:ascii="Times New Roman"/>
          <w:noProof/>
        </w:rPr>
      </w:pPr>
      <w:r w:rsidRPr="00EB5AA5">
        <w:rPr>
          <w:rFonts w:ascii="Times New Roman"/>
          <w:noProof/>
        </w:rPr>
        <w:t>I insisted above that the choice between the tools ought to be made in context. Yet, even in the abstract, the asymmetrical waiting period rests on shaky normative ground compared to the other tools—at least in the light of the values foregrounded here. While it maintains harmony,</w:t>
      </w:r>
      <w:r w:rsidRPr="00EB5AA5">
        <w:rPr>
          <w:rStyle w:val="FootnoteReference"/>
          <w:rFonts w:ascii="Times New Roman"/>
          <w:noProof/>
        </w:rPr>
        <w:footnoteReference w:id="174"/>
      </w:r>
      <w:r w:rsidRPr="00EB5AA5">
        <w:rPr>
          <w:rFonts w:ascii="Times New Roman"/>
          <w:noProof/>
        </w:rPr>
        <w:t xml:space="preserve"> it is alone in depriving migrants of social protection, a value to which I attached special significance. The integration–protection nexus is much less of a saving grace than might be thought. Where plurality or symmetrical waiting periods are deployed, every “unit” of integration can bring about an increment in social protection. By contrast, the asymmetrical waiting period entirely disregards integration in the State of origin, making it the penultimate choice for the integration–protection nexus. It wields </w:t>
      </w:r>
      <w:r w:rsidRPr="00EB5AA5">
        <w:rPr>
          <w:rFonts w:ascii="Times New Roman"/>
          <w:noProof/>
        </w:rPr>
        <w:lastRenderedPageBreak/>
        <w:t>integration primarily as an instrument of exclusion. Properly understood, however, the inclusionary and exclusionary dimensions of the nexus are two sides of the same coin.</w:t>
      </w:r>
      <w:r w:rsidRPr="00EB5AA5">
        <w:rPr>
          <w:rStyle w:val="FootnoteReference"/>
          <w:rFonts w:ascii="Times New Roman"/>
          <w:noProof/>
        </w:rPr>
        <w:footnoteReference w:id="175"/>
      </w:r>
      <w:r w:rsidRPr="00EB5AA5">
        <w:rPr>
          <w:rFonts w:ascii="Times New Roman"/>
          <w:noProof/>
        </w:rPr>
        <w:t xml:space="preserve"> It is inconsistent to allow the State of destination to fixate on the past connections of the claimant and the State of origin to ignore them altogether.</w:t>
      </w:r>
    </w:p>
    <w:p w14:paraId="10BF2B04" w14:textId="77777777" w:rsidR="004C479A" w:rsidRPr="00EB5AA5" w:rsidRDefault="004C479A" w:rsidP="008638AF">
      <w:pPr>
        <w:spacing w:line="360" w:lineRule="auto"/>
        <w:rPr>
          <w:rFonts w:ascii="Times New Roman"/>
          <w:noProof/>
        </w:rPr>
      </w:pPr>
      <w:r w:rsidRPr="00EB5AA5">
        <w:rPr>
          <w:rFonts w:ascii="Times New Roman"/>
          <w:noProof/>
        </w:rPr>
        <w:t xml:space="preserve">Whereas all other tools rest on two values, including continuous social protection, </w:t>
      </w:r>
      <w:bookmarkStart w:id="201" w:name="_Hlk16595339"/>
      <w:r w:rsidRPr="00EB5AA5">
        <w:rPr>
          <w:rFonts w:ascii="Times New Roman"/>
          <w:noProof/>
        </w:rPr>
        <w:t>the asymmetrical waiting period only serves one value optimally.</w:t>
      </w:r>
      <w:bookmarkEnd w:id="201"/>
      <w:r w:rsidRPr="00EB5AA5">
        <w:rPr>
          <w:rFonts w:ascii="Times New Roman"/>
          <w:noProof/>
        </w:rPr>
        <w:t xml:space="preserve"> Besides, it is more vulnerable to challenge under the Treaty than its alternatives, in no small part because it interrupts social protection. The instant transition is disparaged as “an affront to common sense”,</w:t>
      </w:r>
      <w:r w:rsidRPr="00EB5AA5">
        <w:rPr>
          <w:rStyle w:val="FootnoteReference"/>
          <w:rFonts w:ascii="Times New Roman"/>
          <w:noProof/>
        </w:rPr>
        <w:footnoteReference w:id="176"/>
      </w:r>
      <w:r w:rsidRPr="00EB5AA5">
        <w:rPr>
          <w:rFonts w:ascii="Times New Roman"/>
          <w:noProof/>
        </w:rPr>
        <w:t xml:space="preserve"> but it is the asymmetrical waiting period that leaves most to be desired when tested against the three values and the Treaty. Member States dissatisfied with such periods need not wait for a European intervention. There is nothing stopping them from exporting full or partial benefits to persons (not just their nationals) who have left their territory, but do not yet (fully) qualify for benefits in the State of destination.</w:t>
      </w:r>
      <w:r w:rsidRPr="00EB5AA5">
        <w:rPr>
          <w:rStyle w:val="FootnoteReference"/>
          <w:rFonts w:ascii="Times New Roman"/>
          <w:noProof/>
        </w:rPr>
        <w:footnoteReference w:id="177"/>
      </w:r>
      <w:r w:rsidRPr="00EB5AA5">
        <w:rPr>
          <w:rFonts w:ascii="Times New Roman"/>
          <w:noProof/>
        </w:rPr>
        <w:t xml:space="preserve"> In so doing, they would narrow or even close the gap in social protection. The exported benefits might enable citizens to demonstrate that they have sufficient resources to vest a right to reside in the State of destination, which could facilitate their access to its benefits.</w:t>
      </w:r>
      <w:r w:rsidRPr="00EB5AA5">
        <w:rPr>
          <w:rStyle w:val="FootnoteReference"/>
          <w:rFonts w:ascii="Times New Roman"/>
          <w:noProof/>
        </w:rPr>
        <w:footnoteReference w:id="178"/>
      </w:r>
    </w:p>
    <w:p w14:paraId="10E1EC3B" w14:textId="77777777" w:rsidR="004C479A" w:rsidRPr="00EB5AA5" w:rsidRDefault="004C479A" w:rsidP="008638AF">
      <w:pPr>
        <w:pStyle w:val="Heading1"/>
        <w:numPr>
          <w:ilvl w:val="0"/>
          <w:numId w:val="16"/>
        </w:numPr>
        <w:spacing w:before="0" w:after="160" w:line="360" w:lineRule="auto"/>
        <w:rPr>
          <w:rFonts w:ascii="Times New Roman" w:hAnsi="Times New Roman" w:cs="Times New Roman"/>
          <w:noProof/>
          <w:color w:val="auto"/>
        </w:rPr>
      </w:pPr>
      <w:bookmarkStart w:id="202" w:name="_Hlk18935010"/>
      <w:r w:rsidRPr="00EB5AA5">
        <w:rPr>
          <w:rFonts w:ascii="Times New Roman" w:hAnsi="Times New Roman" w:cs="Times New Roman"/>
          <w:noProof/>
          <w:color w:val="auto"/>
        </w:rPr>
        <w:t>Conclusion</w:t>
      </w:r>
      <w:bookmarkEnd w:id="198"/>
    </w:p>
    <w:p w14:paraId="46305A9E" w14:textId="77777777" w:rsidR="004C479A" w:rsidRPr="00EB5AA5" w:rsidRDefault="004C479A" w:rsidP="008638AF">
      <w:pPr>
        <w:spacing w:line="360" w:lineRule="auto"/>
        <w:rPr>
          <w:rFonts w:ascii="Times New Roman"/>
          <w:noProof/>
        </w:rPr>
      </w:pPr>
      <w:bookmarkStart w:id="203" w:name="_Hlk7535296"/>
      <w:r w:rsidRPr="00EB5AA5">
        <w:rPr>
          <w:rFonts w:ascii="Times New Roman"/>
          <w:noProof/>
        </w:rPr>
        <w:t xml:space="preserve">This article sought to answer four questions: (i) what are some of the main means of EU social benefits law; (ii) what are some of its main ends; (iii) how do the means relate to the ends; (iv) and how do the ends relate to one another? </w:t>
      </w:r>
    </w:p>
    <w:p w14:paraId="4811284E" w14:textId="77777777" w:rsidR="004C479A" w:rsidRPr="00EB5AA5" w:rsidRDefault="004C479A" w:rsidP="008638AF">
      <w:pPr>
        <w:spacing w:line="360" w:lineRule="auto"/>
        <w:rPr>
          <w:rFonts w:ascii="Times New Roman"/>
          <w:noProof/>
        </w:rPr>
      </w:pPr>
      <w:bookmarkStart w:id="204" w:name="_Hlk9436588"/>
      <w:r w:rsidRPr="00EB5AA5">
        <w:rPr>
          <w:rFonts w:ascii="Times New Roman"/>
          <w:noProof/>
        </w:rPr>
        <w:t>The toolbox of EU social benefits law seems well stocked—it contains implements to suit many needs, but no silver bullet.</w:t>
      </w:r>
      <w:r w:rsidRPr="00EB5AA5">
        <w:rPr>
          <w:rStyle w:val="FootnoteReference"/>
          <w:rFonts w:ascii="Times New Roman"/>
          <w:noProof/>
        </w:rPr>
        <w:footnoteReference w:id="179"/>
      </w:r>
      <w:r w:rsidRPr="00EB5AA5">
        <w:rPr>
          <w:rFonts w:ascii="Times New Roman"/>
          <w:noProof/>
        </w:rPr>
        <w:t xml:space="preserve"> </w:t>
      </w:r>
      <w:bookmarkEnd w:id="204"/>
      <w:r w:rsidRPr="00EB5AA5">
        <w:rPr>
          <w:rFonts w:ascii="Times New Roman"/>
          <w:noProof/>
        </w:rPr>
        <w:t xml:space="preserve">If they are chiefly concerned, as is fashionable, about integration, rule-makers are spoilt for choice. They might opt for </w:t>
      </w:r>
      <w:bookmarkStart w:id="205" w:name="_Hlk16763539"/>
      <w:r w:rsidRPr="00EB5AA5">
        <w:rPr>
          <w:rFonts w:ascii="Times New Roman"/>
          <w:noProof/>
        </w:rPr>
        <w:t>asymmetrical waiting periods</w:t>
      </w:r>
      <w:bookmarkEnd w:id="205"/>
      <w:r w:rsidRPr="00EB5AA5">
        <w:rPr>
          <w:rFonts w:ascii="Times New Roman"/>
          <w:noProof/>
        </w:rPr>
        <w:t xml:space="preserve">, which would also preserve harmony, albeit at the price of discontinuing social protection and neglecting integration in the State of origin. </w:t>
      </w:r>
      <w:bookmarkStart w:id="206" w:name="_Hlk7684412"/>
      <w:r w:rsidRPr="00EB5AA5">
        <w:rPr>
          <w:rFonts w:ascii="Times New Roman"/>
          <w:noProof/>
        </w:rPr>
        <w:t xml:space="preserve">Plurality and symmetrical waiting periods should also appeal, seeing as they both combine the integration–protection nexus with continuous protection. </w:t>
      </w:r>
      <w:bookmarkEnd w:id="206"/>
      <w:r w:rsidRPr="00EB5AA5">
        <w:rPr>
          <w:rFonts w:ascii="Times New Roman"/>
          <w:noProof/>
        </w:rPr>
        <w:t xml:space="preserve">A rule-maker prepared to forsake high integration thresholds in order to realize continuous protection and harmony would be well advised to select an instant transition. </w:t>
      </w:r>
    </w:p>
    <w:p w14:paraId="5544080F" w14:textId="77777777" w:rsidR="004C479A" w:rsidRPr="00EB5AA5" w:rsidRDefault="004C479A" w:rsidP="008638AF">
      <w:pPr>
        <w:spacing w:line="360" w:lineRule="auto"/>
        <w:rPr>
          <w:rFonts w:ascii="Times New Roman"/>
          <w:noProof/>
        </w:rPr>
      </w:pPr>
      <w:r w:rsidRPr="00EB5AA5">
        <w:rPr>
          <w:rFonts w:ascii="Times New Roman"/>
          <w:noProof/>
        </w:rPr>
        <w:t xml:space="preserve">It is unfortunate that the tool most often advertised as a silver bullet—the asymmetrical waiting period—should in fact be resting on the shallowest legal and normative foundations. Despite the </w:t>
      </w:r>
      <w:r w:rsidRPr="00EB5AA5">
        <w:rPr>
          <w:rFonts w:ascii="Times New Roman"/>
          <w:noProof/>
        </w:rPr>
        <w:lastRenderedPageBreak/>
        <w:t xml:space="preserve">ECJ’s increasing leniency, it remains more exposed to challenge under primary law than its alternatives. While it serves harmony well, all other tools are preferable from the perspective of continuous protection, and two other tools embody the integration–protection nexus more realistically. </w:t>
      </w:r>
      <w:bookmarkStart w:id="207" w:name="_Hlk16777333"/>
      <w:r w:rsidRPr="00EB5AA5">
        <w:rPr>
          <w:rFonts w:ascii="Times New Roman"/>
          <w:noProof/>
        </w:rPr>
        <w:t xml:space="preserve">In academic and political discourse, asymmetrical waiting periods are often presented as the ultimate incarnation of the </w:t>
      </w:r>
      <w:bookmarkStart w:id="208" w:name="_Hlk18848196"/>
      <w:r w:rsidRPr="00EB5AA5">
        <w:rPr>
          <w:rFonts w:ascii="Times New Roman"/>
          <w:noProof/>
        </w:rPr>
        <w:t>integration–protection nexus</w:t>
      </w:r>
      <w:bookmarkEnd w:id="208"/>
      <w:r w:rsidRPr="00EB5AA5">
        <w:rPr>
          <w:rFonts w:ascii="Times New Roman"/>
          <w:noProof/>
        </w:rPr>
        <w:t xml:space="preserve">. </w:t>
      </w:r>
      <w:bookmarkEnd w:id="207"/>
      <w:r w:rsidRPr="00EB5AA5">
        <w:rPr>
          <w:rFonts w:ascii="Times New Roman"/>
          <w:noProof/>
        </w:rPr>
        <w:t>Though often ignored, symmetrical waiting periods and plurality are more effective to that end, since they reward integration in the State of origin with social protection. They show that it is possible to safeguard continuous protection while tightening its link to integration. Those taking a dim view of the instant transition need not accept a gap in social protection.</w:t>
      </w:r>
    </w:p>
    <w:p w14:paraId="2DF60B7B" w14:textId="77777777" w:rsidR="004C479A" w:rsidRPr="00EB5AA5" w:rsidRDefault="004C479A" w:rsidP="008638AF">
      <w:pPr>
        <w:spacing w:line="360" w:lineRule="auto"/>
        <w:rPr>
          <w:rFonts w:ascii="Times New Roman"/>
          <w:noProof/>
        </w:rPr>
      </w:pPr>
      <w:r w:rsidRPr="00EB5AA5">
        <w:rPr>
          <w:rFonts w:ascii="Times New Roman"/>
          <w:noProof/>
        </w:rPr>
        <w:t xml:space="preserve">Of all values the integration–protection nexus might be the most visible. One may disagree on how much integration is required for social protection and on how integration is to be measured, but it is hard to conceive of integration and social protection as unrelated. </w:t>
      </w:r>
      <w:bookmarkStart w:id="209" w:name="_Hlk5647304"/>
    </w:p>
    <w:bookmarkEnd w:id="209"/>
    <w:p w14:paraId="532333F7" w14:textId="77777777" w:rsidR="004C479A" w:rsidRPr="00EB5AA5" w:rsidRDefault="004C479A" w:rsidP="008638AF">
      <w:pPr>
        <w:spacing w:line="360" w:lineRule="auto"/>
        <w:rPr>
          <w:rFonts w:ascii="Times New Roman"/>
          <w:noProof/>
        </w:rPr>
      </w:pPr>
      <w:r w:rsidRPr="00EB5AA5">
        <w:rPr>
          <w:rFonts w:ascii="Times New Roman"/>
          <w:noProof/>
        </w:rPr>
        <w:t>Harmony deserves a place in the sun in analyses of EU social benefits law. It is disturbed when several legal orders bear on a case. The resulting snarl can be untangled on a case-by-case basis. Doing so often presupposes a study in comparative law with the appendant administrative expense and risk of miscarriage of justice. Member States and the EU have an interest in preventing disharmonies from arising. Plurality is best avoided, as are symmetrical waiting periods. The instant transition and the asymmetrical waiting period are generally most conducive to harmony.</w:t>
      </w:r>
      <w:r w:rsidRPr="00EB5AA5">
        <w:rPr>
          <w:rStyle w:val="FootnoteReference"/>
          <w:rFonts w:ascii="Times New Roman"/>
          <w:noProof/>
        </w:rPr>
        <w:footnoteReference w:id="180"/>
      </w:r>
      <w:r w:rsidRPr="00EB5AA5">
        <w:rPr>
          <w:rFonts w:ascii="Times New Roman"/>
          <w:noProof/>
        </w:rPr>
        <w:t xml:space="preserve"> In final analysis, disharmonies are the product of the unity of legal orders, their limited international scope, and the inevitable short-sightedness of rule-makers.</w:t>
      </w:r>
      <w:bookmarkStart w:id="211" w:name="_Hlk9434462"/>
      <w:r w:rsidRPr="00EB5AA5">
        <w:rPr>
          <w:rFonts w:ascii="Times New Roman"/>
          <w:noProof/>
        </w:rPr>
        <w:t xml:space="preserve"> </w:t>
      </w:r>
      <w:bookmarkEnd w:id="211"/>
    </w:p>
    <w:p w14:paraId="088D731C" w14:textId="2B95B8B3" w:rsidR="004C479A" w:rsidRPr="00EB5AA5" w:rsidRDefault="004C479A" w:rsidP="008638AF">
      <w:pPr>
        <w:spacing w:line="360" w:lineRule="auto"/>
        <w:rPr>
          <w:rFonts w:ascii="Times New Roman"/>
          <w:noProof/>
        </w:rPr>
      </w:pPr>
      <w:r w:rsidRPr="00EB5AA5">
        <w:rPr>
          <w:rFonts w:ascii="Times New Roman"/>
          <w:noProof/>
        </w:rPr>
        <w:t xml:space="preserve">Ideally, people would be protected against social risks, which could have devastating effects on their lives, at all times. Migration might entail a shift from one system to another, but the transition should be seamless. In theory, continuous social protection can be guaranteed by an instant transition, by a symmetrical waiting period and by plurality. The latter two tools generate disharmonies, which could imperil continuous protection in practice. The reason is that disharmonies that are not resolved well might endanger the rights of citizens or augment their liabilities; that good solutions presuppose that administrations take into account foreign law; and that that is a delicate task carrying a significant risk of poor execution. Choosing a tool that scores low on harmony might accordingly expose continuous protection to some threats. A risk-averse </w:t>
      </w:r>
      <w:bookmarkStart w:id="212" w:name="_Hlk5198230"/>
      <w:r w:rsidRPr="00EB5AA5">
        <w:rPr>
          <w:rFonts w:ascii="Times New Roman"/>
          <w:noProof/>
        </w:rPr>
        <w:t xml:space="preserve">devotee of continuous protection </w:t>
      </w:r>
      <w:bookmarkEnd w:id="212"/>
      <w:r w:rsidRPr="00EB5AA5">
        <w:rPr>
          <w:rFonts w:ascii="Times New Roman"/>
          <w:noProof/>
        </w:rPr>
        <w:t xml:space="preserve">might therefore be drawn to an instant transition. This would moreover secure adequate benefit levels—symmetrical waiting periods and plurality can equip a German resident with (mostly) Romanian minimum subsistence benefits. If, on the contrary, continuous protection is dropped as a regulatory objective, the need for legal orders to be well adapted is less pressing, as the disharmonies that negatively affect migrants are </w:t>
      </w:r>
      <w:r w:rsidRPr="00EB5AA5">
        <w:rPr>
          <w:rFonts w:ascii="Times New Roman"/>
          <w:noProof/>
        </w:rPr>
        <w:lastRenderedPageBreak/>
        <w:t>unproblematic. A rule-maker unconcerned about continuous protection only need worry about disharmonies that inflate the liabilities of its institutions or deflate their revenues.</w:t>
      </w:r>
    </w:p>
    <w:p w14:paraId="3585AD9F" w14:textId="77777777" w:rsidR="004C479A" w:rsidRPr="00EB5AA5" w:rsidRDefault="004C479A" w:rsidP="008638AF">
      <w:pPr>
        <w:spacing w:line="360" w:lineRule="auto"/>
        <w:rPr>
          <w:rFonts w:ascii="Times New Roman"/>
          <w:noProof/>
        </w:rPr>
      </w:pPr>
      <w:r w:rsidRPr="00EB5AA5">
        <w:rPr>
          <w:rFonts w:ascii="Times New Roman"/>
          <w:noProof/>
        </w:rPr>
        <w:t xml:space="preserve">Our enthusiast of continuous protection might however have reservations about the instant transition for economically inactive EU citizens, at least as long as the Citizenship Directive and its interpretation are unchanged. </w:t>
      </w:r>
      <w:bookmarkStart w:id="213" w:name="_Hlk18676189"/>
      <w:r w:rsidRPr="00EB5AA5">
        <w:rPr>
          <w:rFonts w:ascii="Times New Roman"/>
          <w:noProof/>
        </w:rPr>
        <w:t>That directive bases their equal treatment rights on their right to reside,</w:t>
      </w:r>
      <w:r w:rsidRPr="00EB5AA5">
        <w:rPr>
          <w:rStyle w:val="FootnoteReference"/>
          <w:rFonts w:ascii="Times New Roman"/>
          <w:noProof/>
        </w:rPr>
        <w:footnoteReference w:id="181"/>
      </w:r>
      <w:r w:rsidRPr="00EB5AA5">
        <w:rPr>
          <w:rFonts w:ascii="Times New Roman"/>
          <w:noProof/>
        </w:rPr>
        <w:t xml:space="preserve"> which itself depends on having “sufficient resources for themselves and their family members not to become a burden on the social assistance system of the </w:t>
      </w:r>
      <w:r w:rsidRPr="00EB5AA5">
        <w:rPr>
          <w:rFonts w:ascii="Times New Roman"/>
          <w:i/>
          <w:iCs/>
          <w:noProof/>
        </w:rPr>
        <w:t>host</w:t>
      </w:r>
      <w:r w:rsidRPr="00EB5AA5">
        <w:rPr>
          <w:rFonts w:ascii="Times New Roman"/>
          <w:noProof/>
        </w:rPr>
        <w:t xml:space="preserve"> Member State”.</w:t>
      </w:r>
      <w:r w:rsidRPr="00EB5AA5">
        <w:rPr>
          <w:rStyle w:val="FootnoteReference"/>
          <w:rFonts w:ascii="Times New Roman"/>
          <w:noProof/>
        </w:rPr>
        <w:footnoteReference w:id="182"/>
      </w:r>
      <w:r w:rsidRPr="00EB5AA5">
        <w:rPr>
          <w:rFonts w:ascii="Times New Roman"/>
          <w:noProof/>
        </w:rPr>
        <w:t xml:space="preserve"> </w:t>
      </w:r>
      <w:bookmarkEnd w:id="213"/>
      <w:r w:rsidRPr="00EB5AA5">
        <w:rPr>
          <w:rFonts w:ascii="Times New Roman"/>
          <w:noProof/>
        </w:rPr>
        <w:t>Benefits exported by the home State, be it under a symmetrical waiting period or plurality, help EU citizens establish a right to reside by funding them.</w:t>
      </w:r>
      <w:r w:rsidRPr="00EB5AA5">
        <w:rPr>
          <w:rStyle w:val="FootnoteReference"/>
          <w:rFonts w:ascii="Times New Roman"/>
          <w:noProof/>
        </w:rPr>
        <w:footnoteReference w:id="183"/>
      </w:r>
      <w:r w:rsidRPr="00EB5AA5">
        <w:rPr>
          <w:rFonts w:ascii="Times New Roman"/>
          <w:noProof/>
        </w:rPr>
        <w:t xml:space="preserve"> By putting the entire burden on the host State, an instant transition could jeopardize residence rights, equal treatment rights, and continuous protection. If that risk materializes, citizens would face an asymmetrical waiting period in disguise.</w:t>
      </w:r>
    </w:p>
    <w:p w14:paraId="64628C4B" w14:textId="560D6E57" w:rsidR="004C479A" w:rsidRPr="00EB5AA5" w:rsidRDefault="004C479A" w:rsidP="008638AF">
      <w:pPr>
        <w:spacing w:line="360" w:lineRule="auto"/>
        <w:rPr>
          <w:rFonts w:ascii="Times New Roman"/>
          <w:noProof/>
        </w:rPr>
      </w:pPr>
      <w:bookmarkStart w:id="214" w:name="_Hlk18668624"/>
      <w:r w:rsidRPr="00EB5AA5">
        <w:rPr>
          <w:rFonts w:ascii="Times New Roman"/>
          <w:noProof/>
        </w:rPr>
        <w:t xml:space="preserve">This article opened with the observation that the law on the access to social benefits consists of a collection of interlinked legal frameworks. Examples of cross-pollination abound: </w:t>
      </w:r>
      <w:r w:rsidRPr="00EB5AA5">
        <w:rPr>
          <w:rFonts w:ascii="Times New Roman"/>
          <w:i/>
          <w:iCs/>
          <w:noProof/>
        </w:rPr>
        <w:t>Dano</w:t>
      </w:r>
      <w:r w:rsidRPr="00EB5AA5">
        <w:rPr>
          <w:rFonts w:ascii="Times New Roman"/>
          <w:noProof/>
        </w:rPr>
        <w:t xml:space="preserve"> and </w:t>
      </w:r>
      <w:r w:rsidRPr="00EB5AA5">
        <w:rPr>
          <w:rFonts w:ascii="Times New Roman"/>
          <w:i/>
          <w:iCs/>
          <w:noProof/>
        </w:rPr>
        <w:t>Commission v UK</w:t>
      </w:r>
      <w:r w:rsidRPr="00EB5AA5">
        <w:rPr>
          <w:rFonts w:ascii="Times New Roman"/>
          <w:noProof/>
        </w:rPr>
        <w:t xml:space="preserve"> stand at the confluence of the Treaty, the Citizenship Directive and Regulation 883/2004; </w:t>
      </w:r>
      <w:r w:rsidRPr="00EB5AA5">
        <w:rPr>
          <w:rFonts w:ascii="Times New Roman"/>
          <w:i/>
          <w:iCs/>
          <w:noProof/>
        </w:rPr>
        <w:t>Bosmann</w:t>
      </w:r>
      <w:r w:rsidRPr="00EB5AA5">
        <w:rPr>
          <w:rFonts w:ascii="Times New Roman"/>
          <w:noProof/>
        </w:rPr>
        <w:t xml:space="preserve"> and </w:t>
      </w:r>
      <w:r w:rsidRPr="00EB5AA5">
        <w:rPr>
          <w:rFonts w:ascii="Times New Roman"/>
          <w:i/>
          <w:iCs/>
          <w:noProof/>
        </w:rPr>
        <w:t xml:space="preserve">Hudziński and Wawrzyniak </w:t>
      </w:r>
      <w:r w:rsidRPr="00EB5AA5">
        <w:rPr>
          <w:rFonts w:ascii="Times New Roman"/>
          <w:noProof/>
        </w:rPr>
        <w:t xml:space="preserve">are the product of </w:t>
      </w:r>
      <w:r w:rsidR="00203E13" w:rsidRPr="00EB5AA5">
        <w:rPr>
          <w:rFonts w:ascii="Times New Roman"/>
          <w:noProof/>
        </w:rPr>
        <w:t xml:space="preserve">that regulation and </w:t>
      </w:r>
      <w:r w:rsidRPr="00EB5AA5">
        <w:rPr>
          <w:rFonts w:ascii="Times New Roman"/>
          <w:noProof/>
        </w:rPr>
        <w:t xml:space="preserve">the Treaty; and the Patient Mobility Directive cannot be isolated from the free movement of services. But these frameworks share more than just contact points. Three threads run through the patchwork of disparate provisions and cases that make up EU social benefits law: the tools, the values and the trilemma. </w:t>
      </w:r>
      <w:bookmarkEnd w:id="214"/>
      <w:r w:rsidRPr="00EB5AA5">
        <w:rPr>
          <w:rFonts w:ascii="Times New Roman"/>
          <w:noProof/>
        </w:rPr>
        <w:t>They are always relevant to the challenge of coordinating the cross-border access to any social benefit. From a more distant vantage point, we can see the wood through the trees.</w:t>
      </w:r>
    </w:p>
    <w:p w14:paraId="33AD09CA" w14:textId="77777777" w:rsidR="004C479A" w:rsidRPr="00EB5AA5" w:rsidRDefault="004C479A" w:rsidP="008638AF">
      <w:pPr>
        <w:spacing w:line="360" w:lineRule="auto"/>
        <w:rPr>
          <w:rFonts w:ascii="Times New Roman"/>
          <w:noProof/>
        </w:rPr>
      </w:pPr>
      <w:bookmarkStart w:id="215" w:name="_Hlk9432623"/>
      <w:r w:rsidRPr="00EB5AA5">
        <w:rPr>
          <w:rFonts w:ascii="Times New Roman"/>
          <w:noProof/>
        </w:rPr>
        <w:t>Each value tells us something about what EU social benefits law does, why certain choices were made, and how judicious they are.</w:t>
      </w:r>
      <w:bookmarkEnd w:id="215"/>
      <w:r w:rsidRPr="00EB5AA5">
        <w:rPr>
          <w:rFonts w:ascii="Times New Roman"/>
          <w:noProof/>
        </w:rPr>
        <w:t xml:space="preserve"> </w:t>
      </w:r>
      <w:bookmarkStart w:id="216" w:name="_Hlk9434548"/>
      <w:r w:rsidRPr="00EB5AA5">
        <w:rPr>
          <w:rFonts w:ascii="Times New Roman"/>
          <w:noProof/>
        </w:rPr>
        <w:t xml:space="preserve">EU institutions internalize the values, albeit incompletely and in part instinctively. </w:t>
      </w:r>
      <w:bookmarkStart w:id="217" w:name="_Hlk9434565"/>
      <w:r w:rsidRPr="00EB5AA5">
        <w:rPr>
          <w:rFonts w:ascii="Times New Roman"/>
          <w:noProof/>
        </w:rPr>
        <w:t xml:space="preserve">Each value is also a piece in the normative puzzle. </w:t>
      </w:r>
      <w:bookmarkEnd w:id="216"/>
      <w:bookmarkEnd w:id="217"/>
      <w:r w:rsidRPr="00EB5AA5">
        <w:rPr>
          <w:rFonts w:ascii="Times New Roman"/>
          <w:noProof/>
        </w:rPr>
        <w:t xml:space="preserve">It would be no great exaggeration to state that the evaluation of many rules of EU social benefits law would not be quite complete without considering whether they secure continuous protection and how they relate to integration and harmony. Accordingly, each value has a descriptive, explanatory, and normative dimension. So does the trilemma. It enables us to grasp why all the regulatory tools discussed are used in EU law: the EU legislature clearly finds itself unable to drop one value in general, and instead prioritizes different pairs of values depending on the context. That no value is pursued fully should not surprise, as doing so would jeopardise at least one of the other two values. </w:t>
      </w:r>
      <w:bookmarkStart w:id="218" w:name="_Hlk18962211"/>
      <w:r w:rsidRPr="00EB5AA5">
        <w:rPr>
          <w:rFonts w:ascii="Times New Roman"/>
          <w:noProof/>
        </w:rPr>
        <w:t xml:space="preserve">This help us to make sense of the EU legislator and the ECJ’s practices. </w:t>
      </w:r>
      <w:bookmarkEnd w:id="218"/>
      <w:r w:rsidRPr="00EB5AA5">
        <w:rPr>
          <w:rFonts w:ascii="Times New Roman"/>
          <w:noProof/>
        </w:rPr>
        <w:t xml:space="preserve">EU social benefits law emerges in a new light </w:t>
      </w:r>
      <w:r w:rsidRPr="00EB5AA5">
        <w:rPr>
          <w:rFonts w:ascii="Times New Roman"/>
          <w:noProof/>
        </w:rPr>
        <w:lastRenderedPageBreak/>
        <w:t xml:space="preserve">inasmuch as many of its rules can be seen as variations on four regulatory tools. Familiarity with the contents of the toolbox permits to picture the alternatives to rules, which, alongside the knowledge that each rule runs against at least one value, focalizes criticism. At the same time, the finding that no course of action can achieve all three values contributes to legitimizing rules by tempering expectations. Rules would ideally be drafted in full knowledge of their alternatives and their effects on the values. </w:t>
      </w:r>
    </w:p>
    <w:p w14:paraId="105D5D7B" w14:textId="77777777" w:rsidR="004C479A" w:rsidRPr="00EB5AA5" w:rsidRDefault="004C479A" w:rsidP="008638AF">
      <w:pPr>
        <w:spacing w:line="360" w:lineRule="auto"/>
        <w:rPr>
          <w:rFonts w:ascii="Times New Roman"/>
          <w:noProof/>
        </w:rPr>
      </w:pPr>
      <w:bookmarkStart w:id="219" w:name="_Hlk9434838"/>
      <w:bookmarkStart w:id="220" w:name="_Hlk6514854"/>
      <w:r w:rsidRPr="00EB5AA5">
        <w:rPr>
          <w:rFonts w:ascii="Times New Roman"/>
          <w:noProof/>
        </w:rPr>
        <w:t xml:space="preserve">The values enrich the debate </w:t>
      </w:r>
      <w:bookmarkEnd w:id="219"/>
      <w:r w:rsidRPr="00EB5AA5">
        <w:rPr>
          <w:rFonts w:ascii="Times New Roman"/>
          <w:noProof/>
        </w:rPr>
        <w:t xml:space="preserve">on the access of migrants to welfare benefits, which tends to be locked into a series of overlapping oppositions. </w:t>
      </w:r>
      <w:bookmarkStart w:id="221" w:name="_Hlk7616908"/>
      <w:bookmarkEnd w:id="220"/>
      <w:r w:rsidRPr="00EB5AA5">
        <w:rPr>
          <w:rFonts w:ascii="Times New Roman"/>
          <w:noProof/>
        </w:rPr>
        <w:t>EU social benefits law is often presented as pitting the (mobile) individual against the (immobile) collective; migrants against welfare states; transnational solidarity against national solidarity; opening against closure; or free movement against national regulatory autonomy.</w:t>
      </w:r>
      <w:r w:rsidRPr="00EB5AA5">
        <w:rPr>
          <w:rStyle w:val="FootnoteReference"/>
          <w:rFonts w:ascii="Times New Roman"/>
          <w:noProof/>
        </w:rPr>
        <w:footnoteReference w:id="184"/>
      </w:r>
      <w:r w:rsidRPr="00EB5AA5">
        <w:rPr>
          <w:rFonts w:ascii="Times New Roman"/>
          <w:noProof/>
        </w:rPr>
        <w:t xml:space="preserve"> </w:t>
      </w:r>
      <w:bookmarkStart w:id="222" w:name="_Hlk7608964"/>
      <w:bookmarkEnd w:id="221"/>
      <w:r w:rsidRPr="00EB5AA5">
        <w:rPr>
          <w:rFonts w:ascii="Times New Roman"/>
          <w:noProof/>
        </w:rPr>
        <w:t xml:space="preserve">Such familiar divisions certainly have their place, but they do not exhaust the normative universe of EU social benefits law, and some of the values nuance them. </w:t>
      </w:r>
      <w:bookmarkStart w:id="223" w:name="_Hlk6514728"/>
      <w:bookmarkEnd w:id="222"/>
      <w:r w:rsidRPr="00EB5AA5">
        <w:rPr>
          <w:rFonts w:ascii="Times New Roman"/>
          <w:noProof/>
        </w:rPr>
        <w:t>For instance, while unresolved disharmonies are to the substantive advantage of administrations or migrants depending on the case, preventing disharmonies from arising brings a procedural advantage to both: institutions are spared a foray into foreign law, the outcome of which would be uncertain and worrying for migrants.</w:t>
      </w:r>
    </w:p>
    <w:bookmarkEnd w:id="223"/>
    <w:p w14:paraId="68D7FC04" w14:textId="77777777" w:rsidR="004C479A" w:rsidRPr="00EB5AA5" w:rsidRDefault="004C479A" w:rsidP="008638AF">
      <w:pPr>
        <w:spacing w:line="360" w:lineRule="auto"/>
        <w:rPr>
          <w:rFonts w:ascii="Times New Roman"/>
          <w:noProof/>
        </w:rPr>
      </w:pPr>
      <w:r w:rsidRPr="00EB5AA5">
        <w:rPr>
          <w:rFonts w:ascii="Times New Roman"/>
          <w:noProof/>
        </w:rPr>
        <w:t xml:space="preserve">The choices between the various regulatory tools not only impact the values, but also raise constitutional issues. Some tools might offend free movement rights. All engage the relationship between the State of origin and the State of destination. </w:t>
      </w:r>
      <w:bookmarkStart w:id="224" w:name="_Hlk7609019"/>
      <w:r w:rsidRPr="00EB5AA5">
        <w:rPr>
          <w:rFonts w:ascii="Times New Roman"/>
          <w:noProof/>
        </w:rPr>
        <w:t>They should interest those who have strong preferences for home State regulation or host State regulation.</w:t>
      </w:r>
      <w:r w:rsidRPr="00EB5AA5">
        <w:rPr>
          <w:rStyle w:val="FootnoteReference"/>
          <w:rFonts w:ascii="Times New Roman"/>
          <w:noProof/>
        </w:rPr>
        <w:footnoteReference w:id="185"/>
      </w:r>
      <w:r w:rsidRPr="00EB5AA5">
        <w:rPr>
          <w:rFonts w:ascii="Times New Roman"/>
          <w:noProof/>
        </w:rPr>
        <w:t xml:space="preserve"> </w:t>
      </w:r>
      <w:bookmarkStart w:id="225" w:name="_Hlk5649836"/>
      <w:bookmarkEnd w:id="224"/>
      <w:r w:rsidRPr="00EB5AA5">
        <w:rPr>
          <w:rFonts w:ascii="Times New Roman"/>
          <w:noProof/>
        </w:rPr>
        <w:t xml:space="preserve">Increased reliance on waiting periods chips away at the dominance of host State regulation in matters of welfare—quite possibly to the host State’s delight. </w:t>
      </w:r>
      <w:bookmarkStart w:id="226" w:name="_Hlk5479651"/>
      <w:bookmarkEnd w:id="225"/>
      <w:r w:rsidRPr="00EB5AA5">
        <w:rPr>
          <w:rFonts w:ascii="Times New Roman"/>
          <w:noProof/>
        </w:rPr>
        <w:t>A broader point could be made building on Nic Shuibhne’s timely argument that the EU and its Member States should co-own free movement</w:t>
      </w:r>
      <w:bookmarkEnd w:id="226"/>
      <w:r w:rsidRPr="00EB5AA5">
        <w:rPr>
          <w:rFonts w:ascii="Times New Roman"/>
          <w:noProof/>
        </w:rPr>
        <w:t>:</w:t>
      </w:r>
    </w:p>
    <w:p w14:paraId="40EC1878" w14:textId="77777777" w:rsidR="004C479A" w:rsidRPr="00EB5AA5" w:rsidRDefault="004C479A" w:rsidP="008638AF">
      <w:pPr>
        <w:spacing w:line="360" w:lineRule="auto"/>
        <w:ind w:left="720"/>
        <w:rPr>
          <w:rFonts w:ascii="Times New Roman"/>
          <w:noProof/>
        </w:rPr>
      </w:pPr>
      <w:r w:rsidRPr="00EB5AA5">
        <w:rPr>
          <w:rFonts w:ascii="Times New Roman"/>
          <w:noProof/>
        </w:rPr>
        <w:t>“Free movement is a shared competence, yet the Member States are too often portrayed as passive or even destructive actors (without much complaint on their part)—as valiant defenders of national priorities against ever more excessive obligations inflicted by the demands of free movement. It is time that Member States instead demonstrated leadership as active and constructive architects of the legal framework.”</w:t>
      </w:r>
      <w:r w:rsidRPr="00EB5AA5">
        <w:rPr>
          <w:rStyle w:val="FootnoteReference"/>
          <w:rFonts w:ascii="Times New Roman"/>
          <w:noProof/>
        </w:rPr>
        <w:footnoteReference w:id="186"/>
      </w:r>
      <w:r w:rsidRPr="00EB5AA5">
        <w:rPr>
          <w:rFonts w:ascii="Times New Roman"/>
          <w:noProof/>
        </w:rPr>
        <w:t xml:space="preserve"> </w:t>
      </w:r>
    </w:p>
    <w:p w14:paraId="3C738677" w14:textId="77777777" w:rsidR="004C479A" w:rsidRPr="00EB5AA5" w:rsidRDefault="004C479A" w:rsidP="008638AF">
      <w:pPr>
        <w:spacing w:line="360" w:lineRule="auto"/>
        <w:rPr>
          <w:rFonts w:ascii="Times New Roman"/>
          <w:noProof/>
        </w:rPr>
      </w:pPr>
      <w:bookmarkStart w:id="227" w:name="_Hlk9434869"/>
      <w:r w:rsidRPr="00EB5AA5">
        <w:rPr>
          <w:rFonts w:ascii="Times New Roman"/>
          <w:noProof/>
        </w:rPr>
        <w:lastRenderedPageBreak/>
        <w:t>Perhaps responsibility ought to be shared not only vertically between the EU and the Member States, but also horizontally between interested Member States. This strengthens the case for plurality and symmetrical waiting periods.</w:t>
      </w:r>
    </w:p>
    <w:p w14:paraId="36FA5906" w14:textId="79541F41" w:rsidR="004C479A" w:rsidRPr="00EB5AA5" w:rsidRDefault="004C479A" w:rsidP="008638AF">
      <w:pPr>
        <w:spacing w:line="360" w:lineRule="auto"/>
        <w:rPr>
          <w:rFonts w:ascii="Times New Roman"/>
          <w:noProof/>
        </w:rPr>
      </w:pPr>
      <w:bookmarkStart w:id="228" w:name="_Hlk9435087"/>
      <w:r w:rsidRPr="00EB5AA5">
        <w:rPr>
          <w:rFonts w:ascii="Times New Roman"/>
          <w:noProof/>
        </w:rPr>
        <w:t xml:space="preserve">Be that as it may, the core conclusion of this article is that </w:t>
      </w:r>
      <w:bookmarkStart w:id="229" w:name="_Hlk9432697"/>
      <w:r w:rsidRPr="00EB5AA5">
        <w:rPr>
          <w:rFonts w:ascii="Times New Roman"/>
          <w:noProof/>
        </w:rPr>
        <w:t>the four regulatory tools show what the EU legislator can do, and the trilemma what it cannot.</w:t>
      </w:r>
      <w:bookmarkEnd w:id="229"/>
      <w:r w:rsidRPr="00EB5AA5">
        <w:rPr>
          <w:rFonts w:ascii="Times New Roman"/>
          <w:noProof/>
        </w:rPr>
        <w:t xml:space="preserve"> </w:t>
      </w:r>
      <w:bookmarkStart w:id="230" w:name="_Hlk9434889"/>
      <w:bookmarkEnd w:id="227"/>
      <w:bookmarkEnd w:id="228"/>
      <w:r w:rsidRPr="00EB5AA5">
        <w:rPr>
          <w:rFonts w:ascii="Times New Roman"/>
          <w:noProof/>
        </w:rPr>
        <w:t xml:space="preserve">It might be fitting to conclude this piece by drawing attention to its limitations. </w:t>
      </w:r>
      <w:bookmarkEnd w:id="230"/>
      <w:r w:rsidRPr="00EB5AA5">
        <w:rPr>
          <w:rFonts w:ascii="Times New Roman"/>
          <w:noProof/>
        </w:rPr>
        <w:t>Having argued that there is no escape from the trilemma, I do not put forward a one-size-fits-all solution. The choice between the three values—and between the regulatory tools that embody them—is best made in context. It is only by looking at discrete sets of rules and the many values, objectives and interests they engage that one can meaningfully deliberate whether, for instance, a particular symmetrical waiting period is preferable to a particular type of plurality. The toolbox helps to translate preferences into policies; there is nothing particularly disturbing about different tools being used in different settings. It might be that the trilemma is more susceptible to “uneasy compromise […] than definitive resolution”.</w:t>
      </w:r>
      <w:r w:rsidRPr="00EB5AA5">
        <w:rPr>
          <w:rFonts w:ascii="Times New Roman"/>
          <w:noProof/>
          <w:vertAlign w:val="superscript"/>
        </w:rPr>
        <w:footnoteReference w:id="187"/>
      </w:r>
      <w:bookmarkEnd w:id="2"/>
      <w:bookmarkEnd w:id="202"/>
      <w:bookmarkEnd w:id="203"/>
      <w:r w:rsidRPr="00EB5AA5">
        <w:rPr>
          <w:rFonts w:ascii="Times New Roman"/>
          <w:noProof/>
        </w:rPr>
        <w:fldChar w:fldCharType="begin"/>
      </w:r>
      <w:r w:rsidRPr="00EB5AA5">
        <w:rPr>
          <w:rFonts w:ascii="Times New Roman"/>
          <w:noProof/>
        </w:rPr>
        <w:instrText xml:space="preserve"> ADDIN </w:instrText>
      </w:r>
      <w:r w:rsidRPr="00EB5AA5">
        <w:rPr>
          <w:rFonts w:ascii="Times New Roman"/>
          <w:noProof/>
        </w:rPr>
        <w:fldChar w:fldCharType="end"/>
      </w:r>
    </w:p>
    <w:p w14:paraId="3D361432" w14:textId="77777777" w:rsidR="008638AF" w:rsidRPr="00EB5AA5" w:rsidRDefault="008638AF">
      <w:pPr>
        <w:rPr>
          <w:rFonts w:ascii="Times New Roman"/>
          <w:noProof/>
        </w:rPr>
      </w:pPr>
    </w:p>
    <w:sectPr w:rsidR="008638AF" w:rsidRPr="00EB5AA5" w:rsidSect="00B41FD9">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3C5A7E" w14:textId="77777777" w:rsidR="00CD46D7" w:rsidRDefault="00CD46D7" w:rsidP="004C479A">
      <w:pPr>
        <w:spacing w:after="0" w:line="240" w:lineRule="auto"/>
      </w:pPr>
      <w:r>
        <w:separator/>
      </w:r>
    </w:p>
  </w:endnote>
  <w:endnote w:type="continuationSeparator" w:id="0">
    <w:p w14:paraId="398745A0" w14:textId="77777777" w:rsidR="00CD46D7" w:rsidRDefault="00CD46D7" w:rsidP="004C479A">
      <w:pPr>
        <w:spacing w:after="0" w:line="240" w:lineRule="auto"/>
      </w:pPr>
      <w:r>
        <w:continuationSeparator/>
      </w:r>
    </w:p>
  </w:endnote>
  <w:endnote w:id="1">
    <w:p w14:paraId="46610100" w14:textId="77777777" w:rsidR="00803628" w:rsidRPr="00510D7C" w:rsidRDefault="00803628">
      <w:pPr>
        <w:pStyle w:val="EndnoteText"/>
        <w:rPr>
          <w:rFonts w:ascii="Times New Roman"/>
        </w:rPr>
      </w:pPr>
      <w:r w:rsidRPr="00510D7C">
        <w:rPr>
          <w:rStyle w:val="EndnoteReference"/>
          <w:rFonts w:ascii="Times New Roman"/>
        </w:rPr>
        <w:endnoteRef/>
      </w:r>
      <w:r w:rsidRPr="00510D7C">
        <w:rPr>
          <w:rFonts w:ascii="Times New Roman"/>
        </w:rPr>
        <w:t xml:space="preserve"> An earlier version of this paper was presented at the 2018 CML Rev. conference. I am very grateful to the participants, the anonymous reviewers and Ch</w:t>
      </w:r>
      <w:bookmarkStart w:id="3" w:name="_GoBack"/>
      <w:bookmarkEnd w:id="3"/>
      <w:r w:rsidRPr="00510D7C">
        <w:rPr>
          <w:rFonts w:ascii="Times New Roman"/>
        </w:rPr>
        <w:t>arlotte O’Brien for their comments. The usual disclaimer applies.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4391144"/>
      <w:docPartObj>
        <w:docPartGallery w:val="Page Numbers (Bottom of Page)"/>
        <w:docPartUnique/>
      </w:docPartObj>
    </w:sdtPr>
    <w:sdtEndPr>
      <w:rPr>
        <w:rFonts w:ascii="Times New Roman"/>
        <w:noProof/>
      </w:rPr>
    </w:sdtEndPr>
    <w:sdtContent>
      <w:p w14:paraId="6B86C6E3" w14:textId="77777777" w:rsidR="00803628" w:rsidRPr="00510D7C" w:rsidRDefault="00803628">
        <w:pPr>
          <w:pStyle w:val="Footer"/>
          <w:jc w:val="right"/>
          <w:rPr>
            <w:rFonts w:ascii="Times New Roman"/>
          </w:rPr>
        </w:pPr>
        <w:r w:rsidRPr="00510D7C">
          <w:rPr>
            <w:rFonts w:ascii="Times New Roman"/>
          </w:rPr>
          <w:fldChar w:fldCharType="begin"/>
        </w:r>
        <w:r w:rsidRPr="00510D7C">
          <w:rPr>
            <w:rFonts w:ascii="Times New Roman"/>
          </w:rPr>
          <w:instrText xml:space="preserve"> PAGE   \* MERGEFORMAT </w:instrText>
        </w:r>
        <w:r w:rsidRPr="00510D7C">
          <w:rPr>
            <w:rFonts w:ascii="Times New Roman"/>
          </w:rPr>
          <w:fldChar w:fldCharType="separate"/>
        </w:r>
        <w:r w:rsidRPr="00510D7C">
          <w:rPr>
            <w:rFonts w:ascii="Times New Roman"/>
            <w:noProof/>
          </w:rPr>
          <w:t>1</w:t>
        </w:r>
        <w:r w:rsidRPr="00510D7C">
          <w:rPr>
            <w:rFonts w:ascii="Times New Roman"/>
            <w:noProof/>
          </w:rPr>
          <w:fldChar w:fldCharType="end"/>
        </w:r>
      </w:p>
    </w:sdtContent>
  </w:sdt>
  <w:p w14:paraId="2C88D5E5" w14:textId="77777777" w:rsidR="00803628" w:rsidRDefault="008036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95AE9C" w14:textId="77777777" w:rsidR="00CD46D7" w:rsidRDefault="00CD46D7" w:rsidP="004C479A">
      <w:pPr>
        <w:spacing w:after="0" w:line="240" w:lineRule="auto"/>
      </w:pPr>
      <w:r>
        <w:separator/>
      </w:r>
    </w:p>
  </w:footnote>
  <w:footnote w:type="continuationSeparator" w:id="0">
    <w:p w14:paraId="5CA9D7AD" w14:textId="77777777" w:rsidR="00CD46D7" w:rsidRDefault="00CD46D7" w:rsidP="004C479A">
      <w:pPr>
        <w:spacing w:after="0" w:line="240" w:lineRule="auto"/>
      </w:pPr>
      <w:r>
        <w:continuationSeparator/>
      </w:r>
    </w:p>
  </w:footnote>
  <w:footnote w:id="1">
    <w:p w14:paraId="352EACF8" w14:textId="77777777" w:rsidR="00803628" w:rsidRPr="00510D7C" w:rsidRDefault="00803628" w:rsidP="008638AF">
      <w:pPr>
        <w:pStyle w:val="FootnoteText"/>
        <w:rPr>
          <w:rFonts w:ascii="Times New Roman"/>
          <w:noProof/>
        </w:rPr>
      </w:pPr>
      <w:r w:rsidRPr="00510D7C">
        <w:rPr>
          <w:rStyle w:val="FootnoteReference"/>
          <w:rFonts w:ascii="Times New Roman"/>
          <w:noProof/>
        </w:rPr>
        <w:footnoteRef/>
      </w:r>
      <w:r w:rsidRPr="00510D7C">
        <w:rPr>
          <w:rFonts w:ascii="Times New Roman"/>
          <w:noProof/>
        </w:rPr>
        <w:t xml:space="preserve"> Regulation 883/2004 on the coordination of social security systems, O.J. 2004, L 166/1; Directive 2004/38 on the right of citizens of the Union and their family members to move and reside freely within the territory of the Member States amending Regulation 1612/68 and repealing Directives 64/221, 68/360, 72/194, 73/148, 75/34, 75/35, 90/364, 90/365 and 93/96, O.J. 2004, L 158/77 (“the Citizenship Directive”); Directive 2011/24 on the application of patients’ rights in cross-border healthcare, O.J. 2011, L 88/45 (“the Patient Mobility Directive”); Regulation 492/2011 on freedom of movement for workers within the Union, O.J. 2011, L 141/1.</w:t>
      </w:r>
    </w:p>
  </w:footnote>
  <w:footnote w:id="2">
    <w:p w14:paraId="5AAE7BCF" w14:textId="77777777" w:rsidR="00803628" w:rsidRPr="00510D7C" w:rsidRDefault="00803628">
      <w:pPr>
        <w:pStyle w:val="FootnoteText"/>
        <w:rPr>
          <w:rFonts w:ascii="Times New Roman"/>
          <w:noProof/>
        </w:rPr>
      </w:pPr>
      <w:r w:rsidRPr="00510D7C">
        <w:rPr>
          <w:rStyle w:val="FootnoteReference"/>
          <w:rFonts w:ascii="Times New Roman"/>
          <w:noProof/>
        </w:rPr>
        <w:footnoteRef/>
      </w:r>
      <w:r w:rsidRPr="00510D7C">
        <w:rPr>
          <w:rFonts w:ascii="Times New Roman"/>
          <w:noProof/>
        </w:rPr>
        <w:t xml:space="preserve"> Case C-333/13, </w:t>
      </w:r>
      <w:r w:rsidRPr="00510D7C">
        <w:rPr>
          <w:rFonts w:ascii="Times New Roman"/>
          <w:i/>
          <w:noProof/>
        </w:rPr>
        <w:t>Dano v Jobcenter Leipzig</w:t>
      </w:r>
      <w:r w:rsidRPr="00510D7C">
        <w:rPr>
          <w:rFonts w:ascii="Times New Roman"/>
          <w:noProof/>
        </w:rPr>
        <w:t>, EU:C:2014:2358.</w:t>
      </w:r>
    </w:p>
  </w:footnote>
  <w:footnote w:id="3">
    <w:p w14:paraId="72D0AC9B" w14:textId="77777777" w:rsidR="00803628" w:rsidRPr="00510D7C" w:rsidRDefault="00803628" w:rsidP="008638AF">
      <w:pPr>
        <w:pStyle w:val="FootnoteText"/>
        <w:rPr>
          <w:rFonts w:ascii="Times New Roman"/>
          <w:noProof/>
        </w:rPr>
      </w:pPr>
      <w:r w:rsidRPr="00510D7C">
        <w:rPr>
          <w:rStyle w:val="FootnoteReference"/>
          <w:rFonts w:ascii="Times New Roman"/>
          <w:noProof/>
        </w:rPr>
        <w:footnoteRef/>
      </w:r>
      <w:r w:rsidRPr="00510D7C">
        <w:rPr>
          <w:rFonts w:ascii="Times New Roman"/>
          <w:noProof/>
        </w:rPr>
        <w:t xml:space="preserve"> It is neither assumed that a migrant is a national of the State of origin nor that he or she is not a national of the State of destination. When I make these assumptions, I use the language of “home State” and “host State”.</w:t>
      </w:r>
    </w:p>
  </w:footnote>
  <w:footnote w:id="4">
    <w:p w14:paraId="4A7AB28A" w14:textId="77777777" w:rsidR="00803628" w:rsidRPr="00510D7C" w:rsidRDefault="00803628">
      <w:pPr>
        <w:pStyle w:val="FootnoteText"/>
        <w:rPr>
          <w:rFonts w:ascii="Times New Roman"/>
          <w:noProof/>
        </w:rPr>
      </w:pPr>
      <w:r w:rsidRPr="00510D7C">
        <w:rPr>
          <w:rStyle w:val="FootnoteReference"/>
          <w:rFonts w:ascii="Times New Roman"/>
          <w:noProof/>
        </w:rPr>
        <w:footnoteRef/>
      </w:r>
      <w:r w:rsidRPr="00510D7C">
        <w:rPr>
          <w:rFonts w:ascii="Times New Roman"/>
          <w:noProof/>
        </w:rPr>
        <w:t xml:space="preserve"> See e.g. Verschueren (Ed.), </w:t>
      </w:r>
      <w:r w:rsidRPr="00510D7C">
        <w:rPr>
          <w:rFonts w:ascii="Times New Roman"/>
          <w:i/>
          <w:noProof/>
        </w:rPr>
        <w:t>Residence, Employment and Social Rights of Mobile Persons: On How EU Law Defines Where They Belong</w:t>
      </w:r>
      <w:r w:rsidRPr="00510D7C">
        <w:rPr>
          <w:rFonts w:ascii="Times New Roman"/>
          <w:noProof/>
        </w:rPr>
        <w:t xml:space="preserve"> (Intersentia, 2016). </w:t>
      </w:r>
    </w:p>
  </w:footnote>
  <w:footnote w:id="5">
    <w:p w14:paraId="60203844" w14:textId="77777777" w:rsidR="00803628" w:rsidRPr="00510D7C" w:rsidRDefault="00803628" w:rsidP="008638AF">
      <w:pPr>
        <w:pStyle w:val="FootnoteText"/>
        <w:rPr>
          <w:rFonts w:ascii="Times New Roman"/>
          <w:noProof/>
        </w:rPr>
      </w:pPr>
      <w:r w:rsidRPr="00510D7C">
        <w:rPr>
          <w:rStyle w:val="FootnoteReference"/>
          <w:rFonts w:ascii="Times New Roman"/>
          <w:noProof/>
        </w:rPr>
        <w:footnoteRef/>
      </w:r>
      <w:r w:rsidRPr="00510D7C">
        <w:rPr>
          <w:rFonts w:ascii="Times New Roman"/>
          <w:noProof/>
        </w:rPr>
        <w:t xml:space="preserve"> Carens, </w:t>
      </w:r>
      <w:r w:rsidRPr="00510D7C">
        <w:rPr>
          <w:rFonts w:ascii="Times New Roman"/>
          <w:i/>
          <w:noProof/>
        </w:rPr>
        <w:t>The Ethics of Immigration</w:t>
      </w:r>
      <w:r w:rsidRPr="00510D7C">
        <w:rPr>
          <w:rFonts w:ascii="Times New Roman"/>
          <w:noProof/>
        </w:rPr>
        <w:t xml:space="preserve"> (OUP, 2013), 92–100.</w:t>
      </w:r>
    </w:p>
  </w:footnote>
  <w:footnote w:id="6">
    <w:p w14:paraId="4F1B6444" w14:textId="77777777" w:rsidR="00803628" w:rsidRPr="00510D7C" w:rsidRDefault="00803628">
      <w:pPr>
        <w:pStyle w:val="FootnoteText"/>
        <w:rPr>
          <w:rFonts w:ascii="Times New Roman"/>
          <w:noProof/>
        </w:rPr>
      </w:pPr>
      <w:r w:rsidRPr="00510D7C">
        <w:rPr>
          <w:rStyle w:val="FootnoteReference"/>
          <w:rFonts w:ascii="Times New Roman"/>
          <w:noProof/>
        </w:rPr>
        <w:footnoteRef/>
      </w:r>
      <w:r w:rsidRPr="00510D7C">
        <w:rPr>
          <w:rFonts w:ascii="Times New Roman"/>
          <w:noProof/>
        </w:rPr>
        <w:t xml:space="preserve"> Ibid., 158.</w:t>
      </w:r>
    </w:p>
  </w:footnote>
  <w:footnote w:id="7">
    <w:p w14:paraId="68E25D31" w14:textId="77777777" w:rsidR="00803628" w:rsidRPr="00510D7C" w:rsidRDefault="00803628" w:rsidP="008638AF">
      <w:pPr>
        <w:pStyle w:val="FootnoteText"/>
        <w:rPr>
          <w:rFonts w:ascii="Times New Roman"/>
          <w:noProof/>
        </w:rPr>
      </w:pPr>
      <w:r w:rsidRPr="00510D7C">
        <w:rPr>
          <w:rStyle w:val="FootnoteReference"/>
          <w:rFonts w:ascii="Times New Roman"/>
          <w:noProof/>
        </w:rPr>
        <w:footnoteRef/>
      </w:r>
      <w:r w:rsidRPr="00510D7C">
        <w:rPr>
          <w:rFonts w:ascii="Times New Roman"/>
          <w:noProof/>
        </w:rPr>
        <w:t xml:space="preserve"> Bellamy and Lacey, "Balancing the rights and duties of European and national citizens: A demoicratic approach", (2018), Journal of European Public Policy, 1403–1421; de Witte, </w:t>
      </w:r>
      <w:r w:rsidRPr="00510D7C">
        <w:rPr>
          <w:rFonts w:ascii="Times New Roman"/>
          <w:i/>
          <w:noProof/>
        </w:rPr>
        <w:t>Justice in the EU: The Emergence of Transnational Solidarity</w:t>
      </w:r>
      <w:r w:rsidRPr="00510D7C">
        <w:rPr>
          <w:rFonts w:ascii="Times New Roman"/>
          <w:noProof/>
        </w:rPr>
        <w:t xml:space="preserve"> (OUP, 2015); Sangiovanni, "Solidarity in the European Union", (2013), Oxford Journal of Legal Studies, 213–241, 234–240. </w:t>
      </w:r>
    </w:p>
  </w:footnote>
  <w:footnote w:id="8">
    <w:p w14:paraId="4F1E0E7F" w14:textId="77777777" w:rsidR="00803628" w:rsidRPr="00510D7C" w:rsidRDefault="00803628" w:rsidP="008638AF">
      <w:pPr>
        <w:pStyle w:val="FootnoteText"/>
        <w:rPr>
          <w:rFonts w:ascii="Times New Roman"/>
          <w:noProof/>
        </w:rPr>
      </w:pPr>
      <w:r w:rsidRPr="00510D7C">
        <w:rPr>
          <w:rStyle w:val="FootnoteReference"/>
          <w:rFonts w:ascii="Times New Roman"/>
          <w:noProof/>
        </w:rPr>
        <w:footnoteRef/>
      </w:r>
      <w:r w:rsidRPr="00510D7C">
        <w:rPr>
          <w:rFonts w:ascii="Times New Roman"/>
          <w:noProof/>
        </w:rPr>
        <w:t xml:space="preserve"> E.g. European Social Survey 2008, reported in Dustmann and Frattini, "The Fiscal Effects of Immigration to the UK", (2014), The Economic Journal, F593–F643, F593. </w:t>
      </w:r>
    </w:p>
  </w:footnote>
  <w:footnote w:id="9">
    <w:p w14:paraId="4F1EF4FA" w14:textId="77777777" w:rsidR="00803628" w:rsidRPr="00510D7C" w:rsidRDefault="00803628" w:rsidP="008638AF">
      <w:pPr>
        <w:pStyle w:val="FootnoteText"/>
        <w:rPr>
          <w:rFonts w:ascii="Times New Roman"/>
          <w:noProof/>
        </w:rPr>
      </w:pPr>
      <w:r w:rsidRPr="00510D7C">
        <w:rPr>
          <w:rStyle w:val="FootnoteReference"/>
          <w:rFonts w:ascii="Times New Roman"/>
          <w:noProof/>
        </w:rPr>
        <w:footnoteRef/>
      </w:r>
      <w:r w:rsidRPr="00510D7C">
        <w:rPr>
          <w:rFonts w:ascii="Times New Roman"/>
          <w:noProof/>
        </w:rPr>
        <w:t xml:space="preserve"> E.g. Dustmann and Frattini, op. cit. </w:t>
      </w:r>
      <w:r w:rsidRPr="00510D7C">
        <w:rPr>
          <w:rFonts w:ascii="Times New Roman"/>
          <w:i/>
          <w:noProof/>
        </w:rPr>
        <w:t xml:space="preserve">supra </w:t>
      </w:r>
      <w:r w:rsidRPr="00510D7C">
        <w:rPr>
          <w:rFonts w:ascii="Times New Roman"/>
          <w:noProof/>
        </w:rPr>
        <w:t xml:space="preserve">note </w:t>
      </w:r>
      <w:r w:rsidRPr="00510D7C">
        <w:rPr>
          <w:rFonts w:ascii="Times New Roman"/>
          <w:noProof/>
        </w:rPr>
        <w:fldChar w:fldCharType="begin"/>
      </w:r>
      <w:r w:rsidRPr="00510D7C">
        <w:rPr>
          <w:rFonts w:ascii="Times New Roman"/>
          <w:noProof/>
        </w:rPr>
        <w:instrText xml:space="preserve"> NOTEREF _Ref18739704 \h  \* MERGEFORMAT </w:instrText>
      </w:r>
      <w:r w:rsidRPr="00510D7C">
        <w:rPr>
          <w:rFonts w:ascii="Times New Roman"/>
          <w:noProof/>
        </w:rPr>
      </w:r>
      <w:r w:rsidRPr="00510D7C">
        <w:rPr>
          <w:rFonts w:ascii="Times New Roman"/>
          <w:noProof/>
        </w:rPr>
        <w:fldChar w:fldCharType="separate"/>
      </w:r>
      <w:r w:rsidRPr="00510D7C">
        <w:rPr>
          <w:rFonts w:ascii="Times New Roman"/>
          <w:noProof/>
        </w:rPr>
        <w:t>8</w:t>
      </w:r>
      <w:r w:rsidRPr="00510D7C">
        <w:rPr>
          <w:rFonts w:ascii="Times New Roman"/>
          <w:noProof/>
        </w:rPr>
        <w:fldChar w:fldCharType="end"/>
      </w:r>
      <w:r w:rsidRPr="00510D7C">
        <w:rPr>
          <w:rFonts w:ascii="Times New Roman"/>
          <w:noProof/>
        </w:rPr>
        <w:t>; Martinsen and Pons Rotger, "The fiscal impact of EU immigration on the tax-financed welfare state: Testing the ‘welfare burden’ thesis", (2017), European Union Politics, 620–639.</w:t>
      </w:r>
    </w:p>
  </w:footnote>
  <w:footnote w:id="10">
    <w:p w14:paraId="71A908AA" w14:textId="77777777" w:rsidR="00803628" w:rsidRPr="00510D7C" w:rsidRDefault="00803628" w:rsidP="008638AF">
      <w:pPr>
        <w:pStyle w:val="FootnoteText"/>
        <w:rPr>
          <w:rFonts w:ascii="Times New Roman"/>
          <w:noProof/>
        </w:rPr>
      </w:pPr>
      <w:r w:rsidRPr="00510D7C">
        <w:rPr>
          <w:rStyle w:val="FootnoteReference"/>
          <w:rFonts w:ascii="Times New Roman"/>
          <w:noProof/>
        </w:rPr>
        <w:footnoteRef/>
      </w:r>
      <w:r w:rsidRPr="00510D7C">
        <w:rPr>
          <w:rFonts w:ascii="Times New Roman"/>
          <w:noProof/>
        </w:rPr>
        <w:t xml:space="preserve"> Opinion of A.G. </w:t>
      </w:r>
      <w:bookmarkStart w:id="34" w:name="_Hlk526437551"/>
      <w:r w:rsidRPr="00510D7C">
        <w:rPr>
          <w:rFonts w:ascii="Times New Roman"/>
          <w:noProof/>
        </w:rPr>
        <w:t>Trstenjak</w:t>
      </w:r>
      <w:bookmarkEnd w:id="34"/>
      <w:r w:rsidRPr="00510D7C">
        <w:rPr>
          <w:rFonts w:ascii="Times New Roman"/>
          <w:noProof/>
        </w:rPr>
        <w:t xml:space="preserve"> in Case C-325/09, </w:t>
      </w:r>
      <w:r w:rsidRPr="00510D7C">
        <w:rPr>
          <w:rFonts w:ascii="Times New Roman"/>
          <w:i/>
          <w:noProof/>
        </w:rPr>
        <w:t>Secretary of State for Work and Pensions v Dias</w:t>
      </w:r>
      <w:r w:rsidRPr="00510D7C">
        <w:rPr>
          <w:rFonts w:ascii="Times New Roman"/>
          <w:noProof/>
        </w:rPr>
        <w:t>, EU:C:2011:498, para 79.</w:t>
      </w:r>
    </w:p>
  </w:footnote>
  <w:footnote w:id="11">
    <w:p w14:paraId="7CBE4688" w14:textId="77777777" w:rsidR="00803628" w:rsidRPr="00510D7C" w:rsidRDefault="00803628" w:rsidP="008638AF">
      <w:pPr>
        <w:pStyle w:val="FootnoteText"/>
        <w:rPr>
          <w:rFonts w:ascii="Times New Roman"/>
          <w:noProof/>
        </w:rPr>
      </w:pPr>
      <w:r w:rsidRPr="00510D7C">
        <w:rPr>
          <w:rStyle w:val="FootnoteReference"/>
          <w:rFonts w:ascii="Times New Roman"/>
          <w:noProof/>
        </w:rPr>
        <w:footnoteRef/>
      </w:r>
      <w:r w:rsidRPr="00510D7C">
        <w:rPr>
          <w:rFonts w:ascii="Times New Roman"/>
          <w:noProof/>
        </w:rPr>
        <w:t xml:space="preserve"> E.g. Martinsen and Werner, "No welfare magnets – free movement and cross-border welfare in Germany and Denmark compared", (2019), Journal of European Public Policy, 637–655.</w:t>
      </w:r>
    </w:p>
  </w:footnote>
  <w:footnote w:id="12">
    <w:p w14:paraId="2AA4DB73" w14:textId="77777777" w:rsidR="00803628" w:rsidRPr="00510D7C" w:rsidRDefault="00803628">
      <w:pPr>
        <w:pStyle w:val="FootnoteText"/>
        <w:rPr>
          <w:rFonts w:ascii="Times New Roman"/>
          <w:noProof/>
        </w:rPr>
      </w:pPr>
      <w:r w:rsidRPr="00510D7C">
        <w:rPr>
          <w:rStyle w:val="FootnoteReference"/>
          <w:rFonts w:ascii="Times New Roman"/>
          <w:noProof/>
        </w:rPr>
        <w:footnoteRef/>
      </w:r>
      <w:r w:rsidRPr="00510D7C">
        <w:rPr>
          <w:rFonts w:ascii="Times New Roman"/>
          <w:noProof/>
        </w:rPr>
        <w:t xml:space="preserve"> See Saydé, </w:t>
      </w:r>
      <w:r w:rsidRPr="00510D7C">
        <w:rPr>
          <w:rFonts w:ascii="Times New Roman"/>
          <w:i/>
          <w:noProof/>
        </w:rPr>
        <w:t>Abuse of EU Law and Regulation of the Internal Market</w:t>
      </w:r>
      <w:r w:rsidRPr="00510D7C">
        <w:rPr>
          <w:rFonts w:ascii="Times New Roman"/>
          <w:noProof/>
        </w:rPr>
        <w:t xml:space="preserve"> (Hart Publishing, 2014), 114–117.</w:t>
      </w:r>
    </w:p>
  </w:footnote>
  <w:footnote w:id="13">
    <w:p w14:paraId="118390FD" w14:textId="77777777" w:rsidR="00803628" w:rsidRPr="00510D7C" w:rsidRDefault="00803628">
      <w:pPr>
        <w:pStyle w:val="FootnoteText"/>
        <w:rPr>
          <w:rFonts w:ascii="Times New Roman"/>
          <w:noProof/>
        </w:rPr>
      </w:pPr>
      <w:r w:rsidRPr="00510D7C">
        <w:rPr>
          <w:rStyle w:val="FootnoteReference"/>
          <w:rFonts w:ascii="Times New Roman"/>
          <w:noProof/>
        </w:rPr>
        <w:footnoteRef/>
      </w:r>
      <w:r w:rsidRPr="00510D7C">
        <w:rPr>
          <w:rFonts w:ascii="Times New Roman"/>
          <w:noProof/>
        </w:rPr>
        <w:t xml:space="preserve"> Case C-238/15, </w:t>
      </w:r>
      <w:r w:rsidRPr="00510D7C">
        <w:rPr>
          <w:rFonts w:ascii="Times New Roman"/>
          <w:i/>
          <w:noProof/>
        </w:rPr>
        <w:t>Bragança Linares Verruga v Ministre de l’Enseignement supérieur et de la Recherche</w:t>
      </w:r>
      <w:r w:rsidRPr="00510D7C">
        <w:rPr>
          <w:rFonts w:ascii="Times New Roman"/>
          <w:noProof/>
        </w:rPr>
        <w:t xml:space="preserve">, EU:C:2016:949, para 67. See also e.g. Case 39/86, </w:t>
      </w:r>
      <w:r w:rsidRPr="00510D7C">
        <w:rPr>
          <w:rFonts w:ascii="Times New Roman"/>
          <w:i/>
          <w:noProof/>
        </w:rPr>
        <w:t>Lair v Universität Hannover</w:t>
      </w:r>
      <w:r w:rsidRPr="00510D7C">
        <w:rPr>
          <w:rFonts w:ascii="Times New Roman"/>
          <w:noProof/>
        </w:rPr>
        <w:t>, EU:C:1988:322, para 43.</w:t>
      </w:r>
    </w:p>
  </w:footnote>
  <w:footnote w:id="14">
    <w:p w14:paraId="7F5DF4F3" w14:textId="77777777" w:rsidR="00803628" w:rsidRPr="00510D7C" w:rsidRDefault="00803628" w:rsidP="008638AF">
      <w:pPr>
        <w:pStyle w:val="FootnoteText"/>
        <w:rPr>
          <w:rFonts w:ascii="Times New Roman"/>
          <w:noProof/>
        </w:rPr>
      </w:pPr>
      <w:r w:rsidRPr="00510D7C">
        <w:rPr>
          <w:rStyle w:val="FootnoteReference"/>
          <w:rFonts w:ascii="Times New Roman"/>
          <w:noProof/>
        </w:rPr>
        <w:footnoteRef/>
      </w:r>
      <w:r w:rsidRPr="00510D7C">
        <w:rPr>
          <w:rFonts w:ascii="Times New Roman"/>
          <w:noProof/>
        </w:rPr>
        <w:t xml:space="preserve"> Cappelen and Peters, "Diversity and welfare state legitimacy in Europe. The challenge of intra-EU migration", (2018), Journal of European Public Policy, 1336–1356.</w:t>
      </w:r>
    </w:p>
  </w:footnote>
  <w:footnote w:id="15">
    <w:p w14:paraId="528B1393" w14:textId="77777777" w:rsidR="00803628" w:rsidRPr="00510D7C" w:rsidRDefault="00803628" w:rsidP="008638AF">
      <w:pPr>
        <w:pStyle w:val="FootnoteText"/>
        <w:rPr>
          <w:rFonts w:ascii="Times New Roman"/>
          <w:noProof/>
        </w:rPr>
      </w:pPr>
      <w:r w:rsidRPr="00510D7C">
        <w:rPr>
          <w:rStyle w:val="FootnoteReference"/>
          <w:rFonts w:ascii="Times New Roman"/>
          <w:noProof/>
        </w:rPr>
        <w:footnoteRef/>
      </w:r>
      <w:r w:rsidRPr="00510D7C">
        <w:rPr>
          <w:rFonts w:ascii="Times New Roman"/>
          <w:noProof/>
        </w:rPr>
        <w:t xml:space="preserve"> E.g. Höpner and Schäfer, "Embeddedness and Regional Integration: Waiting for Polanyi in a Hayekian Setting", (2012), International Organization, 429–455, 445–448; Menéndez, "European Citizenship after </w:t>
      </w:r>
      <w:r w:rsidRPr="00510D7C">
        <w:rPr>
          <w:rFonts w:ascii="Times New Roman"/>
          <w:i/>
          <w:noProof/>
        </w:rPr>
        <w:t>Martínez Sala</w:t>
      </w:r>
      <w:r w:rsidRPr="00510D7C">
        <w:rPr>
          <w:rFonts w:ascii="Times New Roman"/>
          <w:noProof/>
        </w:rPr>
        <w:t xml:space="preserve"> and </w:t>
      </w:r>
      <w:r w:rsidRPr="00510D7C">
        <w:rPr>
          <w:rFonts w:ascii="Times New Roman"/>
          <w:i/>
          <w:noProof/>
        </w:rPr>
        <w:t>Baumbast</w:t>
      </w:r>
      <w:r w:rsidRPr="00510D7C">
        <w:rPr>
          <w:rFonts w:ascii="Times New Roman"/>
          <w:noProof/>
        </w:rPr>
        <w:t xml:space="preserve">: Has European Law Become More Human but Less Social?" in Maduro and Azoulai (Ed.), </w:t>
      </w:r>
      <w:r w:rsidRPr="00510D7C">
        <w:rPr>
          <w:rFonts w:ascii="Times New Roman"/>
          <w:i/>
          <w:noProof/>
        </w:rPr>
        <w:t>The Past and Future of EU Law: The Classics of EU Law Revisited on the 50th Anniversary of the Rome Treaty</w:t>
      </w:r>
      <w:r w:rsidRPr="00510D7C">
        <w:rPr>
          <w:rFonts w:ascii="Times New Roman"/>
          <w:noProof/>
        </w:rPr>
        <w:t xml:space="preserve"> (Hart Publishing, 2010), 391–393. A rare empirical study finds little evidence that free movement causes welfare state retrenchment in two Member States deemed especially vulnerable (Kramer, Thierry and van Hooren, "Responding to free movement: quarantining mobile union citizens in European welfare states", (2018), Journal of European Public Policy, 1501–1521).</w:t>
      </w:r>
    </w:p>
  </w:footnote>
  <w:footnote w:id="16">
    <w:p w14:paraId="3C7ACDA3" w14:textId="77777777" w:rsidR="00803628" w:rsidRPr="00510D7C" w:rsidRDefault="00803628" w:rsidP="008638AF">
      <w:pPr>
        <w:pStyle w:val="FootnoteText"/>
        <w:rPr>
          <w:rFonts w:ascii="Times New Roman"/>
          <w:noProof/>
        </w:rPr>
      </w:pPr>
      <w:r w:rsidRPr="00510D7C">
        <w:rPr>
          <w:rStyle w:val="FootnoteReference"/>
          <w:rFonts w:ascii="Times New Roman"/>
          <w:noProof/>
        </w:rPr>
        <w:footnoteRef/>
      </w:r>
      <w:r w:rsidRPr="00510D7C">
        <w:rPr>
          <w:rFonts w:ascii="Times New Roman"/>
          <w:noProof/>
        </w:rPr>
        <w:t xml:space="preserve"> Cf Thym’s “integration model” and “residence model” (Thym, "The elusive limits of solidarity: Residence rights of and social benefits for economically inactive Union citizens", (2015), CML Rev., 17–50, 33–39).</w:t>
      </w:r>
    </w:p>
  </w:footnote>
  <w:footnote w:id="17">
    <w:p w14:paraId="4E2FBAE2" w14:textId="77777777" w:rsidR="00803628" w:rsidRPr="00510D7C" w:rsidRDefault="00803628">
      <w:pPr>
        <w:pStyle w:val="FootnoteText"/>
        <w:rPr>
          <w:rFonts w:ascii="Times New Roman"/>
          <w:noProof/>
        </w:rPr>
      </w:pPr>
      <w:r w:rsidRPr="00510D7C">
        <w:rPr>
          <w:rStyle w:val="FootnoteReference"/>
          <w:rFonts w:ascii="Times New Roman"/>
          <w:noProof/>
        </w:rPr>
        <w:footnoteRef/>
      </w:r>
      <w:r w:rsidRPr="00510D7C">
        <w:rPr>
          <w:rFonts w:ascii="Times New Roman"/>
          <w:noProof/>
        </w:rPr>
        <w:t xml:space="preserve"> Fuchs, de Cortázar, Kahil and Pöltl, "Assessment of the impact of amendments to the EU social security coordination rules on aggregation of periods or salaries for unemployment benefits", (FreSsco Analytical Report 2015), &lt;https://ec.europa.eu/social/BlobServlet?docId=16958&amp;langId=en&gt;, 7. See also Spaventa, "Citizenship: Reallocating Welfare Responsibilities to the State of Origin" in Koutrakos, Shuibhne and Syrpis (Ed.), </w:t>
      </w:r>
      <w:r w:rsidRPr="00510D7C">
        <w:rPr>
          <w:rFonts w:ascii="Times New Roman"/>
          <w:i/>
          <w:noProof/>
        </w:rPr>
        <w:t>Exceptions from EU Free Movement Law: Derogation, Justification and Proportionality</w:t>
      </w:r>
      <w:r w:rsidRPr="00510D7C">
        <w:rPr>
          <w:rFonts w:ascii="Times New Roman"/>
          <w:noProof/>
        </w:rPr>
        <w:t xml:space="preserve"> (Hart Publishing, 2016), 38–39.</w:t>
      </w:r>
    </w:p>
  </w:footnote>
  <w:footnote w:id="18">
    <w:p w14:paraId="182153AF" w14:textId="77777777" w:rsidR="00803628" w:rsidRPr="00510D7C" w:rsidRDefault="00803628" w:rsidP="008638AF">
      <w:pPr>
        <w:pStyle w:val="FootnoteText"/>
        <w:rPr>
          <w:rFonts w:ascii="Times New Roman"/>
          <w:noProof/>
        </w:rPr>
      </w:pPr>
      <w:r w:rsidRPr="00510D7C">
        <w:rPr>
          <w:rStyle w:val="FootnoteReference"/>
          <w:rFonts w:ascii="Times New Roman"/>
          <w:noProof/>
        </w:rPr>
        <w:footnoteRef/>
      </w:r>
      <w:r w:rsidRPr="00510D7C">
        <w:rPr>
          <w:rFonts w:ascii="Times New Roman"/>
          <w:noProof/>
        </w:rPr>
        <w:t xml:space="preserve"> Cappelen and Peters, "The impact of intra-EU migration on welfare chauvinism", (2018), Journal of Public Policy, 389–417, 390.</w:t>
      </w:r>
    </w:p>
  </w:footnote>
  <w:footnote w:id="19">
    <w:p w14:paraId="51942369" w14:textId="77777777" w:rsidR="00803628" w:rsidRPr="00510D7C" w:rsidRDefault="00803628" w:rsidP="008638AF">
      <w:pPr>
        <w:pStyle w:val="FootnoteText"/>
        <w:rPr>
          <w:rFonts w:ascii="Times New Roman"/>
          <w:noProof/>
        </w:rPr>
      </w:pPr>
      <w:r w:rsidRPr="00510D7C">
        <w:rPr>
          <w:rStyle w:val="FootnoteReference"/>
          <w:rFonts w:ascii="Times New Roman"/>
          <w:noProof/>
        </w:rPr>
        <w:footnoteRef/>
      </w:r>
      <w:r w:rsidRPr="00510D7C">
        <w:rPr>
          <w:rFonts w:ascii="Times New Roman"/>
          <w:noProof/>
        </w:rPr>
        <w:t xml:space="preserve"> Art. 19 Regulation 883/2004.</w:t>
      </w:r>
    </w:p>
  </w:footnote>
  <w:footnote w:id="20">
    <w:p w14:paraId="3B1F4DE2" w14:textId="77777777" w:rsidR="00803628" w:rsidRPr="00510D7C" w:rsidRDefault="00803628">
      <w:pPr>
        <w:pStyle w:val="FootnoteText"/>
        <w:rPr>
          <w:rFonts w:ascii="Times New Roman"/>
          <w:noProof/>
        </w:rPr>
      </w:pPr>
      <w:r w:rsidRPr="00510D7C">
        <w:rPr>
          <w:rStyle w:val="FootnoteReference"/>
          <w:rFonts w:ascii="Times New Roman"/>
          <w:noProof/>
        </w:rPr>
        <w:footnoteRef/>
      </w:r>
      <w:r w:rsidRPr="00510D7C">
        <w:rPr>
          <w:rFonts w:ascii="Times New Roman"/>
          <w:noProof/>
        </w:rPr>
        <w:t xml:space="preserve"> See below, Sections 5.4 and 6.</w:t>
      </w:r>
    </w:p>
  </w:footnote>
  <w:footnote w:id="21">
    <w:p w14:paraId="3AFBAFAB" w14:textId="77777777" w:rsidR="00803628" w:rsidRPr="00510D7C" w:rsidRDefault="00803628" w:rsidP="008638AF">
      <w:pPr>
        <w:pStyle w:val="FootnoteText"/>
        <w:rPr>
          <w:rFonts w:ascii="Times New Roman"/>
          <w:noProof/>
        </w:rPr>
      </w:pPr>
      <w:r w:rsidRPr="00510D7C">
        <w:rPr>
          <w:rStyle w:val="FootnoteReference"/>
          <w:rFonts w:ascii="Times New Roman"/>
          <w:noProof/>
        </w:rPr>
        <w:footnoteRef/>
      </w:r>
      <w:r w:rsidRPr="00510D7C">
        <w:rPr>
          <w:rFonts w:ascii="Times New Roman"/>
          <w:noProof/>
        </w:rPr>
        <w:t xml:space="preserve"> Missoc database &lt;https://www.missoc.org/missoc-database/&gt;.</w:t>
      </w:r>
    </w:p>
  </w:footnote>
  <w:footnote w:id="22">
    <w:p w14:paraId="648F016B" w14:textId="77777777" w:rsidR="00803628" w:rsidRPr="00510D7C" w:rsidRDefault="00803628" w:rsidP="008638AF">
      <w:pPr>
        <w:pStyle w:val="FootnoteText"/>
        <w:rPr>
          <w:rFonts w:ascii="Times New Roman"/>
          <w:noProof/>
        </w:rPr>
      </w:pPr>
      <w:r w:rsidRPr="00510D7C">
        <w:rPr>
          <w:rStyle w:val="FootnoteReference"/>
          <w:rFonts w:ascii="Times New Roman"/>
          <w:noProof/>
        </w:rPr>
        <w:footnoteRef/>
      </w:r>
      <w:r w:rsidRPr="00510D7C">
        <w:rPr>
          <w:rFonts w:ascii="Times New Roman"/>
          <w:noProof/>
        </w:rPr>
        <w:t xml:space="preserve"> Opinion of A.G. Wahl in Case C‑477/17, </w:t>
      </w:r>
      <w:r w:rsidRPr="00510D7C">
        <w:rPr>
          <w:rFonts w:ascii="Times New Roman"/>
          <w:i/>
          <w:noProof/>
        </w:rPr>
        <w:t>Raad van bestuur van de Sociale Verzekeringsbank v Balandin</w:t>
      </w:r>
      <w:r w:rsidRPr="00510D7C">
        <w:rPr>
          <w:rFonts w:ascii="Times New Roman"/>
          <w:noProof/>
        </w:rPr>
        <w:t>, EU:C:2019:60, para 63, emphasis in the original, approved in much less sweeping terms in the ECJ’s judgment, para 36. In the same vein, see Jorens, Spiegel, Fillon and Strban, "Key challenges for the social security coordination Regulations in the perspective of 2020", (trESS Think Tank Report 2013), &lt;http://www.tress-network.org/tress2012/EUROPEAN%20RESOURCES/EUROPEANREPORT/trESSIII_ThinkTank%20Report%202013.pdf&gt;, 56.</w:t>
      </w:r>
    </w:p>
  </w:footnote>
  <w:footnote w:id="23">
    <w:p w14:paraId="5D365EF4" w14:textId="77777777" w:rsidR="00803628" w:rsidRPr="00510D7C" w:rsidRDefault="00803628" w:rsidP="008638AF">
      <w:pPr>
        <w:pStyle w:val="FootnoteText"/>
        <w:rPr>
          <w:rFonts w:ascii="Times New Roman"/>
          <w:noProof/>
        </w:rPr>
      </w:pPr>
      <w:r w:rsidRPr="00510D7C">
        <w:rPr>
          <w:rStyle w:val="FootnoteReference"/>
          <w:rFonts w:ascii="Times New Roman"/>
          <w:noProof/>
        </w:rPr>
        <w:footnoteRef/>
      </w:r>
      <w:r w:rsidRPr="00510D7C">
        <w:rPr>
          <w:rFonts w:ascii="Times New Roman"/>
          <w:noProof/>
        </w:rPr>
        <w:t xml:space="preserve"> Art. 11(3)(e) Regulation 883/2004.</w:t>
      </w:r>
    </w:p>
  </w:footnote>
  <w:footnote w:id="24">
    <w:p w14:paraId="09E5A4DD" w14:textId="77777777" w:rsidR="00803628" w:rsidRPr="00510D7C" w:rsidRDefault="00803628" w:rsidP="008638AF">
      <w:pPr>
        <w:pStyle w:val="FootnoteText"/>
        <w:rPr>
          <w:rFonts w:ascii="Times New Roman"/>
          <w:noProof/>
        </w:rPr>
      </w:pPr>
      <w:r w:rsidRPr="00510D7C">
        <w:rPr>
          <w:rStyle w:val="FootnoteReference"/>
          <w:rFonts w:ascii="Times New Roman"/>
          <w:noProof/>
        </w:rPr>
        <w:footnoteRef/>
      </w:r>
      <w:r w:rsidRPr="00510D7C">
        <w:rPr>
          <w:rFonts w:ascii="Times New Roman"/>
          <w:noProof/>
        </w:rPr>
        <w:t xml:space="preserve"> E.g. Case 76/76, </w:t>
      </w:r>
      <w:r w:rsidRPr="00510D7C">
        <w:rPr>
          <w:rFonts w:ascii="Times New Roman"/>
          <w:i/>
          <w:noProof/>
        </w:rPr>
        <w:t>di Paolo v Office national de l'emploi</w:t>
      </w:r>
      <w:r w:rsidRPr="00510D7C">
        <w:rPr>
          <w:rFonts w:ascii="Times New Roman"/>
          <w:noProof/>
        </w:rPr>
        <w:t>, EU:C:1977:32, para 17. See further Art. 11 Regulation 987/2009 laying down the procedure for implementing Regulation 883/2004, O.J. 2009, L 284/1.</w:t>
      </w:r>
    </w:p>
  </w:footnote>
  <w:footnote w:id="25">
    <w:p w14:paraId="49F26D2E" w14:textId="77777777" w:rsidR="00803628" w:rsidRPr="00510D7C" w:rsidRDefault="00803628" w:rsidP="008638AF">
      <w:pPr>
        <w:pStyle w:val="FootnoteText"/>
        <w:rPr>
          <w:rFonts w:ascii="Times New Roman"/>
          <w:noProof/>
        </w:rPr>
      </w:pPr>
      <w:r w:rsidRPr="00510D7C">
        <w:rPr>
          <w:rStyle w:val="FootnoteReference"/>
          <w:rFonts w:ascii="Times New Roman"/>
          <w:noProof/>
        </w:rPr>
        <w:footnoteRef/>
      </w:r>
      <w:r w:rsidRPr="00510D7C">
        <w:rPr>
          <w:rFonts w:ascii="Times New Roman"/>
          <w:noProof/>
        </w:rPr>
        <w:t xml:space="preserve"> Art. 11(3)(a) Regulation 883/2004.</w:t>
      </w:r>
    </w:p>
  </w:footnote>
  <w:footnote w:id="26">
    <w:p w14:paraId="74534EB5" w14:textId="77777777" w:rsidR="00803628" w:rsidRPr="00510D7C" w:rsidRDefault="00803628" w:rsidP="008638AF">
      <w:pPr>
        <w:pStyle w:val="FootnoteText"/>
        <w:rPr>
          <w:rFonts w:ascii="Times New Roman"/>
          <w:noProof/>
        </w:rPr>
      </w:pPr>
      <w:r w:rsidRPr="00510D7C">
        <w:rPr>
          <w:rStyle w:val="FootnoteReference"/>
          <w:rFonts w:ascii="Times New Roman"/>
          <w:noProof/>
        </w:rPr>
        <w:footnoteRef/>
      </w:r>
      <w:r w:rsidRPr="00510D7C">
        <w:rPr>
          <w:rFonts w:ascii="Times New Roman"/>
          <w:noProof/>
        </w:rPr>
        <w:t xml:space="preserve"> E.g. Case C-456/02, </w:t>
      </w:r>
      <w:r w:rsidRPr="00510D7C">
        <w:rPr>
          <w:rFonts w:ascii="Times New Roman"/>
          <w:i/>
          <w:noProof/>
        </w:rPr>
        <w:t>Trojani v Centre public d'aide sociale de Bruxelles</w:t>
      </w:r>
      <w:r w:rsidRPr="00510D7C">
        <w:rPr>
          <w:rFonts w:ascii="Times New Roman"/>
          <w:noProof/>
        </w:rPr>
        <w:t>, EU:C:2004:488, para 15.</w:t>
      </w:r>
    </w:p>
  </w:footnote>
  <w:footnote w:id="27">
    <w:p w14:paraId="3AFF5D28" w14:textId="77777777" w:rsidR="00803628" w:rsidRPr="00510D7C" w:rsidRDefault="00803628" w:rsidP="008638AF">
      <w:pPr>
        <w:pStyle w:val="FootnoteText"/>
        <w:rPr>
          <w:rFonts w:ascii="Times New Roman"/>
          <w:noProof/>
        </w:rPr>
      </w:pPr>
      <w:r w:rsidRPr="00510D7C">
        <w:rPr>
          <w:rStyle w:val="FootnoteReference"/>
          <w:rFonts w:ascii="Times New Roman"/>
          <w:noProof/>
        </w:rPr>
        <w:footnoteRef/>
      </w:r>
      <w:r w:rsidRPr="00510D7C">
        <w:rPr>
          <w:rFonts w:ascii="Times New Roman"/>
          <w:noProof/>
        </w:rPr>
        <w:t xml:space="preserve"> Art. 7(3)(b)-(c) and Art. 14(4)(b) Citizenship Directive.</w:t>
      </w:r>
    </w:p>
  </w:footnote>
  <w:footnote w:id="28">
    <w:p w14:paraId="71A5947B" w14:textId="77777777" w:rsidR="00803628" w:rsidRPr="00510D7C" w:rsidRDefault="00803628" w:rsidP="008638AF">
      <w:pPr>
        <w:pStyle w:val="FootnoteText"/>
        <w:rPr>
          <w:rFonts w:ascii="Times New Roman"/>
          <w:noProof/>
        </w:rPr>
      </w:pPr>
      <w:r w:rsidRPr="00510D7C">
        <w:rPr>
          <w:rStyle w:val="FootnoteReference"/>
          <w:rFonts w:ascii="Times New Roman"/>
          <w:noProof/>
        </w:rPr>
        <w:footnoteRef/>
      </w:r>
      <w:r w:rsidRPr="00510D7C">
        <w:rPr>
          <w:rFonts w:ascii="Times New Roman"/>
          <w:noProof/>
        </w:rPr>
        <w:t xml:space="preserve"> Art. 7(3) Citizenship Directive.</w:t>
      </w:r>
    </w:p>
  </w:footnote>
  <w:footnote w:id="29">
    <w:p w14:paraId="783E216D" w14:textId="77777777" w:rsidR="00803628" w:rsidRPr="00510D7C" w:rsidRDefault="00803628" w:rsidP="008638AF">
      <w:pPr>
        <w:pStyle w:val="FootnoteText"/>
        <w:rPr>
          <w:rFonts w:ascii="Times New Roman"/>
          <w:noProof/>
        </w:rPr>
      </w:pPr>
      <w:r w:rsidRPr="00510D7C">
        <w:rPr>
          <w:rStyle w:val="FootnoteReference"/>
          <w:rFonts w:ascii="Times New Roman"/>
          <w:noProof/>
        </w:rPr>
        <w:footnoteRef/>
      </w:r>
      <w:r w:rsidRPr="00510D7C">
        <w:rPr>
          <w:rFonts w:ascii="Times New Roman"/>
          <w:noProof/>
        </w:rPr>
        <w:t xml:space="preserve"> Art. 7(1)(d)-(2) Citizenship Directive.</w:t>
      </w:r>
    </w:p>
  </w:footnote>
  <w:footnote w:id="30">
    <w:p w14:paraId="02953E6C" w14:textId="77777777" w:rsidR="00803628" w:rsidRPr="00510D7C" w:rsidRDefault="00803628" w:rsidP="008638AF">
      <w:pPr>
        <w:pStyle w:val="FootnoteText"/>
        <w:rPr>
          <w:rFonts w:ascii="Times New Roman"/>
          <w:noProof/>
        </w:rPr>
      </w:pPr>
      <w:r w:rsidRPr="00510D7C">
        <w:rPr>
          <w:rStyle w:val="FootnoteReference"/>
          <w:rFonts w:ascii="Times New Roman"/>
          <w:noProof/>
        </w:rPr>
        <w:footnoteRef/>
      </w:r>
      <w:r w:rsidRPr="00510D7C">
        <w:rPr>
          <w:rFonts w:ascii="Times New Roman"/>
          <w:noProof/>
        </w:rPr>
        <w:t xml:space="preserve"> Art. 16 and Art. 24 Citizenship Directive.</w:t>
      </w:r>
    </w:p>
  </w:footnote>
  <w:footnote w:id="31">
    <w:p w14:paraId="32887766" w14:textId="77777777" w:rsidR="00803628" w:rsidRPr="00510D7C" w:rsidRDefault="00803628" w:rsidP="008638AF">
      <w:pPr>
        <w:pStyle w:val="FootnoteText"/>
        <w:rPr>
          <w:rFonts w:ascii="Times New Roman"/>
          <w:noProof/>
        </w:rPr>
      </w:pPr>
      <w:r w:rsidRPr="00510D7C">
        <w:rPr>
          <w:rStyle w:val="FootnoteReference"/>
          <w:rFonts w:ascii="Times New Roman"/>
          <w:noProof/>
        </w:rPr>
        <w:footnoteRef/>
      </w:r>
      <w:r w:rsidRPr="00510D7C">
        <w:rPr>
          <w:rFonts w:ascii="Times New Roman"/>
          <w:noProof/>
        </w:rPr>
        <w:t xml:space="preserve"> Opinion of A.G. Trstenjak in Case C-325/09, </w:t>
      </w:r>
      <w:r w:rsidRPr="00510D7C">
        <w:rPr>
          <w:rFonts w:ascii="Times New Roman"/>
          <w:i/>
          <w:noProof/>
        </w:rPr>
        <w:t>Dias</w:t>
      </w:r>
      <w:r w:rsidRPr="00510D7C">
        <w:rPr>
          <w:rFonts w:ascii="Times New Roman"/>
          <w:noProof/>
        </w:rPr>
        <w:t>, paras. 77–78.</w:t>
      </w:r>
    </w:p>
  </w:footnote>
  <w:footnote w:id="32">
    <w:p w14:paraId="38594672" w14:textId="77777777" w:rsidR="00803628" w:rsidRPr="00510D7C" w:rsidRDefault="00803628" w:rsidP="008638AF">
      <w:pPr>
        <w:pStyle w:val="FootnoteText"/>
        <w:rPr>
          <w:rFonts w:ascii="Times New Roman"/>
          <w:noProof/>
        </w:rPr>
      </w:pPr>
      <w:r w:rsidRPr="00510D7C">
        <w:rPr>
          <w:rStyle w:val="FootnoteReference"/>
          <w:rFonts w:ascii="Times New Roman"/>
          <w:noProof/>
        </w:rPr>
        <w:footnoteRef/>
      </w:r>
      <w:r w:rsidRPr="00510D7C">
        <w:rPr>
          <w:rFonts w:ascii="Times New Roman"/>
          <w:noProof/>
        </w:rPr>
        <w:t xml:space="preserve"> Case C-542/09, </w:t>
      </w:r>
      <w:r w:rsidRPr="00510D7C">
        <w:rPr>
          <w:rFonts w:ascii="Times New Roman"/>
          <w:i/>
          <w:noProof/>
        </w:rPr>
        <w:t>Commission v the Netherlands (study finance)</w:t>
      </w:r>
      <w:r w:rsidRPr="00510D7C">
        <w:rPr>
          <w:rFonts w:ascii="Times New Roman"/>
          <w:noProof/>
        </w:rPr>
        <w:t xml:space="preserve">, EU:C:2012:346, para 63; for economically inactive EU citizens, see e.g. Case C-209/03, </w:t>
      </w:r>
      <w:r w:rsidRPr="00510D7C">
        <w:rPr>
          <w:rFonts w:ascii="Times New Roman"/>
          <w:i/>
          <w:noProof/>
        </w:rPr>
        <w:t>The Queen, on the application of Bidar v London Borough of Ealing</w:t>
      </w:r>
      <w:r w:rsidRPr="00510D7C">
        <w:rPr>
          <w:rFonts w:ascii="Times New Roman"/>
          <w:noProof/>
        </w:rPr>
        <w:t>, EU:C:2005:169, para 57.</w:t>
      </w:r>
    </w:p>
  </w:footnote>
  <w:footnote w:id="33">
    <w:p w14:paraId="53F04B58" w14:textId="77777777" w:rsidR="00803628" w:rsidRPr="00510D7C" w:rsidRDefault="00803628" w:rsidP="008638AF">
      <w:pPr>
        <w:pStyle w:val="FootnoteText"/>
        <w:rPr>
          <w:rFonts w:ascii="Times New Roman"/>
          <w:noProof/>
        </w:rPr>
      </w:pPr>
      <w:r w:rsidRPr="00510D7C">
        <w:rPr>
          <w:rStyle w:val="FootnoteReference"/>
          <w:rFonts w:ascii="Times New Roman"/>
          <w:noProof/>
        </w:rPr>
        <w:footnoteRef/>
      </w:r>
      <w:r w:rsidRPr="00510D7C">
        <w:rPr>
          <w:rFonts w:ascii="Times New Roman"/>
          <w:noProof/>
        </w:rPr>
        <w:t xml:space="preserve"> Case C-238/15, </w:t>
      </w:r>
      <w:r w:rsidRPr="00510D7C">
        <w:rPr>
          <w:rFonts w:ascii="Times New Roman"/>
          <w:i/>
          <w:noProof/>
        </w:rPr>
        <w:t>Bragança Linares Verruga</w:t>
      </w:r>
      <w:r w:rsidRPr="00510D7C">
        <w:rPr>
          <w:rFonts w:ascii="Times New Roman"/>
          <w:noProof/>
        </w:rPr>
        <w:t>, para 49.</w:t>
      </w:r>
    </w:p>
  </w:footnote>
  <w:footnote w:id="34">
    <w:p w14:paraId="44875732" w14:textId="77777777" w:rsidR="00803628" w:rsidRPr="00510D7C" w:rsidRDefault="00803628" w:rsidP="008638AF">
      <w:pPr>
        <w:pStyle w:val="FootnoteText"/>
        <w:rPr>
          <w:rFonts w:ascii="Times New Roman"/>
          <w:noProof/>
        </w:rPr>
      </w:pPr>
      <w:r w:rsidRPr="00510D7C">
        <w:rPr>
          <w:rStyle w:val="FootnoteReference"/>
          <w:rFonts w:ascii="Times New Roman"/>
          <w:noProof/>
        </w:rPr>
        <w:footnoteRef/>
      </w:r>
      <w:r w:rsidRPr="00510D7C">
        <w:rPr>
          <w:rFonts w:ascii="Times New Roman"/>
          <w:noProof/>
        </w:rPr>
        <w:t xml:space="preserve"> Case C-209/03, </w:t>
      </w:r>
      <w:r w:rsidRPr="00510D7C">
        <w:rPr>
          <w:rFonts w:ascii="Times New Roman"/>
          <w:i/>
          <w:noProof/>
        </w:rPr>
        <w:t>Bidar</w:t>
      </w:r>
      <w:r w:rsidRPr="00510D7C">
        <w:rPr>
          <w:rFonts w:ascii="Times New Roman"/>
          <w:noProof/>
        </w:rPr>
        <w:t>, para 59.</w:t>
      </w:r>
    </w:p>
  </w:footnote>
  <w:footnote w:id="35">
    <w:p w14:paraId="1728E60B" w14:textId="77777777" w:rsidR="00803628" w:rsidRPr="00510D7C" w:rsidRDefault="00803628">
      <w:pPr>
        <w:pStyle w:val="FootnoteText"/>
        <w:rPr>
          <w:rFonts w:ascii="Times New Roman"/>
          <w:noProof/>
        </w:rPr>
      </w:pPr>
      <w:r w:rsidRPr="00510D7C">
        <w:rPr>
          <w:rStyle w:val="FootnoteReference"/>
          <w:rFonts w:ascii="Times New Roman"/>
          <w:noProof/>
        </w:rPr>
        <w:footnoteRef/>
      </w:r>
      <w:r w:rsidRPr="00510D7C">
        <w:rPr>
          <w:rFonts w:ascii="Times New Roman"/>
          <w:noProof/>
        </w:rPr>
        <w:t xml:space="preserve"> Case C-523/11 and C-585/11, </w:t>
      </w:r>
      <w:r w:rsidRPr="00510D7C">
        <w:rPr>
          <w:rFonts w:ascii="Times New Roman"/>
          <w:i/>
          <w:noProof/>
        </w:rPr>
        <w:t>Prinz v Region Hannover and Seeberger v Studentenwerk Heidelberg</w:t>
      </w:r>
      <w:r w:rsidRPr="00510D7C">
        <w:rPr>
          <w:rFonts w:ascii="Times New Roman"/>
          <w:noProof/>
        </w:rPr>
        <w:t>, EU:C:2013:524, para 38.</w:t>
      </w:r>
    </w:p>
  </w:footnote>
  <w:footnote w:id="36">
    <w:p w14:paraId="170DF569" w14:textId="77777777" w:rsidR="00803628" w:rsidRPr="00510D7C" w:rsidRDefault="00803628" w:rsidP="008638AF">
      <w:pPr>
        <w:pStyle w:val="FootnoteText"/>
        <w:rPr>
          <w:rFonts w:ascii="Times New Roman"/>
          <w:noProof/>
        </w:rPr>
      </w:pPr>
      <w:r w:rsidRPr="00510D7C">
        <w:rPr>
          <w:rStyle w:val="FootnoteReference"/>
          <w:rFonts w:ascii="Times New Roman"/>
          <w:noProof/>
        </w:rPr>
        <w:footnoteRef/>
      </w:r>
      <w:r w:rsidRPr="00510D7C">
        <w:rPr>
          <w:rFonts w:ascii="Times New Roman"/>
          <w:noProof/>
        </w:rPr>
        <w:t xml:space="preserve"> Dougan, "Expanding the Frontiers of Union Citizenship by Dismantling the Territorial Boundaries of the National Welfare States?" in Barnard and Odudu (Ed.), </w:t>
      </w:r>
      <w:r w:rsidRPr="00510D7C">
        <w:rPr>
          <w:rFonts w:ascii="Times New Roman"/>
          <w:i/>
          <w:noProof/>
        </w:rPr>
        <w:t>The Outer Limits of European Union Law</w:t>
      </w:r>
      <w:r w:rsidRPr="00510D7C">
        <w:rPr>
          <w:rFonts w:ascii="Times New Roman"/>
          <w:noProof/>
        </w:rPr>
        <w:t xml:space="preserve"> (Hart Publishing, 2009), 134, references omitted.</w:t>
      </w:r>
    </w:p>
  </w:footnote>
  <w:footnote w:id="37">
    <w:p w14:paraId="0D8C8694" w14:textId="77777777" w:rsidR="00803628" w:rsidRPr="00510D7C" w:rsidRDefault="00803628" w:rsidP="008638AF">
      <w:pPr>
        <w:pStyle w:val="FootnoteText"/>
        <w:rPr>
          <w:rFonts w:ascii="Times New Roman"/>
          <w:noProof/>
        </w:rPr>
      </w:pPr>
      <w:r w:rsidRPr="00510D7C">
        <w:rPr>
          <w:rStyle w:val="FootnoteReference"/>
          <w:rFonts w:ascii="Times New Roman" w:eastAsiaTheme="majorEastAsia"/>
          <w:noProof/>
        </w:rPr>
        <w:footnoteRef/>
      </w:r>
      <w:r w:rsidRPr="00510D7C">
        <w:rPr>
          <w:rFonts w:ascii="Times New Roman"/>
          <w:noProof/>
        </w:rPr>
        <w:t xml:space="preserve"> In March 2019, an agreement reached in trilogue (hereinafter “the draft Regulation”) was defeated in the Council, after which the Parliament refrained from voting (General Secretariat of the Council, Proposal for a Regulation amending Regulation 883/2004 on the coordination of social security systems and regulation 987/2009 laying down the procedure for implementing Regulation 883/2004 – Analysis of the final compromise text with a view to agreement (7698/19 Add 1 Rev 1, 25 March 2019)). Trilogues resumed in September 2019.</w:t>
      </w:r>
    </w:p>
  </w:footnote>
  <w:footnote w:id="38">
    <w:p w14:paraId="63138F8A" w14:textId="77777777" w:rsidR="00803628" w:rsidRPr="00510D7C" w:rsidRDefault="00803628" w:rsidP="008638AF">
      <w:pPr>
        <w:pStyle w:val="FootnoteText"/>
        <w:rPr>
          <w:rFonts w:ascii="Times New Roman"/>
          <w:noProof/>
        </w:rPr>
      </w:pPr>
      <w:r w:rsidRPr="00510D7C">
        <w:rPr>
          <w:rStyle w:val="FootnoteReference"/>
          <w:rFonts w:ascii="Times New Roman" w:eastAsiaTheme="majorEastAsia"/>
          <w:noProof/>
        </w:rPr>
        <w:footnoteRef/>
      </w:r>
      <w:r w:rsidRPr="00510D7C">
        <w:rPr>
          <w:rFonts w:ascii="Times New Roman"/>
          <w:noProof/>
        </w:rPr>
        <w:t xml:space="preserve"> European Social Survey 2008, op. cit. </w:t>
      </w:r>
      <w:r w:rsidRPr="00510D7C">
        <w:rPr>
          <w:rFonts w:ascii="Times New Roman"/>
          <w:i/>
          <w:iCs/>
          <w:noProof/>
        </w:rPr>
        <w:t>supra</w:t>
      </w:r>
      <w:r w:rsidRPr="00510D7C">
        <w:rPr>
          <w:rFonts w:ascii="Times New Roman"/>
          <w:noProof/>
        </w:rPr>
        <w:t xml:space="preserve"> note </w:t>
      </w:r>
      <w:r w:rsidRPr="00510D7C">
        <w:rPr>
          <w:rFonts w:ascii="Times New Roman"/>
          <w:noProof/>
        </w:rPr>
        <w:fldChar w:fldCharType="begin"/>
      </w:r>
      <w:r w:rsidRPr="00510D7C">
        <w:rPr>
          <w:rFonts w:ascii="Times New Roman"/>
          <w:noProof/>
        </w:rPr>
        <w:instrText xml:space="preserve"> NOTEREF _Ref18739704 \h  \* MERGEFORMAT </w:instrText>
      </w:r>
      <w:r w:rsidRPr="00510D7C">
        <w:rPr>
          <w:rFonts w:ascii="Times New Roman"/>
          <w:noProof/>
        </w:rPr>
      </w:r>
      <w:r w:rsidRPr="00510D7C">
        <w:rPr>
          <w:rFonts w:ascii="Times New Roman"/>
          <w:noProof/>
        </w:rPr>
        <w:fldChar w:fldCharType="separate"/>
      </w:r>
      <w:r w:rsidRPr="00510D7C">
        <w:rPr>
          <w:rFonts w:ascii="Times New Roman"/>
          <w:noProof/>
        </w:rPr>
        <w:t>8</w:t>
      </w:r>
      <w:r w:rsidRPr="00510D7C">
        <w:rPr>
          <w:rFonts w:ascii="Times New Roman"/>
          <w:noProof/>
        </w:rPr>
        <w:fldChar w:fldCharType="end"/>
      </w:r>
      <w:r w:rsidRPr="00510D7C">
        <w:rPr>
          <w:rFonts w:ascii="Times New Roman"/>
          <w:noProof/>
        </w:rPr>
        <w:t xml:space="preserve">; Reeskens and van Oorschot, "Disentangling the ‘New Liberal Dilemma’: On the relation between general welfare redistribution preferences and welfare chauvinism", (2012), International Journal of Comparative Sociology, 120–139. </w:t>
      </w:r>
    </w:p>
  </w:footnote>
  <w:footnote w:id="39">
    <w:p w14:paraId="00768EAF" w14:textId="77777777" w:rsidR="00803628" w:rsidRPr="00510D7C" w:rsidRDefault="00803628" w:rsidP="008638AF">
      <w:pPr>
        <w:pStyle w:val="FootnoteText"/>
        <w:rPr>
          <w:rFonts w:ascii="Times New Roman"/>
          <w:noProof/>
        </w:rPr>
      </w:pPr>
      <w:r w:rsidRPr="00510D7C">
        <w:rPr>
          <w:rStyle w:val="FootnoteReference"/>
          <w:rFonts w:ascii="Times New Roman"/>
          <w:noProof/>
        </w:rPr>
        <w:footnoteRef/>
      </w:r>
      <w:r w:rsidRPr="00510D7C">
        <w:rPr>
          <w:rFonts w:ascii="Times New Roman"/>
          <w:noProof/>
        </w:rPr>
        <w:t xml:space="preserve"> E.g. Reeskens and van Oorschot, op. cit. </w:t>
      </w:r>
      <w:r w:rsidRPr="00510D7C">
        <w:rPr>
          <w:rFonts w:ascii="Times New Roman"/>
          <w:i/>
          <w:noProof/>
        </w:rPr>
        <w:t xml:space="preserve">supra </w:t>
      </w:r>
      <w:r w:rsidRPr="00510D7C">
        <w:rPr>
          <w:rFonts w:ascii="Times New Roman"/>
          <w:noProof/>
        </w:rPr>
        <w:t xml:space="preserve">note </w:t>
      </w:r>
      <w:r w:rsidRPr="00510D7C">
        <w:rPr>
          <w:rFonts w:ascii="Times New Roman"/>
          <w:noProof/>
        </w:rPr>
        <w:fldChar w:fldCharType="begin"/>
      </w:r>
      <w:r w:rsidRPr="00510D7C">
        <w:rPr>
          <w:rFonts w:ascii="Times New Roman"/>
          <w:noProof/>
        </w:rPr>
        <w:instrText xml:space="preserve"> NOTEREF _Ref18857822 \h  \* MERGEFORMAT </w:instrText>
      </w:r>
      <w:r w:rsidRPr="00510D7C">
        <w:rPr>
          <w:rFonts w:ascii="Times New Roman"/>
          <w:noProof/>
        </w:rPr>
      </w:r>
      <w:r w:rsidRPr="00510D7C">
        <w:rPr>
          <w:rFonts w:ascii="Times New Roman"/>
          <w:noProof/>
        </w:rPr>
        <w:fldChar w:fldCharType="separate"/>
      </w:r>
      <w:r w:rsidRPr="00510D7C">
        <w:rPr>
          <w:rFonts w:ascii="Times New Roman"/>
          <w:noProof/>
        </w:rPr>
        <w:t>38</w:t>
      </w:r>
      <w:r w:rsidRPr="00510D7C">
        <w:rPr>
          <w:rFonts w:ascii="Times New Roman"/>
          <w:noProof/>
        </w:rPr>
        <w:fldChar w:fldCharType="end"/>
      </w:r>
      <w:r w:rsidRPr="00510D7C">
        <w:rPr>
          <w:rFonts w:ascii="Times New Roman"/>
          <w:noProof/>
        </w:rPr>
        <w:t>, 132–133.</w:t>
      </w:r>
    </w:p>
  </w:footnote>
  <w:footnote w:id="40">
    <w:p w14:paraId="5F4C721D" w14:textId="77777777" w:rsidR="00803628" w:rsidRPr="00510D7C" w:rsidRDefault="00803628" w:rsidP="008638AF">
      <w:pPr>
        <w:pStyle w:val="FootnoteText"/>
        <w:rPr>
          <w:rFonts w:ascii="Times New Roman"/>
          <w:noProof/>
        </w:rPr>
      </w:pPr>
      <w:r w:rsidRPr="00510D7C">
        <w:rPr>
          <w:rStyle w:val="FootnoteReference"/>
          <w:rFonts w:ascii="Times New Roman"/>
          <w:noProof/>
        </w:rPr>
        <w:footnoteRef/>
      </w:r>
      <w:r w:rsidRPr="00510D7C">
        <w:rPr>
          <w:rFonts w:ascii="Times New Roman"/>
          <w:noProof/>
        </w:rPr>
        <w:t xml:space="preserve"> E.g. Richter, "Delayed Integration of Mobile Labor: A Principle for Coordinating Taxation, Social Security, and Social Assistance" in Cnossen and Sinn (Ed.), </w:t>
      </w:r>
      <w:r w:rsidRPr="00510D7C">
        <w:rPr>
          <w:rFonts w:ascii="Times New Roman"/>
          <w:i/>
          <w:noProof/>
        </w:rPr>
        <w:t>Public Finance and Public Policy in the New Century</w:t>
      </w:r>
      <w:r w:rsidRPr="00510D7C">
        <w:rPr>
          <w:rFonts w:ascii="Times New Roman"/>
          <w:noProof/>
        </w:rPr>
        <w:t xml:space="preserve"> (MIT Press, 2003), 514–515; Sinn, "EU enlargement and the future of the welfare state", (2002), Scottish Journal of Political Economy, 104–115, 111–114; Weichenrieder and Busch, "Delayed integration as a possible remedy for the race to the bottom", (2007), Journal of Urban Economics, 565–575.</w:t>
      </w:r>
    </w:p>
  </w:footnote>
  <w:footnote w:id="41">
    <w:p w14:paraId="12C2B8A0" w14:textId="77777777" w:rsidR="00803628" w:rsidRPr="00510D7C" w:rsidRDefault="00803628" w:rsidP="008638AF">
      <w:pPr>
        <w:pStyle w:val="FootnoteText"/>
        <w:rPr>
          <w:rFonts w:ascii="Times New Roman"/>
          <w:noProof/>
        </w:rPr>
      </w:pPr>
      <w:r w:rsidRPr="00510D7C">
        <w:rPr>
          <w:rStyle w:val="FootnoteReference"/>
          <w:rFonts w:ascii="Times New Roman"/>
          <w:noProof/>
        </w:rPr>
        <w:footnoteRef/>
      </w:r>
      <w:r w:rsidRPr="00510D7C">
        <w:rPr>
          <w:rFonts w:ascii="Times New Roman"/>
          <w:noProof/>
        </w:rPr>
        <w:t xml:space="preserve"> E.g. Bellamy and Lacey, op. cit. </w:t>
      </w:r>
      <w:r w:rsidRPr="00510D7C">
        <w:rPr>
          <w:rFonts w:ascii="Times New Roman"/>
          <w:i/>
          <w:noProof/>
        </w:rPr>
        <w:t xml:space="preserve">supra </w:t>
      </w:r>
      <w:r w:rsidRPr="00510D7C">
        <w:rPr>
          <w:rFonts w:ascii="Times New Roman"/>
          <w:noProof/>
        </w:rPr>
        <w:t xml:space="preserve">note </w:t>
      </w:r>
      <w:r w:rsidRPr="00510D7C">
        <w:rPr>
          <w:rFonts w:ascii="Times New Roman"/>
          <w:noProof/>
        </w:rPr>
        <w:fldChar w:fldCharType="begin"/>
      </w:r>
      <w:r w:rsidRPr="00510D7C">
        <w:rPr>
          <w:rFonts w:ascii="Times New Roman"/>
          <w:noProof/>
        </w:rPr>
        <w:instrText xml:space="preserve"> NOTEREF _Ref18857882 \h  \* MERGEFORMAT </w:instrText>
      </w:r>
      <w:r w:rsidRPr="00510D7C">
        <w:rPr>
          <w:rFonts w:ascii="Times New Roman"/>
          <w:noProof/>
        </w:rPr>
      </w:r>
      <w:r w:rsidRPr="00510D7C">
        <w:rPr>
          <w:rFonts w:ascii="Times New Roman"/>
          <w:noProof/>
        </w:rPr>
        <w:fldChar w:fldCharType="separate"/>
      </w:r>
      <w:r w:rsidRPr="00510D7C">
        <w:rPr>
          <w:rFonts w:ascii="Times New Roman"/>
          <w:noProof/>
        </w:rPr>
        <w:t>7</w:t>
      </w:r>
      <w:r w:rsidRPr="00510D7C">
        <w:rPr>
          <w:rFonts w:ascii="Times New Roman"/>
          <w:noProof/>
        </w:rPr>
        <w:fldChar w:fldCharType="end"/>
      </w:r>
      <w:r w:rsidRPr="00510D7C">
        <w:rPr>
          <w:rFonts w:ascii="Times New Roman"/>
          <w:noProof/>
        </w:rPr>
        <w:t xml:space="preserve">, 1416–1417; Carens, op. cit. </w:t>
      </w:r>
      <w:r w:rsidRPr="00510D7C">
        <w:rPr>
          <w:rFonts w:ascii="Times New Roman"/>
          <w:i/>
          <w:noProof/>
        </w:rPr>
        <w:t xml:space="preserve">supra </w:t>
      </w:r>
      <w:r w:rsidRPr="00510D7C">
        <w:rPr>
          <w:rFonts w:ascii="Times New Roman"/>
          <w:noProof/>
        </w:rPr>
        <w:t xml:space="preserve">note </w:t>
      </w:r>
      <w:r w:rsidRPr="00510D7C">
        <w:rPr>
          <w:rFonts w:ascii="Times New Roman"/>
          <w:noProof/>
        </w:rPr>
        <w:fldChar w:fldCharType="begin"/>
      </w:r>
      <w:r w:rsidRPr="00510D7C">
        <w:rPr>
          <w:rFonts w:ascii="Times New Roman"/>
          <w:noProof/>
        </w:rPr>
        <w:instrText xml:space="preserve"> NOTEREF _Ref18857911 \h  \* MERGEFORMAT </w:instrText>
      </w:r>
      <w:r w:rsidRPr="00510D7C">
        <w:rPr>
          <w:rFonts w:ascii="Times New Roman"/>
          <w:noProof/>
        </w:rPr>
      </w:r>
      <w:r w:rsidRPr="00510D7C">
        <w:rPr>
          <w:rFonts w:ascii="Times New Roman"/>
          <w:noProof/>
        </w:rPr>
        <w:fldChar w:fldCharType="separate"/>
      </w:r>
      <w:r w:rsidRPr="00510D7C">
        <w:rPr>
          <w:rFonts w:ascii="Times New Roman"/>
          <w:noProof/>
        </w:rPr>
        <w:t>5</w:t>
      </w:r>
      <w:r w:rsidRPr="00510D7C">
        <w:rPr>
          <w:rFonts w:ascii="Times New Roman"/>
          <w:noProof/>
        </w:rPr>
        <w:fldChar w:fldCharType="end"/>
      </w:r>
      <w:r w:rsidRPr="00510D7C">
        <w:rPr>
          <w:rFonts w:ascii="Times New Roman"/>
          <w:noProof/>
        </w:rPr>
        <w:t xml:space="preserve">, 118–122, 280–282; de Witte, op. cit. </w:t>
      </w:r>
      <w:r w:rsidRPr="00510D7C">
        <w:rPr>
          <w:rFonts w:ascii="Times New Roman"/>
          <w:i/>
          <w:noProof/>
        </w:rPr>
        <w:t xml:space="preserve">supra </w:t>
      </w:r>
      <w:r w:rsidRPr="00510D7C">
        <w:rPr>
          <w:rFonts w:ascii="Times New Roman"/>
          <w:noProof/>
        </w:rPr>
        <w:t xml:space="preserve">note </w:t>
      </w:r>
      <w:r w:rsidRPr="00510D7C">
        <w:rPr>
          <w:rFonts w:ascii="Times New Roman"/>
          <w:noProof/>
        </w:rPr>
        <w:fldChar w:fldCharType="begin"/>
      </w:r>
      <w:r w:rsidRPr="00510D7C">
        <w:rPr>
          <w:rFonts w:ascii="Times New Roman"/>
          <w:noProof/>
        </w:rPr>
        <w:instrText xml:space="preserve"> NOTEREF _Ref18857882 \h  \* MERGEFORMAT </w:instrText>
      </w:r>
      <w:r w:rsidRPr="00510D7C">
        <w:rPr>
          <w:rFonts w:ascii="Times New Roman"/>
          <w:noProof/>
        </w:rPr>
      </w:r>
      <w:r w:rsidRPr="00510D7C">
        <w:rPr>
          <w:rFonts w:ascii="Times New Roman"/>
          <w:noProof/>
        </w:rPr>
        <w:fldChar w:fldCharType="separate"/>
      </w:r>
      <w:r w:rsidRPr="00510D7C">
        <w:rPr>
          <w:rFonts w:ascii="Times New Roman"/>
          <w:noProof/>
        </w:rPr>
        <w:t>7</w:t>
      </w:r>
      <w:r w:rsidRPr="00510D7C">
        <w:rPr>
          <w:rFonts w:ascii="Times New Roman"/>
          <w:noProof/>
        </w:rPr>
        <w:fldChar w:fldCharType="end"/>
      </w:r>
      <w:r w:rsidRPr="00510D7C">
        <w:rPr>
          <w:rFonts w:ascii="Times New Roman"/>
          <w:noProof/>
        </w:rPr>
        <w:t xml:space="preserve">; Sangiovanni, op. cit. </w:t>
      </w:r>
      <w:r w:rsidRPr="00510D7C">
        <w:rPr>
          <w:rFonts w:ascii="Times New Roman"/>
          <w:i/>
          <w:noProof/>
        </w:rPr>
        <w:t xml:space="preserve">supra </w:t>
      </w:r>
      <w:r w:rsidRPr="00510D7C">
        <w:rPr>
          <w:rFonts w:ascii="Times New Roman"/>
          <w:noProof/>
        </w:rPr>
        <w:t xml:space="preserve">note </w:t>
      </w:r>
      <w:r w:rsidRPr="00510D7C">
        <w:rPr>
          <w:rFonts w:ascii="Times New Roman"/>
          <w:noProof/>
        </w:rPr>
        <w:fldChar w:fldCharType="begin"/>
      </w:r>
      <w:r w:rsidRPr="00510D7C">
        <w:rPr>
          <w:rFonts w:ascii="Times New Roman"/>
          <w:noProof/>
        </w:rPr>
        <w:instrText xml:space="preserve"> NOTEREF _Ref18857882 \h  \* MERGEFORMAT </w:instrText>
      </w:r>
      <w:r w:rsidRPr="00510D7C">
        <w:rPr>
          <w:rFonts w:ascii="Times New Roman"/>
          <w:noProof/>
        </w:rPr>
      </w:r>
      <w:r w:rsidRPr="00510D7C">
        <w:rPr>
          <w:rFonts w:ascii="Times New Roman"/>
          <w:noProof/>
        </w:rPr>
        <w:fldChar w:fldCharType="separate"/>
      </w:r>
      <w:r w:rsidRPr="00510D7C">
        <w:rPr>
          <w:rFonts w:ascii="Times New Roman"/>
          <w:noProof/>
        </w:rPr>
        <w:t>7</w:t>
      </w:r>
      <w:r w:rsidRPr="00510D7C">
        <w:rPr>
          <w:rFonts w:ascii="Times New Roman"/>
          <w:noProof/>
        </w:rPr>
        <w:fldChar w:fldCharType="end"/>
      </w:r>
      <w:r w:rsidRPr="00510D7C">
        <w:rPr>
          <w:rFonts w:ascii="Times New Roman"/>
          <w:noProof/>
        </w:rPr>
        <w:t>, 238–240.</w:t>
      </w:r>
    </w:p>
  </w:footnote>
  <w:footnote w:id="42">
    <w:p w14:paraId="53319B41" w14:textId="77777777" w:rsidR="00803628" w:rsidRPr="00510D7C" w:rsidRDefault="00803628">
      <w:pPr>
        <w:pStyle w:val="FootnoteText"/>
        <w:rPr>
          <w:rFonts w:ascii="Times New Roman"/>
          <w:noProof/>
        </w:rPr>
      </w:pPr>
      <w:r w:rsidRPr="00510D7C">
        <w:rPr>
          <w:rStyle w:val="FootnoteReference"/>
          <w:rFonts w:ascii="Times New Roman"/>
          <w:noProof/>
        </w:rPr>
        <w:footnoteRef/>
      </w:r>
      <w:r w:rsidRPr="00510D7C">
        <w:rPr>
          <w:rFonts w:ascii="Times New Roman"/>
          <w:noProof/>
        </w:rPr>
        <w:t xml:space="preserve"> If that is the case, it does not matter whether another State (e.g. where the person resides) denies benefits on migration-related grounds (e.g. the fact that he or she works abroad).</w:t>
      </w:r>
    </w:p>
  </w:footnote>
  <w:footnote w:id="43">
    <w:p w14:paraId="311DF13E" w14:textId="77777777" w:rsidR="00803628" w:rsidRPr="00510D7C" w:rsidRDefault="00803628" w:rsidP="008638AF">
      <w:pPr>
        <w:pStyle w:val="FootnoteText"/>
        <w:rPr>
          <w:rFonts w:ascii="Times New Roman"/>
          <w:noProof/>
        </w:rPr>
      </w:pPr>
      <w:r w:rsidRPr="00510D7C">
        <w:rPr>
          <w:rStyle w:val="FootnoteReference"/>
          <w:rFonts w:ascii="Times New Roman"/>
          <w:noProof/>
        </w:rPr>
        <w:footnoteRef/>
      </w:r>
      <w:r w:rsidRPr="00510D7C">
        <w:rPr>
          <w:rFonts w:ascii="Times New Roman"/>
          <w:noProof/>
        </w:rPr>
        <w:t xml:space="preserve"> De Witte, op. cit. </w:t>
      </w:r>
      <w:r w:rsidRPr="00510D7C">
        <w:rPr>
          <w:rFonts w:ascii="Times New Roman"/>
          <w:i/>
          <w:noProof/>
        </w:rPr>
        <w:t xml:space="preserve">supra </w:t>
      </w:r>
      <w:r w:rsidRPr="00510D7C">
        <w:rPr>
          <w:rFonts w:ascii="Times New Roman"/>
          <w:noProof/>
        </w:rPr>
        <w:t xml:space="preserve">note </w:t>
      </w:r>
      <w:r w:rsidRPr="00510D7C">
        <w:rPr>
          <w:rFonts w:ascii="Times New Roman"/>
          <w:noProof/>
        </w:rPr>
        <w:fldChar w:fldCharType="begin"/>
      </w:r>
      <w:r w:rsidRPr="00510D7C">
        <w:rPr>
          <w:rFonts w:ascii="Times New Roman"/>
          <w:noProof/>
        </w:rPr>
        <w:instrText xml:space="preserve"> NOTEREF _Ref18857882 \h  \* MERGEFORMAT </w:instrText>
      </w:r>
      <w:r w:rsidRPr="00510D7C">
        <w:rPr>
          <w:rFonts w:ascii="Times New Roman"/>
          <w:noProof/>
        </w:rPr>
      </w:r>
      <w:r w:rsidRPr="00510D7C">
        <w:rPr>
          <w:rFonts w:ascii="Times New Roman"/>
          <w:noProof/>
        </w:rPr>
        <w:fldChar w:fldCharType="separate"/>
      </w:r>
      <w:r w:rsidRPr="00510D7C">
        <w:rPr>
          <w:rFonts w:ascii="Times New Roman"/>
          <w:noProof/>
        </w:rPr>
        <w:t>7</w:t>
      </w:r>
      <w:r w:rsidRPr="00510D7C">
        <w:rPr>
          <w:rFonts w:ascii="Times New Roman"/>
          <w:noProof/>
        </w:rPr>
        <w:fldChar w:fldCharType="end"/>
      </w:r>
      <w:r w:rsidRPr="00510D7C">
        <w:rPr>
          <w:rFonts w:ascii="Times New Roman"/>
          <w:noProof/>
        </w:rPr>
        <w:t>, 139.</w:t>
      </w:r>
    </w:p>
  </w:footnote>
  <w:footnote w:id="44">
    <w:p w14:paraId="64BCAF30" w14:textId="77777777" w:rsidR="00803628" w:rsidRPr="00510D7C" w:rsidRDefault="00803628" w:rsidP="008638AF">
      <w:pPr>
        <w:pStyle w:val="FootnoteText"/>
        <w:rPr>
          <w:rFonts w:ascii="Times New Roman"/>
          <w:noProof/>
        </w:rPr>
      </w:pPr>
      <w:r w:rsidRPr="00510D7C">
        <w:rPr>
          <w:rStyle w:val="FootnoteReference"/>
          <w:rFonts w:ascii="Times New Roman"/>
          <w:noProof/>
        </w:rPr>
        <w:footnoteRef/>
      </w:r>
      <w:r w:rsidRPr="00510D7C">
        <w:rPr>
          <w:rFonts w:ascii="Times New Roman"/>
          <w:noProof/>
        </w:rPr>
        <w:t xml:space="preserve"> Sources valuing c</w:t>
      </w:r>
      <w:r w:rsidRPr="00510D7C">
        <w:rPr>
          <w:rFonts w:ascii="Times New Roman"/>
          <w:iCs/>
          <w:noProof/>
        </w:rPr>
        <w:t>ontinuous protection include</w:t>
      </w:r>
      <w:r w:rsidRPr="00510D7C">
        <w:rPr>
          <w:rFonts w:ascii="Times New Roman"/>
          <w:noProof/>
        </w:rPr>
        <w:t xml:space="preserve"> Opinion of A.G. Sharpston in Joined Cases C-95/18 and C-96/18, </w:t>
      </w:r>
      <w:r w:rsidRPr="00510D7C">
        <w:rPr>
          <w:rFonts w:ascii="Times New Roman"/>
          <w:i/>
          <w:iCs/>
          <w:noProof/>
        </w:rPr>
        <w:t>Sociale Verzekeringsbank v van den Berg and Giesen</w:t>
      </w:r>
      <w:r w:rsidRPr="00510D7C">
        <w:rPr>
          <w:rFonts w:ascii="Times New Roman"/>
          <w:noProof/>
        </w:rPr>
        <w:t xml:space="preserve">, EU:C:2019:252, paras. 24–25, 38–39; Cornelissen, </w:t>
      </w:r>
      <w:r w:rsidRPr="00510D7C">
        <w:rPr>
          <w:rFonts w:ascii="Times New Roman"/>
          <w:i/>
          <w:noProof/>
        </w:rPr>
        <w:t>De Europese Verordeningen inzake Sociale Zekerheid: Europese Coördinatie van Arbeidsongeschiktheids- en Weduwenverzekeringen</w:t>
      </w:r>
      <w:r w:rsidRPr="00510D7C">
        <w:rPr>
          <w:rFonts w:ascii="Times New Roman"/>
          <w:noProof/>
        </w:rPr>
        <w:t xml:space="preserve"> (Kluwer, 1984); Hoogenboom, "Mind the Gap: Mobile Students and their Access to Study Grants and Loans in the EU", (2015), MJ, 96–119; O'Brien, </w:t>
      </w:r>
      <w:r w:rsidRPr="00510D7C">
        <w:rPr>
          <w:rFonts w:ascii="Times New Roman"/>
          <w:i/>
          <w:noProof/>
        </w:rPr>
        <w:t>Unity in Adversity: EU Citizenship, Social Justice and the Cautionary Tale of the UK</w:t>
      </w:r>
      <w:r w:rsidRPr="00510D7C">
        <w:rPr>
          <w:rFonts w:ascii="Times New Roman"/>
          <w:noProof/>
        </w:rPr>
        <w:t xml:space="preserve"> (Hart Publishing, 2017).</w:t>
      </w:r>
    </w:p>
  </w:footnote>
  <w:footnote w:id="45">
    <w:p w14:paraId="3599B235" w14:textId="77777777" w:rsidR="00803628" w:rsidRPr="00510D7C" w:rsidRDefault="00803628" w:rsidP="008638AF">
      <w:pPr>
        <w:pStyle w:val="FootnoteText"/>
        <w:rPr>
          <w:rFonts w:ascii="Times New Roman"/>
          <w:noProof/>
        </w:rPr>
      </w:pPr>
      <w:r w:rsidRPr="00510D7C">
        <w:rPr>
          <w:rStyle w:val="FootnoteReference"/>
          <w:rFonts w:ascii="Times New Roman"/>
          <w:noProof/>
        </w:rPr>
        <w:footnoteRef/>
      </w:r>
      <w:r w:rsidRPr="00510D7C">
        <w:rPr>
          <w:rFonts w:ascii="Times New Roman"/>
          <w:noProof/>
        </w:rPr>
        <w:t xml:space="preserve"> </w:t>
      </w:r>
      <w:bookmarkStart w:id="68" w:name="_Hlk5559081"/>
      <w:r w:rsidRPr="00510D7C">
        <w:rPr>
          <w:rFonts w:ascii="Times New Roman"/>
          <w:noProof/>
        </w:rPr>
        <w:t xml:space="preserve">E.g. Case C‑679/16, </w:t>
      </w:r>
      <w:r w:rsidRPr="00510D7C">
        <w:rPr>
          <w:rFonts w:ascii="Times New Roman"/>
          <w:i/>
          <w:noProof/>
        </w:rPr>
        <w:t>A</w:t>
      </w:r>
      <w:r w:rsidRPr="00510D7C">
        <w:rPr>
          <w:rFonts w:ascii="Times New Roman"/>
          <w:noProof/>
        </w:rPr>
        <w:t xml:space="preserve">, EU:C:2018:601; Case C‑134/18, </w:t>
      </w:r>
      <w:r w:rsidRPr="00510D7C">
        <w:rPr>
          <w:rFonts w:ascii="Times New Roman"/>
          <w:i/>
          <w:noProof/>
        </w:rPr>
        <w:t>Vester v Rijksinstituut voor ziekte- en invaliditeitsverzekering</w:t>
      </w:r>
      <w:r w:rsidRPr="00510D7C">
        <w:rPr>
          <w:rFonts w:ascii="Times New Roman"/>
          <w:noProof/>
        </w:rPr>
        <w:t>, EU:C:2019:212.</w:t>
      </w:r>
      <w:bookmarkEnd w:id="68"/>
    </w:p>
  </w:footnote>
  <w:footnote w:id="46">
    <w:p w14:paraId="64567910" w14:textId="77777777" w:rsidR="00803628" w:rsidRPr="00510D7C" w:rsidRDefault="00803628">
      <w:pPr>
        <w:pStyle w:val="FootnoteText"/>
        <w:rPr>
          <w:rFonts w:ascii="Times New Roman"/>
          <w:noProof/>
        </w:rPr>
      </w:pPr>
      <w:r w:rsidRPr="00510D7C">
        <w:rPr>
          <w:rStyle w:val="FootnoteReference"/>
          <w:rFonts w:ascii="Times New Roman"/>
          <w:noProof/>
        </w:rPr>
        <w:footnoteRef/>
      </w:r>
      <w:r w:rsidRPr="00510D7C">
        <w:rPr>
          <w:rFonts w:ascii="Times New Roman"/>
          <w:noProof/>
        </w:rPr>
        <w:t xml:space="preserve"> Case C‑134/18, </w:t>
      </w:r>
      <w:r w:rsidRPr="00510D7C">
        <w:rPr>
          <w:rFonts w:ascii="Times New Roman"/>
          <w:i/>
          <w:noProof/>
        </w:rPr>
        <w:t>Vester</w:t>
      </w:r>
      <w:r w:rsidRPr="00510D7C">
        <w:rPr>
          <w:rFonts w:ascii="Times New Roman"/>
          <w:noProof/>
        </w:rPr>
        <w:t>, para 33.</w:t>
      </w:r>
    </w:p>
  </w:footnote>
  <w:footnote w:id="47">
    <w:p w14:paraId="646F4489" w14:textId="77777777" w:rsidR="00803628" w:rsidRPr="00510D7C" w:rsidRDefault="00803628" w:rsidP="008638AF">
      <w:pPr>
        <w:pStyle w:val="FootnoteText"/>
        <w:rPr>
          <w:rFonts w:ascii="Times New Roman"/>
          <w:noProof/>
        </w:rPr>
      </w:pPr>
      <w:r w:rsidRPr="00510D7C">
        <w:rPr>
          <w:rStyle w:val="FootnoteReference"/>
          <w:rFonts w:ascii="Times New Roman"/>
          <w:noProof/>
        </w:rPr>
        <w:footnoteRef/>
      </w:r>
      <w:r w:rsidRPr="00510D7C">
        <w:rPr>
          <w:rFonts w:ascii="Times New Roman"/>
          <w:noProof/>
        </w:rPr>
        <w:t xml:space="preserve"> See e.g. the cases referenced in notes </w:t>
      </w:r>
      <w:r w:rsidRPr="00510D7C">
        <w:rPr>
          <w:rFonts w:ascii="Times New Roman"/>
          <w:noProof/>
        </w:rPr>
        <w:fldChar w:fldCharType="begin"/>
      </w:r>
      <w:r w:rsidRPr="00510D7C">
        <w:rPr>
          <w:rFonts w:ascii="Times New Roman"/>
          <w:noProof/>
        </w:rPr>
        <w:instrText xml:space="preserve"> NOTEREF _Ref18688781 \h  \* MERGEFORMAT </w:instrText>
      </w:r>
      <w:r w:rsidRPr="00510D7C">
        <w:rPr>
          <w:rFonts w:ascii="Times New Roman"/>
          <w:noProof/>
        </w:rPr>
      </w:r>
      <w:r w:rsidRPr="00510D7C">
        <w:rPr>
          <w:rFonts w:ascii="Times New Roman"/>
          <w:noProof/>
        </w:rPr>
        <w:fldChar w:fldCharType="separate"/>
      </w:r>
      <w:r w:rsidRPr="00510D7C">
        <w:rPr>
          <w:rFonts w:ascii="Times New Roman"/>
          <w:noProof/>
        </w:rPr>
        <w:t>114</w:t>
      </w:r>
      <w:r w:rsidRPr="00510D7C">
        <w:rPr>
          <w:rFonts w:ascii="Times New Roman"/>
          <w:noProof/>
        </w:rPr>
        <w:fldChar w:fldCharType="end"/>
      </w:r>
      <w:r w:rsidRPr="00510D7C">
        <w:rPr>
          <w:rFonts w:ascii="Times New Roman"/>
          <w:noProof/>
        </w:rPr>
        <w:t>–</w:t>
      </w:r>
      <w:r w:rsidRPr="00510D7C">
        <w:rPr>
          <w:rFonts w:ascii="Times New Roman"/>
          <w:noProof/>
        </w:rPr>
        <w:fldChar w:fldCharType="begin"/>
      </w:r>
      <w:r w:rsidRPr="00510D7C">
        <w:rPr>
          <w:rFonts w:ascii="Times New Roman"/>
          <w:noProof/>
        </w:rPr>
        <w:instrText xml:space="preserve"> NOTEREF _Ref18688798 \h  \* MERGEFORMAT </w:instrText>
      </w:r>
      <w:r w:rsidRPr="00510D7C">
        <w:rPr>
          <w:rFonts w:ascii="Times New Roman"/>
          <w:noProof/>
        </w:rPr>
      </w:r>
      <w:r w:rsidRPr="00510D7C">
        <w:rPr>
          <w:rFonts w:ascii="Times New Roman"/>
          <w:noProof/>
        </w:rPr>
        <w:fldChar w:fldCharType="separate"/>
      </w:r>
      <w:r w:rsidRPr="00510D7C">
        <w:rPr>
          <w:rFonts w:ascii="Times New Roman"/>
          <w:noProof/>
        </w:rPr>
        <w:t>117</w:t>
      </w:r>
      <w:r w:rsidRPr="00510D7C">
        <w:rPr>
          <w:rFonts w:ascii="Times New Roman"/>
          <w:noProof/>
        </w:rPr>
        <w:fldChar w:fldCharType="end"/>
      </w:r>
      <w:r w:rsidRPr="00510D7C">
        <w:rPr>
          <w:rFonts w:ascii="Times New Roman"/>
          <w:noProof/>
        </w:rPr>
        <w:t xml:space="preserve">. </w:t>
      </w:r>
    </w:p>
  </w:footnote>
  <w:footnote w:id="48">
    <w:p w14:paraId="1BA520ED" w14:textId="77777777" w:rsidR="00803628" w:rsidRPr="00510D7C" w:rsidRDefault="00803628" w:rsidP="008638AF">
      <w:pPr>
        <w:pStyle w:val="FootnoteText"/>
        <w:rPr>
          <w:rFonts w:ascii="Times New Roman"/>
          <w:noProof/>
        </w:rPr>
      </w:pPr>
      <w:r w:rsidRPr="00510D7C">
        <w:rPr>
          <w:rStyle w:val="FootnoteReference"/>
          <w:rFonts w:ascii="Times New Roman"/>
          <w:noProof/>
        </w:rPr>
        <w:footnoteRef/>
      </w:r>
      <w:r w:rsidRPr="00510D7C">
        <w:rPr>
          <w:rFonts w:ascii="Times New Roman"/>
          <w:noProof/>
        </w:rPr>
        <w:t xml:space="preserve"> E.g. O'Brien, op. cit. </w:t>
      </w:r>
      <w:r w:rsidRPr="00510D7C">
        <w:rPr>
          <w:rFonts w:ascii="Times New Roman"/>
          <w:i/>
          <w:noProof/>
        </w:rPr>
        <w:t xml:space="preserve">supra </w:t>
      </w:r>
      <w:r w:rsidRPr="00510D7C">
        <w:rPr>
          <w:rFonts w:ascii="Times New Roman"/>
          <w:noProof/>
        </w:rPr>
        <w:t xml:space="preserve">note </w:t>
      </w:r>
      <w:r w:rsidRPr="00510D7C">
        <w:rPr>
          <w:rFonts w:ascii="Times New Roman"/>
          <w:noProof/>
        </w:rPr>
        <w:fldChar w:fldCharType="begin"/>
      </w:r>
      <w:r w:rsidRPr="00510D7C">
        <w:rPr>
          <w:rFonts w:ascii="Times New Roman"/>
          <w:noProof/>
        </w:rPr>
        <w:instrText xml:space="preserve"> NOTEREF _Ref18858076 \h  \* MERGEFORMAT </w:instrText>
      </w:r>
      <w:r w:rsidRPr="00510D7C">
        <w:rPr>
          <w:rFonts w:ascii="Times New Roman"/>
          <w:noProof/>
        </w:rPr>
      </w:r>
      <w:r w:rsidRPr="00510D7C">
        <w:rPr>
          <w:rFonts w:ascii="Times New Roman"/>
          <w:noProof/>
        </w:rPr>
        <w:fldChar w:fldCharType="separate"/>
      </w:r>
      <w:r w:rsidRPr="00510D7C">
        <w:rPr>
          <w:rFonts w:ascii="Times New Roman"/>
          <w:noProof/>
        </w:rPr>
        <w:t>44</w:t>
      </w:r>
      <w:r w:rsidRPr="00510D7C">
        <w:rPr>
          <w:rFonts w:ascii="Times New Roman"/>
          <w:noProof/>
        </w:rPr>
        <w:fldChar w:fldCharType="end"/>
      </w:r>
      <w:r w:rsidRPr="00510D7C">
        <w:rPr>
          <w:rFonts w:ascii="Times New Roman"/>
          <w:noProof/>
        </w:rPr>
        <w:t>.</w:t>
      </w:r>
    </w:p>
  </w:footnote>
  <w:footnote w:id="49">
    <w:p w14:paraId="28ECDFD1" w14:textId="77777777" w:rsidR="00803628" w:rsidRPr="00510D7C" w:rsidRDefault="00803628" w:rsidP="008638AF">
      <w:pPr>
        <w:pStyle w:val="FootnoteText"/>
        <w:rPr>
          <w:rFonts w:ascii="Times New Roman"/>
          <w:noProof/>
        </w:rPr>
      </w:pPr>
      <w:r w:rsidRPr="00510D7C">
        <w:rPr>
          <w:rStyle w:val="FootnoteReference"/>
          <w:rFonts w:ascii="Times New Roman"/>
          <w:noProof/>
        </w:rPr>
        <w:footnoteRef/>
      </w:r>
      <w:r w:rsidRPr="00510D7C">
        <w:rPr>
          <w:rFonts w:ascii="Times New Roman"/>
          <w:noProof/>
        </w:rPr>
        <w:t xml:space="preserve"> In particular disharmonies found in the intersection between social security law on the one hand, and, on the other, labour law (e.g. Houwerzijl and Pennings, "Conflict(erende) regels in het socialezekerheids- en het arbeidsrecht" in Van Regenmortel, Verschueren and Vervliet (Ed.), </w:t>
      </w:r>
      <w:r w:rsidRPr="00510D7C">
        <w:rPr>
          <w:rFonts w:ascii="Times New Roman"/>
          <w:i/>
          <w:noProof/>
        </w:rPr>
        <w:t>Sociale zekerheid in het Europa van de markt en de burgers: enkele actuele thema's</w:t>
      </w:r>
      <w:r w:rsidRPr="00510D7C">
        <w:rPr>
          <w:rFonts w:ascii="Times New Roman"/>
          <w:noProof/>
        </w:rPr>
        <w:t xml:space="preserve"> (die Keure, 2007)) or tax law (Spiegel, Daxkobler, Strban and van der Mei, "The relationship between social security coordination and taxation law", (FreSsco Analytical Report 2015), &lt;http://ec.europa.eu/social/BlobServlet?docId=13534&amp;langId=en&gt;).</w:t>
      </w:r>
    </w:p>
  </w:footnote>
  <w:footnote w:id="50">
    <w:p w14:paraId="225325DA" w14:textId="77777777" w:rsidR="00803628" w:rsidRPr="00510D7C" w:rsidRDefault="00803628">
      <w:pPr>
        <w:pStyle w:val="FootnoteText"/>
        <w:rPr>
          <w:rFonts w:ascii="Times New Roman"/>
          <w:noProof/>
        </w:rPr>
      </w:pPr>
      <w:r w:rsidRPr="00510D7C">
        <w:rPr>
          <w:rStyle w:val="FootnoteReference"/>
          <w:rFonts w:ascii="Times New Roman"/>
          <w:noProof/>
        </w:rPr>
        <w:footnoteRef/>
      </w:r>
      <w:r w:rsidRPr="00510D7C">
        <w:rPr>
          <w:rFonts w:ascii="Times New Roman"/>
          <w:noProof/>
        </w:rPr>
        <w:t xml:space="preserve"> </w:t>
      </w:r>
      <w:bookmarkStart w:id="76" w:name="_Hlk8828833"/>
      <w:r w:rsidRPr="00510D7C">
        <w:rPr>
          <w:rFonts w:ascii="Times New Roman"/>
          <w:noProof/>
        </w:rPr>
        <w:t xml:space="preserve">The most accomplished analysis is found in Eichenhofer, </w:t>
      </w:r>
      <w:r w:rsidRPr="00510D7C">
        <w:rPr>
          <w:rFonts w:ascii="Times New Roman"/>
          <w:i/>
          <w:noProof/>
        </w:rPr>
        <w:t>Internationales Sozialrecht und Internationales Privatrecht</w:t>
      </w:r>
      <w:r w:rsidRPr="00510D7C">
        <w:rPr>
          <w:rFonts w:ascii="Times New Roman"/>
          <w:noProof/>
        </w:rPr>
        <w:t xml:space="preserve"> (Nomos Verlagsgesellschaft, 1987), where harmony is used to explore the interface between social security law and private law.</w:t>
      </w:r>
      <w:bookmarkEnd w:id="76"/>
    </w:p>
  </w:footnote>
  <w:footnote w:id="51">
    <w:p w14:paraId="6ADFD643" w14:textId="77777777" w:rsidR="00803628" w:rsidRPr="00510D7C" w:rsidRDefault="00803628">
      <w:pPr>
        <w:pStyle w:val="FootnoteText"/>
        <w:rPr>
          <w:rFonts w:ascii="Times New Roman"/>
          <w:noProof/>
        </w:rPr>
      </w:pPr>
      <w:r w:rsidRPr="00510D7C">
        <w:rPr>
          <w:rStyle w:val="FootnoteReference"/>
          <w:rFonts w:ascii="Times New Roman"/>
          <w:noProof/>
        </w:rPr>
        <w:footnoteRef/>
      </w:r>
      <w:r w:rsidRPr="00510D7C">
        <w:rPr>
          <w:rFonts w:ascii="Times New Roman"/>
          <w:noProof/>
        </w:rPr>
        <w:t xml:space="preserve"> E.g. Case C-443/93, </w:t>
      </w:r>
      <w:r w:rsidRPr="00510D7C">
        <w:rPr>
          <w:rFonts w:ascii="Times New Roman"/>
          <w:i/>
          <w:noProof/>
        </w:rPr>
        <w:t>Vougioukas v Idryma Koinonikon Asfalisseon</w:t>
      </w:r>
      <w:r w:rsidRPr="00510D7C">
        <w:rPr>
          <w:rFonts w:ascii="Times New Roman"/>
          <w:noProof/>
        </w:rPr>
        <w:t xml:space="preserve">, EU:C:1995:394; Case C-137/04, </w:t>
      </w:r>
      <w:r w:rsidRPr="00510D7C">
        <w:rPr>
          <w:rFonts w:ascii="Times New Roman"/>
          <w:i/>
          <w:noProof/>
        </w:rPr>
        <w:t>Rockler v Försäkringskassan</w:t>
      </w:r>
      <w:r w:rsidRPr="00510D7C">
        <w:rPr>
          <w:rFonts w:ascii="Times New Roman"/>
          <w:noProof/>
        </w:rPr>
        <w:t xml:space="preserve">, EU:C:2006:106; Case C-185/04, </w:t>
      </w:r>
      <w:r w:rsidRPr="00510D7C">
        <w:rPr>
          <w:rFonts w:ascii="Times New Roman"/>
          <w:i/>
          <w:noProof/>
        </w:rPr>
        <w:t>Öberg v Försäkringskassan, länskontoret Stockholm</w:t>
      </w:r>
      <w:r w:rsidRPr="00510D7C">
        <w:rPr>
          <w:rFonts w:ascii="Times New Roman"/>
          <w:noProof/>
        </w:rPr>
        <w:t>, EU:C:2006:107.</w:t>
      </w:r>
    </w:p>
  </w:footnote>
  <w:footnote w:id="52">
    <w:p w14:paraId="282BBFC7" w14:textId="77777777" w:rsidR="00803628" w:rsidRPr="00510D7C" w:rsidRDefault="00803628">
      <w:pPr>
        <w:pStyle w:val="FootnoteText"/>
        <w:rPr>
          <w:rFonts w:ascii="Times New Roman"/>
          <w:noProof/>
        </w:rPr>
      </w:pPr>
      <w:r w:rsidRPr="00510D7C">
        <w:rPr>
          <w:rStyle w:val="FootnoteReference"/>
          <w:rFonts w:ascii="Times New Roman"/>
          <w:noProof/>
        </w:rPr>
        <w:footnoteRef/>
      </w:r>
      <w:r w:rsidRPr="00510D7C">
        <w:rPr>
          <w:rFonts w:ascii="Times New Roman"/>
          <w:noProof/>
        </w:rPr>
        <w:t xml:space="preserve"> It is assumed that both States require work. </w:t>
      </w:r>
    </w:p>
  </w:footnote>
  <w:footnote w:id="53">
    <w:p w14:paraId="3168FD73" w14:textId="77777777" w:rsidR="00803628" w:rsidRPr="00510D7C" w:rsidRDefault="00803628" w:rsidP="008638AF">
      <w:pPr>
        <w:pStyle w:val="FootnoteText"/>
        <w:rPr>
          <w:rFonts w:ascii="Times New Roman"/>
          <w:noProof/>
        </w:rPr>
      </w:pPr>
      <w:r w:rsidRPr="00510D7C">
        <w:rPr>
          <w:rStyle w:val="FootnoteReference"/>
          <w:rFonts w:ascii="Times New Roman"/>
          <w:noProof/>
        </w:rPr>
        <w:footnoteRef/>
      </w:r>
      <w:r w:rsidRPr="00510D7C">
        <w:rPr>
          <w:rFonts w:ascii="Times New Roman"/>
          <w:noProof/>
        </w:rPr>
        <w:t xml:space="preserve"> Case C-523/13, </w:t>
      </w:r>
      <w:r w:rsidRPr="00510D7C">
        <w:rPr>
          <w:rFonts w:ascii="Times New Roman"/>
          <w:i/>
          <w:noProof/>
        </w:rPr>
        <w:t>Larcher v Deutsche Rentenversicherung Bayern Süd</w:t>
      </w:r>
      <w:r w:rsidRPr="00510D7C">
        <w:rPr>
          <w:rFonts w:ascii="Times New Roman"/>
          <w:noProof/>
        </w:rPr>
        <w:t>, EU:C:2014:2458, para 51, emphasis added.</w:t>
      </w:r>
    </w:p>
  </w:footnote>
  <w:footnote w:id="54">
    <w:p w14:paraId="23CFFB8C" w14:textId="77777777" w:rsidR="00803628" w:rsidRPr="00510D7C" w:rsidRDefault="00803628" w:rsidP="008638AF">
      <w:pPr>
        <w:pStyle w:val="FootnoteText"/>
        <w:rPr>
          <w:rFonts w:ascii="Times New Roman"/>
          <w:noProof/>
        </w:rPr>
      </w:pPr>
      <w:r w:rsidRPr="00510D7C">
        <w:rPr>
          <w:rStyle w:val="FootnoteReference"/>
          <w:rFonts w:ascii="Times New Roman"/>
          <w:noProof/>
        </w:rPr>
        <w:footnoteRef/>
      </w:r>
      <w:r w:rsidRPr="00510D7C">
        <w:rPr>
          <w:rFonts w:ascii="Times New Roman"/>
          <w:noProof/>
        </w:rPr>
        <w:t xml:space="preserve"> Ibid., para 56.</w:t>
      </w:r>
    </w:p>
  </w:footnote>
  <w:footnote w:id="55">
    <w:p w14:paraId="7CF1EA5F" w14:textId="77777777" w:rsidR="00803628" w:rsidRPr="00510D7C" w:rsidRDefault="00803628" w:rsidP="008638AF">
      <w:pPr>
        <w:pStyle w:val="FootnoteText"/>
        <w:rPr>
          <w:rFonts w:ascii="Times New Roman"/>
          <w:noProof/>
          <w:highlight w:val="yellow"/>
        </w:rPr>
      </w:pPr>
      <w:r w:rsidRPr="00510D7C">
        <w:rPr>
          <w:rStyle w:val="FootnoteReference"/>
          <w:rFonts w:ascii="Times New Roman"/>
          <w:noProof/>
        </w:rPr>
        <w:footnoteRef/>
      </w:r>
      <w:r w:rsidRPr="00510D7C">
        <w:rPr>
          <w:rFonts w:ascii="Times New Roman"/>
          <w:noProof/>
        </w:rPr>
        <w:t xml:space="preserve"> Ibid., para 59.</w:t>
      </w:r>
    </w:p>
  </w:footnote>
  <w:footnote w:id="56">
    <w:p w14:paraId="67B92769" w14:textId="77777777" w:rsidR="00803628" w:rsidRPr="00510D7C" w:rsidRDefault="00803628" w:rsidP="008638AF">
      <w:pPr>
        <w:pStyle w:val="FootnoteText"/>
        <w:rPr>
          <w:rFonts w:ascii="Times New Roman"/>
          <w:noProof/>
        </w:rPr>
      </w:pPr>
      <w:r w:rsidRPr="00510D7C">
        <w:rPr>
          <w:rStyle w:val="FootnoteReference"/>
          <w:rFonts w:ascii="Times New Roman"/>
          <w:noProof/>
        </w:rPr>
        <w:footnoteRef/>
      </w:r>
      <w:r w:rsidRPr="00510D7C">
        <w:rPr>
          <w:rFonts w:ascii="Times New Roman"/>
          <w:noProof/>
        </w:rPr>
        <w:t xml:space="preserve"> In some circumstances, equivalence can be presumed (e.g. Art. 6 Regulation 883/2004). </w:t>
      </w:r>
    </w:p>
  </w:footnote>
  <w:footnote w:id="57">
    <w:p w14:paraId="4529CC5F" w14:textId="77777777" w:rsidR="00803628" w:rsidRPr="00510D7C" w:rsidRDefault="00803628" w:rsidP="008638AF">
      <w:pPr>
        <w:pStyle w:val="FootnoteText"/>
        <w:rPr>
          <w:rFonts w:ascii="Times New Roman"/>
          <w:noProof/>
        </w:rPr>
      </w:pPr>
      <w:r w:rsidRPr="00510D7C">
        <w:rPr>
          <w:rStyle w:val="FootnoteReference"/>
          <w:rFonts w:ascii="Times New Roman"/>
          <w:noProof/>
        </w:rPr>
        <w:footnoteRef/>
      </w:r>
      <w:r w:rsidRPr="00510D7C">
        <w:rPr>
          <w:rFonts w:ascii="Times New Roman"/>
          <w:noProof/>
        </w:rPr>
        <w:t xml:space="preserve"> Conflict rules that are less responsive to movement minimize such disharmonies, but engender others (see below, Section 4.2).</w:t>
      </w:r>
    </w:p>
  </w:footnote>
  <w:footnote w:id="58">
    <w:p w14:paraId="6F92418F" w14:textId="77777777" w:rsidR="00803628" w:rsidRPr="00510D7C" w:rsidRDefault="00803628">
      <w:pPr>
        <w:pStyle w:val="FootnoteText"/>
        <w:rPr>
          <w:rFonts w:ascii="Times New Roman"/>
          <w:noProof/>
        </w:rPr>
      </w:pPr>
      <w:r w:rsidRPr="00510D7C">
        <w:rPr>
          <w:rStyle w:val="FootnoteReference"/>
          <w:rFonts w:ascii="Times New Roman"/>
          <w:noProof/>
        </w:rPr>
        <w:footnoteRef/>
      </w:r>
      <w:r w:rsidRPr="00510D7C">
        <w:rPr>
          <w:rFonts w:ascii="Times New Roman"/>
          <w:noProof/>
        </w:rPr>
        <w:t xml:space="preserve"> Art. 11(3)(a) Regulation 883/2004.</w:t>
      </w:r>
    </w:p>
  </w:footnote>
  <w:footnote w:id="59">
    <w:p w14:paraId="58E9FE1D" w14:textId="77777777" w:rsidR="00803628" w:rsidRPr="00510D7C" w:rsidRDefault="00803628" w:rsidP="008638AF">
      <w:pPr>
        <w:pStyle w:val="FootnoteText"/>
        <w:rPr>
          <w:rFonts w:ascii="Times New Roman"/>
          <w:noProof/>
        </w:rPr>
      </w:pPr>
      <w:r w:rsidRPr="00510D7C">
        <w:rPr>
          <w:rStyle w:val="FootnoteReference"/>
          <w:rFonts w:ascii="Times New Roman"/>
          <w:noProof/>
        </w:rPr>
        <w:footnoteRef/>
      </w:r>
      <w:r w:rsidRPr="00510D7C">
        <w:rPr>
          <w:rFonts w:ascii="Times New Roman"/>
          <w:noProof/>
        </w:rPr>
        <w:t xml:space="preserve"> Art. 12 Regulation 883/2004.</w:t>
      </w:r>
    </w:p>
  </w:footnote>
  <w:footnote w:id="60">
    <w:p w14:paraId="23C67F6B" w14:textId="77777777" w:rsidR="00803628" w:rsidRPr="00510D7C" w:rsidRDefault="00803628" w:rsidP="008638AF">
      <w:pPr>
        <w:pStyle w:val="FootnoteText"/>
        <w:rPr>
          <w:rFonts w:ascii="Times New Roman"/>
          <w:noProof/>
        </w:rPr>
      </w:pPr>
      <w:r w:rsidRPr="00510D7C">
        <w:rPr>
          <w:rStyle w:val="FootnoteReference"/>
          <w:rFonts w:ascii="Times New Roman"/>
          <w:noProof/>
        </w:rPr>
        <w:footnoteRef/>
      </w:r>
      <w:r w:rsidRPr="00510D7C">
        <w:rPr>
          <w:rFonts w:ascii="Times New Roman"/>
          <w:noProof/>
        </w:rPr>
        <w:t xml:space="preserve"> Case C-308/94, </w:t>
      </w:r>
      <w:r w:rsidRPr="00510D7C">
        <w:rPr>
          <w:rFonts w:ascii="Times New Roman"/>
          <w:i/>
          <w:noProof/>
        </w:rPr>
        <w:t>Office National de l'Emploi v Naruschawicus</w:t>
      </w:r>
      <w:r w:rsidRPr="00510D7C">
        <w:rPr>
          <w:rFonts w:ascii="Times New Roman"/>
          <w:noProof/>
        </w:rPr>
        <w:t xml:space="preserve">, EU:C:1996:28. </w:t>
      </w:r>
    </w:p>
  </w:footnote>
  <w:footnote w:id="61">
    <w:p w14:paraId="11130065" w14:textId="77777777" w:rsidR="00803628" w:rsidRPr="00510D7C" w:rsidRDefault="00803628" w:rsidP="008638AF">
      <w:pPr>
        <w:pStyle w:val="FootnoteText"/>
        <w:rPr>
          <w:rFonts w:ascii="Times New Roman"/>
          <w:noProof/>
        </w:rPr>
      </w:pPr>
      <w:r w:rsidRPr="00510D7C">
        <w:rPr>
          <w:rStyle w:val="FootnoteReference"/>
          <w:rFonts w:ascii="Times New Roman"/>
          <w:noProof/>
        </w:rPr>
        <w:footnoteRef/>
      </w:r>
      <w:r w:rsidRPr="00510D7C">
        <w:rPr>
          <w:rFonts w:ascii="Times New Roman"/>
          <w:noProof/>
        </w:rPr>
        <w:t xml:space="preserve"> </w:t>
      </w:r>
      <w:bookmarkStart w:id="91" w:name="_Hlk8593211"/>
      <w:r w:rsidRPr="00510D7C">
        <w:rPr>
          <w:rFonts w:ascii="Times New Roman"/>
          <w:noProof/>
        </w:rPr>
        <w:t>Art. 71(1)(b)(i) Regulation 1408/71 on the application of social security schemes to employed persons</w:t>
      </w:r>
      <w:r w:rsidRPr="00510D7C">
        <w:rPr>
          <w:rFonts w:ascii="Times New Roman"/>
          <w:noProof/>
        </w:rPr>
        <w:br/>
        <w:t xml:space="preserve">and their families moving within the Community, O.J. 1971, L 149/2. </w:t>
      </w:r>
    </w:p>
    <w:bookmarkEnd w:id="91"/>
  </w:footnote>
  <w:footnote w:id="62">
    <w:p w14:paraId="2102D1F9" w14:textId="77777777" w:rsidR="00803628" w:rsidRPr="00510D7C" w:rsidRDefault="00803628">
      <w:pPr>
        <w:pStyle w:val="FootnoteText"/>
        <w:rPr>
          <w:rFonts w:ascii="Times New Roman"/>
          <w:noProof/>
        </w:rPr>
      </w:pPr>
      <w:r w:rsidRPr="00510D7C">
        <w:rPr>
          <w:rStyle w:val="FootnoteReference"/>
          <w:rFonts w:ascii="Times New Roman"/>
          <w:noProof/>
        </w:rPr>
        <w:footnoteRef/>
      </w:r>
      <w:r w:rsidRPr="00510D7C">
        <w:rPr>
          <w:rFonts w:ascii="Times New Roman"/>
          <w:noProof/>
        </w:rPr>
        <w:t xml:space="preserve"> She travelled to the Belgian unemployment office in order to undergo its checks.</w:t>
      </w:r>
    </w:p>
  </w:footnote>
  <w:footnote w:id="63">
    <w:p w14:paraId="043E088A" w14:textId="77777777" w:rsidR="00803628" w:rsidRPr="00510D7C" w:rsidRDefault="00803628">
      <w:pPr>
        <w:pStyle w:val="FootnoteText"/>
        <w:rPr>
          <w:rFonts w:ascii="Times New Roman"/>
          <w:noProof/>
        </w:rPr>
      </w:pPr>
      <w:r w:rsidRPr="00510D7C">
        <w:rPr>
          <w:rStyle w:val="FootnoteReference"/>
          <w:rFonts w:ascii="Times New Roman"/>
          <w:noProof/>
        </w:rPr>
        <w:footnoteRef/>
      </w:r>
      <w:r w:rsidRPr="00510D7C">
        <w:rPr>
          <w:rFonts w:ascii="Times New Roman"/>
          <w:noProof/>
        </w:rPr>
        <w:t xml:space="preserve"> In the event, they opted for the latter and refused the benefit, only to be overruled by the ECJ, which softened the availability requirement (Case C-308/94, </w:t>
      </w:r>
      <w:r w:rsidRPr="00510D7C">
        <w:rPr>
          <w:rFonts w:ascii="Times New Roman"/>
          <w:i/>
          <w:noProof/>
        </w:rPr>
        <w:t>Naruschawicus</w:t>
      </w:r>
      <w:r w:rsidRPr="00510D7C">
        <w:rPr>
          <w:rFonts w:ascii="Times New Roman"/>
          <w:noProof/>
        </w:rPr>
        <w:t>, paras. 23–27).</w:t>
      </w:r>
    </w:p>
  </w:footnote>
  <w:footnote w:id="64">
    <w:p w14:paraId="5ADA49C2" w14:textId="77777777" w:rsidR="00803628" w:rsidRPr="00510D7C" w:rsidRDefault="00803628">
      <w:pPr>
        <w:pStyle w:val="FootnoteText"/>
        <w:rPr>
          <w:rFonts w:ascii="Times New Roman"/>
          <w:noProof/>
        </w:rPr>
      </w:pPr>
      <w:r w:rsidRPr="00510D7C">
        <w:rPr>
          <w:rStyle w:val="FootnoteReference"/>
          <w:rFonts w:ascii="Times New Roman"/>
          <w:noProof/>
        </w:rPr>
        <w:footnoteRef/>
      </w:r>
      <w:r w:rsidRPr="00510D7C">
        <w:rPr>
          <w:rFonts w:ascii="Times New Roman"/>
          <w:noProof/>
        </w:rPr>
        <w:t xml:space="preserve"> See Cornelissen, "The new EU coordination system for workers who become unemployed", (2007), EJSS, 187–219, 209. </w:t>
      </w:r>
    </w:p>
  </w:footnote>
  <w:footnote w:id="65">
    <w:p w14:paraId="034C7717" w14:textId="77777777" w:rsidR="00803628" w:rsidRPr="00510D7C" w:rsidRDefault="00803628" w:rsidP="008638AF">
      <w:pPr>
        <w:pStyle w:val="FootnoteText"/>
        <w:rPr>
          <w:rFonts w:ascii="Times New Roman"/>
          <w:noProof/>
        </w:rPr>
      </w:pPr>
      <w:r w:rsidRPr="00510D7C">
        <w:rPr>
          <w:rStyle w:val="FootnoteReference"/>
          <w:rFonts w:ascii="Times New Roman"/>
          <w:noProof/>
        </w:rPr>
        <w:footnoteRef/>
      </w:r>
      <w:r w:rsidRPr="00510D7C">
        <w:rPr>
          <w:rFonts w:ascii="Times New Roman"/>
          <w:noProof/>
        </w:rPr>
        <w:t xml:space="preserve"> Missoc database &lt;https://www.missoc.org/missoc-database/&gt;.</w:t>
      </w:r>
    </w:p>
  </w:footnote>
  <w:footnote w:id="66">
    <w:p w14:paraId="27815824" w14:textId="77777777" w:rsidR="00803628" w:rsidRPr="00510D7C" w:rsidRDefault="00803628" w:rsidP="008638AF">
      <w:pPr>
        <w:pStyle w:val="FootnoteText"/>
        <w:rPr>
          <w:rFonts w:ascii="Times New Roman"/>
          <w:noProof/>
        </w:rPr>
      </w:pPr>
      <w:r w:rsidRPr="00510D7C">
        <w:rPr>
          <w:rStyle w:val="FootnoteReference"/>
          <w:rFonts w:ascii="Times New Roman"/>
          <w:noProof/>
        </w:rPr>
        <w:footnoteRef/>
      </w:r>
      <w:r w:rsidRPr="00510D7C">
        <w:rPr>
          <w:rFonts w:ascii="Times New Roman"/>
          <w:noProof/>
        </w:rPr>
        <w:t xml:space="preserve"> Art. 5 and Art. 7 Regulation 883/2004.</w:t>
      </w:r>
    </w:p>
  </w:footnote>
  <w:footnote w:id="67">
    <w:p w14:paraId="281F2C0F" w14:textId="77777777" w:rsidR="00803628" w:rsidRPr="00510D7C" w:rsidRDefault="00803628" w:rsidP="008638AF">
      <w:pPr>
        <w:pStyle w:val="FootnoteText"/>
        <w:rPr>
          <w:rFonts w:ascii="Times New Roman"/>
          <w:noProof/>
        </w:rPr>
      </w:pPr>
      <w:r w:rsidRPr="00510D7C">
        <w:rPr>
          <w:rStyle w:val="FootnoteReference"/>
          <w:rFonts w:ascii="Times New Roman"/>
          <w:noProof/>
        </w:rPr>
        <w:footnoteRef/>
      </w:r>
      <w:r w:rsidRPr="00510D7C">
        <w:rPr>
          <w:rFonts w:ascii="Times New Roman"/>
          <w:noProof/>
        </w:rPr>
        <w:t xml:space="preserve"> Opinion of A.G. Warner in Case 62/76, </w:t>
      </w:r>
      <w:r w:rsidRPr="00510D7C">
        <w:rPr>
          <w:rFonts w:ascii="Times New Roman"/>
          <w:i/>
          <w:noProof/>
        </w:rPr>
        <w:t>Strehl v Nationaal Pensioenfonds voor Mijnwerkers</w:t>
      </w:r>
      <w:r w:rsidRPr="00510D7C">
        <w:rPr>
          <w:rFonts w:ascii="Times New Roman"/>
          <w:noProof/>
        </w:rPr>
        <w:t>, EU:C:1977:18, at 223.</w:t>
      </w:r>
    </w:p>
  </w:footnote>
  <w:footnote w:id="68">
    <w:p w14:paraId="4EE9F0CC" w14:textId="77777777" w:rsidR="00803628" w:rsidRPr="00510D7C" w:rsidRDefault="00803628" w:rsidP="008638AF">
      <w:pPr>
        <w:pStyle w:val="FootnoteText"/>
        <w:rPr>
          <w:rFonts w:ascii="Times New Roman"/>
          <w:iCs/>
          <w:noProof/>
        </w:rPr>
      </w:pPr>
      <w:r w:rsidRPr="00510D7C">
        <w:rPr>
          <w:rStyle w:val="FootnoteReference"/>
          <w:rFonts w:ascii="Times New Roman"/>
          <w:noProof/>
        </w:rPr>
        <w:footnoteRef/>
      </w:r>
      <w:r w:rsidRPr="00510D7C">
        <w:rPr>
          <w:rFonts w:ascii="Times New Roman"/>
          <w:noProof/>
        </w:rPr>
        <w:t xml:space="preserve"> E.g. Chapters 5 and 8 Regulation 883/2004.</w:t>
      </w:r>
    </w:p>
  </w:footnote>
  <w:footnote w:id="69">
    <w:p w14:paraId="7FC7A888" w14:textId="77777777" w:rsidR="00803628" w:rsidRPr="00510D7C" w:rsidRDefault="00803628">
      <w:pPr>
        <w:pStyle w:val="FootnoteText"/>
        <w:rPr>
          <w:rFonts w:ascii="Times New Roman"/>
          <w:noProof/>
        </w:rPr>
      </w:pPr>
      <w:r w:rsidRPr="00510D7C">
        <w:rPr>
          <w:rStyle w:val="FootnoteReference"/>
          <w:rFonts w:ascii="Times New Roman"/>
          <w:noProof/>
        </w:rPr>
        <w:footnoteRef/>
      </w:r>
      <w:r w:rsidRPr="00510D7C">
        <w:rPr>
          <w:rFonts w:ascii="Times New Roman"/>
          <w:noProof/>
        </w:rPr>
        <w:t xml:space="preserve"> Art. 11(1) Regulation 883/2004; see also Art. 30 Regulation 883/2004.</w:t>
      </w:r>
    </w:p>
  </w:footnote>
  <w:footnote w:id="70">
    <w:p w14:paraId="29997539" w14:textId="77777777" w:rsidR="00803628" w:rsidRPr="00510D7C" w:rsidRDefault="00803628">
      <w:pPr>
        <w:pStyle w:val="FootnoteText"/>
        <w:rPr>
          <w:rFonts w:ascii="Times New Roman"/>
          <w:noProof/>
        </w:rPr>
      </w:pPr>
      <w:r w:rsidRPr="00510D7C">
        <w:rPr>
          <w:rStyle w:val="FootnoteReference"/>
          <w:rFonts w:ascii="Times New Roman"/>
          <w:noProof/>
        </w:rPr>
        <w:footnoteRef/>
      </w:r>
      <w:r w:rsidRPr="00510D7C">
        <w:rPr>
          <w:rFonts w:ascii="Times New Roman"/>
          <w:noProof/>
        </w:rPr>
        <w:t xml:space="preserve"> See below, Section 6. </w:t>
      </w:r>
    </w:p>
  </w:footnote>
  <w:footnote w:id="71">
    <w:p w14:paraId="7F32E372" w14:textId="77777777" w:rsidR="00803628" w:rsidRPr="00510D7C" w:rsidRDefault="00803628" w:rsidP="008638AF">
      <w:pPr>
        <w:pStyle w:val="FootnoteText"/>
        <w:rPr>
          <w:rFonts w:ascii="Times New Roman"/>
          <w:noProof/>
        </w:rPr>
      </w:pPr>
      <w:r w:rsidRPr="00510D7C">
        <w:rPr>
          <w:rStyle w:val="FootnoteReference"/>
          <w:rFonts w:ascii="Times New Roman"/>
          <w:noProof/>
        </w:rPr>
        <w:footnoteRef/>
      </w:r>
      <w:r w:rsidRPr="00510D7C">
        <w:rPr>
          <w:rFonts w:ascii="Times New Roman"/>
          <w:noProof/>
        </w:rPr>
        <w:t xml:space="preserve"> E.g. Case C-2/89, </w:t>
      </w:r>
      <w:r w:rsidRPr="00510D7C">
        <w:rPr>
          <w:rFonts w:ascii="Times New Roman"/>
          <w:i/>
          <w:noProof/>
        </w:rPr>
        <w:t>Bestuur van de Sociale Verzekeringsbank v Kits van Heijningen</w:t>
      </w:r>
      <w:r w:rsidRPr="00510D7C">
        <w:rPr>
          <w:rFonts w:ascii="Times New Roman"/>
          <w:noProof/>
        </w:rPr>
        <w:t xml:space="preserve">, EU:C:1990:183, para 12; Case C-451/17, </w:t>
      </w:r>
      <w:r w:rsidRPr="00510D7C">
        <w:rPr>
          <w:rFonts w:ascii="Times New Roman"/>
          <w:i/>
          <w:noProof/>
        </w:rPr>
        <w:t>‘Walltopia’ v Direktor na Teritorialna direktsia na Natsionalnata agentsia za prihodite — Veliko Tarnovo</w:t>
      </w:r>
      <w:r w:rsidRPr="00510D7C">
        <w:rPr>
          <w:rFonts w:ascii="Times New Roman"/>
          <w:noProof/>
        </w:rPr>
        <w:t xml:space="preserve">, EU:C:2018:861, para </w:t>
      </w:r>
      <w:bookmarkStart w:id="103" w:name="point41"/>
      <w:r w:rsidRPr="00510D7C">
        <w:rPr>
          <w:rFonts w:ascii="Times New Roman"/>
          <w:noProof/>
        </w:rPr>
        <w:t>41</w:t>
      </w:r>
      <w:bookmarkEnd w:id="103"/>
      <w:r w:rsidRPr="00510D7C">
        <w:rPr>
          <w:rFonts w:ascii="Times New Roman"/>
          <w:noProof/>
        </w:rPr>
        <w:t>.</w:t>
      </w:r>
    </w:p>
  </w:footnote>
  <w:footnote w:id="72">
    <w:p w14:paraId="5E4C8127" w14:textId="77777777" w:rsidR="00803628" w:rsidRPr="00510D7C" w:rsidRDefault="00803628">
      <w:pPr>
        <w:pStyle w:val="FootnoteText"/>
        <w:rPr>
          <w:rFonts w:ascii="Times New Roman"/>
          <w:noProof/>
        </w:rPr>
      </w:pPr>
      <w:r w:rsidRPr="00510D7C">
        <w:rPr>
          <w:rStyle w:val="FootnoteReference"/>
          <w:rFonts w:ascii="Times New Roman"/>
          <w:noProof/>
        </w:rPr>
        <w:footnoteRef/>
      </w:r>
      <w:r w:rsidRPr="00510D7C">
        <w:rPr>
          <w:rFonts w:ascii="Times New Roman"/>
          <w:noProof/>
        </w:rPr>
        <w:t xml:space="preserve"> Art. 11(1) Regulation 883/2004.</w:t>
      </w:r>
    </w:p>
  </w:footnote>
  <w:footnote w:id="73">
    <w:p w14:paraId="38038F02" w14:textId="77777777" w:rsidR="00803628" w:rsidRPr="00510D7C" w:rsidRDefault="00803628" w:rsidP="008638AF">
      <w:pPr>
        <w:pStyle w:val="FootnoteText"/>
        <w:rPr>
          <w:rFonts w:ascii="Times New Roman"/>
          <w:noProof/>
        </w:rPr>
      </w:pPr>
      <w:r w:rsidRPr="00510D7C">
        <w:rPr>
          <w:rStyle w:val="FootnoteReference"/>
          <w:rFonts w:ascii="Times New Roman"/>
          <w:noProof/>
        </w:rPr>
        <w:footnoteRef/>
      </w:r>
      <w:r w:rsidRPr="00510D7C">
        <w:rPr>
          <w:rFonts w:ascii="Times New Roman"/>
          <w:noProof/>
        </w:rPr>
        <w:t xml:space="preserve"> Von Schwind, "Von der Zersplitterung des Privatrechts durch das internationale Privatrecht und ihrer Bekämpfung", (1958), Rabels Zeitschrift für ausländisches und internationales Privatrecht, 449–465, 456–457.</w:t>
      </w:r>
    </w:p>
  </w:footnote>
  <w:footnote w:id="74">
    <w:p w14:paraId="7B921165" w14:textId="77777777" w:rsidR="00803628" w:rsidRPr="00510D7C" w:rsidRDefault="00803628" w:rsidP="008638AF">
      <w:pPr>
        <w:pStyle w:val="FootnoteText"/>
        <w:rPr>
          <w:rFonts w:ascii="Times New Roman"/>
          <w:noProof/>
        </w:rPr>
      </w:pPr>
      <w:r w:rsidRPr="00510D7C">
        <w:rPr>
          <w:rStyle w:val="FootnoteReference"/>
          <w:rFonts w:ascii="Times New Roman"/>
          <w:noProof/>
        </w:rPr>
        <w:footnoteRef/>
      </w:r>
      <w:r w:rsidRPr="00510D7C">
        <w:rPr>
          <w:rFonts w:ascii="Times New Roman"/>
          <w:noProof/>
        </w:rPr>
        <w:t xml:space="preserve"> Bureau and Muir Watt, </w:t>
      </w:r>
      <w:r w:rsidRPr="00510D7C">
        <w:rPr>
          <w:rFonts w:ascii="Times New Roman"/>
          <w:i/>
          <w:noProof/>
        </w:rPr>
        <w:t>Droit international privé: Tome I, Partie générale</w:t>
      </w:r>
      <w:r w:rsidRPr="00510D7C">
        <w:rPr>
          <w:rFonts w:ascii="Times New Roman"/>
          <w:noProof/>
        </w:rPr>
        <w:t xml:space="preserve"> (Presses Universitaires de France, 2007), 472.</w:t>
      </w:r>
    </w:p>
  </w:footnote>
  <w:footnote w:id="75">
    <w:p w14:paraId="2DB24F72" w14:textId="77777777" w:rsidR="00803628" w:rsidRPr="00510D7C" w:rsidRDefault="00803628" w:rsidP="008638AF">
      <w:pPr>
        <w:pStyle w:val="FootnoteText"/>
        <w:rPr>
          <w:rFonts w:ascii="Times New Roman"/>
          <w:noProof/>
        </w:rPr>
      </w:pPr>
      <w:r w:rsidRPr="00510D7C">
        <w:rPr>
          <w:rStyle w:val="FootnoteReference"/>
          <w:rFonts w:ascii="Times New Roman"/>
          <w:noProof/>
        </w:rPr>
        <w:footnoteRef/>
      </w:r>
      <w:r w:rsidRPr="00510D7C">
        <w:rPr>
          <w:rFonts w:ascii="Times New Roman"/>
          <w:noProof/>
        </w:rPr>
        <w:t xml:space="preserve"> Ferid, </w:t>
      </w:r>
      <w:r w:rsidRPr="00510D7C">
        <w:rPr>
          <w:rFonts w:ascii="Times New Roman"/>
          <w:i/>
          <w:noProof/>
        </w:rPr>
        <w:t>Internationales Privatrecht: Ein Leitfaden für Studium und Praxis</w:t>
      </w:r>
      <w:r w:rsidRPr="00510D7C">
        <w:rPr>
          <w:rFonts w:ascii="Times New Roman"/>
          <w:noProof/>
        </w:rPr>
        <w:t xml:space="preserve"> (Schweitzer, 1975), 99; Kegel, </w:t>
      </w:r>
      <w:r w:rsidRPr="00510D7C">
        <w:rPr>
          <w:rFonts w:ascii="Times New Roman"/>
          <w:i/>
          <w:noProof/>
        </w:rPr>
        <w:t>Internationales Privatrecht</w:t>
      </w:r>
      <w:r w:rsidRPr="00510D7C">
        <w:rPr>
          <w:rFonts w:ascii="Times New Roman"/>
          <w:noProof/>
        </w:rPr>
        <w:t xml:space="preserve"> 7th edn (Beck, 1995), 260.</w:t>
      </w:r>
    </w:p>
  </w:footnote>
  <w:footnote w:id="76">
    <w:p w14:paraId="2C9E96B7" w14:textId="77777777" w:rsidR="00803628" w:rsidRPr="00510D7C" w:rsidRDefault="00803628" w:rsidP="008638AF">
      <w:pPr>
        <w:pStyle w:val="FootnoteText"/>
        <w:rPr>
          <w:rFonts w:ascii="Times New Roman"/>
          <w:noProof/>
        </w:rPr>
      </w:pPr>
      <w:r w:rsidRPr="00510D7C">
        <w:rPr>
          <w:rStyle w:val="FootnoteReference"/>
          <w:rFonts w:ascii="Times New Roman"/>
          <w:noProof/>
        </w:rPr>
        <w:footnoteRef/>
      </w:r>
      <w:r w:rsidRPr="00510D7C">
        <w:rPr>
          <w:rFonts w:ascii="Times New Roman"/>
          <w:noProof/>
        </w:rPr>
        <w:t xml:space="preserve"> Looschelders, </w:t>
      </w:r>
      <w:r w:rsidRPr="00510D7C">
        <w:rPr>
          <w:rFonts w:ascii="Times New Roman"/>
          <w:i/>
          <w:noProof/>
        </w:rPr>
        <w:t>Die Anpassung im Internationalen Privatrecht: Zur Methodik der Rechtsanwendung in Fällen mit wesentlicher Verbindung zu mehreren nicht miteinander harmonierenden Rechtsordnungen</w:t>
      </w:r>
      <w:r w:rsidRPr="00510D7C">
        <w:rPr>
          <w:rFonts w:ascii="Times New Roman"/>
          <w:noProof/>
        </w:rPr>
        <w:t xml:space="preserve"> (Müller, 1995), 7.</w:t>
      </w:r>
    </w:p>
  </w:footnote>
  <w:footnote w:id="77">
    <w:p w14:paraId="5B08BD33" w14:textId="77777777" w:rsidR="00803628" w:rsidRPr="00510D7C" w:rsidRDefault="00803628" w:rsidP="008638AF">
      <w:pPr>
        <w:pStyle w:val="FootnoteText"/>
        <w:rPr>
          <w:rFonts w:ascii="Times New Roman"/>
          <w:noProof/>
        </w:rPr>
      </w:pPr>
      <w:r w:rsidRPr="00510D7C">
        <w:rPr>
          <w:rStyle w:val="FootnoteReference"/>
          <w:rFonts w:ascii="Times New Roman"/>
          <w:noProof/>
        </w:rPr>
        <w:footnoteRef/>
      </w:r>
      <w:r w:rsidRPr="00510D7C">
        <w:rPr>
          <w:rFonts w:ascii="Times New Roman"/>
          <w:noProof/>
        </w:rPr>
        <w:t xml:space="preserve"> “The international dispute involves domestic as well as foreign rules. While the simultaneous application of a multitude of domestic rules leads to a satisfactory and harmonious solution, that is not the case when domestic rules are combined with foreign rules” (Meierhof, cited in Cansacchi, "Le choix et l'adaptation de la règle étrangère dans le conflit de lois" in Académie de droit international de La Haye (Ed.), </w:t>
      </w:r>
      <w:r w:rsidRPr="00510D7C">
        <w:rPr>
          <w:rFonts w:ascii="Times New Roman"/>
          <w:i/>
          <w:noProof/>
        </w:rPr>
        <w:t>Recueil des cours 1953-II, Tome 83</w:t>
      </w:r>
      <w:r w:rsidRPr="00510D7C">
        <w:rPr>
          <w:rFonts w:ascii="Times New Roman"/>
          <w:noProof/>
        </w:rPr>
        <w:t xml:space="preserve"> (Sijthoff, 1955), 112, own translation).</w:t>
      </w:r>
    </w:p>
  </w:footnote>
  <w:footnote w:id="78">
    <w:p w14:paraId="794F3BBE" w14:textId="77777777" w:rsidR="00803628" w:rsidRPr="00510D7C" w:rsidRDefault="00803628" w:rsidP="008638AF">
      <w:pPr>
        <w:pStyle w:val="FootnoteText"/>
        <w:rPr>
          <w:rFonts w:ascii="Times New Roman"/>
          <w:noProof/>
        </w:rPr>
      </w:pPr>
      <w:r w:rsidRPr="00510D7C">
        <w:rPr>
          <w:rStyle w:val="FootnoteReference"/>
          <w:rFonts w:ascii="Times New Roman"/>
          <w:noProof/>
        </w:rPr>
        <w:footnoteRef/>
      </w:r>
      <w:r w:rsidRPr="00510D7C">
        <w:rPr>
          <w:rFonts w:ascii="Times New Roman"/>
          <w:noProof/>
        </w:rPr>
        <w:t xml:space="preserve"> Cansacchi, op. cit. </w:t>
      </w:r>
      <w:r w:rsidRPr="00510D7C">
        <w:rPr>
          <w:rFonts w:ascii="Times New Roman"/>
          <w:i/>
          <w:noProof/>
        </w:rPr>
        <w:t xml:space="preserve">supra </w:t>
      </w:r>
      <w:r w:rsidRPr="00510D7C">
        <w:rPr>
          <w:rFonts w:ascii="Times New Roman"/>
          <w:noProof/>
        </w:rPr>
        <w:t xml:space="preserve">note </w:t>
      </w:r>
      <w:r w:rsidRPr="00510D7C">
        <w:rPr>
          <w:rFonts w:ascii="Times New Roman"/>
          <w:noProof/>
        </w:rPr>
        <w:fldChar w:fldCharType="begin"/>
      </w:r>
      <w:r w:rsidRPr="00510D7C">
        <w:rPr>
          <w:rFonts w:ascii="Times New Roman"/>
          <w:noProof/>
        </w:rPr>
        <w:instrText xml:space="preserve"> NOTEREF _Ref18858122 \h  \* MERGEFORMAT </w:instrText>
      </w:r>
      <w:r w:rsidRPr="00510D7C">
        <w:rPr>
          <w:rFonts w:ascii="Times New Roman"/>
          <w:noProof/>
        </w:rPr>
      </w:r>
      <w:r w:rsidRPr="00510D7C">
        <w:rPr>
          <w:rFonts w:ascii="Times New Roman"/>
          <w:noProof/>
        </w:rPr>
        <w:fldChar w:fldCharType="separate"/>
      </w:r>
      <w:r w:rsidRPr="00510D7C">
        <w:rPr>
          <w:rFonts w:ascii="Times New Roman"/>
          <w:noProof/>
        </w:rPr>
        <w:t>77</w:t>
      </w:r>
      <w:r w:rsidRPr="00510D7C">
        <w:rPr>
          <w:rFonts w:ascii="Times New Roman"/>
          <w:noProof/>
        </w:rPr>
        <w:fldChar w:fldCharType="end"/>
      </w:r>
      <w:r w:rsidRPr="00510D7C">
        <w:rPr>
          <w:rFonts w:ascii="Times New Roman"/>
          <w:noProof/>
        </w:rPr>
        <w:t xml:space="preserve">, 112, 116–117. </w:t>
      </w:r>
    </w:p>
  </w:footnote>
  <w:footnote w:id="79">
    <w:p w14:paraId="6FB3EFA4" w14:textId="77777777" w:rsidR="00803628" w:rsidRPr="00510D7C" w:rsidRDefault="00803628" w:rsidP="008638AF">
      <w:pPr>
        <w:pStyle w:val="FootnoteText"/>
        <w:rPr>
          <w:rFonts w:ascii="Times New Roman"/>
          <w:noProof/>
        </w:rPr>
      </w:pPr>
      <w:r w:rsidRPr="00510D7C">
        <w:rPr>
          <w:rStyle w:val="FootnoteReference"/>
          <w:rFonts w:ascii="Times New Roman"/>
          <w:noProof/>
        </w:rPr>
        <w:footnoteRef/>
      </w:r>
      <w:r w:rsidRPr="00510D7C">
        <w:rPr>
          <w:rFonts w:ascii="Times New Roman"/>
          <w:noProof/>
        </w:rPr>
        <w:t xml:space="preserve"> In </w:t>
      </w:r>
      <w:r w:rsidRPr="00510D7C">
        <w:rPr>
          <w:rFonts w:ascii="Times New Roman"/>
          <w:i/>
          <w:iCs/>
          <w:noProof/>
        </w:rPr>
        <w:t>Larcher</w:t>
      </w:r>
      <w:r w:rsidRPr="00510D7C">
        <w:rPr>
          <w:rFonts w:ascii="Times New Roman"/>
          <w:noProof/>
        </w:rPr>
        <w:t xml:space="preserve">, the ECJ found that the Austrian schemes were similar to the German schemes and ought to be treated as equal. It wrote that “the outright exclusion from consideration, for the purposes of assessing entitlement to the German national retirement pension, of participation in a part-time work scheme for older employees in another Member State reflects failure to have regard to the fact that such a scheme in that other Member State may pursue identical or similar objectives to those of German law, in accordance with rules which are also identical or similar to those under German law, and that, accordingly, the application of that scheme is likely to attain, in the same way, the legitimate objective or objectives in question” (Case C-523/13, </w:t>
      </w:r>
      <w:r w:rsidRPr="00510D7C">
        <w:rPr>
          <w:rFonts w:ascii="Times New Roman"/>
          <w:i/>
          <w:noProof/>
        </w:rPr>
        <w:t>Larcher</w:t>
      </w:r>
      <w:r w:rsidRPr="00510D7C">
        <w:rPr>
          <w:rFonts w:ascii="Times New Roman"/>
          <w:noProof/>
        </w:rPr>
        <w:t>, para 42).</w:t>
      </w:r>
    </w:p>
  </w:footnote>
  <w:footnote w:id="80">
    <w:p w14:paraId="64FD5E16" w14:textId="77777777" w:rsidR="00803628" w:rsidRPr="00510D7C" w:rsidRDefault="00803628">
      <w:pPr>
        <w:pStyle w:val="FootnoteText"/>
        <w:rPr>
          <w:rFonts w:ascii="Times New Roman"/>
          <w:noProof/>
        </w:rPr>
      </w:pPr>
      <w:r w:rsidRPr="00510D7C">
        <w:rPr>
          <w:rStyle w:val="FootnoteReference"/>
          <w:rFonts w:ascii="Times New Roman"/>
          <w:noProof/>
        </w:rPr>
        <w:footnoteRef/>
      </w:r>
      <w:r w:rsidRPr="00510D7C">
        <w:rPr>
          <w:rFonts w:ascii="Times New Roman"/>
          <w:noProof/>
        </w:rPr>
        <w:t xml:space="preserve"> Art. 5 Regulation 883/2004; Case C-165/91, </w:t>
      </w:r>
      <w:r w:rsidRPr="00510D7C">
        <w:rPr>
          <w:rFonts w:ascii="Times New Roman"/>
          <w:i/>
          <w:noProof/>
        </w:rPr>
        <w:t>van Munster v Rijksdienst voor Pensioenen</w:t>
      </w:r>
      <w:r w:rsidRPr="00510D7C">
        <w:rPr>
          <w:rFonts w:ascii="Times New Roman"/>
          <w:noProof/>
        </w:rPr>
        <w:t xml:space="preserve">, EU:C:1994:359; Case C-290/00, </w:t>
      </w:r>
      <w:r w:rsidRPr="00510D7C">
        <w:rPr>
          <w:rFonts w:ascii="Times New Roman"/>
          <w:i/>
          <w:noProof/>
        </w:rPr>
        <w:t>Duchon v Pensionsversicherungsanstalt der Angestellten</w:t>
      </w:r>
      <w:r w:rsidRPr="00510D7C">
        <w:rPr>
          <w:rFonts w:ascii="Times New Roman"/>
          <w:noProof/>
        </w:rPr>
        <w:t xml:space="preserve">, EU:C:2002:234; Case C-3/08, </w:t>
      </w:r>
      <w:r w:rsidRPr="00510D7C">
        <w:rPr>
          <w:rFonts w:ascii="Times New Roman"/>
          <w:i/>
          <w:noProof/>
        </w:rPr>
        <w:t>Leyman v Institut national d'assurance maladie-invalidité</w:t>
      </w:r>
      <w:r w:rsidRPr="00510D7C">
        <w:rPr>
          <w:rFonts w:ascii="Times New Roman"/>
          <w:noProof/>
        </w:rPr>
        <w:t xml:space="preserve">, EU:C:2009:595; Case C-523/13, </w:t>
      </w:r>
      <w:r w:rsidRPr="00510D7C">
        <w:rPr>
          <w:rFonts w:ascii="Times New Roman"/>
          <w:i/>
          <w:noProof/>
        </w:rPr>
        <w:t>Larcher</w:t>
      </w:r>
      <w:r w:rsidRPr="00510D7C">
        <w:rPr>
          <w:rFonts w:ascii="Times New Roman"/>
          <w:noProof/>
        </w:rPr>
        <w:t>.</w:t>
      </w:r>
    </w:p>
  </w:footnote>
  <w:footnote w:id="81">
    <w:p w14:paraId="670F6767" w14:textId="77777777" w:rsidR="00803628" w:rsidRPr="00510D7C" w:rsidRDefault="00803628" w:rsidP="008638AF">
      <w:pPr>
        <w:pStyle w:val="FootnoteText"/>
        <w:rPr>
          <w:rFonts w:ascii="Times New Roman"/>
          <w:noProof/>
        </w:rPr>
      </w:pPr>
      <w:r w:rsidRPr="00510D7C">
        <w:rPr>
          <w:rStyle w:val="FootnoteReference"/>
          <w:rFonts w:ascii="Times New Roman"/>
          <w:noProof/>
        </w:rPr>
        <w:footnoteRef/>
      </w:r>
      <w:r w:rsidRPr="00510D7C">
        <w:rPr>
          <w:rFonts w:ascii="Times New Roman"/>
          <w:noProof/>
        </w:rPr>
        <w:t xml:space="preserve"> Art. 11(1) Regulation 883/2004.</w:t>
      </w:r>
    </w:p>
  </w:footnote>
  <w:footnote w:id="82">
    <w:p w14:paraId="54FECC75" w14:textId="77777777" w:rsidR="00803628" w:rsidRPr="00510D7C" w:rsidRDefault="00803628">
      <w:pPr>
        <w:pStyle w:val="FootnoteText"/>
        <w:rPr>
          <w:rFonts w:ascii="Times New Roman"/>
          <w:noProof/>
        </w:rPr>
      </w:pPr>
      <w:r w:rsidRPr="00510D7C">
        <w:rPr>
          <w:rStyle w:val="FootnoteReference"/>
          <w:rFonts w:ascii="Times New Roman"/>
          <w:noProof/>
        </w:rPr>
        <w:footnoteRef/>
      </w:r>
      <w:r w:rsidRPr="00510D7C">
        <w:rPr>
          <w:rFonts w:ascii="Times New Roman"/>
          <w:noProof/>
        </w:rPr>
        <w:t xml:space="preserve"> Art. 11(3)(a) Regulation 883/2004.</w:t>
      </w:r>
    </w:p>
  </w:footnote>
  <w:footnote w:id="83">
    <w:p w14:paraId="4DF68FE0" w14:textId="77777777" w:rsidR="00803628" w:rsidRPr="00510D7C" w:rsidRDefault="00803628" w:rsidP="008638AF">
      <w:pPr>
        <w:pStyle w:val="FootnoteText"/>
        <w:rPr>
          <w:rFonts w:ascii="Times New Roman"/>
          <w:noProof/>
        </w:rPr>
      </w:pPr>
      <w:r w:rsidRPr="00510D7C">
        <w:rPr>
          <w:rStyle w:val="FootnoteReference"/>
          <w:rFonts w:ascii="Times New Roman"/>
          <w:noProof/>
        </w:rPr>
        <w:footnoteRef/>
      </w:r>
      <w:r w:rsidRPr="00510D7C">
        <w:rPr>
          <w:rFonts w:ascii="Times New Roman"/>
          <w:noProof/>
        </w:rPr>
        <w:t xml:space="preserve"> Joint letter of four ministers representing the Austrian, German, Dutch and British governments, sent to the Council Presidency in April 2013, &lt;http://docs.dpaq.de/3604-130415_letter_to_presidency_final_1_2.pdf&gt;, 3.</w:t>
      </w:r>
    </w:p>
  </w:footnote>
  <w:footnote w:id="84">
    <w:p w14:paraId="06FA6962" w14:textId="77777777" w:rsidR="00803628" w:rsidRPr="00510D7C" w:rsidRDefault="00803628" w:rsidP="008638AF">
      <w:pPr>
        <w:pStyle w:val="FootnoteText"/>
        <w:rPr>
          <w:rFonts w:ascii="Times New Roman"/>
          <w:noProof/>
        </w:rPr>
      </w:pPr>
      <w:r w:rsidRPr="00510D7C">
        <w:rPr>
          <w:rStyle w:val="FootnoteReference"/>
          <w:rFonts w:ascii="Times New Roman"/>
          <w:noProof/>
        </w:rPr>
        <w:footnoteRef/>
      </w:r>
      <w:r w:rsidRPr="00510D7C">
        <w:rPr>
          <w:rFonts w:ascii="Times New Roman"/>
          <w:noProof/>
        </w:rPr>
        <w:t xml:space="preserve"> Art. 12 Regulation 883/2004.</w:t>
      </w:r>
    </w:p>
  </w:footnote>
  <w:footnote w:id="85">
    <w:p w14:paraId="4FA98262" w14:textId="77777777" w:rsidR="00803628" w:rsidRPr="00510D7C" w:rsidRDefault="00803628" w:rsidP="008638AF">
      <w:pPr>
        <w:pStyle w:val="FootnoteText"/>
        <w:rPr>
          <w:rFonts w:ascii="Times New Roman"/>
          <w:noProof/>
        </w:rPr>
      </w:pPr>
      <w:r w:rsidRPr="00510D7C">
        <w:rPr>
          <w:rStyle w:val="FootnoteReference"/>
          <w:rFonts w:ascii="Times New Roman"/>
          <w:noProof/>
        </w:rPr>
        <w:footnoteRef/>
      </w:r>
      <w:r w:rsidRPr="00510D7C">
        <w:rPr>
          <w:rFonts w:ascii="Times New Roman"/>
          <w:noProof/>
        </w:rPr>
        <w:t xml:space="preserve"> Recent examples include Barnard and Fraser Butlin, "Free movement vs. fair movement: Brexit and managed migration", (2018), CML Rev., 203–226; Nic Shuibhne, "Reconnecting free movement of workers and equal treatment in an unequal Europe", (2018), EL Rev., 477–510; O'Brien, op. cit. </w:t>
      </w:r>
      <w:r w:rsidRPr="00510D7C">
        <w:rPr>
          <w:rFonts w:ascii="Times New Roman"/>
          <w:i/>
          <w:noProof/>
        </w:rPr>
        <w:t xml:space="preserve">supra </w:t>
      </w:r>
      <w:r w:rsidRPr="00510D7C">
        <w:rPr>
          <w:rFonts w:ascii="Times New Roman"/>
          <w:noProof/>
        </w:rPr>
        <w:t xml:space="preserve">note </w:t>
      </w:r>
      <w:r w:rsidRPr="00510D7C">
        <w:rPr>
          <w:rFonts w:ascii="Times New Roman"/>
          <w:noProof/>
        </w:rPr>
        <w:fldChar w:fldCharType="begin"/>
      </w:r>
      <w:r w:rsidRPr="00510D7C">
        <w:rPr>
          <w:rFonts w:ascii="Times New Roman"/>
          <w:noProof/>
        </w:rPr>
        <w:instrText xml:space="preserve"> NOTEREF _Ref18858076 \h  \* MERGEFORMAT </w:instrText>
      </w:r>
      <w:r w:rsidRPr="00510D7C">
        <w:rPr>
          <w:rFonts w:ascii="Times New Roman"/>
          <w:noProof/>
        </w:rPr>
      </w:r>
      <w:r w:rsidRPr="00510D7C">
        <w:rPr>
          <w:rFonts w:ascii="Times New Roman"/>
          <w:noProof/>
        </w:rPr>
        <w:fldChar w:fldCharType="separate"/>
      </w:r>
      <w:r w:rsidRPr="00510D7C">
        <w:rPr>
          <w:rFonts w:ascii="Times New Roman"/>
          <w:noProof/>
        </w:rPr>
        <w:t>44</w:t>
      </w:r>
      <w:r w:rsidRPr="00510D7C">
        <w:rPr>
          <w:rFonts w:ascii="Times New Roman"/>
          <w:noProof/>
        </w:rPr>
        <w:fldChar w:fldCharType="end"/>
      </w:r>
      <w:r w:rsidRPr="00510D7C">
        <w:rPr>
          <w:rFonts w:ascii="Times New Roman"/>
          <w:noProof/>
        </w:rPr>
        <w:t xml:space="preserve">; Reynolds, "(De)constructing the Road to Brexit: Paving the Way to Further Limitations on Free Movement and Equal Treatment?" in Thym (Ed.), </w:t>
      </w:r>
      <w:r w:rsidRPr="00510D7C">
        <w:rPr>
          <w:rFonts w:ascii="Times New Roman"/>
          <w:i/>
          <w:noProof/>
        </w:rPr>
        <w:t>Questioning EU Citizenship: Judges and the Limits of Free Movement and Solidarity in the EU</w:t>
      </w:r>
      <w:r w:rsidRPr="00510D7C">
        <w:rPr>
          <w:rFonts w:ascii="Times New Roman"/>
          <w:noProof/>
        </w:rPr>
        <w:t xml:space="preserve"> (Hart Publishing, 2017); Sangiovanni, "Non-discrimination, in-work benefits, and free movement in the EU", (2017), European Journal of Political Theory, 143–163.</w:t>
      </w:r>
    </w:p>
  </w:footnote>
  <w:footnote w:id="86">
    <w:p w14:paraId="34FBC2C4" w14:textId="77777777" w:rsidR="00803628" w:rsidRPr="00510D7C" w:rsidRDefault="00803628" w:rsidP="008638AF">
      <w:pPr>
        <w:pStyle w:val="FootnoteText"/>
        <w:rPr>
          <w:rFonts w:ascii="Times New Roman"/>
          <w:noProof/>
        </w:rPr>
      </w:pPr>
      <w:r w:rsidRPr="00510D7C">
        <w:rPr>
          <w:rStyle w:val="FootnoteReference"/>
          <w:rFonts w:ascii="Times New Roman" w:eastAsiaTheme="majorEastAsia"/>
          <w:noProof/>
        </w:rPr>
        <w:footnoteRef/>
      </w:r>
      <w:r w:rsidRPr="00510D7C">
        <w:rPr>
          <w:rFonts w:ascii="Times New Roman"/>
          <w:noProof/>
        </w:rPr>
        <w:t xml:space="preserve"> E.g. Fuchs, de Cortázar, Kahil and Pöltl, op. cit. </w:t>
      </w:r>
      <w:r w:rsidRPr="00510D7C">
        <w:rPr>
          <w:rFonts w:ascii="Times New Roman"/>
          <w:i/>
          <w:noProof/>
        </w:rPr>
        <w:t xml:space="preserve">supra </w:t>
      </w:r>
      <w:r w:rsidRPr="00510D7C">
        <w:rPr>
          <w:rFonts w:ascii="Times New Roman"/>
          <w:noProof/>
        </w:rPr>
        <w:t xml:space="preserve">note </w:t>
      </w:r>
      <w:r w:rsidRPr="00510D7C">
        <w:rPr>
          <w:rFonts w:ascii="Times New Roman"/>
          <w:noProof/>
        </w:rPr>
        <w:fldChar w:fldCharType="begin"/>
      </w:r>
      <w:r w:rsidRPr="00510D7C">
        <w:rPr>
          <w:rFonts w:ascii="Times New Roman"/>
          <w:noProof/>
        </w:rPr>
        <w:instrText xml:space="preserve"> NOTEREF _Ref18858165 \h  \* MERGEFORMAT </w:instrText>
      </w:r>
      <w:r w:rsidRPr="00510D7C">
        <w:rPr>
          <w:rFonts w:ascii="Times New Roman"/>
          <w:noProof/>
        </w:rPr>
      </w:r>
      <w:r w:rsidRPr="00510D7C">
        <w:rPr>
          <w:rFonts w:ascii="Times New Roman"/>
          <w:noProof/>
        </w:rPr>
        <w:fldChar w:fldCharType="separate"/>
      </w:r>
      <w:r w:rsidRPr="00510D7C">
        <w:rPr>
          <w:rFonts w:ascii="Times New Roman"/>
          <w:noProof/>
        </w:rPr>
        <w:t>17</w:t>
      </w:r>
      <w:r w:rsidRPr="00510D7C">
        <w:rPr>
          <w:rFonts w:ascii="Times New Roman"/>
          <w:noProof/>
        </w:rPr>
        <w:fldChar w:fldCharType="end"/>
      </w:r>
      <w:r w:rsidRPr="00510D7C">
        <w:rPr>
          <w:rFonts w:ascii="Times New Roman"/>
          <w:noProof/>
        </w:rPr>
        <w:t>, 18 a.f.</w:t>
      </w:r>
    </w:p>
  </w:footnote>
  <w:footnote w:id="87">
    <w:p w14:paraId="396BB8E3" w14:textId="77777777" w:rsidR="00803628" w:rsidRPr="00510D7C" w:rsidRDefault="00803628" w:rsidP="008638AF">
      <w:pPr>
        <w:pStyle w:val="FootnoteText"/>
        <w:rPr>
          <w:rFonts w:ascii="Times New Roman"/>
          <w:noProof/>
        </w:rPr>
      </w:pPr>
      <w:r w:rsidRPr="00510D7C">
        <w:rPr>
          <w:rStyle w:val="FootnoteReference"/>
          <w:rFonts w:ascii="Times New Roman" w:eastAsiaTheme="majorEastAsia"/>
          <w:noProof/>
        </w:rPr>
        <w:footnoteRef/>
      </w:r>
      <w:r w:rsidRPr="00510D7C">
        <w:rPr>
          <w:rFonts w:ascii="Times New Roman"/>
          <w:noProof/>
        </w:rPr>
        <w:t xml:space="preserve"> Van der Mei, "Coordination of student financial aid systems: Free movement of students or free movement of workers?" in Pennings and Vonk (Ed.), </w:t>
      </w:r>
      <w:r w:rsidRPr="00510D7C">
        <w:rPr>
          <w:rFonts w:ascii="Times New Roman"/>
          <w:i/>
          <w:noProof/>
        </w:rPr>
        <w:t>Research Handbook on European Social Security Law</w:t>
      </w:r>
      <w:r w:rsidRPr="00510D7C">
        <w:rPr>
          <w:rFonts w:ascii="Times New Roman"/>
          <w:noProof/>
        </w:rPr>
        <w:t xml:space="preserve"> (Elgar, 2015). See also </w:t>
      </w:r>
      <w:bookmarkStart w:id="121" w:name="_Hlk8592901"/>
      <w:r w:rsidRPr="00510D7C">
        <w:rPr>
          <w:rFonts w:ascii="Times New Roman"/>
          <w:noProof/>
        </w:rPr>
        <w:t>Jorens, Lhernould, Fillon, Roberts and Spiegel, "Towards a new framework for applicable legislation: New forms of mobility, coordination principles and rules of conflict", (trESS Think Tank Report 2008), &lt;http://www.tress-network.org/tress2012/EUROPEAN%20RESOURCES/EUROPEANREPORT/ThinkTank_Mobility.pdf&gt;</w:t>
      </w:r>
      <w:bookmarkEnd w:id="121"/>
      <w:r w:rsidRPr="00510D7C">
        <w:rPr>
          <w:rFonts w:ascii="Times New Roman"/>
          <w:noProof/>
        </w:rPr>
        <w:t>, 27–29.</w:t>
      </w:r>
    </w:p>
  </w:footnote>
  <w:footnote w:id="88">
    <w:p w14:paraId="74A0B494" w14:textId="77777777" w:rsidR="00803628" w:rsidRPr="00510D7C" w:rsidRDefault="00803628" w:rsidP="008638AF">
      <w:pPr>
        <w:pStyle w:val="FootnoteText"/>
        <w:rPr>
          <w:rFonts w:ascii="Times New Roman"/>
          <w:noProof/>
        </w:rPr>
      </w:pPr>
      <w:r w:rsidRPr="00510D7C">
        <w:rPr>
          <w:rStyle w:val="FootnoteReference"/>
          <w:rFonts w:ascii="Times New Roman" w:eastAsiaTheme="majorEastAsia"/>
          <w:noProof/>
        </w:rPr>
        <w:footnoteRef/>
      </w:r>
      <w:r w:rsidRPr="00510D7C">
        <w:rPr>
          <w:rFonts w:ascii="Times New Roman"/>
          <w:noProof/>
        </w:rPr>
        <w:t xml:space="preserve"> Fuchs, de Cortázar, Kahil and Pöltl, op. cit. </w:t>
      </w:r>
      <w:r w:rsidRPr="00510D7C">
        <w:rPr>
          <w:rFonts w:ascii="Times New Roman"/>
          <w:i/>
          <w:noProof/>
        </w:rPr>
        <w:t xml:space="preserve">supra </w:t>
      </w:r>
      <w:r w:rsidRPr="00510D7C">
        <w:rPr>
          <w:rFonts w:ascii="Times New Roman"/>
          <w:noProof/>
        </w:rPr>
        <w:t xml:space="preserve">note </w:t>
      </w:r>
      <w:r w:rsidRPr="00510D7C">
        <w:rPr>
          <w:rFonts w:ascii="Times New Roman"/>
          <w:noProof/>
        </w:rPr>
        <w:fldChar w:fldCharType="begin"/>
      </w:r>
      <w:r w:rsidRPr="00510D7C">
        <w:rPr>
          <w:rFonts w:ascii="Times New Roman"/>
          <w:noProof/>
        </w:rPr>
        <w:instrText xml:space="preserve"> NOTEREF _Ref18858165 \h  \* MERGEFORMAT </w:instrText>
      </w:r>
      <w:r w:rsidRPr="00510D7C">
        <w:rPr>
          <w:rFonts w:ascii="Times New Roman"/>
          <w:noProof/>
        </w:rPr>
      </w:r>
      <w:r w:rsidRPr="00510D7C">
        <w:rPr>
          <w:rFonts w:ascii="Times New Roman"/>
          <w:noProof/>
        </w:rPr>
        <w:fldChar w:fldCharType="separate"/>
      </w:r>
      <w:r w:rsidRPr="00510D7C">
        <w:rPr>
          <w:rFonts w:ascii="Times New Roman"/>
          <w:noProof/>
        </w:rPr>
        <w:t>17</w:t>
      </w:r>
      <w:r w:rsidRPr="00510D7C">
        <w:rPr>
          <w:rFonts w:ascii="Times New Roman"/>
          <w:noProof/>
        </w:rPr>
        <w:fldChar w:fldCharType="end"/>
      </w:r>
      <w:r w:rsidRPr="00510D7C">
        <w:rPr>
          <w:rFonts w:ascii="Times New Roman"/>
          <w:noProof/>
        </w:rPr>
        <w:t xml:space="preserve">, 32 a.f.; Verschueren, "EU migrants and destitution: The ambiguous EU objectives" in Pennings and Vonk (Ed.), </w:t>
      </w:r>
      <w:r w:rsidRPr="00510D7C">
        <w:rPr>
          <w:rFonts w:ascii="Times New Roman"/>
          <w:i/>
          <w:noProof/>
        </w:rPr>
        <w:t>Research Handbook on European Social Security Law</w:t>
      </w:r>
      <w:r w:rsidRPr="00510D7C">
        <w:rPr>
          <w:rFonts w:ascii="Times New Roman"/>
          <w:noProof/>
        </w:rPr>
        <w:t xml:space="preserve"> (Elgar, 2015), 438.</w:t>
      </w:r>
    </w:p>
  </w:footnote>
  <w:footnote w:id="89">
    <w:p w14:paraId="543C82FB" w14:textId="77777777" w:rsidR="00803628" w:rsidRPr="00510D7C" w:rsidRDefault="00803628" w:rsidP="008638AF">
      <w:pPr>
        <w:pStyle w:val="FootnoteText"/>
        <w:rPr>
          <w:rFonts w:ascii="Times New Roman"/>
          <w:noProof/>
        </w:rPr>
      </w:pPr>
      <w:r w:rsidRPr="00510D7C">
        <w:rPr>
          <w:rStyle w:val="FootnoteReference"/>
          <w:rFonts w:ascii="Times New Roman"/>
          <w:noProof/>
        </w:rPr>
        <w:footnoteRef/>
      </w:r>
      <w:r w:rsidRPr="00510D7C">
        <w:rPr>
          <w:rFonts w:ascii="Times New Roman"/>
          <w:noProof/>
        </w:rPr>
        <w:t xml:space="preserve"> Another type of asymmetrical waiting period would involve the State of origin maintaining social protection till after the person left its territory, but not until social protection starts in the State of destination. Yet another possibility is for the State of origin to maintain social protection till after the migrant acquires it in the State of destination. This configuration entails the simultaneous application of two legal orders and is therefore best regarded as a (rather exceptional) instance of plurality.</w:t>
      </w:r>
    </w:p>
  </w:footnote>
  <w:footnote w:id="90">
    <w:p w14:paraId="3079C2B5" w14:textId="77777777" w:rsidR="00803628" w:rsidRPr="00510D7C" w:rsidRDefault="00803628">
      <w:pPr>
        <w:pStyle w:val="FootnoteText"/>
        <w:rPr>
          <w:rFonts w:ascii="Times New Roman"/>
          <w:noProof/>
        </w:rPr>
      </w:pPr>
      <w:r w:rsidRPr="00510D7C">
        <w:rPr>
          <w:rStyle w:val="FootnoteReference"/>
          <w:rFonts w:ascii="Times New Roman"/>
          <w:noProof/>
        </w:rPr>
        <w:footnoteRef/>
      </w:r>
      <w:r w:rsidRPr="00510D7C">
        <w:rPr>
          <w:rFonts w:ascii="Times New Roman"/>
          <w:noProof/>
        </w:rPr>
        <w:t xml:space="preserve"> After five years of continuous lawful residence, an EU citizen has the right of permanent residence, which comes with full equal treatment rights (Art. 16 Citizenship Directive). The requirement of lawfulness means that periods of dependency can reset the clock. For criticism, see e.g. Nic Shuibhne, "Limits rising, duties ascending: The changing legal shape of Union citizenship", (2015), CML Rev., 889–937, 932–934.</w:t>
      </w:r>
    </w:p>
  </w:footnote>
  <w:footnote w:id="91">
    <w:p w14:paraId="4A2F6655" w14:textId="77777777" w:rsidR="00803628" w:rsidRPr="00510D7C" w:rsidRDefault="00803628" w:rsidP="008638AF">
      <w:pPr>
        <w:pStyle w:val="FootnoteText"/>
        <w:rPr>
          <w:rFonts w:ascii="Times New Roman"/>
          <w:noProof/>
        </w:rPr>
      </w:pPr>
      <w:r w:rsidRPr="00510D7C">
        <w:rPr>
          <w:rStyle w:val="FootnoteReference"/>
          <w:rFonts w:ascii="Times New Roman"/>
          <w:noProof/>
        </w:rPr>
        <w:footnoteRef/>
      </w:r>
      <w:r w:rsidRPr="00510D7C">
        <w:rPr>
          <w:rFonts w:ascii="Times New Roman"/>
          <w:noProof/>
        </w:rPr>
        <w:t xml:space="preserve"> If Ms Dano were to frequently move back and forth between Romania and Germany, an instant transition would result in a flickering applicable legislation. A waiting period providing that she would only shift out of the Romanian system if she spent two consecutive years abroad would stabilize the applicable legislation, limiting the number of disharmonies arising from the consecutive application of different legal orders. That waiting period, however, would engender disharmonies due to Ms Dano’s absence from Romania while Romanian law applies—disharmonies that would have been avoided by an instant transition. Whether a delayed or instant transition is most harmonious for highly mobile persons depends on its modalities, the contemporaneous and prior conditions, and mobility patterns.</w:t>
      </w:r>
    </w:p>
  </w:footnote>
  <w:footnote w:id="92">
    <w:p w14:paraId="177596C9" w14:textId="77777777" w:rsidR="00803628" w:rsidRPr="00510D7C" w:rsidRDefault="00803628">
      <w:pPr>
        <w:pStyle w:val="FootnoteText"/>
        <w:rPr>
          <w:rFonts w:ascii="Times New Roman"/>
          <w:noProof/>
        </w:rPr>
      </w:pPr>
      <w:r w:rsidRPr="00510D7C">
        <w:rPr>
          <w:rStyle w:val="FootnoteReference"/>
          <w:rFonts w:ascii="Times New Roman"/>
          <w:noProof/>
        </w:rPr>
        <w:footnoteRef/>
      </w:r>
      <w:r w:rsidRPr="00510D7C">
        <w:rPr>
          <w:rFonts w:ascii="Times New Roman"/>
          <w:noProof/>
        </w:rPr>
        <w:t xml:space="preserve"> See previous note.</w:t>
      </w:r>
    </w:p>
  </w:footnote>
  <w:footnote w:id="93">
    <w:p w14:paraId="15265093" w14:textId="77777777" w:rsidR="00803628" w:rsidRPr="00510D7C" w:rsidRDefault="00803628">
      <w:pPr>
        <w:pStyle w:val="FootnoteText"/>
        <w:rPr>
          <w:rFonts w:ascii="Times New Roman"/>
          <w:noProof/>
        </w:rPr>
      </w:pPr>
      <w:r w:rsidRPr="00510D7C">
        <w:rPr>
          <w:rStyle w:val="FootnoteReference"/>
          <w:rFonts w:ascii="Times New Roman"/>
          <w:noProof/>
        </w:rPr>
        <w:footnoteRef/>
      </w:r>
      <w:r w:rsidRPr="00510D7C">
        <w:rPr>
          <w:rFonts w:ascii="Times New Roman"/>
          <w:noProof/>
        </w:rPr>
        <w:t xml:space="preserve"> See e.g. Neergaard, "Europe and the Welfare State—Friends, Foes, or . . .?", (2016), YEL, 341–381, 372–379.</w:t>
      </w:r>
    </w:p>
  </w:footnote>
  <w:footnote w:id="94">
    <w:p w14:paraId="79EDC9AD" w14:textId="77777777" w:rsidR="00803628" w:rsidRPr="00510D7C" w:rsidRDefault="00803628">
      <w:pPr>
        <w:pStyle w:val="FootnoteText"/>
        <w:rPr>
          <w:rFonts w:ascii="Times New Roman"/>
          <w:noProof/>
        </w:rPr>
      </w:pPr>
      <w:r w:rsidRPr="00510D7C">
        <w:rPr>
          <w:rStyle w:val="FootnoteReference"/>
          <w:rFonts w:ascii="Times New Roman"/>
          <w:noProof/>
        </w:rPr>
        <w:footnoteRef/>
      </w:r>
      <w:r w:rsidRPr="00510D7C">
        <w:rPr>
          <w:rFonts w:ascii="Times New Roman"/>
          <w:noProof/>
        </w:rPr>
        <w:t xml:space="preserve"> See Bruzelius, Reinprecht and Seeleib-Kaiser, "Stratified Social Rights Limiting EU Citizenship", (2017), JCMS, 1239–1253.</w:t>
      </w:r>
    </w:p>
  </w:footnote>
  <w:footnote w:id="95">
    <w:p w14:paraId="325EED7B" w14:textId="77777777" w:rsidR="00803628" w:rsidRPr="00510D7C" w:rsidRDefault="00803628" w:rsidP="008638AF">
      <w:pPr>
        <w:pStyle w:val="FootnoteText"/>
        <w:rPr>
          <w:rFonts w:ascii="Times New Roman"/>
          <w:noProof/>
        </w:rPr>
      </w:pPr>
      <w:r w:rsidRPr="00510D7C">
        <w:rPr>
          <w:rStyle w:val="FootnoteReference"/>
          <w:rFonts w:ascii="Times New Roman"/>
          <w:noProof/>
        </w:rPr>
        <w:footnoteRef/>
      </w:r>
      <w:r w:rsidRPr="00510D7C">
        <w:rPr>
          <w:rFonts w:ascii="Times New Roman"/>
          <w:noProof/>
        </w:rPr>
        <w:t xml:space="preserve"> Forde, "The Vertical Conflict of Social Security Laws in the European Court", (1980), LIEI, 23–57, 31.</w:t>
      </w:r>
    </w:p>
  </w:footnote>
  <w:footnote w:id="96">
    <w:p w14:paraId="7EC9566E" w14:textId="77777777" w:rsidR="00803628" w:rsidRPr="00510D7C" w:rsidRDefault="00803628">
      <w:pPr>
        <w:pStyle w:val="FootnoteText"/>
        <w:rPr>
          <w:rFonts w:ascii="Times New Roman"/>
          <w:noProof/>
        </w:rPr>
      </w:pPr>
      <w:r w:rsidRPr="00510D7C">
        <w:rPr>
          <w:rStyle w:val="FootnoteReference"/>
          <w:rFonts w:ascii="Times New Roman"/>
          <w:noProof/>
        </w:rPr>
        <w:footnoteRef/>
      </w:r>
      <w:r w:rsidRPr="00510D7C">
        <w:rPr>
          <w:rFonts w:ascii="Times New Roman"/>
          <w:noProof/>
        </w:rPr>
        <w:t xml:space="preserve"> Saydé, op. cit. </w:t>
      </w:r>
      <w:r w:rsidRPr="00510D7C">
        <w:rPr>
          <w:rFonts w:ascii="Times New Roman"/>
          <w:i/>
          <w:noProof/>
        </w:rPr>
        <w:t xml:space="preserve">supra </w:t>
      </w:r>
      <w:r w:rsidRPr="00510D7C">
        <w:rPr>
          <w:rFonts w:ascii="Times New Roman"/>
          <w:noProof/>
        </w:rPr>
        <w:t xml:space="preserve">note </w:t>
      </w:r>
      <w:r w:rsidRPr="00510D7C">
        <w:rPr>
          <w:rFonts w:ascii="Times New Roman"/>
          <w:noProof/>
        </w:rPr>
        <w:fldChar w:fldCharType="begin"/>
      </w:r>
      <w:r w:rsidRPr="00510D7C">
        <w:rPr>
          <w:rFonts w:ascii="Times New Roman"/>
          <w:noProof/>
        </w:rPr>
        <w:instrText xml:space="preserve"> NOTEREF _Ref18858287 \h  \* MERGEFORMAT </w:instrText>
      </w:r>
      <w:r w:rsidRPr="00510D7C">
        <w:rPr>
          <w:rFonts w:ascii="Times New Roman"/>
          <w:noProof/>
        </w:rPr>
      </w:r>
      <w:r w:rsidRPr="00510D7C">
        <w:rPr>
          <w:rFonts w:ascii="Times New Roman"/>
          <w:noProof/>
        </w:rPr>
        <w:fldChar w:fldCharType="separate"/>
      </w:r>
      <w:r w:rsidRPr="00510D7C">
        <w:rPr>
          <w:rFonts w:ascii="Times New Roman"/>
          <w:noProof/>
        </w:rPr>
        <w:t>12</w:t>
      </w:r>
      <w:r w:rsidRPr="00510D7C">
        <w:rPr>
          <w:rFonts w:ascii="Times New Roman"/>
          <w:noProof/>
        </w:rPr>
        <w:fldChar w:fldCharType="end"/>
      </w:r>
      <w:r w:rsidRPr="00510D7C">
        <w:rPr>
          <w:rFonts w:ascii="Times New Roman"/>
          <w:noProof/>
        </w:rPr>
        <w:t>, 114.</w:t>
      </w:r>
    </w:p>
  </w:footnote>
  <w:footnote w:id="97">
    <w:p w14:paraId="0D05B67F" w14:textId="77777777" w:rsidR="00803628" w:rsidRPr="00510D7C" w:rsidRDefault="00803628">
      <w:pPr>
        <w:pStyle w:val="FootnoteText"/>
        <w:rPr>
          <w:rFonts w:ascii="Times New Roman"/>
          <w:noProof/>
        </w:rPr>
      </w:pPr>
      <w:r w:rsidRPr="00510D7C">
        <w:rPr>
          <w:rStyle w:val="FootnoteReference"/>
          <w:rFonts w:ascii="Times New Roman"/>
          <w:noProof/>
        </w:rPr>
        <w:footnoteRef/>
      </w:r>
      <w:r w:rsidRPr="00510D7C">
        <w:rPr>
          <w:rFonts w:ascii="Times New Roman"/>
          <w:noProof/>
        </w:rPr>
        <w:t xml:space="preserve"> Thym, op. cit. </w:t>
      </w:r>
      <w:r w:rsidRPr="00510D7C">
        <w:rPr>
          <w:rFonts w:ascii="Times New Roman"/>
          <w:i/>
          <w:noProof/>
        </w:rPr>
        <w:t xml:space="preserve">supra </w:t>
      </w:r>
      <w:r w:rsidRPr="00510D7C">
        <w:rPr>
          <w:rFonts w:ascii="Times New Roman"/>
          <w:noProof/>
        </w:rPr>
        <w:t xml:space="preserve">note </w:t>
      </w:r>
      <w:r w:rsidRPr="00510D7C">
        <w:rPr>
          <w:rFonts w:ascii="Times New Roman"/>
          <w:noProof/>
        </w:rPr>
        <w:fldChar w:fldCharType="begin"/>
      </w:r>
      <w:r w:rsidRPr="00510D7C">
        <w:rPr>
          <w:rFonts w:ascii="Times New Roman"/>
          <w:noProof/>
        </w:rPr>
        <w:instrText xml:space="preserve"> NOTEREF _Ref18858322 \h  \* MERGEFORMAT </w:instrText>
      </w:r>
      <w:r w:rsidRPr="00510D7C">
        <w:rPr>
          <w:rFonts w:ascii="Times New Roman"/>
          <w:noProof/>
        </w:rPr>
      </w:r>
      <w:r w:rsidRPr="00510D7C">
        <w:rPr>
          <w:rFonts w:ascii="Times New Roman"/>
          <w:noProof/>
        </w:rPr>
        <w:fldChar w:fldCharType="separate"/>
      </w:r>
      <w:r w:rsidRPr="00510D7C">
        <w:rPr>
          <w:rFonts w:ascii="Times New Roman"/>
          <w:noProof/>
        </w:rPr>
        <w:t>16</w:t>
      </w:r>
      <w:r w:rsidRPr="00510D7C">
        <w:rPr>
          <w:rFonts w:ascii="Times New Roman"/>
          <w:noProof/>
        </w:rPr>
        <w:fldChar w:fldCharType="end"/>
      </w:r>
      <w:r w:rsidRPr="00510D7C">
        <w:rPr>
          <w:rFonts w:ascii="Times New Roman"/>
          <w:noProof/>
        </w:rPr>
        <w:t xml:space="preserve">, 38. In the same vein, see Dougan, op. cit. </w:t>
      </w:r>
      <w:r w:rsidRPr="00510D7C">
        <w:rPr>
          <w:rFonts w:ascii="Times New Roman"/>
          <w:i/>
          <w:noProof/>
        </w:rPr>
        <w:t xml:space="preserve">supra </w:t>
      </w:r>
      <w:r w:rsidRPr="00510D7C">
        <w:rPr>
          <w:rFonts w:ascii="Times New Roman"/>
          <w:noProof/>
        </w:rPr>
        <w:t xml:space="preserve">note </w:t>
      </w:r>
      <w:r w:rsidRPr="00510D7C">
        <w:rPr>
          <w:rFonts w:ascii="Times New Roman"/>
          <w:noProof/>
        </w:rPr>
        <w:fldChar w:fldCharType="begin"/>
      </w:r>
      <w:r w:rsidRPr="00510D7C">
        <w:rPr>
          <w:rFonts w:ascii="Times New Roman"/>
          <w:noProof/>
        </w:rPr>
        <w:instrText xml:space="preserve"> NOTEREF _Ref18858371 \h  \* MERGEFORMAT </w:instrText>
      </w:r>
      <w:r w:rsidRPr="00510D7C">
        <w:rPr>
          <w:rFonts w:ascii="Times New Roman"/>
          <w:noProof/>
        </w:rPr>
      </w:r>
      <w:r w:rsidRPr="00510D7C">
        <w:rPr>
          <w:rFonts w:ascii="Times New Roman"/>
          <w:noProof/>
        </w:rPr>
        <w:fldChar w:fldCharType="separate"/>
      </w:r>
      <w:r w:rsidRPr="00510D7C">
        <w:rPr>
          <w:rFonts w:ascii="Times New Roman"/>
          <w:noProof/>
        </w:rPr>
        <w:t>36</w:t>
      </w:r>
      <w:r w:rsidRPr="00510D7C">
        <w:rPr>
          <w:rFonts w:ascii="Times New Roman"/>
          <w:noProof/>
        </w:rPr>
        <w:fldChar w:fldCharType="end"/>
      </w:r>
      <w:r w:rsidRPr="00510D7C">
        <w:rPr>
          <w:rFonts w:ascii="Times New Roman"/>
          <w:noProof/>
        </w:rPr>
        <w:t>, 135.</w:t>
      </w:r>
    </w:p>
  </w:footnote>
  <w:footnote w:id="98">
    <w:p w14:paraId="2F36D56B" w14:textId="77777777" w:rsidR="00803628" w:rsidRPr="00510D7C" w:rsidRDefault="00803628" w:rsidP="008638AF">
      <w:pPr>
        <w:pStyle w:val="FootnoteText"/>
        <w:rPr>
          <w:rFonts w:ascii="Times New Roman"/>
          <w:noProof/>
        </w:rPr>
      </w:pPr>
      <w:r w:rsidRPr="00510D7C">
        <w:rPr>
          <w:rStyle w:val="FootnoteReference"/>
          <w:rFonts w:ascii="Times New Roman"/>
          <w:noProof/>
        </w:rPr>
        <w:footnoteRef/>
      </w:r>
      <w:r w:rsidRPr="00510D7C">
        <w:rPr>
          <w:rFonts w:ascii="Times New Roman"/>
          <w:noProof/>
        </w:rPr>
        <w:t xml:space="preserve"> </w:t>
      </w:r>
      <w:bookmarkStart w:id="140" w:name="_Hlk18942315"/>
      <w:r w:rsidRPr="00510D7C">
        <w:rPr>
          <w:rFonts w:ascii="Times New Roman"/>
          <w:noProof/>
        </w:rPr>
        <w:t>The trilemma does not imply that improvements can never be made on all three counts. To take a fanciful example, a rule subjecting a person to a different, randomly allocated Member State every day can be replaced by a rule that would serve each value better.</w:t>
      </w:r>
      <w:bookmarkEnd w:id="140"/>
    </w:p>
  </w:footnote>
  <w:footnote w:id="99">
    <w:p w14:paraId="65A634F3" w14:textId="77777777" w:rsidR="00803628" w:rsidRPr="00510D7C" w:rsidRDefault="00803628" w:rsidP="008638AF">
      <w:pPr>
        <w:pStyle w:val="FootnoteText"/>
        <w:rPr>
          <w:rFonts w:ascii="Times New Roman"/>
          <w:noProof/>
        </w:rPr>
      </w:pPr>
      <w:r w:rsidRPr="00510D7C">
        <w:rPr>
          <w:rStyle w:val="FootnoteReference"/>
          <w:rFonts w:ascii="Times New Roman"/>
          <w:noProof/>
        </w:rPr>
        <w:footnoteRef/>
      </w:r>
      <w:r w:rsidRPr="00510D7C">
        <w:rPr>
          <w:rFonts w:ascii="Times New Roman"/>
          <w:noProof/>
        </w:rPr>
        <w:t xml:space="preserve"> “</w:t>
      </w:r>
      <w:r w:rsidRPr="00510D7C">
        <w:rPr>
          <w:rFonts w:ascii="Times New Roman"/>
          <w:iCs/>
          <w:noProof/>
        </w:rPr>
        <w:t>The general prohibition of discrimination on grounds of nationality enshrined in Article 7 of the Treaty [now Art. 18 TFEU] is implemented and given specific expression, as regards workers, by Articles 48 to 51 of the Treaty [now Art. 45 to 48 TFEU] and by the measures adopted by the Community institutions on the basis thereof, in particular by Regulation No 1408/71 [now Regulation 883/2004]</w:t>
      </w:r>
      <w:r w:rsidRPr="00510D7C">
        <w:rPr>
          <w:rFonts w:ascii="Times New Roman"/>
          <w:noProof/>
        </w:rPr>
        <w:t xml:space="preserve">” </w:t>
      </w:r>
      <w:r w:rsidRPr="00510D7C">
        <w:rPr>
          <w:rFonts w:ascii="Times New Roman"/>
          <w:iCs/>
          <w:noProof/>
        </w:rPr>
        <w:t xml:space="preserve">(Case C-10/90, </w:t>
      </w:r>
      <w:r w:rsidRPr="00510D7C">
        <w:rPr>
          <w:rFonts w:ascii="Times New Roman"/>
          <w:i/>
          <w:iCs/>
          <w:noProof/>
        </w:rPr>
        <w:t>Masgio v Bundesknappschaft</w:t>
      </w:r>
      <w:r w:rsidRPr="00510D7C">
        <w:rPr>
          <w:rFonts w:ascii="Times New Roman"/>
          <w:iCs/>
          <w:noProof/>
        </w:rPr>
        <w:t>, EU:C:1991:107, para 13).</w:t>
      </w:r>
    </w:p>
  </w:footnote>
  <w:footnote w:id="100">
    <w:p w14:paraId="344A2844" w14:textId="77777777" w:rsidR="00803628" w:rsidRPr="00510D7C" w:rsidRDefault="00803628" w:rsidP="008638AF">
      <w:pPr>
        <w:pStyle w:val="FootnoteText"/>
        <w:rPr>
          <w:rFonts w:ascii="Times New Roman"/>
          <w:noProof/>
        </w:rPr>
      </w:pPr>
      <w:r w:rsidRPr="00510D7C">
        <w:rPr>
          <w:rStyle w:val="FootnoteReference"/>
          <w:rFonts w:ascii="Times New Roman"/>
          <w:noProof/>
        </w:rPr>
        <w:footnoteRef/>
      </w:r>
      <w:r w:rsidRPr="00510D7C">
        <w:rPr>
          <w:rFonts w:ascii="Times New Roman"/>
          <w:noProof/>
        </w:rPr>
        <w:t xml:space="preserve"> “[T]he provisions of Regulation No 1408/71 [now</w:t>
      </w:r>
      <w:r w:rsidRPr="00510D7C">
        <w:rPr>
          <w:rFonts w:ascii="Times New Roman"/>
          <w:iCs/>
          <w:noProof/>
        </w:rPr>
        <w:t xml:space="preserve"> Regulation</w:t>
      </w:r>
      <w:r w:rsidRPr="00510D7C">
        <w:rPr>
          <w:rFonts w:ascii="Times New Roman"/>
          <w:noProof/>
        </w:rPr>
        <w:t xml:space="preserve"> 883/2004] must be interpreted in the light of the purpose of Article 48 TFEU, which is to contribute to the establishment of the greatest possible freedom of movement for migrant workers” (Case C-137/11, </w:t>
      </w:r>
      <w:r w:rsidRPr="00510D7C">
        <w:rPr>
          <w:rFonts w:ascii="Times New Roman"/>
          <w:i/>
          <w:noProof/>
        </w:rPr>
        <w:t>Partena v Les Tartes de Chaumont-Gistoux</w:t>
      </w:r>
      <w:r w:rsidRPr="00510D7C">
        <w:rPr>
          <w:rFonts w:ascii="Times New Roman"/>
          <w:noProof/>
        </w:rPr>
        <w:t>, EU:C:2012:593, para 46).</w:t>
      </w:r>
    </w:p>
  </w:footnote>
  <w:footnote w:id="101">
    <w:p w14:paraId="1BF79850" w14:textId="77777777" w:rsidR="00803628" w:rsidRPr="00510D7C" w:rsidRDefault="00803628" w:rsidP="008638AF">
      <w:pPr>
        <w:pStyle w:val="FootnoteText"/>
        <w:rPr>
          <w:rFonts w:ascii="Times New Roman"/>
          <w:noProof/>
        </w:rPr>
      </w:pPr>
      <w:r w:rsidRPr="00510D7C">
        <w:rPr>
          <w:rStyle w:val="FootnoteReference"/>
          <w:rFonts w:ascii="Times New Roman"/>
          <w:noProof/>
        </w:rPr>
        <w:footnoteRef/>
      </w:r>
      <w:r w:rsidRPr="00510D7C">
        <w:rPr>
          <w:rFonts w:ascii="Times New Roman"/>
          <w:noProof/>
        </w:rPr>
        <w:t xml:space="preserve"> E.g. Pennings, "Co-ordination of social security on the basis of the State-of-employment principle: Time for an alternative?", (2005), CML Rev., 67–89, 69, 86.</w:t>
      </w:r>
    </w:p>
  </w:footnote>
  <w:footnote w:id="102">
    <w:p w14:paraId="049B0637" w14:textId="77777777" w:rsidR="00803628" w:rsidRPr="00510D7C" w:rsidRDefault="00803628" w:rsidP="008638AF">
      <w:pPr>
        <w:pStyle w:val="FootnoteText"/>
        <w:rPr>
          <w:rFonts w:ascii="Times New Roman"/>
          <w:noProof/>
        </w:rPr>
      </w:pPr>
      <w:r w:rsidRPr="00510D7C">
        <w:rPr>
          <w:rStyle w:val="FootnoteReference"/>
          <w:rFonts w:ascii="Times New Roman"/>
          <w:noProof/>
        </w:rPr>
        <w:footnoteRef/>
      </w:r>
      <w:r w:rsidRPr="00510D7C">
        <w:rPr>
          <w:rFonts w:ascii="Times New Roman"/>
          <w:noProof/>
        </w:rPr>
        <w:t xml:space="preserve"> E.g. Opinion of A.G. Sharpston in Joined Cases C-95/18 and C-96/18, </w:t>
      </w:r>
      <w:r w:rsidRPr="00510D7C">
        <w:rPr>
          <w:rFonts w:ascii="Times New Roman"/>
          <w:i/>
          <w:iCs/>
          <w:noProof/>
        </w:rPr>
        <w:t>van den Berg and Giesen</w:t>
      </w:r>
      <w:r w:rsidRPr="00510D7C">
        <w:rPr>
          <w:rFonts w:ascii="Times New Roman"/>
          <w:noProof/>
        </w:rPr>
        <w:t xml:space="preserve">, para 42; de Witte, op. cit. </w:t>
      </w:r>
      <w:r w:rsidRPr="00510D7C">
        <w:rPr>
          <w:rFonts w:ascii="Times New Roman"/>
          <w:i/>
          <w:noProof/>
        </w:rPr>
        <w:t xml:space="preserve">supra </w:t>
      </w:r>
      <w:r w:rsidRPr="00510D7C">
        <w:rPr>
          <w:rFonts w:ascii="Times New Roman"/>
          <w:noProof/>
        </w:rPr>
        <w:t xml:space="preserve">note </w:t>
      </w:r>
      <w:r w:rsidRPr="00510D7C">
        <w:rPr>
          <w:rFonts w:ascii="Times New Roman"/>
          <w:noProof/>
        </w:rPr>
        <w:fldChar w:fldCharType="begin"/>
      </w:r>
      <w:r w:rsidRPr="00510D7C">
        <w:rPr>
          <w:rFonts w:ascii="Times New Roman"/>
          <w:noProof/>
        </w:rPr>
        <w:instrText xml:space="preserve"> NOTEREF _Ref18857882 \h  \* MERGEFORMAT </w:instrText>
      </w:r>
      <w:r w:rsidRPr="00510D7C">
        <w:rPr>
          <w:rFonts w:ascii="Times New Roman"/>
          <w:noProof/>
        </w:rPr>
      </w:r>
      <w:r w:rsidRPr="00510D7C">
        <w:rPr>
          <w:rFonts w:ascii="Times New Roman"/>
          <w:noProof/>
        </w:rPr>
        <w:fldChar w:fldCharType="separate"/>
      </w:r>
      <w:r w:rsidRPr="00510D7C">
        <w:rPr>
          <w:rFonts w:ascii="Times New Roman"/>
          <w:noProof/>
        </w:rPr>
        <w:t>7</w:t>
      </w:r>
      <w:r w:rsidRPr="00510D7C">
        <w:rPr>
          <w:rFonts w:ascii="Times New Roman"/>
          <w:noProof/>
        </w:rPr>
        <w:fldChar w:fldCharType="end"/>
      </w:r>
      <w:r w:rsidRPr="00510D7C">
        <w:rPr>
          <w:rFonts w:ascii="Times New Roman"/>
          <w:noProof/>
        </w:rPr>
        <w:t>.</w:t>
      </w:r>
    </w:p>
  </w:footnote>
  <w:footnote w:id="103">
    <w:p w14:paraId="4A4A1497" w14:textId="77777777" w:rsidR="00803628" w:rsidRPr="00510D7C" w:rsidRDefault="00803628" w:rsidP="008638AF">
      <w:pPr>
        <w:pStyle w:val="FootnoteText"/>
        <w:rPr>
          <w:rFonts w:ascii="Times New Roman"/>
          <w:noProof/>
        </w:rPr>
      </w:pPr>
      <w:r w:rsidRPr="00510D7C">
        <w:rPr>
          <w:rStyle w:val="FootnoteReference"/>
          <w:rFonts w:ascii="Times New Roman"/>
          <w:noProof/>
        </w:rPr>
        <w:footnoteRef/>
      </w:r>
      <w:r w:rsidRPr="00510D7C">
        <w:rPr>
          <w:rFonts w:ascii="Times New Roman"/>
          <w:noProof/>
        </w:rPr>
        <w:t xml:space="preserve"> “EU law does not detract from the power of the Member States to organise their own social security systems” (Case C-137/11, </w:t>
      </w:r>
      <w:r w:rsidRPr="00510D7C">
        <w:rPr>
          <w:rFonts w:ascii="Times New Roman"/>
          <w:i/>
          <w:noProof/>
        </w:rPr>
        <w:t>Partena</w:t>
      </w:r>
      <w:r w:rsidRPr="00510D7C">
        <w:rPr>
          <w:rFonts w:ascii="Times New Roman"/>
          <w:noProof/>
        </w:rPr>
        <w:t xml:space="preserve">, para 59). </w:t>
      </w:r>
    </w:p>
  </w:footnote>
  <w:footnote w:id="104">
    <w:p w14:paraId="1704CFEE" w14:textId="77777777" w:rsidR="00803628" w:rsidRPr="00510D7C" w:rsidRDefault="00803628" w:rsidP="008638AF">
      <w:pPr>
        <w:pStyle w:val="FootnoteText"/>
        <w:rPr>
          <w:rFonts w:ascii="Times New Roman"/>
          <w:noProof/>
        </w:rPr>
      </w:pPr>
      <w:r w:rsidRPr="00510D7C">
        <w:rPr>
          <w:rStyle w:val="FootnoteReference"/>
          <w:rFonts w:ascii="Times New Roman"/>
          <w:noProof/>
        </w:rPr>
        <w:footnoteRef/>
      </w:r>
      <w:r w:rsidRPr="00510D7C">
        <w:rPr>
          <w:rFonts w:ascii="Times New Roman"/>
          <w:noProof/>
        </w:rPr>
        <w:t xml:space="preserve"> E.g. de Witte, op. cit. </w:t>
      </w:r>
      <w:r w:rsidRPr="00510D7C">
        <w:rPr>
          <w:rFonts w:ascii="Times New Roman"/>
          <w:i/>
          <w:noProof/>
        </w:rPr>
        <w:t xml:space="preserve">supra </w:t>
      </w:r>
      <w:r w:rsidRPr="00510D7C">
        <w:rPr>
          <w:rFonts w:ascii="Times New Roman"/>
          <w:noProof/>
        </w:rPr>
        <w:t xml:space="preserve">note </w:t>
      </w:r>
      <w:r w:rsidRPr="00510D7C">
        <w:rPr>
          <w:rFonts w:ascii="Times New Roman"/>
          <w:noProof/>
        </w:rPr>
        <w:fldChar w:fldCharType="begin"/>
      </w:r>
      <w:r w:rsidRPr="00510D7C">
        <w:rPr>
          <w:rFonts w:ascii="Times New Roman"/>
          <w:noProof/>
        </w:rPr>
        <w:instrText xml:space="preserve"> NOTEREF _Ref18857882 \h  \* MERGEFORMAT </w:instrText>
      </w:r>
      <w:r w:rsidRPr="00510D7C">
        <w:rPr>
          <w:rFonts w:ascii="Times New Roman"/>
          <w:noProof/>
        </w:rPr>
      </w:r>
      <w:r w:rsidRPr="00510D7C">
        <w:rPr>
          <w:rFonts w:ascii="Times New Roman"/>
          <w:noProof/>
        </w:rPr>
        <w:fldChar w:fldCharType="separate"/>
      </w:r>
      <w:r w:rsidRPr="00510D7C">
        <w:rPr>
          <w:rFonts w:ascii="Times New Roman"/>
          <w:noProof/>
        </w:rPr>
        <w:t>7</w:t>
      </w:r>
      <w:r w:rsidRPr="00510D7C">
        <w:rPr>
          <w:rFonts w:ascii="Times New Roman"/>
          <w:noProof/>
        </w:rPr>
        <w:fldChar w:fldCharType="end"/>
      </w:r>
      <w:r w:rsidRPr="00510D7C">
        <w:rPr>
          <w:rFonts w:ascii="Times New Roman"/>
          <w:noProof/>
        </w:rPr>
        <w:t>.</w:t>
      </w:r>
    </w:p>
  </w:footnote>
  <w:footnote w:id="105">
    <w:p w14:paraId="2EA9A698" w14:textId="77777777" w:rsidR="00803628" w:rsidRPr="00510D7C" w:rsidRDefault="00803628" w:rsidP="008638AF">
      <w:pPr>
        <w:pStyle w:val="FootnoteText"/>
        <w:rPr>
          <w:rFonts w:ascii="Times New Roman"/>
          <w:noProof/>
        </w:rPr>
      </w:pPr>
      <w:r w:rsidRPr="00510D7C">
        <w:rPr>
          <w:rStyle w:val="FootnoteReference"/>
          <w:rFonts w:ascii="Times New Roman"/>
          <w:noProof/>
        </w:rPr>
        <w:footnoteRef/>
      </w:r>
      <w:r w:rsidRPr="00510D7C">
        <w:rPr>
          <w:rFonts w:ascii="Times New Roman"/>
          <w:noProof/>
        </w:rPr>
        <w:t xml:space="preserve"> E.g. Art. 2(3)–(7) of the draft Regulation; Decision H5 of the Administrative Commission concerning cooperation on combating fraud and error within the framework of Regulation 883/2004 and Regulation 987/2009, O.J. 2010, C 149/5.</w:t>
      </w:r>
    </w:p>
  </w:footnote>
  <w:footnote w:id="106">
    <w:p w14:paraId="3D68D37C" w14:textId="77777777" w:rsidR="00803628" w:rsidRPr="00510D7C" w:rsidRDefault="00803628" w:rsidP="008638AF">
      <w:pPr>
        <w:pStyle w:val="FootnoteText"/>
        <w:rPr>
          <w:rFonts w:ascii="Times New Roman"/>
          <w:noProof/>
        </w:rPr>
      </w:pPr>
      <w:r w:rsidRPr="00510D7C">
        <w:rPr>
          <w:rStyle w:val="FootnoteReference"/>
          <w:rFonts w:ascii="Times New Roman"/>
          <w:noProof/>
        </w:rPr>
        <w:footnoteRef/>
      </w:r>
      <w:r w:rsidRPr="00510D7C">
        <w:rPr>
          <w:rFonts w:ascii="Times New Roman"/>
          <w:noProof/>
        </w:rPr>
        <w:t xml:space="preserve"> The risk shifts to their State of origin should they qualify for its benefits, either because they return there or because that State exports benefits. See also Spaventa, op. cit. </w:t>
      </w:r>
      <w:r w:rsidRPr="00510D7C">
        <w:rPr>
          <w:rFonts w:ascii="Times New Roman"/>
          <w:i/>
          <w:noProof/>
        </w:rPr>
        <w:t xml:space="preserve">supra </w:t>
      </w:r>
      <w:r w:rsidRPr="00510D7C">
        <w:rPr>
          <w:rFonts w:ascii="Times New Roman"/>
          <w:noProof/>
        </w:rPr>
        <w:t xml:space="preserve">note </w:t>
      </w:r>
      <w:r w:rsidRPr="00510D7C">
        <w:rPr>
          <w:rFonts w:ascii="Times New Roman"/>
          <w:noProof/>
        </w:rPr>
        <w:fldChar w:fldCharType="begin"/>
      </w:r>
      <w:r w:rsidRPr="00510D7C">
        <w:rPr>
          <w:rFonts w:ascii="Times New Roman"/>
          <w:noProof/>
        </w:rPr>
        <w:instrText xml:space="preserve"> NOTEREF _Ref18858165 \h  \* MERGEFORMAT </w:instrText>
      </w:r>
      <w:r w:rsidRPr="00510D7C">
        <w:rPr>
          <w:rFonts w:ascii="Times New Roman"/>
          <w:noProof/>
        </w:rPr>
      </w:r>
      <w:r w:rsidRPr="00510D7C">
        <w:rPr>
          <w:rFonts w:ascii="Times New Roman"/>
          <w:noProof/>
        </w:rPr>
        <w:fldChar w:fldCharType="separate"/>
      </w:r>
      <w:r w:rsidRPr="00510D7C">
        <w:rPr>
          <w:rFonts w:ascii="Times New Roman"/>
          <w:noProof/>
        </w:rPr>
        <w:t>17</w:t>
      </w:r>
      <w:r w:rsidRPr="00510D7C">
        <w:rPr>
          <w:rFonts w:ascii="Times New Roman"/>
          <w:noProof/>
        </w:rPr>
        <w:fldChar w:fldCharType="end"/>
      </w:r>
      <w:r w:rsidRPr="00510D7C">
        <w:rPr>
          <w:rFonts w:ascii="Times New Roman"/>
          <w:noProof/>
        </w:rPr>
        <w:t>.</w:t>
      </w:r>
    </w:p>
  </w:footnote>
  <w:footnote w:id="107">
    <w:p w14:paraId="798613B6" w14:textId="77777777" w:rsidR="00803628" w:rsidRPr="00510D7C" w:rsidRDefault="00803628" w:rsidP="008638AF">
      <w:pPr>
        <w:pStyle w:val="FootnoteText"/>
        <w:rPr>
          <w:rFonts w:ascii="Times New Roman"/>
          <w:noProof/>
        </w:rPr>
      </w:pPr>
      <w:r w:rsidRPr="00510D7C">
        <w:rPr>
          <w:rStyle w:val="FootnoteReference"/>
          <w:rFonts w:ascii="Times New Roman"/>
          <w:noProof/>
        </w:rPr>
        <w:footnoteRef/>
      </w:r>
      <w:r w:rsidRPr="00510D7C">
        <w:rPr>
          <w:rFonts w:ascii="Times New Roman"/>
          <w:noProof/>
        </w:rPr>
        <w:t xml:space="preserve"> Art. 12 Regulation 883/2004.</w:t>
      </w:r>
    </w:p>
  </w:footnote>
  <w:footnote w:id="108">
    <w:p w14:paraId="27AF1AE4" w14:textId="77777777" w:rsidR="00803628" w:rsidRPr="00510D7C" w:rsidRDefault="00803628" w:rsidP="008638AF">
      <w:pPr>
        <w:pStyle w:val="FootnoteText"/>
        <w:rPr>
          <w:rFonts w:ascii="Times New Roman"/>
          <w:noProof/>
        </w:rPr>
      </w:pPr>
      <w:r w:rsidRPr="00510D7C">
        <w:rPr>
          <w:rStyle w:val="FootnoteReference"/>
          <w:rFonts w:ascii="Times New Roman"/>
          <w:noProof/>
        </w:rPr>
        <w:footnoteRef/>
      </w:r>
      <w:r w:rsidRPr="00510D7C">
        <w:rPr>
          <w:rFonts w:ascii="Times New Roman"/>
          <w:noProof/>
        </w:rPr>
        <w:t xml:space="preserve"> Art. 4–6 Regulation 883/2004.</w:t>
      </w:r>
    </w:p>
  </w:footnote>
  <w:footnote w:id="109">
    <w:p w14:paraId="03A7545B" w14:textId="77777777" w:rsidR="00803628" w:rsidRPr="00510D7C" w:rsidRDefault="00803628">
      <w:pPr>
        <w:pStyle w:val="FootnoteText"/>
        <w:rPr>
          <w:rFonts w:ascii="Times New Roman"/>
          <w:noProof/>
        </w:rPr>
      </w:pPr>
      <w:r w:rsidRPr="00510D7C">
        <w:rPr>
          <w:rStyle w:val="FootnoteReference"/>
          <w:rFonts w:ascii="Times New Roman"/>
          <w:noProof/>
        </w:rPr>
        <w:footnoteRef/>
      </w:r>
      <w:r w:rsidRPr="00510D7C">
        <w:rPr>
          <w:rFonts w:ascii="Times New Roman"/>
          <w:noProof/>
        </w:rPr>
        <w:t xml:space="preserve"> Case C-111/91, </w:t>
      </w:r>
      <w:r w:rsidRPr="00510D7C">
        <w:rPr>
          <w:rFonts w:ascii="Times New Roman"/>
          <w:i/>
          <w:noProof/>
        </w:rPr>
        <w:t>Commission v Luxembourg (childbirth and maternity allowances)</w:t>
      </w:r>
      <w:r w:rsidRPr="00510D7C">
        <w:rPr>
          <w:rFonts w:ascii="Times New Roman"/>
          <w:noProof/>
        </w:rPr>
        <w:t>, EU:C:1993:92.</w:t>
      </w:r>
    </w:p>
  </w:footnote>
  <w:footnote w:id="110">
    <w:p w14:paraId="455BCB06" w14:textId="77777777" w:rsidR="00803628" w:rsidRPr="00510D7C" w:rsidRDefault="00803628" w:rsidP="008638AF">
      <w:pPr>
        <w:pStyle w:val="FootnoteText"/>
        <w:rPr>
          <w:rFonts w:ascii="Times New Roman"/>
          <w:noProof/>
        </w:rPr>
      </w:pPr>
      <w:r w:rsidRPr="00510D7C">
        <w:rPr>
          <w:rStyle w:val="FootnoteReference"/>
          <w:rFonts w:ascii="Times New Roman"/>
          <w:noProof/>
        </w:rPr>
        <w:footnoteRef/>
      </w:r>
      <w:r w:rsidRPr="00510D7C">
        <w:rPr>
          <w:rFonts w:ascii="Times New Roman"/>
          <w:noProof/>
        </w:rPr>
        <w:t xml:space="preserve"> Case 39/86, </w:t>
      </w:r>
      <w:r w:rsidRPr="00510D7C">
        <w:rPr>
          <w:rFonts w:ascii="Times New Roman"/>
          <w:i/>
          <w:noProof/>
        </w:rPr>
        <w:t>Lair</w:t>
      </w:r>
      <w:r w:rsidRPr="00510D7C">
        <w:rPr>
          <w:rFonts w:ascii="Times New Roman"/>
          <w:noProof/>
        </w:rPr>
        <w:t>, para 42.</w:t>
      </w:r>
    </w:p>
  </w:footnote>
  <w:footnote w:id="111">
    <w:p w14:paraId="6D888636" w14:textId="77777777" w:rsidR="00803628" w:rsidRPr="00510D7C" w:rsidRDefault="00803628">
      <w:pPr>
        <w:pStyle w:val="FootnoteText"/>
        <w:rPr>
          <w:rFonts w:ascii="Times New Roman"/>
          <w:noProof/>
        </w:rPr>
      </w:pPr>
      <w:r w:rsidRPr="00510D7C">
        <w:rPr>
          <w:rStyle w:val="FootnoteReference"/>
          <w:rFonts w:ascii="Times New Roman"/>
          <w:noProof/>
        </w:rPr>
        <w:footnoteRef/>
      </w:r>
      <w:r w:rsidRPr="00510D7C">
        <w:rPr>
          <w:rFonts w:ascii="Times New Roman"/>
          <w:noProof/>
        </w:rPr>
        <w:t xml:space="preserve"> Art. 11 Regulation 987/2009. If, having become subject to the laws of the State of destination, citizens fail to qualify for social protection there because they lack a right to equal treatment, the waiting period becomes asymmetrical. The </w:t>
      </w:r>
      <w:r w:rsidRPr="00510D7C">
        <w:rPr>
          <w:rFonts w:ascii="Times New Roman"/>
          <w:i/>
          <w:noProof/>
        </w:rPr>
        <w:t>lex loci domicilii</w:t>
      </w:r>
      <w:r w:rsidRPr="00510D7C">
        <w:rPr>
          <w:rFonts w:ascii="Times New Roman"/>
          <w:iCs/>
          <w:noProof/>
        </w:rPr>
        <w:t xml:space="preserve"> </w:t>
      </w:r>
      <w:r w:rsidRPr="00510D7C">
        <w:rPr>
          <w:rFonts w:ascii="Times New Roman"/>
          <w:noProof/>
        </w:rPr>
        <w:t>operates an instant transition for people with strong pre-existing ties to the State of destination and a firm intention to settle there, because their habitual centre of interests is relocated upon arrival (</w:t>
      </w:r>
      <w:r w:rsidRPr="00510D7C">
        <w:rPr>
          <w:rFonts w:ascii="Times New Roman"/>
          <w:iCs/>
          <w:noProof/>
        </w:rPr>
        <w:t xml:space="preserve">Case C-90/97, </w:t>
      </w:r>
      <w:r w:rsidRPr="00510D7C">
        <w:rPr>
          <w:rFonts w:ascii="Times New Roman"/>
          <w:i/>
          <w:iCs/>
          <w:noProof/>
        </w:rPr>
        <w:t>Swaddling v Adjudication Officer</w:t>
      </w:r>
      <w:r w:rsidRPr="00510D7C">
        <w:rPr>
          <w:rFonts w:ascii="Times New Roman"/>
          <w:iCs/>
          <w:noProof/>
        </w:rPr>
        <w:t>, EU:C:1999:96, para 30)</w:t>
      </w:r>
      <w:r w:rsidRPr="00510D7C">
        <w:rPr>
          <w:rFonts w:ascii="Times New Roman"/>
          <w:noProof/>
        </w:rPr>
        <w:t xml:space="preserve">. </w:t>
      </w:r>
    </w:p>
  </w:footnote>
  <w:footnote w:id="112">
    <w:p w14:paraId="2991A813" w14:textId="77777777" w:rsidR="00803628" w:rsidRPr="00510D7C" w:rsidRDefault="00803628">
      <w:pPr>
        <w:pStyle w:val="FootnoteText"/>
        <w:rPr>
          <w:rFonts w:ascii="Times New Roman"/>
          <w:noProof/>
        </w:rPr>
      </w:pPr>
      <w:r w:rsidRPr="00510D7C">
        <w:rPr>
          <w:rStyle w:val="FootnoteReference"/>
          <w:rFonts w:ascii="Times New Roman"/>
          <w:noProof/>
        </w:rPr>
        <w:footnoteRef/>
      </w:r>
      <w:r w:rsidRPr="00510D7C">
        <w:rPr>
          <w:rFonts w:ascii="Times New Roman"/>
          <w:noProof/>
        </w:rPr>
        <w:t xml:space="preserve"> Chapter 5 Regulation 883/2004.</w:t>
      </w:r>
    </w:p>
  </w:footnote>
  <w:footnote w:id="113">
    <w:p w14:paraId="53E9AE74" w14:textId="77777777" w:rsidR="00803628" w:rsidRPr="00510D7C" w:rsidRDefault="00803628" w:rsidP="008638AF">
      <w:pPr>
        <w:pStyle w:val="FootnoteText"/>
        <w:rPr>
          <w:rFonts w:ascii="Times New Roman"/>
          <w:noProof/>
        </w:rPr>
      </w:pPr>
      <w:r w:rsidRPr="00510D7C">
        <w:rPr>
          <w:rStyle w:val="FootnoteReference"/>
          <w:rFonts w:ascii="Times New Roman" w:eastAsiaTheme="majorEastAsia"/>
          <w:noProof/>
        </w:rPr>
        <w:footnoteRef/>
      </w:r>
      <w:r w:rsidRPr="00510D7C">
        <w:rPr>
          <w:rFonts w:ascii="Times New Roman"/>
          <w:noProof/>
        </w:rPr>
        <w:t xml:space="preserve"> Art. 1(19), Art. 1(21) and Art. 1(22) of the draft Regulation.</w:t>
      </w:r>
    </w:p>
  </w:footnote>
  <w:footnote w:id="114">
    <w:p w14:paraId="46D671E8" w14:textId="77777777" w:rsidR="00803628" w:rsidRPr="00510D7C" w:rsidRDefault="00803628" w:rsidP="008638AF">
      <w:pPr>
        <w:pStyle w:val="FootnoteText"/>
        <w:rPr>
          <w:rFonts w:ascii="Times New Roman"/>
          <w:noProof/>
        </w:rPr>
      </w:pPr>
      <w:r w:rsidRPr="00510D7C">
        <w:rPr>
          <w:rStyle w:val="FootnoteReference"/>
          <w:rFonts w:ascii="Times New Roman"/>
          <w:noProof/>
        </w:rPr>
        <w:footnoteRef/>
      </w:r>
      <w:r w:rsidRPr="00510D7C">
        <w:rPr>
          <w:rFonts w:ascii="Times New Roman"/>
          <w:noProof/>
        </w:rPr>
        <w:t xml:space="preserve"> Art. 24(1) Citizenship Directive; Case C-333/13, </w:t>
      </w:r>
      <w:r w:rsidRPr="00510D7C">
        <w:rPr>
          <w:rFonts w:ascii="Times New Roman"/>
          <w:i/>
          <w:noProof/>
        </w:rPr>
        <w:t>Dano</w:t>
      </w:r>
      <w:r w:rsidRPr="00510D7C">
        <w:rPr>
          <w:rFonts w:ascii="Times New Roman"/>
          <w:noProof/>
        </w:rPr>
        <w:t>.</w:t>
      </w:r>
    </w:p>
  </w:footnote>
  <w:footnote w:id="115">
    <w:p w14:paraId="2BDC9BFC" w14:textId="77777777" w:rsidR="00803628" w:rsidRPr="00510D7C" w:rsidRDefault="00803628" w:rsidP="008638AF">
      <w:pPr>
        <w:pStyle w:val="FootnoteText"/>
        <w:rPr>
          <w:rFonts w:ascii="Times New Roman"/>
          <w:noProof/>
        </w:rPr>
      </w:pPr>
      <w:r w:rsidRPr="00510D7C">
        <w:rPr>
          <w:rStyle w:val="FootnoteReference"/>
          <w:rFonts w:ascii="Times New Roman"/>
          <w:noProof/>
        </w:rPr>
        <w:footnoteRef/>
      </w:r>
      <w:r w:rsidRPr="00510D7C">
        <w:rPr>
          <w:rFonts w:ascii="Times New Roman"/>
          <w:noProof/>
        </w:rPr>
        <w:t xml:space="preserve"> Case C-308/14, </w:t>
      </w:r>
      <w:r w:rsidRPr="00510D7C">
        <w:rPr>
          <w:rFonts w:ascii="Times New Roman"/>
          <w:i/>
          <w:noProof/>
        </w:rPr>
        <w:t>Commission v United Kingdom (child benefit)</w:t>
      </w:r>
      <w:r w:rsidRPr="00510D7C">
        <w:rPr>
          <w:rFonts w:ascii="Times New Roman"/>
          <w:noProof/>
        </w:rPr>
        <w:t>, EU:C:2016:436.</w:t>
      </w:r>
    </w:p>
  </w:footnote>
  <w:footnote w:id="116">
    <w:p w14:paraId="4958F00F" w14:textId="77777777" w:rsidR="00803628" w:rsidRPr="00510D7C" w:rsidRDefault="00803628" w:rsidP="008638AF">
      <w:pPr>
        <w:pStyle w:val="FootnoteText"/>
        <w:rPr>
          <w:rFonts w:ascii="Times New Roman"/>
          <w:noProof/>
        </w:rPr>
      </w:pPr>
      <w:r w:rsidRPr="00510D7C">
        <w:rPr>
          <w:rStyle w:val="FootnoteReference"/>
          <w:rFonts w:ascii="Times New Roman"/>
          <w:noProof/>
        </w:rPr>
        <w:footnoteRef/>
      </w:r>
      <w:r w:rsidRPr="00510D7C">
        <w:rPr>
          <w:rFonts w:ascii="Times New Roman"/>
          <w:noProof/>
        </w:rPr>
        <w:t xml:space="preserve"> Art. 24(2) Citizenship Directive; Case C-67/14, </w:t>
      </w:r>
      <w:r w:rsidRPr="00510D7C">
        <w:rPr>
          <w:rFonts w:ascii="Times New Roman"/>
          <w:i/>
          <w:noProof/>
        </w:rPr>
        <w:t>Jobcenter Berlin Neukölln v Alimanovic</w:t>
      </w:r>
      <w:r w:rsidRPr="00510D7C">
        <w:rPr>
          <w:rFonts w:ascii="Times New Roman"/>
          <w:noProof/>
        </w:rPr>
        <w:t>, EU:C:2015:597.</w:t>
      </w:r>
    </w:p>
  </w:footnote>
  <w:footnote w:id="117">
    <w:p w14:paraId="73FE3D4C" w14:textId="77777777" w:rsidR="00803628" w:rsidRPr="00510D7C" w:rsidRDefault="00803628" w:rsidP="008638AF">
      <w:pPr>
        <w:pStyle w:val="FootnoteText"/>
        <w:rPr>
          <w:rFonts w:ascii="Times New Roman"/>
          <w:noProof/>
        </w:rPr>
      </w:pPr>
      <w:r w:rsidRPr="00510D7C">
        <w:rPr>
          <w:rStyle w:val="FootnoteReference"/>
          <w:rFonts w:ascii="Times New Roman"/>
          <w:noProof/>
        </w:rPr>
        <w:footnoteRef/>
      </w:r>
      <w:r w:rsidRPr="00510D7C">
        <w:rPr>
          <w:rFonts w:ascii="Times New Roman"/>
          <w:noProof/>
        </w:rPr>
        <w:t xml:space="preserve"> Art. 24(2) Citizenship Directive; Case C-158/07, </w:t>
      </w:r>
      <w:r w:rsidRPr="00510D7C">
        <w:rPr>
          <w:rFonts w:ascii="Times New Roman"/>
          <w:i/>
          <w:noProof/>
        </w:rPr>
        <w:t>Förster v Hoofddirectie van de Informatie Beheer Groep</w:t>
      </w:r>
      <w:r w:rsidRPr="00510D7C">
        <w:rPr>
          <w:rFonts w:ascii="Times New Roman"/>
          <w:noProof/>
        </w:rPr>
        <w:t>, EU:C:2008:630.</w:t>
      </w:r>
    </w:p>
  </w:footnote>
  <w:footnote w:id="118">
    <w:p w14:paraId="7B82823E" w14:textId="77777777" w:rsidR="00803628" w:rsidRPr="00510D7C" w:rsidRDefault="00803628" w:rsidP="008638AF">
      <w:pPr>
        <w:pStyle w:val="FootnoteText"/>
        <w:rPr>
          <w:rFonts w:ascii="Times New Roman"/>
          <w:noProof/>
        </w:rPr>
      </w:pPr>
      <w:r w:rsidRPr="00510D7C">
        <w:rPr>
          <w:rStyle w:val="FootnoteReference"/>
          <w:rFonts w:ascii="Times New Roman"/>
          <w:noProof/>
        </w:rPr>
        <w:footnoteRef/>
      </w:r>
      <w:r w:rsidRPr="00510D7C">
        <w:rPr>
          <w:rFonts w:ascii="Times New Roman"/>
          <w:noProof/>
        </w:rPr>
        <w:t xml:space="preserve"> E.g. Case C-138/02, </w:t>
      </w:r>
      <w:r w:rsidRPr="00510D7C">
        <w:rPr>
          <w:rFonts w:ascii="Times New Roman"/>
          <w:i/>
          <w:noProof/>
        </w:rPr>
        <w:t>Collins v Secretary of State for Work and Pensions</w:t>
      </w:r>
      <w:r w:rsidRPr="00510D7C">
        <w:rPr>
          <w:rFonts w:ascii="Times New Roman"/>
          <w:noProof/>
        </w:rPr>
        <w:t xml:space="preserve">, EU:C:2004:172, para 72; Case C-209/03, </w:t>
      </w:r>
      <w:r w:rsidRPr="00510D7C">
        <w:rPr>
          <w:rFonts w:ascii="Times New Roman"/>
          <w:i/>
          <w:noProof/>
        </w:rPr>
        <w:t>Bidar</w:t>
      </w:r>
      <w:r w:rsidRPr="00510D7C">
        <w:rPr>
          <w:rFonts w:ascii="Times New Roman"/>
          <w:noProof/>
        </w:rPr>
        <w:t>, para 59.</w:t>
      </w:r>
    </w:p>
  </w:footnote>
  <w:footnote w:id="119">
    <w:p w14:paraId="58CB8B9E" w14:textId="77777777" w:rsidR="00803628" w:rsidRPr="00510D7C" w:rsidRDefault="00803628" w:rsidP="008638AF">
      <w:pPr>
        <w:pStyle w:val="FootnoteText"/>
        <w:rPr>
          <w:rFonts w:ascii="Times New Roman"/>
          <w:noProof/>
        </w:rPr>
      </w:pPr>
      <w:r w:rsidRPr="00510D7C">
        <w:rPr>
          <w:rStyle w:val="FootnoteReference"/>
          <w:rFonts w:ascii="Times New Roman"/>
          <w:noProof/>
        </w:rPr>
        <w:footnoteRef/>
      </w:r>
      <w:r w:rsidRPr="00510D7C">
        <w:rPr>
          <w:rFonts w:ascii="Times New Roman"/>
          <w:noProof/>
        </w:rPr>
        <w:t xml:space="preserve"> E.g. Case C-11/06 and C-12/06, </w:t>
      </w:r>
      <w:r w:rsidRPr="00510D7C">
        <w:rPr>
          <w:rFonts w:ascii="Times New Roman"/>
          <w:i/>
          <w:noProof/>
        </w:rPr>
        <w:t xml:space="preserve">Morgan v Bezirksregierung Köln and Bucher v Landrat des Kreises Düren </w:t>
      </w:r>
      <w:r w:rsidRPr="00510D7C">
        <w:rPr>
          <w:rFonts w:ascii="Times New Roman"/>
          <w:noProof/>
        </w:rPr>
        <w:t xml:space="preserve">EU:C:2007:626; Case C-503/09, </w:t>
      </w:r>
      <w:r w:rsidRPr="00510D7C">
        <w:rPr>
          <w:rFonts w:ascii="Times New Roman"/>
          <w:i/>
          <w:noProof/>
        </w:rPr>
        <w:t>Stewart v Secretary of State for Work and Pensions</w:t>
      </w:r>
      <w:r w:rsidRPr="00510D7C">
        <w:rPr>
          <w:rFonts w:ascii="Times New Roman"/>
          <w:noProof/>
        </w:rPr>
        <w:t>, EU:C:2011:500.</w:t>
      </w:r>
    </w:p>
  </w:footnote>
  <w:footnote w:id="120">
    <w:p w14:paraId="13B8196C" w14:textId="77777777" w:rsidR="00803628" w:rsidRPr="00510D7C" w:rsidRDefault="00803628" w:rsidP="008638AF">
      <w:pPr>
        <w:pStyle w:val="FootnoteText"/>
        <w:rPr>
          <w:rFonts w:ascii="Times New Roman"/>
          <w:noProof/>
        </w:rPr>
      </w:pPr>
      <w:r w:rsidRPr="00510D7C">
        <w:rPr>
          <w:rStyle w:val="FootnoteReference"/>
          <w:rFonts w:ascii="Times New Roman"/>
          <w:noProof/>
        </w:rPr>
        <w:footnoteRef/>
      </w:r>
      <w:r w:rsidRPr="00510D7C">
        <w:rPr>
          <w:rFonts w:ascii="Times New Roman"/>
          <w:noProof/>
        </w:rPr>
        <w:t xml:space="preserve"> Dougan, op. cit. </w:t>
      </w:r>
      <w:r w:rsidRPr="00510D7C">
        <w:rPr>
          <w:rFonts w:ascii="Times New Roman"/>
          <w:i/>
          <w:noProof/>
        </w:rPr>
        <w:t xml:space="preserve">supra </w:t>
      </w:r>
      <w:r w:rsidRPr="00510D7C">
        <w:rPr>
          <w:rFonts w:ascii="Times New Roman"/>
          <w:noProof/>
        </w:rPr>
        <w:t xml:space="preserve">note </w:t>
      </w:r>
      <w:r w:rsidRPr="00510D7C">
        <w:rPr>
          <w:rFonts w:ascii="Times New Roman"/>
          <w:noProof/>
        </w:rPr>
        <w:fldChar w:fldCharType="begin"/>
      </w:r>
      <w:r w:rsidRPr="00510D7C">
        <w:rPr>
          <w:rFonts w:ascii="Times New Roman"/>
          <w:noProof/>
        </w:rPr>
        <w:instrText xml:space="preserve"> NOTEREF _Ref18858371 \h  \* MERGEFORMAT </w:instrText>
      </w:r>
      <w:r w:rsidRPr="00510D7C">
        <w:rPr>
          <w:rFonts w:ascii="Times New Roman"/>
          <w:noProof/>
        </w:rPr>
      </w:r>
      <w:r w:rsidRPr="00510D7C">
        <w:rPr>
          <w:rFonts w:ascii="Times New Roman"/>
          <w:noProof/>
        </w:rPr>
        <w:fldChar w:fldCharType="separate"/>
      </w:r>
      <w:r w:rsidRPr="00510D7C">
        <w:rPr>
          <w:rFonts w:ascii="Times New Roman"/>
          <w:noProof/>
        </w:rPr>
        <w:t>36</w:t>
      </w:r>
      <w:r w:rsidRPr="00510D7C">
        <w:rPr>
          <w:rFonts w:ascii="Times New Roman"/>
          <w:noProof/>
        </w:rPr>
        <w:fldChar w:fldCharType="end"/>
      </w:r>
      <w:r w:rsidRPr="00510D7C">
        <w:rPr>
          <w:rFonts w:ascii="Times New Roman"/>
          <w:noProof/>
        </w:rPr>
        <w:t>, 134.</w:t>
      </w:r>
    </w:p>
  </w:footnote>
  <w:footnote w:id="121">
    <w:p w14:paraId="18B402BA" w14:textId="77777777" w:rsidR="00803628" w:rsidRPr="00510D7C" w:rsidRDefault="00803628" w:rsidP="008638AF">
      <w:pPr>
        <w:pStyle w:val="FootnoteText"/>
        <w:rPr>
          <w:rFonts w:ascii="Times New Roman"/>
          <w:noProof/>
        </w:rPr>
      </w:pPr>
      <w:r w:rsidRPr="00510D7C">
        <w:rPr>
          <w:rStyle w:val="FootnoteReference"/>
          <w:rFonts w:ascii="Times New Roman"/>
          <w:noProof/>
        </w:rPr>
        <w:footnoteRef/>
      </w:r>
      <w:r w:rsidRPr="00510D7C">
        <w:rPr>
          <w:rFonts w:ascii="Times New Roman"/>
          <w:noProof/>
        </w:rPr>
        <w:t xml:space="preserve"> Case C-20/12, </w:t>
      </w:r>
      <w:r w:rsidRPr="00510D7C">
        <w:rPr>
          <w:rFonts w:ascii="Times New Roman"/>
          <w:i/>
          <w:noProof/>
        </w:rPr>
        <w:t>Giersch v État du Grand-Duché de Luxembourg</w:t>
      </w:r>
      <w:r w:rsidRPr="00510D7C">
        <w:rPr>
          <w:rFonts w:ascii="Times New Roman"/>
          <w:noProof/>
        </w:rPr>
        <w:t>, EU:C:2013:411, para 77.</w:t>
      </w:r>
    </w:p>
  </w:footnote>
  <w:footnote w:id="122">
    <w:p w14:paraId="4CD95FC7" w14:textId="77777777" w:rsidR="00803628" w:rsidRPr="00510D7C" w:rsidRDefault="00803628" w:rsidP="008638AF">
      <w:pPr>
        <w:pStyle w:val="FootnoteText"/>
        <w:rPr>
          <w:rFonts w:ascii="Times New Roman"/>
          <w:noProof/>
        </w:rPr>
      </w:pPr>
      <w:r w:rsidRPr="00510D7C">
        <w:rPr>
          <w:rStyle w:val="FootnoteReference"/>
          <w:rFonts w:ascii="Times New Roman"/>
          <w:noProof/>
        </w:rPr>
        <w:footnoteRef/>
      </w:r>
      <w:r w:rsidRPr="00510D7C">
        <w:rPr>
          <w:rFonts w:ascii="Times New Roman"/>
          <w:noProof/>
        </w:rPr>
        <w:t xml:space="preserve"> Ibid., para 80.</w:t>
      </w:r>
    </w:p>
  </w:footnote>
  <w:footnote w:id="123">
    <w:p w14:paraId="4A3C36B3" w14:textId="77777777" w:rsidR="00803628" w:rsidRPr="00510D7C" w:rsidRDefault="00803628" w:rsidP="008638AF">
      <w:pPr>
        <w:pStyle w:val="FootnoteText"/>
        <w:rPr>
          <w:rFonts w:ascii="Times New Roman"/>
          <w:noProof/>
        </w:rPr>
      </w:pPr>
      <w:r w:rsidRPr="00510D7C">
        <w:rPr>
          <w:rStyle w:val="FootnoteReference"/>
          <w:rFonts w:ascii="Times New Roman"/>
          <w:noProof/>
        </w:rPr>
        <w:footnoteRef/>
      </w:r>
      <w:r w:rsidRPr="00510D7C">
        <w:rPr>
          <w:rFonts w:ascii="Times New Roman"/>
          <w:noProof/>
        </w:rPr>
        <w:t xml:space="preserve"> Case C-238/15, </w:t>
      </w:r>
      <w:r w:rsidRPr="00510D7C">
        <w:rPr>
          <w:rFonts w:ascii="Times New Roman"/>
          <w:i/>
          <w:noProof/>
        </w:rPr>
        <w:t>Bragança Linares Verruga</w:t>
      </w:r>
      <w:r w:rsidRPr="00510D7C">
        <w:rPr>
          <w:rFonts w:ascii="Times New Roman"/>
          <w:noProof/>
        </w:rPr>
        <w:t>, para 58.</w:t>
      </w:r>
    </w:p>
  </w:footnote>
  <w:footnote w:id="124">
    <w:p w14:paraId="030B4FF7" w14:textId="77777777" w:rsidR="00803628" w:rsidRPr="00510D7C" w:rsidRDefault="00803628" w:rsidP="008638AF">
      <w:pPr>
        <w:pStyle w:val="FootnoteText"/>
        <w:rPr>
          <w:rFonts w:ascii="Times New Roman"/>
          <w:noProof/>
        </w:rPr>
      </w:pPr>
      <w:r w:rsidRPr="00510D7C">
        <w:rPr>
          <w:rStyle w:val="FootnoteReference"/>
          <w:rFonts w:ascii="Times New Roman"/>
          <w:noProof/>
        </w:rPr>
        <w:footnoteRef/>
      </w:r>
      <w:r w:rsidRPr="00510D7C">
        <w:rPr>
          <w:rFonts w:ascii="Times New Roman"/>
          <w:noProof/>
        </w:rPr>
        <w:t xml:space="preserve"> Case C-410/18, </w:t>
      </w:r>
      <w:r w:rsidRPr="00510D7C">
        <w:rPr>
          <w:rFonts w:ascii="Times New Roman"/>
          <w:i/>
          <w:noProof/>
        </w:rPr>
        <w:t>Aubriet v Ministre de l'Enseignement supérieur et de la Recherche</w:t>
      </w:r>
      <w:r w:rsidRPr="00510D7C">
        <w:rPr>
          <w:rFonts w:ascii="Times New Roman"/>
          <w:noProof/>
        </w:rPr>
        <w:t>, EU:C:2019:582, para 42.</w:t>
      </w:r>
    </w:p>
  </w:footnote>
  <w:footnote w:id="125">
    <w:p w14:paraId="64076F86" w14:textId="77777777" w:rsidR="00803628" w:rsidRPr="00510D7C" w:rsidRDefault="00803628" w:rsidP="008638AF">
      <w:pPr>
        <w:pStyle w:val="FootnoteText"/>
        <w:rPr>
          <w:rFonts w:ascii="Times New Roman"/>
          <w:noProof/>
        </w:rPr>
      </w:pPr>
      <w:r w:rsidRPr="00510D7C">
        <w:rPr>
          <w:rStyle w:val="FootnoteReference"/>
          <w:rFonts w:ascii="Times New Roman"/>
          <w:noProof/>
        </w:rPr>
        <w:footnoteRef/>
      </w:r>
      <w:r w:rsidRPr="00510D7C">
        <w:rPr>
          <w:rFonts w:ascii="Times New Roman"/>
          <w:noProof/>
        </w:rPr>
        <w:t xml:space="preserve"> Ibid., para 45.</w:t>
      </w:r>
    </w:p>
  </w:footnote>
  <w:footnote w:id="126">
    <w:p w14:paraId="0C4E5BC0" w14:textId="77777777" w:rsidR="00803628" w:rsidRPr="00510D7C" w:rsidRDefault="00803628">
      <w:pPr>
        <w:pStyle w:val="FootnoteText"/>
        <w:rPr>
          <w:rFonts w:ascii="Times New Roman"/>
          <w:noProof/>
        </w:rPr>
      </w:pPr>
      <w:r w:rsidRPr="00510D7C">
        <w:rPr>
          <w:rStyle w:val="FootnoteReference"/>
          <w:rFonts w:ascii="Times New Roman"/>
          <w:noProof/>
        </w:rPr>
        <w:footnoteRef/>
      </w:r>
      <w:r w:rsidRPr="00510D7C">
        <w:rPr>
          <w:rFonts w:ascii="Times New Roman"/>
          <w:noProof/>
        </w:rPr>
        <w:t xml:space="preserve"> In the same vein, see Jacqueson, "Any news from Luxembourg? On student aid, frontier workers and stepchildren: </w:t>
      </w:r>
      <w:r w:rsidRPr="00510D7C">
        <w:rPr>
          <w:rFonts w:ascii="Times New Roman"/>
          <w:i/>
          <w:noProof/>
        </w:rPr>
        <w:t>Bragança Linares Verruga</w:t>
      </w:r>
      <w:r w:rsidRPr="00510D7C">
        <w:rPr>
          <w:rFonts w:ascii="Times New Roman"/>
          <w:noProof/>
        </w:rPr>
        <w:t xml:space="preserve"> and </w:t>
      </w:r>
      <w:r w:rsidRPr="00510D7C">
        <w:rPr>
          <w:rFonts w:ascii="Times New Roman"/>
          <w:i/>
          <w:noProof/>
        </w:rPr>
        <w:t>Depesme</w:t>
      </w:r>
      <w:r w:rsidRPr="00510D7C">
        <w:rPr>
          <w:rFonts w:ascii="Times New Roman"/>
          <w:noProof/>
        </w:rPr>
        <w:t>", (2018), CML Rev., 901–922, 913–915.</w:t>
      </w:r>
    </w:p>
  </w:footnote>
  <w:footnote w:id="127">
    <w:p w14:paraId="352286BA" w14:textId="77777777" w:rsidR="00803628" w:rsidRPr="00510D7C" w:rsidRDefault="00803628" w:rsidP="008638AF">
      <w:pPr>
        <w:pStyle w:val="FootnoteText"/>
        <w:rPr>
          <w:rFonts w:ascii="Times New Roman"/>
          <w:noProof/>
        </w:rPr>
      </w:pPr>
      <w:r w:rsidRPr="00510D7C">
        <w:rPr>
          <w:rStyle w:val="FootnoteReference"/>
          <w:rFonts w:ascii="Times New Roman"/>
          <w:noProof/>
        </w:rPr>
        <w:footnoteRef/>
      </w:r>
      <w:r w:rsidRPr="00510D7C">
        <w:rPr>
          <w:rFonts w:ascii="Times New Roman"/>
          <w:noProof/>
        </w:rPr>
        <w:t xml:space="preserve"> See above, notes </w:t>
      </w:r>
      <w:r w:rsidRPr="00510D7C">
        <w:rPr>
          <w:rFonts w:ascii="Times New Roman"/>
          <w:noProof/>
        </w:rPr>
        <w:fldChar w:fldCharType="begin"/>
      </w:r>
      <w:r w:rsidRPr="00510D7C">
        <w:rPr>
          <w:rFonts w:ascii="Times New Roman"/>
          <w:noProof/>
        </w:rPr>
        <w:instrText xml:space="preserve"> NOTEREF _Ref18691322 \h  \* MERGEFORMAT </w:instrText>
      </w:r>
      <w:r w:rsidRPr="00510D7C">
        <w:rPr>
          <w:rFonts w:ascii="Times New Roman"/>
          <w:noProof/>
        </w:rPr>
      </w:r>
      <w:r w:rsidRPr="00510D7C">
        <w:rPr>
          <w:rFonts w:ascii="Times New Roman"/>
          <w:noProof/>
        </w:rPr>
        <w:fldChar w:fldCharType="separate"/>
      </w:r>
      <w:r w:rsidRPr="00510D7C">
        <w:rPr>
          <w:rFonts w:ascii="Times New Roman"/>
          <w:noProof/>
        </w:rPr>
        <w:t>109</w:t>
      </w:r>
      <w:r w:rsidRPr="00510D7C">
        <w:rPr>
          <w:rFonts w:ascii="Times New Roman"/>
          <w:noProof/>
        </w:rPr>
        <w:fldChar w:fldCharType="end"/>
      </w:r>
      <w:r w:rsidRPr="00510D7C">
        <w:rPr>
          <w:rFonts w:ascii="Times New Roman"/>
          <w:noProof/>
        </w:rPr>
        <w:t xml:space="preserve"> and </w:t>
      </w:r>
      <w:r w:rsidRPr="00510D7C">
        <w:rPr>
          <w:rFonts w:ascii="Times New Roman"/>
          <w:noProof/>
        </w:rPr>
        <w:fldChar w:fldCharType="begin"/>
      </w:r>
      <w:r w:rsidRPr="00510D7C">
        <w:rPr>
          <w:rFonts w:ascii="Times New Roman"/>
          <w:noProof/>
        </w:rPr>
        <w:instrText xml:space="preserve"> NOTEREF _Ref18691330 \h  \* MERGEFORMAT </w:instrText>
      </w:r>
      <w:r w:rsidRPr="00510D7C">
        <w:rPr>
          <w:rFonts w:ascii="Times New Roman"/>
          <w:noProof/>
        </w:rPr>
      </w:r>
      <w:r w:rsidRPr="00510D7C">
        <w:rPr>
          <w:rFonts w:ascii="Times New Roman"/>
          <w:noProof/>
        </w:rPr>
        <w:fldChar w:fldCharType="separate"/>
      </w:r>
      <w:r w:rsidRPr="00510D7C">
        <w:rPr>
          <w:rFonts w:ascii="Times New Roman"/>
          <w:noProof/>
        </w:rPr>
        <w:t>110</w:t>
      </w:r>
      <w:r w:rsidRPr="00510D7C">
        <w:rPr>
          <w:rFonts w:ascii="Times New Roman"/>
          <w:noProof/>
        </w:rPr>
        <w:fldChar w:fldCharType="end"/>
      </w:r>
      <w:r w:rsidRPr="00510D7C">
        <w:rPr>
          <w:rFonts w:ascii="Times New Roman"/>
          <w:noProof/>
        </w:rPr>
        <w:t>.</w:t>
      </w:r>
    </w:p>
  </w:footnote>
  <w:footnote w:id="128">
    <w:p w14:paraId="08976D55" w14:textId="77777777" w:rsidR="00803628" w:rsidRPr="00510D7C" w:rsidRDefault="00803628" w:rsidP="008638AF">
      <w:pPr>
        <w:pStyle w:val="FootnoteText"/>
        <w:rPr>
          <w:rFonts w:ascii="Times New Roman"/>
          <w:noProof/>
        </w:rPr>
      </w:pPr>
      <w:r w:rsidRPr="00510D7C">
        <w:rPr>
          <w:rStyle w:val="FootnoteReference"/>
          <w:rFonts w:ascii="Times New Roman"/>
          <w:noProof/>
        </w:rPr>
        <w:footnoteRef/>
      </w:r>
      <w:r w:rsidRPr="00510D7C">
        <w:rPr>
          <w:rFonts w:ascii="Times New Roman"/>
          <w:noProof/>
        </w:rPr>
        <w:t xml:space="preserve"> Decision of the Heads of State or Government, meeting within the European Council, concerning a New Settlement for the United Kingdom within the European Union, Annex I to the Conclusions of the European Council meeting (18 and 19 February 2016), Brussels, 19 February 2016, EUCO 1/16, 23. </w:t>
      </w:r>
    </w:p>
  </w:footnote>
  <w:footnote w:id="129">
    <w:p w14:paraId="344A0E9A" w14:textId="77777777" w:rsidR="00803628" w:rsidRPr="00510D7C" w:rsidRDefault="00803628" w:rsidP="008638AF">
      <w:pPr>
        <w:pStyle w:val="FootnoteText"/>
        <w:rPr>
          <w:rFonts w:ascii="Times New Roman"/>
          <w:noProof/>
        </w:rPr>
      </w:pPr>
      <w:r w:rsidRPr="00510D7C">
        <w:rPr>
          <w:rStyle w:val="FootnoteReference"/>
          <w:rFonts w:ascii="Times New Roman"/>
          <w:noProof/>
        </w:rPr>
        <w:footnoteRef/>
      </w:r>
      <w:r w:rsidRPr="00510D7C">
        <w:rPr>
          <w:rFonts w:ascii="Times New Roman"/>
          <w:noProof/>
        </w:rPr>
        <w:t xml:space="preserve"> For an overview, see Verschueren, "The EU social security co-ordination system: A close interplay between the EU legislature and judiciary" in Syrpis (Ed.), </w:t>
      </w:r>
      <w:r w:rsidRPr="00510D7C">
        <w:rPr>
          <w:rFonts w:ascii="Times New Roman"/>
          <w:i/>
          <w:noProof/>
        </w:rPr>
        <w:t>The Judiciary, the Legislature and the EU Internal Market</w:t>
      </w:r>
      <w:r w:rsidRPr="00510D7C">
        <w:rPr>
          <w:rFonts w:ascii="Times New Roman"/>
          <w:noProof/>
        </w:rPr>
        <w:t xml:space="preserve"> (Cambridge University Press, 2012); Dougan, op. cit. </w:t>
      </w:r>
      <w:r w:rsidRPr="00510D7C">
        <w:rPr>
          <w:rFonts w:ascii="Times New Roman"/>
          <w:i/>
          <w:noProof/>
        </w:rPr>
        <w:t xml:space="preserve">supra </w:t>
      </w:r>
      <w:r w:rsidRPr="00510D7C">
        <w:rPr>
          <w:rFonts w:ascii="Times New Roman"/>
          <w:noProof/>
        </w:rPr>
        <w:t xml:space="preserve">note </w:t>
      </w:r>
      <w:r w:rsidRPr="00510D7C">
        <w:rPr>
          <w:rFonts w:ascii="Times New Roman"/>
          <w:noProof/>
        </w:rPr>
        <w:fldChar w:fldCharType="begin"/>
      </w:r>
      <w:r w:rsidRPr="00510D7C">
        <w:rPr>
          <w:rFonts w:ascii="Times New Roman"/>
          <w:noProof/>
        </w:rPr>
        <w:instrText xml:space="preserve"> NOTEREF _Ref18858371 \h  \* MERGEFORMAT </w:instrText>
      </w:r>
      <w:r w:rsidRPr="00510D7C">
        <w:rPr>
          <w:rFonts w:ascii="Times New Roman"/>
          <w:noProof/>
        </w:rPr>
      </w:r>
      <w:r w:rsidRPr="00510D7C">
        <w:rPr>
          <w:rFonts w:ascii="Times New Roman"/>
          <w:noProof/>
        </w:rPr>
        <w:fldChar w:fldCharType="separate"/>
      </w:r>
      <w:r w:rsidRPr="00510D7C">
        <w:rPr>
          <w:rFonts w:ascii="Times New Roman"/>
          <w:noProof/>
        </w:rPr>
        <w:t>36</w:t>
      </w:r>
      <w:r w:rsidRPr="00510D7C">
        <w:rPr>
          <w:rFonts w:ascii="Times New Roman"/>
          <w:noProof/>
        </w:rPr>
        <w:fldChar w:fldCharType="end"/>
      </w:r>
      <w:r w:rsidRPr="00510D7C">
        <w:rPr>
          <w:rFonts w:ascii="Times New Roman"/>
          <w:noProof/>
        </w:rPr>
        <w:t xml:space="preserve">, 136 a.f. </w:t>
      </w:r>
    </w:p>
  </w:footnote>
  <w:footnote w:id="130">
    <w:p w14:paraId="181EF0AE" w14:textId="77777777" w:rsidR="00803628" w:rsidRPr="00510D7C" w:rsidRDefault="00803628" w:rsidP="008638AF">
      <w:pPr>
        <w:pStyle w:val="FootnoteText"/>
        <w:rPr>
          <w:rFonts w:ascii="Times New Roman"/>
          <w:noProof/>
        </w:rPr>
      </w:pPr>
      <w:r w:rsidRPr="00510D7C">
        <w:rPr>
          <w:rStyle w:val="FootnoteReference"/>
          <w:rFonts w:ascii="Times New Roman"/>
          <w:noProof/>
        </w:rPr>
        <w:footnoteRef/>
      </w:r>
      <w:r w:rsidRPr="00510D7C">
        <w:rPr>
          <w:rFonts w:ascii="Times New Roman"/>
          <w:noProof/>
        </w:rPr>
        <w:t xml:space="preserve"> E.g. Case C-443/93, </w:t>
      </w:r>
      <w:r w:rsidRPr="00510D7C">
        <w:rPr>
          <w:rFonts w:ascii="Times New Roman"/>
          <w:i/>
          <w:noProof/>
        </w:rPr>
        <w:t>Vougioukas</w:t>
      </w:r>
      <w:r w:rsidRPr="00510D7C">
        <w:rPr>
          <w:rFonts w:ascii="Times New Roman"/>
          <w:noProof/>
        </w:rPr>
        <w:t xml:space="preserve">, para 35; Case C-443/11, </w:t>
      </w:r>
      <w:r w:rsidRPr="00510D7C">
        <w:rPr>
          <w:rFonts w:ascii="Times New Roman"/>
          <w:i/>
          <w:noProof/>
        </w:rPr>
        <w:t>Jeltes v Raad van bestuur van het Uitvoeringsinstituut werknemersverzekeringen</w:t>
      </w:r>
      <w:r w:rsidRPr="00510D7C">
        <w:rPr>
          <w:rFonts w:ascii="Times New Roman"/>
          <w:noProof/>
        </w:rPr>
        <w:t xml:space="preserve">, EU:C:2013:224, para 40. </w:t>
      </w:r>
    </w:p>
  </w:footnote>
  <w:footnote w:id="131">
    <w:p w14:paraId="760408AB" w14:textId="77777777" w:rsidR="00803628" w:rsidRPr="00510D7C" w:rsidRDefault="00803628" w:rsidP="008638AF">
      <w:pPr>
        <w:pStyle w:val="FootnoteText"/>
        <w:rPr>
          <w:rFonts w:ascii="Times New Roman"/>
          <w:noProof/>
        </w:rPr>
      </w:pPr>
      <w:r w:rsidRPr="00510D7C">
        <w:rPr>
          <w:rStyle w:val="FootnoteReference"/>
          <w:rFonts w:ascii="Times New Roman"/>
          <w:noProof/>
        </w:rPr>
        <w:footnoteRef/>
      </w:r>
      <w:r w:rsidRPr="00510D7C">
        <w:rPr>
          <w:rFonts w:ascii="Times New Roman"/>
          <w:noProof/>
        </w:rPr>
        <w:t xml:space="preserve"> Case 24/75, </w:t>
      </w:r>
      <w:r w:rsidRPr="00510D7C">
        <w:rPr>
          <w:rFonts w:ascii="Times New Roman"/>
          <w:i/>
          <w:noProof/>
        </w:rPr>
        <w:t>Petroni v Office national des pensions pour travailleurs salariés, Bruxelles</w:t>
      </w:r>
      <w:r w:rsidRPr="00510D7C">
        <w:rPr>
          <w:rFonts w:ascii="Times New Roman"/>
          <w:noProof/>
        </w:rPr>
        <w:t xml:space="preserve">, EU:C:1975:129; Case 41/84, </w:t>
      </w:r>
      <w:r w:rsidRPr="00510D7C">
        <w:rPr>
          <w:rFonts w:ascii="Times New Roman"/>
          <w:i/>
          <w:noProof/>
        </w:rPr>
        <w:t>Pinna v Caisse d'allocations familiales de la Savoie</w:t>
      </w:r>
      <w:r w:rsidRPr="00510D7C">
        <w:rPr>
          <w:rFonts w:ascii="Times New Roman"/>
          <w:noProof/>
        </w:rPr>
        <w:t xml:space="preserve">, EU:C:1986:1; Case 20/85, </w:t>
      </w:r>
      <w:r w:rsidRPr="00510D7C">
        <w:rPr>
          <w:rFonts w:ascii="Times New Roman"/>
          <w:i/>
          <w:noProof/>
        </w:rPr>
        <w:t>Roviello v Landesversicherungsanstalt Schwaben</w:t>
      </w:r>
      <w:r w:rsidRPr="00510D7C">
        <w:rPr>
          <w:rFonts w:ascii="Times New Roman"/>
          <w:noProof/>
        </w:rPr>
        <w:t xml:space="preserve">, EU:C:1988:283; Case C-290/00, </w:t>
      </w:r>
      <w:r w:rsidRPr="00510D7C">
        <w:rPr>
          <w:rFonts w:ascii="Times New Roman"/>
          <w:i/>
          <w:noProof/>
        </w:rPr>
        <w:t>Duchon</w:t>
      </w:r>
      <w:r w:rsidRPr="00510D7C">
        <w:rPr>
          <w:rFonts w:ascii="Times New Roman"/>
          <w:noProof/>
        </w:rPr>
        <w:t xml:space="preserve">; Case C-396/05, C-419/05 and C-450/05, </w:t>
      </w:r>
      <w:r w:rsidRPr="00510D7C">
        <w:rPr>
          <w:rFonts w:ascii="Times New Roman"/>
          <w:i/>
          <w:noProof/>
        </w:rPr>
        <w:t>Habelt, Möser and Wachter v Deutsche Rentenversicherung Bund</w:t>
      </w:r>
      <w:r w:rsidRPr="00510D7C">
        <w:rPr>
          <w:rFonts w:ascii="Times New Roman"/>
          <w:noProof/>
        </w:rPr>
        <w:t>, EU:C:2007:810.</w:t>
      </w:r>
    </w:p>
  </w:footnote>
  <w:footnote w:id="132">
    <w:p w14:paraId="13CD7093" w14:textId="77777777" w:rsidR="00803628" w:rsidRPr="00510D7C" w:rsidRDefault="00803628" w:rsidP="008638AF">
      <w:pPr>
        <w:pStyle w:val="FootnoteText"/>
        <w:rPr>
          <w:rFonts w:ascii="Times New Roman"/>
          <w:noProof/>
        </w:rPr>
      </w:pPr>
      <w:r w:rsidRPr="00510D7C">
        <w:rPr>
          <w:rStyle w:val="FootnoteReference"/>
          <w:rFonts w:ascii="Times New Roman"/>
          <w:noProof/>
        </w:rPr>
        <w:footnoteRef/>
      </w:r>
      <w:r w:rsidRPr="00510D7C">
        <w:rPr>
          <w:rFonts w:ascii="Times New Roman"/>
          <w:noProof/>
        </w:rPr>
        <w:t xml:space="preserve"> See Davies, "Legislative control of the European Court of Justice", (2014), CML Rev., 1579–1607, 1598–1602.</w:t>
      </w:r>
    </w:p>
  </w:footnote>
  <w:footnote w:id="133">
    <w:p w14:paraId="4B6472F8" w14:textId="77777777" w:rsidR="00803628" w:rsidRPr="00510D7C" w:rsidRDefault="00803628">
      <w:pPr>
        <w:pStyle w:val="FootnoteText"/>
        <w:rPr>
          <w:rFonts w:ascii="Times New Roman"/>
          <w:noProof/>
        </w:rPr>
      </w:pPr>
      <w:r w:rsidRPr="00510D7C">
        <w:rPr>
          <w:rStyle w:val="FootnoteReference"/>
          <w:rFonts w:ascii="Times New Roman"/>
          <w:noProof/>
        </w:rPr>
        <w:footnoteRef/>
      </w:r>
      <w:r w:rsidRPr="00510D7C">
        <w:rPr>
          <w:rFonts w:ascii="Times New Roman"/>
          <w:noProof/>
        </w:rPr>
        <w:t xml:space="preserve"> </w:t>
      </w:r>
      <w:r w:rsidRPr="00510D7C">
        <w:rPr>
          <w:rFonts w:ascii="Times New Roman"/>
          <w:iCs/>
          <w:noProof/>
        </w:rPr>
        <w:t xml:space="preserve">E.g. Case C-3/08, </w:t>
      </w:r>
      <w:r w:rsidRPr="00510D7C">
        <w:rPr>
          <w:rFonts w:ascii="Times New Roman"/>
          <w:i/>
          <w:iCs/>
          <w:noProof/>
        </w:rPr>
        <w:t>Leyman</w:t>
      </w:r>
      <w:r w:rsidRPr="00510D7C">
        <w:rPr>
          <w:rFonts w:ascii="Times New Roman"/>
          <w:iCs/>
          <w:noProof/>
        </w:rPr>
        <w:t>.</w:t>
      </w:r>
    </w:p>
  </w:footnote>
  <w:footnote w:id="134">
    <w:p w14:paraId="679B7D71" w14:textId="77777777" w:rsidR="00803628" w:rsidRPr="00510D7C" w:rsidRDefault="00803628">
      <w:pPr>
        <w:pStyle w:val="FootnoteText"/>
        <w:rPr>
          <w:rFonts w:ascii="Times New Roman"/>
          <w:noProof/>
        </w:rPr>
      </w:pPr>
      <w:r w:rsidRPr="00510D7C">
        <w:rPr>
          <w:rStyle w:val="FootnoteReference"/>
          <w:rFonts w:ascii="Times New Roman"/>
          <w:noProof/>
        </w:rPr>
        <w:footnoteRef/>
      </w:r>
      <w:r w:rsidRPr="00510D7C">
        <w:rPr>
          <w:rFonts w:ascii="Times New Roman"/>
          <w:noProof/>
        </w:rPr>
        <w:t xml:space="preserve"> Case C-611/10 and C-612/10, </w:t>
      </w:r>
      <w:r w:rsidRPr="00510D7C">
        <w:rPr>
          <w:rFonts w:ascii="Times New Roman"/>
          <w:i/>
          <w:noProof/>
        </w:rPr>
        <w:t>Hudziński v Agentur für Arbeit Wesel - Familienkasse and Wawrzyniak v Agentur für Arbeit Mönchengladbach - Familienkasse</w:t>
      </w:r>
      <w:r w:rsidRPr="00510D7C">
        <w:rPr>
          <w:rFonts w:ascii="Times New Roman"/>
          <w:noProof/>
        </w:rPr>
        <w:t>, EU:C:2012:339, para 53.</w:t>
      </w:r>
    </w:p>
  </w:footnote>
  <w:footnote w:id="135">
    <w:p w14:paraId="532840BA" w14:textId="77777777" w:rsidR="00803628" w:rsidRPr="00510D7C" w:rsidRDefault="00803628" w:rsidP="008638AF">
      <w:pPr>
        <w:pStyle w:val="FootnoteText"/>
        <w:rPr>
          <w:rFonts w:ascii="Times New Roman"/>
          <w:noProof/>
        </w:rPr>
      </w:pPr>
      <w:r w:rsidRPr="00510D7C">
        <w:rPr>
          <w:rStyle w:val="FootnoteReference"/>
          <w:rFonts w:ascii="Times New Roman"/>
          <w:noProof/>
        </w:rPr>
        <w:footnoteRef/>
      </w:r>
      <w:r w:rsidRPr="00510D7C">
        <w:rPr>
          <w:rFonts w:ascii="Times New Roman"/>
          <w:noProof/>
        </w:rPr>
        <w:t xml:space="preserve"> E.g. Case C-406/04, </w:t>
      </w:r>
      <w:r w:rsidRPr="00510D7C">
        <w:rPr>
          <w:rFonts w:ascii="Times New Roman"/>
          <w:i/>
          <w:noProof/>
        </w:rPr>
        <w:t>De Cuyper v Office national de l'emploi</w:t>
      </w:r>
      <w:r w:rsidRPr="00510D7C">
        <w:rPr>
          <w:rFonts w:ascii="Times New Roman"/>
          <w:noProof/>
        </w:rPr>
        <w:t xml:space="preserve">, EU:C:2006:491; Case C-287/05, </w:t>
      </w:r>
      <w:r w:rsidRPr="00510D7C">
        <w:rPr>
          <w:rFonts w:ascii="Times New Roman"/>
          <w:i/>
          <w:noProof/>
        </w:rPr>
        <w:t>Hendrix v Raad van Bestuur van het Uitvoeringsinstituut Werknemersverzekeringen</w:t>
      </w:r>
      <w:r w:rsidRPr="00510D7C">
        <w:rPr>
          <w:rFonts w:ascii="Times New Roman"/>
          <w:noProof/>
        </w:rPr>
        <w:t xml:space="preserve">, EU:C:2007:494; Case C-228/07, </w:t>
      </w:r>
      <w:r w:rsidRPr="00510D7C">
        <w:rPr>
          <w:rFonts w:ascii="Times New Roman"/>
          <w:i/>
          <w:noProof/>
        </w:rPr>
        <w:t>Petersen v Landesgeschäftsstelle des Arbeitsmarktservice Niederösterreich</w:t>
      </w:r>
      <w:r w:rsidRPr="00510D7C">
        <w:rPr>
          <w:rFonts w:ascii="Times New Roman"/>
          <w:noProof/>
        </w:rPr>
        <w:t xml:space="preserve">, EU:C:2008:494; Opinion of A.G. Sharpston in Joined Cases C-95/18 and C-96/18, </w:t>
      </w:r>
      <w:r w:rsidRPr="00510D7C">
        <w:rPr>
          <w:rFonts w:ascii="Times New Roman"/>
          <w:i/>
          <w:iCs/>
          <w:noProof/>
        </w:rPr>
        <w:t>van den Berg and Giesen</w:t>
      </w:r>
      <w:r w:rsidRPr="00510D7C">
        <w:rPr>
          <w:rFonts w:ascii="Times New Roman"/>
          <w:noProof/>
        </w:rPr>
        <w:t xml:space="preserve">; see also Dougan, op. cit. </w:t>
      </w:r>
      <w:r w:rsidRPr="00510D7C">
        <w:rPr>
          <w:rFonts w:ascii="Times New Roman"/>
          <w:i/>
          <w:noProof/>
        </w:rPr>
        <w:t xml:space="preserve">supra </w:t>
      </w:r>
      <w:r w:rsidRPr="00510D7C">
        <w:rPr>
          <w:rFonts w:ascii="Times New Roman"/>
          <w:noProof/>
        </w:rPr>
        <w:t xml:space="preserve">note </w:t>
      </w:r>
      <w:r w:rsidRPr="00510D7C">
        <w:rPr>
          <w:rFonts w:ascii="Times New Roman"/>
          <w:noProof/>
        </w:rPr>
        <w:fldChar w:fldCharType="begin"/>
      </w:r>
      <w:r w:rsidRPr="00510D7C">
        <w:rPr>
          <w:rFonts w:ascii="Times New Roman"/>
          <w:noProof/>
        </w:rPr>
        <w:instrText xml:space="preserve"> NOTEREF _Ref18858371 \h  \* MERGEFORMAT </w:instrText>
      </w:r>
      <w:r w:rsidRPr="00510D7C">
        <w:rPr>
          <w:rFonts w:ascii="Times New Roman"/>
          <w:noProof/>
        </w:rPr>
      </w:r>
      <w:r w:rsidRPr="00510D7C">
        <w:rPr>
          <w:rFonts w:ascii="Times New Roman"/>
          <w:noProof/>
        </w:rPr>
        <w:fldChar w:fldCharType="separate"/>
      </w:r>
      <w:r w:rsidRPr="00510D7C">
        <w:rPr>
          <w:rFonts w:ascii="Times New Roman"/>
          <w:noProof/>
        </w:rPr>
        <w:t>36</w:t>
      </w:r>
      <w:r w:rsidRPr="00510D7C">
        <w:rPr>
          <w:rFonts w:ascii="Times New Roman"/>
          <w:noProof/>
        </w:rPr>
        <w:fldChar w:fldCharType="end"/>
      </w:r>
      <w:r w:rsidRPr="00510D7C">
        <w:rPr>
          <w:rFonts w:ascii="Times New Roman"/>
          <w:noProof/>
        </w:rPr>
        <w:t xml:space="preserve">, 144–147. Prime opportunities for indirect review were missed in the cases referenced in notes </w:t>
      </w:r>
      <w:r w:rsidRPr="00510D7C">
        <w:rPr>
          <w:rFonts w:ascii="Times New Roman"/>
          <w:noProof/>
        </w:rPr>
        <w:fldChar w:fldCharType="begin"/>
      </w:r>
      <w:r w:rsidRPr="00510D7C">
        <w:rPr>
          <w:rFonts w:ascii="Times New Roman"/>
          <w:noProof/>
        </w:rPr>
        <w:instrText xml:space="preserve"> NOTEREF _Ref18688781 \h  \* MERGEFORMAT </w:instrText>
      </w:r>
      <w:r w:rsidRPr="00510D7C">
        <w:rPr>
          <w:rFonts w:ascii="Times New Roman"/>
          <w:noProof/>
        </w:rPr>
      </w:r>
      <w:r w:rsidRPr="00510D7C">
        <w:rPr>
          <w:rFonts w:ascii="Times New Roman"/>
          <w:noProof/>
        </w:rPr>
        <w:fldChar w:fldCharType="separate"/>
      </w:r>
      <w:r w:rsidRPr="00510D7C">
        <w:rPr>
          <w:rFonts w:ascii="Times New Roman"/>
          <w:noProof/>
        </w:rPr>
        <w:t>114</w:t>
      </w:r>
      <w:r w:rsidRPr="00510D7C">
        <w:rPr>
          <w:rFonts w:ascii="Times New Roman"/>
          <w:noProof/>
        </w:rPr>
        <w:fldChar w:fldCharType="end"/>
      </w:r>
      <w:r w:rsidRPr="00510D7C">
        <w:rPr>
          <w:rFonts w:ascii="Times New Roman"/>
          <w:noProof/>
        </w:rPr>
        <w:t>–</w:t>
      </w:r>
      <w:r w:rsidRPr="00510D7C">
        <w:rPr>
          <w:rFonts w:ascii="Times New Roman"/>
          <w:noProof/>
        </w:rPr>
        <w:fldChar w:fldCharType="begin"/>
      </w:r>
      <w:r w:rsidRPr="00510D7C">
        <w:rPr>
          <w:rFonts w:ascii="Times New Roman"/>
          <w:noProof/>
        </w:rPr>
        <w:instrText xml:space="preserve"> NOTEREF _Ref18688798 \h  \* MERGEFORMAT </w:instrText>
      </w:r>
      <w:r w:rsidRPr="00510D7C">
        <w:rPr>
          <w:rFonts w:ascii="Times New Roman"/>
          <w:noProof/>
        </w:rPr>
      </w:r>
      <w:r w:rsidRPr="00510D7C">
        <w:rPr>
          <w:rFonts w:ascii="Times New Roman"/>
          <w:noProof/>
        </w:rPr>
        <w:fldChar w:fldCharType="separate"/>
      </w:r>
      <w:r w:rsidRPr="00510D7C">
        <w:rPr>
          <w:rFonts w:ascii="Times New Roman"/>
          <w:noProof/>
        </w:rPr>
        <w:t>117</w:t>
      </w:r>
      <w:r w:rsidRPr="00510D7C">
        <w:rPr>
          <w:rFonts w:ascii="Times New Roman"/>
          <w:noProof/>
        </w:rPr>
        <w:fldChar w:fldCharType="end"/>
      </w:r>
      <w:r w:rsidRPr="00510D7C">
        <w:rPr>
          <w:rFonts w:ascii="Times New Roman"/>
          <w:noProof/>
        </w:rPr>
        <w:t>.</w:t>
      </w:r>
    </w:p>
  </w:footnote>
  <w:footnote w:id="136">
    <w:p w14:paraId="4A47EFE5" w14:textId="77777777" w:rsidR="00803628" w:rsidRPr="00510D7C" w:rsidRDefault="00803628" w:rsidP="008638AF">
      <w:pPr>
        <w:pStyle w:val="FootnoteText"/>
        <w:rPr>
          <w:rFonts w:ascii="Times New Roman"/>
          <w:noProof/>
        </w:rPr>
      </w:pPr>
      <w:r w:rsidRPr="00510D7C">
        <w:rPr>
          <w:rStyle w:val="FootnoteReference"/>
          <w:rFonts w:ascii="Times New Roman"/>
          <w:noProof/>
        </w:rPr>
        <w:footnoteRef/>
      </w:r>
      <w:r w:rsidRPr="00510D7C">
        <w:rPr>
          <w:rFonts w:ascii="Times New Roman"/>
          <w:noProof/>
        </w:rPr>
        <w:t xml:space="preserve"> Dougan, "The constitutional dimension to the case law on Union citizenship", (2006), EL Rev., 613–641, 621.</w:t>
      </w:r>
    </w:p>
  </w:footnote>
  <w:footnote w:id="137">
    <w:p w14:paraId="44CAF33E" w14:textId="77777777" w:rsidR="00803628" w:rsidRPr="00510D7C" w:rsidRDefault="00803628" w:rsidP="008638AF">
      <w:pPr>
        <w:pStyle w:val="FootnoteText"/>
        <w:rPr>
          <w:rFonts w:ascii="Times New Roman"/>
          <w:noProof/>
        </w:rPr>
      </w:pPr>
      <w:r w:rsidRPr="00510D7C">
        <w:rPr>
          <w:rStyle w:val="FootnoteReference"/>
          <w:rFonts w:ascii="Times New Roman"/>
          <w:noProof/>
        </w:rPr>
        <w:footnoteRef/>
      </w:r>
      <w:r w:rsidRPr="00510D7C">
        <w:rPr>
          <w:rFonts w:ascii="Times New Roman"/>
          <w:noProof/>
        </w:rPr>
        <w:t xml:space="preserve"> See further Davies, op. cit. </w:t>
      </w:r>
      <w:r w:rsidRPr="00510D7C">
        <w:rPr>
          <w:rFonts w:ascii="Times New Roman"/>
          <w:i/>
          <w:noProof/>
        </w:rPr>
        <w:t xml:space="preserve">supra </w:t>
      </w:r>
      <w:r w:rsidRPr="00510D7C">
        <w:rPr>
          <w:rFonts w:ascii="Times New Roman"/>
          <w:noProof/>
        </w:rPr>
        <w:t xml:space="preserve">note </w:t>
      </w:r>
      <w:r w:rsidRPr="00510D7C">
        <w:rPr>
          <w:rFonts w:ascii="Times New Roman"/>
          <w:noProof/>
        </w:rPr>
        <w:fldChar w:fldCharType="begin"/>
      </w:r>
      <w:r w:rsidRPr="00510D7C">
        <w:rPr>
          <w:rFonts w:ascii="Times New Roman"/>
          <w:noProof/>
        </w:rPr>
        <w:instrText xml:space="preserve"> NOTEREF _Ref18858568 \h  \* MERGEFORMAT </w:instrText>
      </w:r>
      <w:r w:rsidRPr="00510D7C">
        <w:rPr>
          <w:rFonts w:ascii="Times New Roman"/>
          <w:noProof/>
        </w:rPr>
      </w:r>
      <w:r w:rsidRPr="00510D7C">
        <w:rPr>
          <w:rFonts w:ascii="Times New Roman"/>
          <w:noProof/>
        </w:rPr>
        <w:fldChar w:fldCharType="separate"/>
      </w:r>
      <w:r w:rsidRPr="00510D7C">
        <w:rPr>
          <w:rFonts w:ascii="Times New Roman"/>
          <w:noProof/>
        </w:rPr>
        <w:t>132</w:t>
      </w:r>
      <w:r w:rsidRPr="00510D7C">
        <w:rPr>
          <w:rFonts w:ascii="Times New Roman"/>
          <w:noProof/>
        </w:rPr>
        <w:fldChar w:fldCharType="end"/>
      </w:r>
      <w:r w:rsidRPr="00510D7C">
        <w:rPr>
          <w:rFonts w:ascii="Times New Roman"/>
          <w:noProof/>
        </w:rPr>
        <w:t>, 1602–1605.</w:t>
      </w:r>
    </w:p>
  </w:footnote>
  <w:footnote w:id="138">
    <w:p w14:paraId="38E25D34" w14:textId="77777777" w:rsidR="00803628" w:rsidRPr="00510D7C" w:rsidRDefault="00803628">
      <w:pPr>
        <w:pStyle w:val="FootnoteText"/>
        <w:rPr>
          <w:rFonts w:ascii="Times New Roman"/>
          <w:noProof/>
        </w:rPr>
      </w:pPr>
      <w:r w:rsidRPr="00510D7C">
        <w:rPr>
          <w:rStyle w:val="FootnoteReference"/>
          <w:rFonts w:ascii="Times New Roman"/>
          <w:noProof/>
        </w:rPr>
        <w:footnoteRef/>
      </w:r>
      <w:r w:rsidRPr="00510D7C">
        <w:rPr>
          <w:rFonts w:ascii="Times New Roman"/>
          <w:noProof/>
        </w:rPr>
        <w:t xml:space="preserve"> Case C-158/96, </w:t>
      </w:r>
      <w:r w:rsidRPr="00510D7C">
        <w:rPr>
          <w:rFonts w:ascii="Times New Roman"/>
          <w:i/>
          <w:noProof/>
        </w:rPr>
        <w:t>Kohll v Union des caisses de maladie</w:t>
      </w:r>
      <w:r w:rsidRPr="00510D7C">
        <w:rPr>
          <w:rFonts w:ascii="Times New Roman"/>
          <w:noProof/>
        </w:rPr>
        <w:t xml:space="preserve">, EU:C:1998:171. </w:t>
      </w:r>
    </w:p>
  </w:footnote>
  <w:footnote w:id="139">
    <w:p w14:paraId="5F1E58E6" w14:textId="77777777" w:rsidR="00803628" w:rsidRPr="00510D7C" w:rsidRDefault="00803628">
      <w:pPr>
        <w:pStyle w:val="FootnoteText"/>
        <w:rPr>
          <w:rFonts w:ascii="Times New Roman"/>
          <w:noProof/>
        </w:rPr>
      </w:pPr>
      <w:r w:rsidRPr="00510D7C">
        <w:rPr>
          <w:rStyle w:val="FootnoteReference"/>
          <w:rFonts w:ascii="Times New Roman"/>
          <w:noProof/>
        </w:rPr>
        <w:footnoteRef/>
      </w:r>
      <w:r w:rsidRPr="00510D7C">
        <w:rPr>
          <w:rFonts w:ascii="Times New Roman"/>
          <w:noProof/>
        </w:rPr>
        <w:t xml:space="preserve"> Case C-287/05, </w:t>
      </w:r>
      <w:r w:rsidRPr="00510D7C">
        <w:rPr>
          <w:rFonts w:ascii="Times New Roman"/>
          <w:i/>
          <w:noProof/>
        </w:rPr>
        <w:t>Hendrix</w:t>
      </w:r>
      <w:r w:rsidRPr="00510D7C">
        <w:rPr>
          <w:rFonts w:ascii="Times New Roman"/>
          <w:noProof/>
        </w:rPr>
        <w:t>, para 58.</w:t>
      </w:r>
    </w:p>
  </w:footnote>
  <w:footnote w:id="140">
    <w:p w14:paraId="2A45548F" w14:textId="77777777" w:rsidR="00803628" w:rsidRPr="00510D7C" w:rsidRDefault="00803628">
      <w:pPr>
        <w:pStyle w:val="FootnoteText"/>
        <w:rPr>
          <w:rFonts w:ascii="Times New Roman"/>
          <w:noProof/>
        </w:rPr>
      </w:pPr>
      <w:r w:rsidRPr="00510D7C">
        <w:rPr>
          <w:rStyle w:val="FootnoteReference"/>
          <w:rFonts w:ascii="Times New Roman"/>
          <w:noProof/>
        </w:rPr>
        <w:footnoteRef/>
      </w:r>
      <w:r w:rsidRPr="00510D7C">
        <w:rPr>
          <w:rFonts w:ascii="Times New Roman"/>
          <w:noProof/>
        </w:rPr>
        <w:t xml:space="preserve"> Case C-611/10 and C-612/10, </w:t>
      </w:r>
      <w:r w:rsidRPr="00510D7C">
        <w:rPr>
          <w:rFonts w:ascii="Times New Roman"/>
          <w:i/>
          <w:noProof/>
        </w:rPr>
        <w:t>Hudziński and Wawrzyniak</w:t>
      </w:r>
      <w:r w:rsidRPr="00510D7C">
        <w:rPr>
          <w:rFonts w:ascii="Times New Roman"/>
          <w:noProof/>
        </w:rPr>
        <w:t>.</w:t>
      </w:r>
    </w:p>
  </w:footnote>
  <w:footnote w:id="141">
    <w:p w14:paraId="40C9C618" w14:textId="77777777" w:rsidR="00803628" w:rsidRPr="00510D7C" w:rsidRDefault="00803628">
      <w:pPr>
        <w:pStyle w:val="FootnoteText"/>
        <w:rPr>
          <w:rFonts w:ascii="Times New Roman"/>
          <w:noProof/>
        </w:rPr>
      </w:pPr>
      <w:r w:rsidRPr="00510D7C">
        <w:rPr>
          <w:rStyle w:val="FootnoteReference"/>
          <w:rFonts w:ascii="Times New Roman"/>
          <w:noProof/>
        </w:rPr>
        <w:footnoteRef/>
      </w:r>
      <w:r w:rsidRPr="00510D7C">
        <w:rPr>
          <w:rFonts w:ascii="Times New Roman"/>
          <w:noProof/>
        </w:rPr>
        <w:t xml:space="preserve"> E.g. Case C-11/06 and C-12/06, </w:t>
      </w:r>
      <w:r w:rsidRPr="00510D7C">
        <w:rPr>
          <w:rFonts w:ascii="Times New Roman"/>
          <w:i/>
          <w:noProof/>
        </w:rPr>
        <w:t>Morgan and Bucher</w:t>
      </w:r>
      <w:r w:rsidRPr="00510D7C">
        <w:rPr>
          <w:rFonts w:ascii="Times New Roman"/>
          <w:noProof/>
        </w:rPr>
        <w:t xml:space="preserve">; Case C-523/11 and C-585/11, </w:t>
      </w:r>
      <w:r w:rsidRPr="00510D7C">
        <w:rPr>
          <w:rFonts w:ascii="Times New Roman"/>
          <w:i/>
          <w:noProof/>
        </w:rPr>
        <w:t>Prinz and Seeberger</w:t>
      </w:r>
      <w:r w:rsidRPr="00510D7C">
        <w:rPr>
          <w:rFonts w:ascii="Times New Roman"/>
          <w:noProof/>
        </w:rPr>
        <w:t xml:space="preserve">; Case C-359/13, </w:t>
      </w:r>
      <w:r w:rsidRPr="00510D7C">
        <w:rPr>
          <w:rFonts w:ascii="Times New Roman"/>
          <w:i/>
          <w:noProof/>
        </w:rPr>
        <w:t>Martens v Minister van Onderwijs, Cultuur en Wetenschap</w:t>
      </w:r>
      <w:r w:rsidRPr="00510D7C">
        <w:rPr>
          <w:rFonts w:ascii="Times New Roman"/>
          <w:noProof/>
        </w:rPr>
        <w:t>, EU:C:2015:118.</w:t>
      </w:r>
    </w:p>
  </w:footnote>
  <w:footnote w:id="142">
    <w:p w14:paraId="17C15FE3" w14:textId="77777777" w:rsidR="00803628" w:rsidRPr="00510D7C" w:rsidRDefault="00803628" w:rsidP="008638AF">
      <w:pPr>
        <w:pStyle w:val="FootnoteText"/>
        <w:rPr>
          <w:rFonts w:ascii="Times New Roman"/>
          <w:noProof/>
        </w:rPr>
      </w:pPr>
      <w:r w:rsidRPr="00510D7C">
        <w:rPr>
          <w:rStyle w:val="FootnoteReference"/>
          <w:rFonts w:ascii="Times New Roman"/>
          <w:noProof/>
        </w:rPr>
        <w:footnoteRef/>
      </w:r>
      <w:r w:rsidRPr="00510D7C">
        <w:rPr>
          <w:rFonts w:ascii="Times New Roman"/>
          <w:noProof/>
        </w:rPr>
        <w:t xml:space="preserve"> Case C-11/06 and C-12/06, </w:t>
      </w:r>
      <w:r w:rsidRPr="00510D7C">
        <w:rPr>
          <w:rFonts w:ascii="Times New Roman"/>
          <w:i/>
          <w:noProof/>
        </w:rPr>
        <w:t>Morgan and Bucher</w:t>
      </w:r>
      <w:r w:rsidRPr="00510D7C">
        <w:rPr>
          <w:rFonts w:ascii="Times New Roman"/>
          <w:noProof/>
        </w:rPr>
        <w:t>, paras. 43, 45.</w:t>
      </w:r>
    </w:p>
  </w:footnote>
  <w:footnote w:id="143">
    <w:p w14:paraId="708840C8" w14:textId="77777777" w:rsidR="00803628" w:rsidRPr="00510D7C" w:rsidRDefault="00803628" w:rsidP="008638AF">
      <w:pPr>
        <w:pStyle w:val="FootnoteText"/>
        <w:rPr>
          <w:rFonts w:ascii="Times New Roman"/>
          <w:noProof/>
        </w:rPr>
      </w:pPr>
      <w:r w:rsidRPr="00510D7C">
        <w:rPr>
          <w:rStyle w:val="FootnoteReference"/>
          <w:rFonts w:ascii="Times New Roman"/>
          <w:noProof/>
        </w:rPr>
        <w:footnoteRef/>
      </w:r>
      <w:r w:rsidRPr="00510D7C">
        <w:rPr>
          <w:rFonts w:ascii="Times New Roman"/>
          <w:noProof/>
        </w:rPr>
        <w:t xml:space="preserve"> Dougan, "Cross-border educational mobility and the exportation of student financial assistance", (2008), EL Rev., 723–738, 735.</w:t>
      </w:r>
    </w:p>
  </w:footnote>
  <w:footnote w:id="144">
    <w:p w14:paraId="362A3723" w14:textId="77777777" w:rsidR="00803628" w:rsidRPr="00510D7C" w:rsidRDefault="00803628" w:rsidP="008638AF">
      <w:pPr>
        <w:pStyle w:val="FootnoteText"/>
        <w:rPr>
          <w:rFonts w:ascii="Times New Roman"/>
          <w:noProof/>
        </w:rPr>
      </w:pPr>
      <w:r w:rsidRPr="00510D7C">
        <w:rPr>
          <w:rStyle w:val="FootnoteReference"/>
          <w:rFonts w:ascii="Times New Roman"/>
          <w:noProof/>
        </w:rPr>
        <w:footnoteRef/>
      </w:r>
      <w:r w:rsidRPr="00510D7C">
        <w:rPr>
          <w:rFonts w:ascii="Times New Roman"/>
          <w:noProof/>
        </w:rPr>
        <w:t xml:space="preserve"> Case C-220/12, </w:t>
      </w:r>
      <w:r w:rsidRPr="00510D7C">
        <w:rPr>
          <w:rFonts w:ascii="Times New Roman"/>
          <w:i/>
          <w:noProof/>
        </w:rPr>
        <w:t>Thiele Meneses v Region Hannover</w:t>
      </w:r>
      <w:r w:rsidRPr="00510D7C">
        <w:rPr>
          <w:rFonts w:ascii="Times New Roman"/>
          <w:noProof/>
        </w:rPr>
        <w:t>, EU:C:2013:683, para 25.</w:t>
      </w:r>
    </w:p>
  </w:footnote>
  <w:footnote w:id="145">
    <w:p w14:paraId="0C920492" w14:textId="77777777" w:rsidR="00803628" w:rsidRPr="00510D7C" w:rsidRDefault="00803628" w:rsidP="008638AF">
      <w:pPr>
        <w:pStyle w:val="FootnoteText"/>
        <w:rPr>
          <w:rFonts w:ascii="Times New Roman"/>
          <w:noProof/>
        </w:rPr>
      </w:pPr>
      <w:r w:rsidRPr="00510D7C">
        <w:rPr>
          <w:rStyle w:val="FootnoteReference"/>
          <w:rFonts w:ascii="Times New Roman"/>
          <w:noProof/>
        </w:rPr>
        <w:footnoteRef/>
      </w:r>
      <w:r w:rsidRPr="00510D7C">
        <w:rPr>
          <w:rFonts w:ascii="Times New Roman"/>
          <w:noProof/>
        </w:rPr>
        <w:t xml:space="preserve"> Case C-3/08, </w:t>
      </w:r>
      <w:r w:rsidRPr="00510D7C">
        <w:rPr>
          <w:rFonts w:ascii="Times New Roman"/>
          <w:i/>
          <w:noProof/>
        </w:rPr>
        <w:t>Leyman</w:t>
      </w:r>
      <w:r w:rsidRPr="00510D7C">
        <w:rPr>
          <w:rFonts w:ascii="Times New Roman"/>
          <w:noProof/>
        </w:rPr>
        <w:t>, para 50 and dispositif.</w:t>
      </w:r>
    </w:p>
  </w:footnote>
  <w:footnote w:id="146">
    <w:p w14:paraId="58C61A1F" w14:textId="77777777" w:rsidR="00803628" w:rsidRPr="00510D7C" w:rsidRDefault="00803628" w:rsidP="008638AF">
      <w:pPr>
        <w:pStyle w:val="FootnoteText"/>
        <w:rPr>
          <w:rFonts w:ascii="Times New Roman"/>
          <w:noProof/>
        </w:rPr>
      </w:pPr>
      <w:r w:rsidRPr="00510D7C">
        <w:rPr>
          <w:rStyle w:val="FootnoteReference"/>
          <w:rFonts w:ascii="Times New Roman"/>
          <w:noProof/>
        </w:rPr>
        <w:footnoteRef/>
      </w:r>
      <w:r w:rsidRPr="00510D7C">
        <w:rPr>
          <w:rFonts w:ascii="Times New Roman"/>
          <w:noProof/>
        </w:rPr>
        <w:t xml:space="preserve"> On those two types of equality, see Saydé, "One Law, Two Competitions: An Enquiry into the Contradictions of Free Movement Law", (2010–2011), CYELS, 365–413, 387–388.</w:t>
      </w:r>
    </w:p>
  </w:footnote>
  <w:footnote w:id="147">
    <w:p w14:paraId="42E5033C" w14:textId="77777777" w:rsidR="00803628" w:rsidRPr="00510D7C" w:rsidRDefault="00803628">
      <w:pPr>
        <w:pStyle w:val="FootnoteText"/>
        <w:rPr>
          <w:rFonts w:ascii="Times New Roman"/>
          <w:noProof/>
        </w:rPr>
      </w:pPr>
      <w:r w:rsidRPr="00510D7C">
        <w:rPr>
          <w:rStyle w:val="FootnoteReference"/>
          <w:rFonts w:ascii="Times New Roman"/>
          <w:noProof/>
        </w:rPr>
        <w:footnoteRef/>
      </w:r>
      <w:r w:rsidRPr="00510D7C">
        <w:rPr>
          <w:rFonts w:ascii="Times New Roman"/>
          <w:noProof/>
        </w:rPr>
        <w:t xml:space="preserve"> See Case C-165/91, </w:t>
      </w:r>
      <w:r w:rsidRPr="00510D7C">
        <w:rPr>
          <w:rFonts w:ascii="Times New Roman"/>
          <w:i/>
          <w:noProof/>
        </w:rPr>
        <w:t>van Munster</w:t>
      </w:r>
      <w:r w:rsidRPr="00510D7C">
        <w:rPr>
          <w:rFonts w:ascii="Times New Roman"/>
          <w:noProof/>
        </w:rPr>
        <w:t xml:space="preserve">, para 29; Case C-443/93, </w:t>
      </w:r>
      <w:r w:rsidRPr="00510D7C">
        <w:rPr>
          <w:rFonts w:ascii="Times New Roman"/>
          <w:i/>
          <w:noProof/>
        </w:rPr>
        <w:t>Vougioukas</w:t>
      </w:r>
      <w:r w:rsidRPr="00510D7C">
        <w:rPr>
          <w:rFonts w:ascii="Times New Roman"/>
          <w:noProof/>
        </w:rPr>
        <w:t xml:space="preserve">; Case C-244/97, </w:t>
      </w:r>
      <w:r w:rsidRPr="00510D7C">
        <w:rPr>
          <w:rFonts w:ascii="Times New Roman"/>
          <w:i/>
          <w:noProof/>
        </w:rPr>
        <w:t>Rijksdienst voor Pensioenen v Lustig</w:t>
      </w:r>
      <w:r w:rsidRPr="00510D7C">
        <w:rPr>
          <w:rFonts w:ascii="Times New Roman"/>
          <w:noProof/>
        </w:rPr>
        <w:t>, EU:C:1998:619.</w:t>
      </w:r>
    </w:p>
  </w:footnote>
  <w:footnote w:id="148">
    <w:p w14:paraId="66B9E4D1" w14:textId="77777777" w:rsidR="00803628" w:rsidRPr="00510D7C" w:rsidRDefault="00803628" w:rsidP="008638AF">
      <w:pPr>
        <w:pStyle w:val="FootnoteText"/>
        <w:rPr>
          <w:rFonts w:ascii="Times New Roman"/>
          <w:noProof/>
        </w:rPr>
      </w:pPr>
      <w:r w:rsidRPr="00510D7C">
        <w:rPr>
          <w:rStyle w:val="FootnoteReference"/>
          <w:rFonts w:ascii="Times New Roman"/>
          <w:noProof/>
        </w:rPr>
        <w:footnoteRef/>
      </w:r>
      <w:r w:rsidRPr="00510D7C">
        <w:rPr>
          <w:rFonts w:ascii="Times New Roman"/>
          <w:noProof/>
        </w:rPr>
        <w:t xml:space="preserve"> E.g. Case 39/86, </w:t>
      </w:r>
      <w:r w:rsidRPr="00510D7C">
        <w:rPr>
          <w:rFonts w:ascii="Times New Roman"/>
          <w:i/>
          <w:noProof/>
        </w:rPr>
        <w:t>Lair</w:t>
      </w:r>
      <w:r w:rsidRPr="00510D7C">
        <w:rPr>
          <w:rFonts w:ascii="Times New Roman"/>
          <w:noProof/>
        </w:rPr>
        <w:t xml:space="preserve">; Case C-137/04, </w:t>
      </w:r>
      <w:r w:rsidRPr="00510D7C">
        <w:rPr>
          <w:rFonts w:ascii="Times New Roman"/>
          <w:i/>
          <w:noProof/>
        </w:rPr>
        <w:t>Rockler</w:t>
      </w:r>
      <w:r w:rsidRPr="00510D7C">
        <w:rPr>
          <w:rFonts w:ascii="Times New Roman"/>
          <w:noProof/>
        </w:rPr>
        <w:t xml:space="preserve">; Case C-185/04, </w:t>
      </w:r>
      <w:r w:rsidRPr="00510D7C">
        <w:rPr>
          <w:rFonts w:ascii="Times New Roman"/>
          <w:i/>
          <w:noProof/>
        </w:rPr>
        <w:t>Öberg</w:t>
      </w:r>
      <w:r w:rsidRPr="00510D7C">
        <w:rPr>
          <w:rFonts w:ascii="Times New Roman"/>
          <w:noProof/>
        </w:rPr>
        <w:t xml:space="preserve">; Case C-3/08, </w:t>
      </w:r>
      <w:r w:rsidRPr="00510D7C">
        <w:rPr>
          <w:rFonts w:ascii="Times New Roman"/>
          <w:i/>
          <w:noProof/>
        </w:rPr>
        <w:t>Leyman</w:t>
      </w:r>
      <w:r w:rsidRPr="00510D7C">
        <w:rPr>
          <w:rFonts w:ascii="Times New Roman"/>
          <w:noProof/>
        </w:rPr>
        <w:t xml:space="preserve">; Case C‑134/18, </w:t>
      </w:r>
      <w:r w:rsidRPr="00510D7C">
        <w:rPr>
          <w:rFonts w:ascii="Times New Roman"/>
          <w:i/>
          <w:noProof/>
        </w:rPr>
        <w:t>Vester</w:t>
      </w:r>
      <w:r w:rsidRPr="00510D7C">
        <w:rPr>
          <w:rFonts w:ascii="Times New Roman"/>
          <w:noProof/>
        </w:rPr>
        <w:t xml:space="preserve">. </w:t>
      </w:r>
    </w:p>
  </w:footnote>
  <w:footnote w:id="149">
    <w:p w14:paraId="048C25D5" w14:textId="77777777" w:rsidR="00803628" w:rsidRPr="00510D7C" w:rsidRDefault="00803628">
      <w:pPr>
        <w:pStyle w:val="FootnoteText"/>
        <w:rPr>
          <w:rFonts w:ascii="Times New Roman"/>
          <w:noProof/>
        </w:rPr>
      </w:pPr>
      <w:r w:rsidRPr="00510D7C">
        <w:rPr>
          <w:rStyle w:val="FootnoteReference"/>
          <w:rFonts w:ascii="Times New Roman"/>
          <w:noProof/>
        </w:rPr>
        <w:footnoteRef/>
      </w:r>
      <w:r w:rsidRPr="00510D7C">
        <w:rPr>
          <w:rFonts w:ascii="Times New Roman"/>
          <w:noProof/>
        </w:rPr>
        <w:t xml:space="preserve"> Case C-333/13, </w:t>
      </w:r>
      <w:r w:rsidRPr="00510D7C">
        <w:rPr>
          <w:rFonts w:ascii="Times New Roman"/>
          <w:i/>
          <w:noProof/>
        </w:rPr>
        <w:t>Dano</w:t>
      </w:r>
      <w:r w:rsidRPr="00510D7C">
        <w:rPr>
          <w:rFonts w:ascii="Times New Roman"/>
          <w:noProof/>
        </w:rPr>
        <w:t xml:space="preserve">; Case C-67/14, </w:t>
      </w:r>
      <w:r w:rsidRPr="00510D7C">
        <w:rPr>
          <w:rFonts w:ascii="Times New Roman"/>
          <w:i/>
          <w:noProof/>
        </w:rPr>
        <w:t>Alimanovic</w:t>
      </w:r>
      <w:r w:rsidRPr="00510D7C">
        <w:rPr>
          <w:rFonts w:ascii="Times New Roman"/>
          <w:noProof/>
        </w:rPr>
        <w:t xml:space="preserve">; Case C-308/14, </w:t>
      </w:r>
      <w:r w:rsidRPr="00510D7C">
        <w:rPr>
          <w:rFonts w:ascii="Times New Roman"/>
          <w:i/>
          <w:noProof/>
        </w:rPr>
        <w:t>Commission v United Kingdom (child benefit)</w:t>
      </w:r>
      <w:r w:rsidRPr="00510D7C">
        <w:rPr>
          <w:rFonts w:ascii="Times New Roman"/>
          <w:noProof/>
        </w:rPr>
        <w:t xml:space="preserve">. The ECJ implausibly maintained that they are indirectly discriminatory (Case C-308/14, </w:t>
      </w:r>
      <w:r w:rsidRPr="00510D7C">
        <w:rPr>
          <w:rFonts w:ascii="Times New Roman"/>
          <w:i/>
          <w:noProof/>
        </w:rPr>
        <w:t>Commission v United Kingdom (child benefit)</w:t>
      </w:r>
      <w:r w:rsidRPr="00510D7C">
        <w:rPr>
          <w:rFonts w:ascii="Times New Roman"/>
          <w:noProof/>
        </w:rPr>
        <w:t xml:space="preserve">, paras. 76–79; O'Brien, "The ECJ sacrifices EU citizenship in vain: </w:t>
      </w:r>
      <w:r w:rsidRPr="00510D7C">
        <w:rPr>
          <w:rFonts w:ascii="Times New Roman"/>
          <w:i/>
          <w:noProof/>
        </w:rPr>
        <w:t>Commission</w:t>
      </w:r>
      <w:r w:rsidRPr="00510D7C">
        <w:rPr>
          <w:rFonts w:ascii="Times New Roman"/>
          <w:noProof/>
        </w:rPr>
        <w:t xml:space="preserve"> v. </w:t>
      </w:r>
      <w:r w:rsidRPr="00510D7C">
        <w:rPr>
          <w:rFonts w:ascii="Times New Roman"/>
          <w:i/>
          <w:noProof/>
        </w:rPr>
        <w:t>United Kingdom</w:t>
      </w:r>
      <w:r w:rsidRPr="00510D7C">
        <w:rPr>
          <w:rFonts w:ascii="Times New Roman"/>
          <w:noProof/>
        </w:rPr>
        <w:t>", (2017), CML Rev., 209–243, 225–227).</w:t>
      </w:r>
    </w:p>
  </w:footnote>
  <w:footnote w:id="150">
    <w:p w14:paraId="0F94122E" w14:textId="77777777" w:rsidR="00803628" w:rsidRPr="00510D7C" w:rsidRDefault="00803628">
      <w:pPr>
        <w:pStyle w:val="FootnoteText"/>
        <w:rPr>
          <w:rFonts w:ascii="Times New Roman"/>
          <w:noProof/>
        </w:rPr>
      </w:pPr>
      <w:r w:rsidRPr="00510D7C">
        <w:rPr>
          <w:rStyle w:val="FootnoteReference"/>
          <w:rFonts w:ascii="Times New Roman"/>
          <w:noProof/>
        </w:rPr>
        <w:footnoteRef/>
      </w:r>
      <w:r w:rsidRPr="00510D7C">
        <w:rPr>
          <w:rFonts w:ascii="Times New Roman"/>
          <w:noProof/>
        </w:rPr>
        <w:t xml:space="preserve"> Opinion of A.G. Wathelet in Case C-238/15, </w:t>
      </w:r>
      <w:r w:rsidRPr="00510D7C">
        <w:rPr>
          <w:rFonts w:ascii="Times New Roman"/>
          <w:i/>
          <w:noProof/>
        </w:rPr>
        <w:t>Bragança Linares Verruga</w:t>
      </w:r>
      <w:r w:rsidRPr="00510D7C">
        <w:rPr>
          <w:rFonts w:ascii="Times New Roman"/>
          <w:noProof/>
        </w:rPr>
        <w:t>, para 35.</w:t>
      </w:r>
    </w:p>
  </w:footnote>
  <w:footnote w:id="151">
    <w:p w14:paraId="3E8A3239" w14:textId="77777777" w:rsidR="00803628" w:rsidRPr="00510D7C" w:rsidRDefault="00803628">
      <w:pPr>
        <w:pStyle w:val="FootnoteText"/>
        <w:rPr>
          <w:rFonts w:ascii="Times New Roman"/>
          <w:noProof/>
        </w:rPr>
      </w:pPr>
      <w:r w:rsidRPr="00510D7C">
        <w:rPr>
          <w:rStyle w:val="FootnoteReference"/>
          <w:rFonts w:ascii="Times New Roman"/>
          <w:noProof/>
        </w:rPr>
        <w:footnoteRef/>
      </w:r>
      <w:r w:rsidRPr="00510D7C">
        <w:rPr>
          <w:rFonts w:ascii="Times New Roman"/>
          <w:noProof/>
        </w:rPr>
        <w:t xml:space="preserve"> Case C-238/15, </w:t>
      </w:r>
      <w:r w:rsidRPr="00510D7C">
        <w:rPr>
          <w:rFonts w:ascii="Times New Roman"/>
          <w:i/>
          <w:noProof/>
        </w:rPr>
        <w:t>Bragança Linares Verruga</w:t>
      </w:r>
      <w:r w:rsidRPr="00510D7C">
        <w:rPr>
          <w:rFonts w:ascii="Times New Roman"/>
          <w:noProof/>
        </w:rPr>
        <w:t>.</w:t>
      </w:r>
    </w:p>
  </w:footnote>
  <w:footnote w:id="152">
    <w:p w14:paraId="56B5816F" w14:textId="77777777" w:rsidR="00803628" w:rsidRPr="00510D7C" w:rsidRDefault="00803628">
      <w:pPr>
        <w:pStyle w:val="FootnoteText"/>
        <w:rPr>
          <w:rFonts w:ascii="Times New Roman"/>
          <w:noProof/>
        </w:rPr>
      </w:pPr>
      <w:r w:rsidRPr="00510D7C">
        <w:rPr>
          <w:rStyle w:val="FootnoteReference"/>
          <w:rFonts w:ascii="Times New Roman"/>
          <w:noProof/>
        </w:rPr>
        <w:footnoteRef/>
      </w:r>
      <w:r w:rsidRPr="00510D7C">
        <w:rPr>
          <w:rFonts w:ascii="Times New Roman"/>
          <w:noProof/>
        </w:rPr>
        <w:t xml:space="preserve"> Case C-410/18, </w:t>
      </w:r>
      <w:r w:rsidRPr="00510D7C">
        <w:rPr>
          <w:rFonts w:ascii="Times New Roman"/>
          <w:i/>
          <w:noProof/>
        </w:rPr>
        <w:t>Aubriet</w:t>
      </w:r>
      <w:r w:rsidRPr="00510D7C">
        <w:rPr>
          <w:rFonts w:ascii="Times New Roman"/>
          <w:noProof/>
        </w:rPr>
        <w:t>.</w:t>
      </w:r>
    </w:p>
  </w:footnote>
  <w:footnote w:id="153">
    <w:p w14:paraId="0C33592B" w14:textId="77777777" w:rsidR="00803628" w:rsidRPr="00510D7C" w:rsidRDefault="00803628" w:rsidP="008638AF">
      <w:pPr>
        <w:pStyle w:val="FootnoteText"/>
        <w:rPr>
          <w:rFonts w:ascii="Times New Roman"/>
          <w:noProof/>
        </w:rPr>
      </w:pPr>
      <w:r w:rsidRPr="00510D7C">
        <w:rPr>
          <w:rStyle w:val="FootnoteReference"/>
          <w:rFonts w:ascii="Times New Roman"/>
          <w:noProof/>
        </w:rPr>
        <w:footnoteRef/>
      </w:r>
      <w:r w:rsidRPr="00510D7C">
        <w:rPr>
          <w:rFonts w:ascii="Times New Roman"/>
          <w:noProof/>
        </w:rPr>
        <w:t xml:space="preserve"> E.g. Case C-466/15, </w:t>
      </w:r>
      <w:r w:rsidRPr="00510D7C">
        <w:rPr>
          <w:rFonts w:ascii="Times New Roman"/>
          <w:i/>
          <w:noProof/>
        </w:rPr>
        <w:t>Adrien v Premier ministre</w:t>
      </w:r>
      <w:r w:rsidRPr="00510D7C">
        <w:rPr>
          <w:rFonts w:ascii="Times New Roman"/>
          <w:noProof/>
        </w:rPr>
        <w:t xml:space="preserve">, EU:C:2016:749, para 27. See also Case C-238/15, </w:t>
      </w:r>
      <w:r w:rsidRPr="00510D7C">
        <w:rPr>
          <w:rFonts w:ascii="Times New Roman"/>
          <w:i/>
          <w:noProof/>
        </w:rPr>
        <w:t>Bragança Linares Verruga</w:t>
      </w:r>
      <w:r w:rsidRPr="00510D7C">
        <w:rPr>
          <w:rFonts w:ascii="Times New Roman"/>
          <w:noProof/>
        </w:rPr>
        <w:t>, para 50.</w:t>
      </w:r>
    </w:p>
  </w:footnote>
  <w:footnote w:id="154">
    <w:p w14:paraId="28F071EE" w14:textId="77777777" w:rsidR="00803628" w:rsidRPr="00510D7C" w:rsidRDefault="00803628" w:rsidP="008638AF">
      <w:pPr>
        <w:pStyle w:val="FootnoteText"/>
        <w:rPr>
          <w:rFonts w:ascii="Times New Roman"/>
          <w:noProof/>
        </w:rPr>
      </w:pPr>
      <w:r w:rsidRPr="00510D7C">
        <w:rPr>
          <w:rStyle w:val="FootnoteReference"/>
          <w:rFonts w:ascii="Times New Roman"/>
          <w:noProof/>
        </w:rPr>
        <w:footnoteRef/>
      </w:r>
      <w:r w:rsidRPr="00510D7C">
        <w:rPr>
          <w:rFonts w:ascii="Times New Roman"/>
          <w:noProof/>
        </w:rPr>
        <w:t xml:space="preserve"> For such analyses, see e.g. Fuchs, de Cortázar, Kahil and Pöltl, op. cit. </w:t>
      </w:r>
      <w:r w:rsidRPr="00510D7C">
        <w:rPr>
          <w:rFonts w:ascii="Times New Roman"/>
          <w:i/>
          <w:noProof/>
        </w:rPr>
        <w:t xml:space="preserve">supra </w:t>
      </w:r>
      <w:r w:rsidRPr="00510D7C">
        <w:rPr>
          <w:rFonts w:ascii="Times New Roman"/>
          <w:noProof/>
        </w:rPr>
        <w:t xml:space="preserve">note </w:t>
      </w:r>
      <w:r w:rsidRPr="00510D7C">
        <w:rPr>
          <w:rFonts w:ascii="Times New Roman"/>
          <w:noProof/>
        </w:rPr>
        <w:fldChar w:fldCharType="begin"/>
      </w:r>
      <w:r w:rsidRPr="00510D7C">
        <w:rPr>
          <w:rFonts w:ascii="Times New Roman"/>
          <w:noProof/>
        </w:rPr>
        <w:instrText xml:space="preserve"> NOTEREF _Ref18858165 \h  \* MERGEFORMAT </w:instrText>
      </w:r>
      <w:r w:rsidRPr="00510D7C">
        <w:rPr>
          <w:rFonts w:ascii="Times New Roman"/>
          <w:noProof/>
        </w:rPr>
      </w:r>
      <w:r w:rsidRPr="00510D7C">
        <w:rPr>
          <w:rFonts w:ascii="Times New Roman"/>
          <w:noProof/>
        </w:rPr>
        <w:fldChar w:fldCharType="separate"/>
      </w:r>
      <w:r w:rsidRPr="00510D7C">
        <w:rPr>
          <w:rFonts w:ascii="Times New Roman"/>
          <w:noProof/>
        </w:rPr>
        <w:t>17</w:t>
      </w:r>
      <w:r w:rsidRPr="00510D7C">
        <w:rPr>
          <w:rFonts w:ascii="Times New Roman"/>
          <w:noProof/>
        </w:rPr>
        <w:fldChar w:fldCharType="end"/>
      </w:r>
      <w:r w:rsidRPr="00510D7C">
        <w:rPr>
          <w:rFonts w:ascii="Times New Roman"/>
          <w:noProof/>
        </w:rPr>
        <w:t xml:space="preserve">, 24–32; Nic Shuibhne, op. cit. </w:t>
      </w:r>
      <w:r w:rsidRPr="00510D7C">
        <w:rPr>
          <w:rFonts w:ascii="Times New Roman"/>
          <w:i/>
          <w:noProof/>
        </w:rPr>
        <w:t xml:space="preserve">supra </w:t>
      </w:r>
      <w:r w:rsidRPr="00510D7C">
        <w:rPr>
          <w:rFonts w:ascii="Times New Roman"/>
          <w:noProof/>
        </w:rPr>
        <w:t xml:space="preserve">note </w:t>
      </w:r>
      <w:r w:rsidRPr="00510D7C">
        <w:rPr>
          <w:rFonts w:ascii="Times New Roman"/>
          <w:noProof/>
        </w:rPr>
        <w:fldChar w:fldCharType="begin"/>
      </w:r>
      <w:r w:rsidRPr="00510D7C">
        <w:rPr>
          <w:rFonts w:ascii="Times New Roman"/>
          <w:noProof/>
        </w:rPr>
        <w:instrText xml:space="preserve"> NOTEREF _Ref9436829 \h  \* MERGEFORMAT </w:instrText>
      </w:r>
      <w:r w:rsidRPr="00510D7C">
        <w:rPr>
          <w:rFonts w:ascii="Times New Roman"/>
          <w:noProof/>
        </w:rPr>
      </w:r>
      <w:r w:rsidRPr="00510D7C">
        <w:rPr>
          <w:rFonts w:ascii="Times New Roman"/>
          <w:noProof/>
        </w:rPr>
        <w:fldChar w:fldCharType="separate"/>
      </w:r>
      <w:r w:rsidRPr="00510D7C">
        <w:rPr>
          <w:rFonts w:ascii="Times New Roman"/>
          <w:noProof/>
        </w:rPr>
        <w:t>85</w:t>
      </w:r>
      <w:r w:rsidRPr="00510D7C">
        <w:rPr>
          <w:rFonts w:ascii="Times New Roman"/>
          <w:noProof/>
        </w:rPr>
        <w:fldChar w:fldCharType="end"/>
      </w:r>
      <w:r w:rsidRPr="00510D7C">
        <w:rPr>
          <w:rFonts w:ascii="Times New Roman"/>
          <w:noProof/>
        </w:rPr>
        <w:t xml:space="preserve">, 480–487, 491–496; Reynolds, op. cit. </w:t>
      </w:r>
      <w:r w:rsidRPr="00510D7C">
        <w:rPr>
          <w:rFonts w:ascii="Times New Roman"/>
          <w:i/>
          <w:noProof/>
        </w:rPr>
        <w:t xml:space="preserve">supra </w:t>
      </w:r>
      <w:r w:rsidRPr="00510D7C">
        <w:rPr>
          <w:rFonts w:ascii="Times New Roman"/>
          <w:noProof/>
        </w:rPr>
        <w:t xml:space="preserve">note </w:t>
      </w:r>
      <w:r w:rsidRPr="00510D7C">
        <w:rPr>
          <w:rFonts w:ascii="Times New Roman"/>
          <w:noProof/>
        </w:rPr>
        <w:fldChar w:fldCharType="begin"/>
      </w:r>
      <w:r w:rsidRPr="00510D7C">
        <w:rPr>
          <w:rFonts w:ascii="Times New Roman"/>
          <w:noProof/>
        </w:rPr>
        <w:instrText xml:space="preserve"> NOTEREF _Ref9436829 \h  \* MERGEFORMAT </w:instrText>
      </w:r>
      <w:r w:rsidRPr="00510D7C">
        <w:rPr>
          <w:rFonts w:ascii="Times New Roman"/>
          <w:noProof/>
        </w:rPr>
      </w:r>
      <w:r w:rsidRPr="00510D7C">
        <w:rPr>
          <w:rFonts w:ascii="Times New Roman"/>
          <w:noProof/>
        </w:rPr>
        <w:fldChar w:fldCharType="separate"/>
      </w:r>
      <w:r w:rsidRPr="00510D7C">
        <w:rPr>
          <w:rFonts w:ascii="Times New Roman"/>
          <w:noProof/>
        </w:rPr>
        <w:t>85</w:t>
      </w:r>
      <w:r w:rsidRPr="00510D7C">
        <w:rPr>
          <w:rFonts w:ascii="Times New Roman"/>
          <w:noProof/>
        </w:rPr>
        <w:fldChar w:fldCharType="end"/>
      </w:r>
      <w:r w:rsidRPr="00510D7C">
        <w:rPr>
          <w:rFonts w:ascii="Times New Roman"/>
          <w:noProof/>
        </w:rPr>
        <w:t>, 60–75.</w:t>
      </w:r>
    </w:p>
  </w:footnote>
  <w:footnote w:id="155">
    <w:p w14:paraId="2B4F90DA" w14:textId="77777777" w:rsidR="00803628" w:rsidRPr="00510D7C" w:rsidRDefault="00803628">
      <w:pPr>
        <w:pStyle w:val="FootnoteText"/>
        <w:rPr>
          <w:rFonts w:ascii="Times New Roman"/>
          <w:noProof/>
        </w:rPr>
      </w:pPr>
      <w:r w:rsidRPr="00510D7C">
        <w:rPr>
          <w:rStyle w:val="FootnoteReference"/>
          <w:rFonts w:ascii="Times New Roman"/>
          <w:noProof/>
        </w:rPr>
        <w:footnoteRef/>
      </w:r>
      <w:r w:rsidRPr="00510D7C">
        <w:rPr>
          <w:rFonts w:ascii="Times New Roman"/>
          <w:noProof/>
        </w:rPr>
        <w:t xml:space="preserve"> Exceptions are listed in note </w:t>
      </w:r>
      <w:r w:rsidRPr="00510D7C">
        <w:rPr>
          <w:rFonts w:ascii="Times New Roman"/>
          <w:noProof/>
        </w:rPr>
        <w:fldChar w:fldCharType="begin"/>
      </w:r>
      <w:r w:rsidRPr="00510D7C">
        <w:rPr>
          <w:rFonts w:ascii="Times New Roman"/>
          <w:noProof/>
        </w:rPr>
        <w:instrText xml:space="preserve"> NOTEREF _Ref9437504 \h  \* MERGEFORMAT </w:instrText>
      </w:r>
      <w:r w:rsidRPr="00510D7C">
        <w:rPr>
          <w:rFonts w:ascii="Times New Roman"/>
          <w:noProof/>
        </w:rPr>
      </w:r>
      <w:r w:rsidRPr="00510D7C">
        <w:rPr>
          <w:rFonts w:ascii="Times New Roman"/>
          <w:noProof/>
        </w:rPr>
        <w:fldChar w:fldCharType="separate"/>
      </w:r>
      <w:r w:rsidRPr="00510D7C">
        <w:rPr>
          <w:rFonts w:ascii="Times New Roman"/>
          <w:noProof/>
        </w:rPr>
        <w:t>87</w:t>
      </w:r>
      <w:r w:rsidRPr="00510D7C">
        <w:rPr>
          <w:rFonts w:ascii="Times New Roman"/>
          <w:noProof/>
        </w:rPr>
        <w:fldChar w:fldCharType="end"/>
      </w:r>
      <w:r w:rsidRPr="00510D7C">
        <w:rPr>
          <w:rFonts w:ascii="Times New Roman"/>
          <w:noProof/>
        </w:rPr>
        <w:t>.</w:t>
      </w:r>
    </w:p>
  </w:footnote>
  <w:footnote w:id="156">
    <w:p w14:paraId="2674C96C" w14:textId="77777777" w:rsidR="00803628" w:rsidRPr="00510D7C" w:rsidRDefault="00803628" w:rsidP="008638AF">
      <w:pPr>
        <w:pStyle w:val="FootnoteText"/>
        <w:rPr>
          <w:rFonts w:ascii="Times New Roman"/>
          <w:noProof/>
        </w:rPr>
      </w:pPr>
      <w:r w:rsidRPr="00510D7C">
        <w:rPr>
          <w:rStyle w:val="FootnoteReference"/>
          <w:rFonts w:ascii="Times New Roman"/>
          <w:noProof/>
        </w:rPr>
        <w:footnoteRef/>
      </w:r>
      <w:r w:rsidRPr="00510D7C">
        <w:rPr>
          <w:rFonts w:ascii="Times New Roman"/>
          <w:noProof/>
        </w:rPr>
        <w:t xml:space="preserve"> For the present purposes, I focus on the simultaneous application of two or more laws with a view to deciding whether to award the same social benefit to the same person for the same period. Two legal orders can also apply to different facets of the same benefit (e.g. the Patient Mobility Directive allows patients to obtain health care in one State at the expense of another) or to different but related benefits (e.g. the “classic” old-age pension of one State and the minimum old-age pension of another).</w:t>
      </w:r>
    </w:p>
  </w:footnote>
  <w:footnote w:id="157">
    <w:p w14:paraId="695FFFFC" w14:textId="77777777" w:rsidR="00803628" w:rsidRPr="00510D7C" w:rsidRDefault="00803628" w:rsidP="008638AF">
      <w:pPr>
        <w:pStyle w:val="FootnoteText"/>
        <w:rPr>
          <w:rFonts w:ascii="Times New Roman"/>
          <w:noProof/>
        </w:rPr>
      </w:pPr>
      <w:r w:rsidRPr="00510D7C">
        <w:rPr>
          <w:rStyle w:val="FootnoteReference"/>
          <w:rFonts w:ascii="Times New Roman"/>
          <w:noProof/>
        </w:rPr>
        <w:footnoteRef/>
      </w:r>
      <w:r w:rsidRPr="00510D7C">
        <w:rPr>
          <w:rFonts w:ascii="Times New Roman"/>
          <w:noProof/>
        </w:rPr>
        <w:t xml:space="preserve"> Chapter 5 Regulation 883/2004.</w:t>
      </w:r>
    </w:p>
  </w:footnote>
  <w:footnote w:id="158">
    <w:p w14:paraId="22EC58E4" w14:textId="77777777" w:rsidR="00803628" w:rsidRPr="00510D7C" w:rsidRDefault="00803628">
      <w:pPr>
        <w:pStyle w:val="FootnoteText"/>
        <w:rPr>
          <w:rFonts w:ascii="Times New Roman"/>
          <w:noProof/>
        </w:rPr>
      </w:pPr>
      <w:r w:rsidRPr="00510D7C">
        <w:rPr>
          <w:rStyle w:val="FootnoteReference"/>
          <w:rFonts w:ascii="Times New Roman"/>
          <w:noProof/>
        </w:rPr>
        <w:footnoteRef/>
      </w:r>
      <w:r w:rsidRPr="00510D7C">
        <w:rPr>
          <w:rFonts w:ascii="Times New Roman"/>
          <w:noProof/>
        </w:rPr>
        <w:t xml:space="preserve"> “[T]he non-migrant worker acquires the entirety of his pension entitlements under a single body of legislation, whereas the migrant worker acquires them in sections corresponding to successive periods of work completed in different Member States under different legislative systems. In such situations, Article [48] of the Treaty aims to create, by coordination rather than by harmonization, a unified career, for social security purposes, for the migrant worker” (Case C-165/91, </w:t>
      </w:r>
      <w:r w:rsidRPr="00510D7C">
        <w:rPr>
          <w:rFonts w:ascii="Times New Roman"/>
          <w:i/>
          <w:noProof/>
        </w:rPr>
        <w:t>van Munster</w:t>
      </w:r>
      <w:r w:rsidRPr="00510D7C">
        <w:rPr>
          <w:rFonts w:ascii="Times New Roman"/>
          <w:noProof/>
        </w:rPr>
        <w:t>, para 29).</w:t>
      </w:r>
    </w:p>
  </w:footnote>
  <w:footnote w:id="159">
    <w:p w14:paraId="601ADD58" w14:textId="77777777" w:rsidR="00803628" w:rsidRPr="00510D7C" w:rsidRDefault="00803628" w:rsidP="008638AF">
      <w:pPr>
        <w:pStyle w:val="FootnoteText"/>
        <w:rPr>
          <w:rFonts w:ascii="Times New Roman"/>
          <w:noProof/>
        </w:rPr>
      </w:pPr>
      <w:r w:rsidRPr="00510D7C">
        <w:rPr>
          <w:rStyle w:val="FootnoteReference"/>
          <w:rFonts w:ascii="Times New Roman"/>
          <w:noProof/>
        </w:rPr>
        <w:footnoteRef/>
      </w:r>
      <w:r w:rsidRPr="00510D7C">
        <w:rPr>
          <w:rFonts w:ascii="Times New Roman"/>
          <w:noProof/>
        </w:rPr>
        <w:t xml:space="preserve"> For a similar sentiment in private international law, see Juenger, "General course on private international law" in Académie de droit international de La Haye (Ed.), </w:t>
      </w:r>
      <w:r w:rsidRPr="00510D7C">
        <w:rPr>
          <w:rFonts w:ascii="Times New Roman"/>
          <w:i/>
          <w:noProof/>
        </w:rPr>
        <w:t>Recueil des cours 1985-IV, Tome 193</w:t>
      </w:r>
      <w:r w:rsidRPr="00510D7C">
        <w:rPr>
          <w:rFonts w:ascii="Times New Roman"/>
          <w:noProof/>
        </w:rPr>
        <w:t xml:space="preserve"> (Martinus Nijhoff, 1986), 256–257.</w:t>
      </w:r>
    </w:p>
  </w:footnote>
  <w:footnote w:id="160">
    <w:p w14:paraId="01AA73DB" w14:textId="77777777" w:rsidR="00803628" w:rsidRPr="00510D7C" w:rsidRDefault="00803628" w:rsidP="008638AF">
      <w:pPr>
        <w:pStyle w:val="FootnoteText"/>
        <w:rPr>
          <w:rFonts w:ascii="Times New Roman"/>
          <w:noProof/>
        </w:rPr>
      </w:pPr>
      <w:r w:rsidRPr="00510D7C">
        <w:rPr>
          <w:rStyle w:val="FootnoteReference"/>
          <w:rFonts w:ascii="Times New Roman"/>
          <w:noProof/>
        </w:rPr>
        <w:footnoteRef/>
      </w:r>
      <w:r w:rsidRPr="00510D7C">
        <w:rPr>
          <w:rFonts w:ascii="Times New Roman"/>
          <w:noProof/>
        </w:rPr>
        <w:t xml:space="preserve"> See above, Section 4.2.</w:t>
      </w:r>
    </w:p>
  </w:footnote>
  <w:footnote w:id="161">
    <w:p w14:paraId="032B47D8" w14:textId="77777777" w:rsidR="00803628" w:rsidRPr="00510D7C" w:rsidRDefault="00803628" w:rsidP="008638AF">
      <w:pPr>
        <w:pStyle w:val="FootnoteText"/>
        <w:rPr>
          <w:rFonts w:ascii="Times New Roman"/>
          <w:noProof/>
        </w:rPr>
      </w:pPr>
      <w:r w:rsidRPr="00510D7C">
        <w:rPr>
          <w:rStyle w:val="FootnoteReference"/>
          <w:rFonts w:ascii="Times New Roman"/>
          <w:noProof/>
        </w:rPr>
        <w:footnoteRef/>
      </w:r>
      <w:r w:rsidRPr="00510D7C">
        <w:rPr>
          <w:rFonts w:ascii="Times New Roman"/>
          <w:noProof/>
        </w:rPr>
        <w:t xml:space="preserve"> See above, Section 4.3.</w:t>
      </w:r>
    </w:p>
  </w:footnote>
  <w:footnote w:id="162">
    <w:p w14:paraId="2E6FCE30" w14:textId="77777777" w:rsidR="00803628" w:rsidRPr="00510D7C" w:rsidRDefault="00803628">
      <w:pPr>
        <w:pStyle w:val="FootnoteText"/>
        <w:rPr>
          <w:rFonts w:ascii="Times New Roman"/>
          <w:noProof/>
        </w:rPr>
      </w:pPr>
      <w:r w:rsidRPr="00510D7C">
        <w:rPr>
          <w:rStyle w:val="FootnoteReference"/>
          <w:rFonts w:ascii="Times New Roman"/>
          <w:noProof/>
        </w:rPr>
        <w:footnoteRef/>
      </w:r>
      <w:r w:rsidRPr="00510D7C">
        <w:rPr>
          <w:rFonts w:ascii="Times New Roman"/>
          <w:noProof/>
        </w:rPr>
        <w:t xml:space="preserve"> </w:t>
      </w:r>
      <w:bookmarkStart w:id="195" w:name="OLE_LINK3"/>
      <w:r w:rsidRPr="00510D7C">
        <w:rPr>
          <w:rFonts w:ascii="Times New Roman"/>
          <w:noProof/>
        </w:rPr>
        <w:t xml:space="preserve">E.g. Hoogenboom, op. cit. </w:t>
      </w:r>
      <w:r w:rsidRPr="00510D7C">
        <w:rPr>
          <w:rFonts w:ascii="Times New Roman"/>
          <w:i/>
          <w:noProof/>
        </w:rPr>
        <w:t xml:space="preserve">supra </w:t>
      </w:r>
      <w:r w:rsidRPr="00510D7C">
        <w:rPr>
          <w:rFonts w:ascii="Times New Roman"/>
          <w:noProof/>
        </w:rPr>
        <w:t xml:space="preserve">note </w:t>
      </w:r>
      <w:r w:rsidRPr="00510D7C">
        <w:rPr>
          <w:rFonts w:ascii="Times New Roman"/>
          <w:noProof/>
        </w:rPr>
        <w:fldChar w:fldCharType="begin"/>
      </w:r>
      <w:r w:rsidRPr="00510D7C">
        <w:rPr>
          <w:rFonts w:ascii="Times New Roman"/>
          <w:noProof/>
        </w:rPr>
        <w:instrText xml:space="preserve"> NOTEREF _Ref18858076 \h  \* MERGEFORMAT </w:instrText>
      </w:r>
      <w:r w:rsidRPr="00510D7C">
        <w:rPr>
          <w:rFonts w:ascii="Times New Roman"/>
          <w:noProof/>
        </w:rPr>
      </w:r>
      <w:r w:rsidRPr="00510D7C">
        <w:rPr>
          <w:rFonts w:ascii="Times New Roman"/>
          <w:noProof/>
        </w:rPr>
        <w:fldChar w:fldCharType="separate"/>
      </w:r>
      <w:r w:rsidRPr="00510D7C">
        <w:rPr>
          <w:rFonts w:ascii="Times New Roman"/>
          <w:noProof/>
        </w:rPr>
        <w:t>44</w:t>
      </w:r>
      <w:r w:rsidRPr="00510D7C">
        <w:rPr>
          <w:rFonts w:ascii="Times New Roman"/>
          <w:noProof/>
        </w:rPr>
        <w:fldChar w:fldCharType="end"/>
      </w:r>
      <w:r w:rsidRPr="00510D7C">
        <w:rPr>
          <w:rFonts w:ascii="Times New Roman"/>
          <w:noProof/>
        </w:rPr>
        <w:t>, 119; van Ooik, "Export van studiefinanciering in de EU", (2008), Nederlands tijdschrift voor Europees recht, 125–129, 128–129.</w:t>
      </w:r>
      <w:bookmarkEnd w:id="195"/>
      <w:r w:rsidRPr="00510D7C">
        <w:rPr>
          <w:rFonts w:ascii="Times New Roman"/>
          <w:noProof/>
        </w:rPr>
        <w:t xml:space="preserve"> Exceptions are listed in note </w:t>
      </w:r>
      <w:r w:rsidRPr="00510D7C">
        <w:rPr>
          <w:rFonts w:ascii="Times New Roman"/>
          <w:noProof/>
        </w:rPr>
        <w:fldChar w:fldCharType="begin"/>
      </w:r>
      <w:r w:rsidRPr="00510D7C">
        <w:rPr>
          <w:rFonts w:ascii="Times New Roman"/>
          <w:noProof/>
        </w:rPr>
        <w:instrText xml:space="preserve"> NOTEREF _Ref9437504 \h  \* MERGEFORMAT </w:instrText>
      </w:r>
      <w:r w:rsidRPr="00510D7C">
        <w:rPr>
          <w:rFonts w:ascii="Times New Roman"/>
          <w:noProof/>
        </w:rPr>
      </w:r>
      <w:r w:rsidRPr="00510D7C">
        <w:rPr>
          <w:rFonts w:ascii="Times New Roman"/>
          <w:noProof/>
        </w:rPr>
        <w:fldChar w:fldCharType="separate"/>
      </w:r>
      <w:r w:rsidRPr="00510D7C">
        <w:rPr>
          <w:rFonts w:ascii="Times New Roman"/>
          <w:noProof/>
        </w:rPr>
        <w:t>87</w:t>
      </w:r>
      <w:r w:rsidRPr="00510D7C">
        <w:rPr>
          <w:rFonts w:ascii="Times New Roman"/>
          <w:noProof/>
        </w:rPr>
        <w:fldChar w:fldCharType="end"/>
      </w:r>
      <w:r w:rsidRPr="00510D7C">
        <w:rPr>
          <w:rFonts w:ascii="Times New Roman"/>
          <w:noProof/>
        </w:rPr>
        <w:t>.</w:t>
      </w:r>
    </w:p>
  </w:footnote>
  <w:footnote w:id="163">
    <w:p w14:paraId="1245D211" w14:textId="77777777" w:rsidR="00803628" w:rsidRPr="00510D7C" w:rsidRDefault="00803628">
      <w:pPr>
        <w:pStyle w:val="FootnoteText"/>
        <w:rPr>
          <w:rFonts w:ascii="Times New Roman"/>
          <w:noProof/>
        </w:rPr>
      </w:pPr>
      <w:r w:rsidRPr="00510D7C">
        <w:rPr>
          <w:rStyle w:val="FootnoteReference"/>
          <w:rFonts w:ascii="Times New Roman"/>
          <w:noProof/>
        </w:rPr>
        <w:footnoteRef/>
      </w:r>
      <w:r w:rsidRPr="00510D7C">
        <w:rPr>
          <w:rFonts w:ascii="Times New Roman"/>
          <w:noProof/>
        </w:rPr>
        <w:t xml:space="preserve"> Case 24/75, </w:t>
      </w:r>
      <w:r w:rsidRPr="00510D7C">
        <w:rPr>
          <w:rFonts w:ascii="Times New Roman"/>
          <w:i/>
          <w:noProof/>
        </w:rPr>
        <w:t>Petroni</w:t>
      </w:r>
      <w:r w:rsidRPr="00510D7C">
        <w:rPr>
          <w:rFonts w:ascii="Times New Roman"/>
          <w:noProof/>
        </w:rPr>
        <w:t>.</w:t>
      </w:r>
    </w:p>
  </w:footnote>
  <w:footnote w:id="164">
    <w:p w14:paraId="1B987EB7" w14:textId="77777777" w:rsidR="00803628" w:rsidRPr="00510D7C" w:rsidRDefault="00803628">
      <w:pPr>
        <w:pStyle w:val="FootnoteText"/>
        <w:rPr>
          <w:rFonts w:ascii="Times New Roman"/>
          <w:noProof/>
        </w:rPr>
      </w:pPr>
      <w:r w:rsidRPr="00510D7C">
        <w:rPr>
          <w:rStyle w:val="FootnoteReference"/>
          <w:rFonts w:ascii="Times New Roman"/>
          <w:noProof/>
        </w:rPr>
        <w:footnoteRef/>
      </w:r>
      <w:r w:rsidRPr="00510D7C">
        <w:rPr>
          <w:rFonts w:ascii="Times New Roman"/>
          <w:noProof/>
        </w:rPr>
        <w:t xml:space="preserve"> See Rennuy, "The emergence of a parallel system of social security coordination", (2013), CML Rev., 1221–1266, 1227–1229.</w:t>
      </w:r>
    </w:p>
  </w:footnote>
  <w:footnote w:id="165">
    <w:p w14:paraId="4441F039" w14:textId="77777777" w:rsidR="00803628" w:rsidRPr="00510D7C" w:rsidRDefault="00803628" w:rsidP="008638AF">
      <w:pPr>
        <w:pStyle w:val="FootnoteText"/>
        <w:rPr>
          <w:rFonts w:ascii="Times New Roman"/>
          <w:noProof/>
        </w:rPr>
      </w:pPr>
      <w:r w:rsidRPr="00510D7C">
        <w:rPr>
          <w:rStyle w:val="FootnoteReference"/>
          <w:rFonts w:ascii="Times New Roman"/>
          <w:noProof/>
        </w:rPr>
        <w:footnoteRef/>
      </w:r>
      <w:r w:rsidRPr="00510D7C">
        <w:rPr>
          <w:rFonts w:ascii="Times New Roman"/>
          <w:noProof/>
        </w:rPr>
        <w:t xml:space="preserve"> Case 733/79, </w:t>
      </w:r>
      <w:r w:rsidRPr="00510D7C">
        <w:rPr>
          <w:rFonts w:ascii="Times New Roman"/>
          <w:i/>
          <w:noProof/>
        </w:rPr>
        <w:t>Caisse de compensation des allocations familiales des régions de Charleroi et de Namur v Laterza</w:t>
      </w:r>
      <w:r w:rsidRPr="00510D7C">
        <w:rPr>
          <w:rFonts w:ascii="Times New Roman"/>
          <w:noProof/>
        </w:rPr>
        <w:t>, EU:C:1980:156.</w:t>
      </w:r>
    </w:p>
  </w:footnote>
  <w:footnote w:id="166">
    <w:p w14:paraId="30A987F6" w14:textId="77777777" w:rsidR="00803628" w:rsidRPr="00510D7C" w:rsidRDefault="00803628">
      <w:pPr>
        <w:pStyle w:val="FootnoteText"/>
        <w:rPr>
          <w:rFonts w:ascii="Times New Roman"/>
          <w:noProof/>
        </w:rPr>
      </w:pPr>
      <w:r w:rsidRPr="00510D7C">
        <w:rPr>
          <w:rStyle w:val="FootnoteReference"/>
          <w:rFonts w:ascii="Times New Roman"/>
          <w:noProof/>
        </w:rPr>
        <w:footnoteRef/>
      </w:r>
      <w:r w:rsidRPr="00510D7C">
        <w:rPr>
          <w:rFonts w:ascii="Times New Roman"/>
          <w:noProof/>
        </w:rPr>
        <w:t xml:space="preserve"> See further Chapter 8 Regulation 883/2004.</w:t>
      </w:r>
    </w:p>
  </w:footnote>
  <w:footnote w:id="167">
    <w:p w14:paraId="72D1A641" w14:textId="77777777" w:rsidR="00803628" w:rsidRPr="00510D7C" w:rsidRDefault="00803628">
      <w:pPr>
        <w:pStyle w:val="FootnoteText"/>
        <w:rPr>
          <w:rFonts w:ascii="Times New Roman"/>
          <w:noProof/>
        </w:rPr>
      </w:pPr>
      <w:r w:rsidRPr="00510D7C">
        <w:rPr>
          <w:rStyle w:val="FootnoteReference"/>
          <w:rFonts w:ascii="Times New Roman"/>
          <w:noProof/>
        </w:rPr>
        <w:footnoteRef/>
      </w:r>
      <w:r w:rsidRPr="00510D7C">
        <w:rPr>
          <w:rFonts w:ascii="Times New Roman"/>
          <w:noProof/>
        </w:rPr>
        <w:t xml:space="preserve"> Case C-352/06, </w:t>
      </w:r>
      <w:r w:rsidRPr="00510D7C">
        <w:rPr>
          <w:rFonts w:ascii="Times New Roman"/>
          <w:i/>
          <w:noProof/>
        </w:rPr>
        <w:t>Bosmann v Bundesagentur für Arbeit - Familienkasse Aachen</w:t>
      </w:r>
      <w:r w:rsidRPr="00510D7C">
        <w:rPr>
          <w:rFonts w:ascii="Times New Roman"/>
          <w:noProof/>
        </w:rPr>
        <w:t>, EU:C:2008:290.</w:t>
      </w:r>
    </w:p>
  </w:footnote>
  <w:footnote w:id="168">
    <w:p w14:paraId="6FE40D29" w14:textId="77777777" w:rsidR="00803628" w:rsidRPr="00510D7C" w:rsidRDefault="00803628">
      <w:pPr>
        <w:pStyle w:val="FootnoteText"/>
        <w:rPr>
          <w:rFonts w:ascii="Times New Roman"/>
          <w:noProof/>
        </w:rPr>
      </w:pPr>
      <w:r w:rsidRPr="00510D7C">
        <w:rPr>
          <w:rStyle w:val="FootnoteReference"/>
          <w:rFonts w:ascii="Times New Roman"/>
          <w:noProof/>
        </w:rPr>
        <w:footnoteRef/>
      </w:r>
      <w:r w:rsidRPr="00510D7C">
        <w:rPr>
          <w:rFonts w:ascii="Times New Roman"/>
          <w:noProof/>
        </w:rPr>
        <w:t xml:space="preserve"> Case C-611/10 and C-612/10, </w:t>
      </w:r>
      <w:r w:rsidRPr="00510D7C">
        <w:rPr>
          <w:rFonts w:ascii="Times New Roman"/>
          <w:i/>
          <w:noProof/>
        </w:rPr>
        <w:t>Hudziński and Wawrzyniak</w:t>
      </w:r>
      <w:r w:rsidRPr="00510D7C">
        <w:rPr>
          <w:rFonts w:ascii="Times New Roman"/>
          <w:noProof/>
        </w:rPr>
        <w:t xml:space="preserve">. See Rennuy, op. cit. </w:t>
      </w:r>
      <w:r w:rsidRPr="00510D7C">
        <w:rPr>
          <w:rFonts w:ascii="Times New Roman"/>
          <w:i/>
          <w:noProof/>
        </w:rPr>
        <w:t xml:space="preserve">supra </w:t>
      </w:r>
      <w:r w:rsidRPr="00510D7C">
        <w:rPr>
          <w:rFonts w:ascii="Times New Roman"/>
          <w:noProof/>
        </w:rPr>
        <w:t xml:space="preserve">note </w:t>
      </w:r>
      <w:r w:rsidRPr="00510D7C">
        <w:rPr>
          <w:rFonts w:ascii="Times New Roman"/>
          <w:noProof/>
        </w:rPr>
        <w:fldChar w:fldCharType="begin"/>
      </w:r>
      <w:r w:rsidRPr="00510D7C">
        <w:rPr>
          <w:rFonts w:ascii="Times New Roman"/>
          <w:noProof/>
        </w:rPr>
        <w:instrText xml:space="preserve"> NOTEREF _Ref18858760 \h  \* MERGEFORMAT </w:instrText>
      </w:r>
      <w:r w:rsidRPr="00510D7C">
        <w:rPr>
          <w:rFonts w:ascii="Times New Roman"/>
          <w:noProof/>
        </w:rPr>
      </w:r>
      <w:r w:rsidRPr="00510D7C">
        <w:rPr>
          <w:rFonts w:ascii="Times New Roman"/>
          <w:noProof/>
        </w:rPr>
        <w:fldChar w:fldCharType="separate"/>
      </w:r>
      <w:r w:rsidRPr="00510D7C">
        <w:rPr>
          <w:rFonts w:ascii="Times New Roman"/>
          <w:noProof/>
        </w:rPr>
        <w:t>164</w:t>
      </w:r>
      <w:r w:rsidRPr="00510D7C">
        <w:rPr>
          <w:rFonts w:ascii="Times New Roman"/>
          <w:noProof/>
        </w:rPr>
        <w:fldChar w:fldCharType="end"/>
      </w:r>
      <w:r w:rsidRPr="00510D7C">
        <w:rPr>
          <w:rFonts w:ascii="Times New Roman"/>
          <w:noProof/>
        </w:rPr>
        <w:t>.</w:t>
      </w:r>
    </w:p>
  </w:footnote>
  <w:footnote w:id="169">
    <w:p w14:paraId="1AD9E059" w14:textId="77777777" w:rsidR="00803628" w:rsidRPr="00510D7C" w:rsidRDefault="00803628">
      <w:pPr>
        <w:pStyle w:val="FootnoteText"/>
        <w:rPr>
          <w:rFonts w:ascii="Times New Roman"/>
          <w:noProof/>
        </w:rPr>
      </w:pPr>
      <w:r w:rsidRPr="00510D7C">
        <w:rPr>
          <w:rStyle w:val="FootnoteReference"/>
          <w:rFonts w:ascii="Times New Roman"/>
          <w:noProof/>
        </w:rPr>
        <w:footnoteRef/>
      </w:r>
      <w:r w:rsidRPr="00510D7C">
        <w:rPr>
          <w:rFonts w:ascii="Times New Roman"/>
          <w:noProof/>
        </w:rPr>
        <w:t xml:space="preserve"> The ECJ accepted that the Council replaced plurality by unicity in Case C-20/96, </w:t>
      </w:r>
      <w:r w:rsidRPr="00510D7C">
        <w:rPr>
          <w:rFonts w:ascii="Times New Roman"/>
          <w:i/>
          <w:noProof/>
        </w:rPr>
        <w:t>Snares v Adjudication Officer</w:t>
      </w:r>
      <w:r w:rsidRPr="00510D7C">
        <w:rPr>
          <w:rFonts w:ascii="Times New Roman"/>
          <w:noProof/>
        </w:rPr>
        <w:t>, EU:C:1997:518.</w:t>
      </w:r>
    </w:p>
  </w:footnote>
  <w:footnote w:id="170">
    <w:p w14:paraId="338072F3" w14:textId="77777777" w:rsidR="00803628" w:rsidRPr="00510D7C" w:rsidRDefault="00803628" w:rsidP="008638AF">
      <w:pPr>
        <w:pStyle w:val="FootnoteText"/>
        <w:rPr>
          <w:rFonts w:ascii="Times New Roman"/>
          <w:noProof/>
        </w:rPr>
      </w:pPr>
      <w:r w:rsidRPr="00510D7C">
        <w:rPr>
          <w:rStyle w:val="FootnoteReference"/>
          <w:rFonts w:ascii="Times New Roman"/>
          <w:noProof/>
        </w:rPr>
        <w:footnoteRef/>
      </w:r>
      <w:r w:rsidRPr="00510D7C">
        <w:rPr>
          <w:rFonts w:ascii="Times New Roman"/>
          <w:i/>
          <w:noProof/>
        </w:rPr>
        <w:t xml:space="preserve"> </w:t>
      </w:r>
      <w:r w:rsidRPr="00510D7C">
        <w:rPr>
          <w:rFonts w:ascii="Times New Roman"/>
          <w:noProof/>
        </w:rPr>
        <w:t xml:space="preserve">Case C-20/12, </w:t>
      </w:r>
      <w:r w:rsidRPr="00510D7C">
        <w:rPr>
          <w:rFonts w:ascii="Times New Roman"/>
          <w:i/>
          <w:noProof/>
        </w:rPr>
        <w:t>Giersch</w:t>
      </w:r>
      <w:r w:rsidRPr="00510D7C">
        <w:rPr>
          <w:rFonts w:ascii="Times New Roman"/>
          <w:noProof/>
        </w:rPr>
        <w:t>, para 79.</w:t>
      </w:r>
    </w:p>
  </w:footnote>
  <w:footnote w:id="171">
    <w:p w14:paraId="61C6AC17" w14:textId="77777777" w:rsidR="00803628" w:rsidRPr="00510D7C" w:rsidRDefault="00803628">
      <w:pPr>
        <w:pStyle w:val="FootnoteText"/>
        <w:rPr>
          <w:rFonts w:ascii="Times New Roman"/>
          <w:noProof/>
        </w:rPr>
      </w:pPr>
      <w:r w:rsidRPr="00510D7C">
        <w:rPr>
          <w:rStyle w:val="FootnoteReference"/>
          <w:rFonts w:ascii="Times New Roman"/>
          <w:noProof/>
        </w:rPr>
        <w:footnoteRef/>
      </w:r>
      <w:r w:rsidRPr="00510D7C">
        <w:rPr>
          <w:rFonts w:ascii="Times New Roman"/>
          <w:noProof/>
        </w:rPr>
        <w:t xml:space="preserve"> Case C-333/13, </w:t>
      </w:r>
      <w:r w:rsidRPr="00510D7C">
        <w:rPr>
          <w:rFonts w:ascii="Times New Roman"/>
          <w:i/>
          <w:noProof/>
        </w:rPr>
        <w:t>Dano</w:t>
      </w:r>
      <w:r w:rsidRPr="00510D7C">
        <w:rPr>
          <w:rFonts w:ascii="Times New Roman"/>
          <w:noProof/>
        </w:rPr>
        <w:t xml:space="preserve">; Case C-67/14, </w:t>
      </w:r>
      <w:r w:rsidRPr="00510D7C">
        <w:rPr>
          <w:rFonts w:ascii="Times New Roman"/>
          <w:i/>
          <w:noProof/>
        </w:rPr>
        <w:t>Alimanovic</w:t>
      </w:r>
      <w:r w:rsidRPr="00510D7C">
        <w:rPr>
          <w:rFonts w:ascii="Times New Roman"/>
          <w:noProof/>
        </w:rPr>
        <w:t xml:space="preserve">; Case C-299/14, </w:t>
      </w:r>
      <w:r w:rsidRPr="00510D7C">
        <w:rPr>
          <w:rFonts w:ascii="Times New Roman"/>
          <w:i/>
          <w:noProof/>
        </w:rPr>
        <w:t>Vestische Arbeit Jobcenter Kreis Recklinghausen v García-Nieto</w:t>
      </w:r>
      <w:r w:rsidRPr="00510D7C">
        <w:rPr>
          <w:rFonts w:ascii="Times New Roman"/>
          <w:noProof/>
        </w:rPr>
        <w:t>, EU:C:2016:114.</w:t>
      </w:r>
    </w:p>
  </w:footnote>
  <w:footnote w:id="172">
    <w:p w14:paraId="1DC4EA11" w14:textId="77777777" w:rsidR="00803628" w:rsidRPr="00510D7C" w:rsidRDefault="00803628">
      <w:pPr>
        <w:pStyle w:val="FootnoteText"/>
        <w:rPr>
          <w:rFonts w:ascii="Times New Roman"/>
          <w:noProof/>
        </w:rPr>
      </w:pPr>
      <w:r w:rsidRPr="00510D7C">
        <w:rPr>
          <w:rStyle w:val="FootnoteReference"/>
          <w:rFonts w:ascii="Times New Roman"/>
          <w:noProof/>
        </w:rPr>
        <w:footnoteRef/>
      </w:r>
      <w:r w:rsidRPr="00510D7C">
        <w:rPr>
          <w:rFonts w:ascii="Times New Roman"/>
          <w:noProof/>
        </w:rPr>
        <w:t xml:space="preserve"> Decision of the Heads of State or Government, meeting within the European Council, concerning a New Settlement for the United Kingdom within the European Union, Annex I to the Conclusions of the European Council meeting (18 and 19 February 2016), Brussels, 19 February 2016, EUCO 1/16, 23; Case C-308/14, </w:t>
      </w:r>
      <w:r w:rsidRPr="00510D7C">
        <w:rPr>
          <w:rFonts w:ascii="Times New Roman"/>
          <w:i/>
          <w:noProof/>
        </w:rPr>
        <w:t>Commission v United Kingdom (child benefit)</w:t>
      </w:r>
      <w:r w:rsidRPr="00510D7C">
        <w:rPr>
          <w:rFonts w:ascii="Times New Roman"/>
          <w:noProof/>
        </w:rPr>
        <w:t>.</w:t>
      </w:r>
    </w:p>
  </w:footnote>
  <w:footnote w:id="173">
    <w:p w14:paraId="26543D62" w14:textId="77777777" w:rsidR="00803628" w:rsidRPr="00510D7C" w:rsidRDefault="00803628">
      <w:pPr>
        <w:pStyle w:val="FootnoteText"/>
        <w:rPr>
          <w:rFonts w:ascii="Times New Roman"/>
          <w:noProof/>
        </w:rPr>
      </w:pPr>
      <w:r w:rsidRPr="00510D7C">
        <w:rPr>
          <w:rStyle w:val="FootnoteReference"/>
          <w:rFonts w:ascii="Times New Roman"/>
          <w:noProof/>
        </w:rPr>
        <w:footnoteRef/>
      </w:r>
      <w:r w:rsidRPr="00510D7C">
        <w:rPr>
          <w:rFonts w:ascii="Times New Roman"/>
          <w:noProof/>
        </w:rPr>
        <w:t xml:space="preserve"> Case C-410/18, </w:t>
      </w:r>
      <w:r w:rsidRPr="00510D7C">
        <w:rPr>
          <w:rFonts w:ascii="Times New Roman"/>
          <w:i/>
          <w:noProof/>
        </w:rPr>
        <w:t>Aubriet</w:t>
      </w:r>
      <w:r w:rsidRPr="00510D7C">
        <w:rPr>
          <w:rFonts w:ascii="Times New Roman"/>
          <w:noProof/>
        </w:rPr>
        <w:t>.</w:t>
      </w:r>
    </w:p>
  </w:footnote>
  <w:footnote w:id="174">
    <w:p w14:paraId="08C39CB7" w14:textId="77777777" w:rsidR="00803628" w:rsidRPr="00510D7C" w:rsidRDefault="00803628">
      <w:pPr>
        <w:pStyle w:val="FootnoteText"/>
        <w:rPr>
          <w:rFonts w:ascii="Times New Roman"/>
          <w:noProof/>
        </w:rPr>
      </w:pPr>
      <w:r w:rsidRPr="00510D7C">
        <w:rPr>
          <w:rStyle w:val="FootnoteReference"/>
          <w:rFonts w:ascii="Times New Roman"/>
          <w:noProof/>
        </w:rPr>
        <w:footnoteRef/>
      </w:r>
      <w:r w:rsidRPr="00510D7C">
        <w:rPr>
          <w:rFonts w:ascii="Times New Roman"/>
          <w:noProof/>
        </w:rPr>
        <w:t xml:space="preserve"> No legal order is disturbed because little law is applied during that period.</w:t>
      </w:r>
    </w:p>
  </w:footnote>
  <w:footnote w:id="175">
    <w:p w14:paraId="535FD03A" w14:textId="77777777" w:rsidR="00803628" w:rsidRPr="00510D7C" w:rsidRDefault="00803628">
      <w:pPr>
        <w:pStyle w:val="FootnoteText"/>
        <w:rPr>
          <w:rFonts w:ascii="Times New Roman"/>
          <w:noProof/>
        </w:rPr>
      </w:pPr>
      <w:r w:rsidRPr="00510D7C">
        <w:rPr>
          <w:rStyle w:val="FootnoteReference"/>
          <w:rFonts w:ascii="Times New Roman"/>
          <w:noProof/>
        </w:rPr>
        <w:footnoteRef/>
      </w:r>
      <w:r w:rsidRPr="00510D7C">
        <w:rPr>
          <w:rFonts w:ascii="Times New Roman"/>
          <w:noProof/>
        </w:rPr>
        <w:t xml:space="preserve"> See above, note </w:t>
      </w:r>
      <w:r w:rsidRPr="00510D7C">
        <w:rPr>
          <w:rFonts w:ascii="Times New Roman"/>
          <w:noProof/>
        </w:rPr>
        <w:fldChar w:fldCharType="begin"/>
      </w:r>
      <w:r w:rsidRPr="00510D7C">
        <w:rPr>
          <w:rFonts w:ascii="Times New Roman"/>
          <w:noProof/>
        </w:rPr>
        <w:instrText xml:space="preserve"> NOTEREF _Ref18740574 \h  \* MERGEFORMAT </w:instrText>
      </w:r>
      <w:r w:rsidRPr="00510D7C">
        <w:rPr>
          <w:rFonts w:ascii="Times New Roman"/>
          <w:noProof/>
        </w:rPr>
      </w:r>
      <w:r w:rsidRPr="00510D7C">
        <w:rPr>
          <w:rFonts w:ascii="Times New Roman"/>
          <w:noProof/>
        </w:rPr>
        <w:fldChar w:fldCharType="separate"/>
      </w:r>
      <w:r w:rsidRPr="00510D7C">
        <w:rPr>
          <w:rFonts w:ascii="Times New Roman"/>
          <w:noProof/>
        </w:rPr>
        <w:t>97</w:t>
      </w:r>
      <w:r w:rsidRPr="00510D7C">
        <w:rPr>
          <w:rFonts w:ascii="Times New Roman"/>
          <w:noProof/>
        </w:rPr>
        <w:fldChar w:fldCharType="end"/>
      </w:r>
      <w:r w:rsidRPr="00510D7C">
        <w:rPr>
          <w:rFonts w:ascii="Times New Roman"/>
          <w:noProof/>
        </w:rPr>
        <w:t>.</w:t>
      </w:r>
    </w:p>
  </w:footnote>
  <w:footnote w:id="176">
    <w:p w14:paraId="1DC4204E" w14:textId="77777777" w:rsidR="00803628" w:rsidRPr="00510D7C" w:rsidRDefault="00803628" w:rsidP="008638AF">
      <w:pPr>
        <w:pStyle w:val="FootnoteText"/>
        <w:rPr>
          <w:rFonts w:ascii="Times New Roman"/>
          <w:noProof/>
        </w:rPr>
      </w:pPr>
      <w:r w:rsidRPr="00510D7C">
        <w:rPr>
          <w:rStyle w:val="FootnoteReference"/>
          <w:rFonts w:ascii="Times New Roman"/>
          <w:noProof/>
        </w:rPr>
        <w:footnoteRef/>
      </w:r>
      <w:r w:rsidRPr="00510D7C">
        <w:rPr>
          <w:rFonts w:ascii="Times New Roman"/>
          <w:noProof/>
        </w:rPr>
        <w:t xml:space="preserve"> Joint letter of four ministers representing the Austrian, German, Dutch and British governments, op. cit </w:t>
      </w:r>
      <w:r w:rsidRPr="00510D7C">
        <w:rPr>
          <w:rFonts w:ascii="Times New Roman"/>
          <w:i/>
          <w:iCs/>
          <w:noProof/>
        </w:rPr>
        <w:t>supra</w:t>
      </w:r>
      <w:r w:rsidRPr="00510D7C">
        <w:rPr>
          <w:rFonts w:ascii="Times New Roman"/>
          <w:noProof/>
        </w:rPr>
        <w:t xml:space="preserve"> note </w:t>
      </w:r>
      <w:r w:rsidRPr="00510D7C">
        <w:rPr>
          <w:rFonts w:ascii="Times New Roman"/>
          <w:noProof/>
        </w:rPr>
        <w:fldChar w:fldCharType="begin"/>
      </w:r>
      <w:r w:rsidRPr="00510D7C">
        <w:rPr>
          <w:rFonts w:ascii="Times New Roman"/>
          <w:noProof/>
        </w:rPr>
        <w:instrText xml:space="preserve"> NOTEREF _Ref18858804 \h  \* MERGEFORMAT </w:instrText>
      </w:r>
      <w:r w:rsidRPr="00510D7C">
        <w:rPr>
          <w:rFonts w:ascii="Times New Roman"/>
          <w:noProof/>
        </w:rPr>
      </w:r>
      <w:r w:rsidRPr="00510D7C">
        <w:rPr>
          <w:rFonts w:ascii="Times New Roman"/>
          <w:noProof/>
        </w:rPr>
        <w:fldChar w:fldCharType="separate"/>
      </w:r>
      <w:r w:rsidRPr="00510D7C">
        <w:rPr>
          <w:rFonts w:ascii="Times New Roman"/>
          <w:noProof/>
        </w:rPr>
        <w:t>83</w:t>
      </w:r>
      <w:r w:rsidRPr="00510D7C">
        <w:rPr>
          <w:rFonts w:ascii="Times New Roman"/>
          <w:noProof/>
        </w:rPr>
        <w:fldChar w:fldCharType="end"/>
      </w:r>
      <w:r w:rsidRPr="00510D7C">
        <w:rPr>
          <w:rFonts w:ascii="Times New Roman"/>
          <w:noProof/>
        </w:rPr>
        <w:t>, 3.</w:t>
      </w:r>
    </w:p>
  </w:footnote>
  <w:footnote w:id="177">
    <w:p w14:paraId="08182502" w14:textId="77777777" w:rsidR="00803628" w:rsidRPr="00510D7C" w:rsidRDefault="00803628">
      <w:pPr>
        <w:pStyle w:val="FootnoteText"/>
        <w:rPr>
          <w:rFonts w:ascii="Times New Roman"/>
          <w:noProof/>
        </w:rPr>
      </w:pPr>
      <w:r w:rsidRPr="00510D7C">
        <w:rPr>
          <w:rStyle w:val="FootnoteReference"/>
          <w:rFonts w:ascii="Times New Roman"/>
          <w:noProof/>
        </w:rPr>
        <w:footnoteRef/>
      </w:r>
      <w:r w:rsidRPr="00510D7C">
        <w:rPr>
          <w:rFonts w:ascii="Times New Roman"/>
          <w:noProof/>
        </w:rPr>
        <w:t xml:space="preserve"> Even if Regulation 883/2004 provides otherwise: Case C-352/06, </w:t>
      </w:r>
      <w:r w:rsidRPr="00510D7C">
        <w:rPr>
          <w:rFonts w:ascii="Times New Roman"/>
          <w:i/>
          <w:noProof/>
        </w:rPr>
        <w:t>Bosmann</w:t>
      </w:r>
      <w:r w:rsidRPr="00510D7C">
        <w:rPr>
          <w:rFonts w:ascii="Times New Roman"/>
          <w:noProof/>
        </w:rPr>
        <w:t>.</w:t>
      </w:r>
    </w:p>
  </w:footnote>
  <w:footnote w:id="178">
    <w:p w14:paraId="21507AF2" w14:textId="77777777" w:rsidR="00803628" w:rsidRPr="00510D7C" w:rsidRDefault="00803628" w:rsidP="008638AF">
      <w:pPr>
        <w:pStyle w:val="FootnoteText"/>
        <w:rPr>
          <w:rFonts w:ascii="Times New Roman"/>
          <w:noProof/>
        </w:rPr>
      </w:pPr>
      <w:r w:rsidRPr="00510D7C">
        <w:rPr>
          <w:rStyle w:val="FootnoteReference"/>
          <w:rFonts w:ascii="Times New Roman"/>
          <w:noProof/>
        </w:rPr>
        <w:footnoteRef/>
      </w:r>
      <w:r w:rsidRPr="00510D7C">
        <w:rPr>
          <w:rFonts w:ascii="Times New Roman"/>
          <w:noProof/>
        </w:rPr>
        <w:t xml:space="preserve"> Art. 7(1)(b) and Art. 24(1) Citizenship Directive.</w:t>
      </w:r>
    </w:p>
  </w:footnote>
  <w:footnote w:id="179">
    <w:p w14:paraId="278958C0" w14:textId="77777777" w:rsidR="00803628" w:rsidRPr="00510D7C" w:rsidRDefault="00803628" w:rsidP="008638AF">
      <w:pPr>
        <w:pStyle w:val="FootnoteText"/>
        <w:rPr>
          <w:rFonts w:ascii="Times New Roman"/>
          <w:noProof/>
        </w:rPr>
      </w:pPr>
      <w:r w:rsidRPr="00510D7C">
        <w:rPr>
          <w:rStyle w:val="FootnoteReference"/>
          <w:rFonts w:ascii="Times New Roman"/>
          <w:noProof/>
        </w:rPr>
        <w:footnoteRef/>
      </w:r>
      <w:r w:rsidRPr="00510D7C">
        <w:rPr>
          <w:rFonts w:ascii="Times New Roman"/>
          <w:noProof/>
        </w:rPr>
        <w:t xml:space="preserve"> The tools can be varied and even combined—for instance an instant transition in the welfare rights of migrants might be accompanied by a reimbursement mechanism based on plurality.</w:t>
      </w:r>
    </w:p>
  </w:footnote>
  <w:footnote w:id="180">
    <w:p w14:paraId="5B1E987D" w14:textId="77777777" w:rsidR="00803628" w:rsidRPr="00510D7C" w:rsidRDefault="00803628" w:rsidP="008638AF">
      <w:pPr>
        <w:pStyle w:val="FootnoteText"/>
        <w:rPr>
          <w:rFonts w:ascii="Times New Roman"/>
          <w:noProof/>
        </w:rPr>
      </w:pPr>
      <w:r w:rsidRPr="00510D7C">
        <w:rPr>
          <w:rStyle w:val="FootnoteReference"/>
          <w:rFonts w:ascii="Times New Roman"/>
          <w:noProof/>
        </w:rPr>
        <w:footnoteRef/>
      </w:r>
      <w:r w:rsidRPr="00510D7C">
        <w:rPr>
          <w:rFonts w:ascii="Times New Roman"/>
          <w:noProof/>
        </w:rPr>
        <w:t xml:space="preserve"> </w:t>
      </w:r>
      <w:bookmarkStart w:id="210" w:name="_Hlk18942494"/>
      <w:r w:rsidRPr="00510D7C">
        <w:rPr>
          <w:rFonts w:ascii="Times New Roman"/>
          <w:noProof/>
        </w:rPr>
        <w:t xml:space="preserve">This might be different for an instant transition affecting highly mobile citizens. </w:t>
      </w:r>
      <w:bookmarkEnd w:id="210"/>
      <w:r w:rsidRPr="00510D7C">
        <w:rPr>
          <w:rFonts w:ascii="Times New Roman"/>
          <w:noProof/>
        </w:rPr>
        <w:t xml:space="preserve">See above, note </w:t>
      </w:r>
      <w:r w:rsidRPr="00510D7C">
        <w:rPr>
          <w:rFonts w:ascii="Times New Roman"/>
          <w:noProof/>
        </w:rPr>
        <w:fldChar w:fldCharType="begin"/>
      </w:r>
      <w:r w:rsidRPr="00510D7C">
        <w:rPr>
          <w:rFonts w:ascii="Times New Roman"/>
          <w:noProof/>
        </w:rPr>
        <w:instrText xml:space="preserve"> NOTEREF _Ref9437591 \h  \* MERGEFORMAT </w:instrText>
      </w:r>
      <w:r w:rsidRPr="00510D7C">
        <w:rPr>
          <w:rFonts w:ascii="Times New Roman"/>
          <w:noProof/>
        </w:rPr>
      </w:r>
      <w:r w:rsidRPr="00510D7C">
        <w:rPr>
          <w:rFonts w:ascii="Times New Roman"/>
          <w:noProof/>
        </w:rPr>
        <w:fldChar w:fldCharType="separate"/>
      </w:r>
      <w:r w:rsidRPr="00510D7C">
        <w:rPr>
          <w:rFonts w:ascii="Times New Roman"/>
          <w:noProof/>
        </w:rPr>
        <w:t>91</w:t>
      </w:r>
      <w:r w:rsidRPr="00510D7C">
        <w:rPr>
          <w:rFonts w:ascii="Times New Roman"/>
          <w:noProof/>
        </w:rPr>
        <w:fldChar w:fldCharType="end"/>
      </w:r>
      <w:r w:rsidRPr="00510D7C">
        <w:rPr>
          <w:rFonts w:ascii="Times New Roman"/>
          <w:noProof/>
        </w:rPr>
        <w:t>.</w:t>
      </w:r>
    </w:p>
  </w:footnote>
  <w:footnote w:id="181">
    <w:p w14:paraId="3FCCCBFA" w14:textId="77777777" w:rsidR="00803628" w:rsidRPr="00510D7C" w:rsidRDefault="00803628">
      <w:pPr>
        <w:pStyle w:val="FootnoteText"/>
        <w:rPr>
          <w:rFonts w:ascii="Times New Roman"/>
          <w:noProof/>
        </w:rPr>
      </w:pPr>
      <w:r w:rsidRPr="00510D7C">
        <w:rPr>
          <w:rStyle w:val="FootnoteReference"/>
          <w:rFonts w:ascii="Times New Roman"/>
          <w:noProof/>
        </w:rPr>
        <w:footnoteRef/>
      </w:r>
      <w:r w:rsidRPr="00510D7C">
        <w:rPr>
          <w:rFonts w:ascii="Times New Roman"/>
          <w:noProof/>
        </w:rPr>
        <w:t xml:space="preserve"> Art. 24(1) Citizenship Directive; Case C-333/13, </w:t>
      </w:r>
      <w:r w:rsidRPr="00510D7C">
        <w:rPr>
          <w:rFonts w:ascii="Times New Roman"/>
          <w:i/>
          <w:noProof/>
        </w:rPr>
        <w:t>Dano</w:t>
      </w:r>
      <w:r w:rsidRPr="00510D7C">
        <w:rPr>
          <w:rFonts w:ascii="Times New Roman"/>
          <w:noProof/>
        </w:rPr>
        <w:t>.</w:t>
      </w:r>
    </w:p>
  </w:footnote>
  <w:footnote w:id="182">
    <w:p w14:paraId="2EBA041F" w14:textId="4E943F91" w:rsidR="00803628" w:rsidRPr="00510D7C" w:rsidRDefault="00803628">
      <w:pPr>
        <w:pStyle w:val="FootnoteText"/>
        <w:rPr>
          <w:rFonts w:ascii="Times New Roman"/>
          <w:noProof/>
        </w:rPr>
      </w:pPr>
      <w:r w:rsidRPr="00510D7C">
        <w:rPr>
          <w:rStyle w:val="FootnoteReference"/>
          <w:rFonts w:ascii="Times New Roman"/>
          <w:noProof/>
        </w:rPr>
        <w:footnoteRef/>
      </w:r>
      <w:r w:rsidRPr="00510D7C">
        <w:rPr>
          <w:rFonts w:ascii="Times New Roman"/>
          <w:noProof/>
        </w:rPr>
        <w:t xml:space="preserve"> Art. 7(1)(b) Citizenship Directive</w:t>
      </w:r>
      <w:r w:rsidR="00143E60" w:rsidRPr="00510D7C">
        <w:rPr>
          <w:rFonts w:ascii="Times New Roman"/>
          <w:noProof/>
        </w:rPr>
        <w:t>, emphasis added</w:t>
      </w:r>
      <w:r w:rsidRPr="00510D7C">
        <w:rPr>
          <w:rFonts w:ascii="Times New Roman"/>
          <w:noProof/>
        </w:rPr>
        <w:t>.</w:t>
      </w:r>
    </w:p>
  </w:footnote>
  <w:footnote w:id="183">
    <w:p w14:paraId="313CEBFC" w14:textId="77777777" w:rsidR="00803628" w:rsidRPr="00510D7C" w:rsidRDefault="00803628" w:rsidP="008638AF">
      <w:pPr>
        <w:pStyle w:val="FootnoteText"/>
        <w:rPr>
          <w:rFonts w:ascii="Times New Roman"/>
          <w:noProof/>
        </w:rPr>
      </w:pPr>
      <w:r w:rsidRPr="00510D7C">
        <w:rPr>
          <w:rStyle w:val="FootnoteReference"/>
          <w:rFonts w:ascii="Times New Roman"/>
          <w:noProof/>
        </w:rPr>
        <w:footnoteRef/>
      </w:r>
      <w:r w:rsidRPr="00510D7C">
        <w:rPr>
          <w:rFonts w:ascii="Times New Roman"/>
          <w:noProof/>
        </w:rPr>
        <w:t xml:space="preserve"> Van Overmeiren, Eichenhofer and Verschueren, "Social security coverage of non-active persons moving to another Member State", (trESS Analytical Study 2011), &lt;http://www.tress-network.org/tress2012/EUROPEAN%20RESOURCES/EUROPEANREPORT/TRESS_AnalyticalReport-NonActives_FINAL.pdf&gt;, 42–43.</w:t>
      </w:r>
    </w:p>
  </w:footnote>
  <w:footnote w:id="184">
    <w:p w14:paraId="0935EA68" w14:textId="77777777" w:rsidR="00803628" w:rsidRPr="00510D7C" w:rsidRDefault="00803628">
      <w:pPr>
        <w:pStyle w:val="FootnoteText"/>
        <w:rPr>
          <w:rFonts w:ascii="Times New Roman"/>
          <w:noProof/>
        </w:rPr>
      </w:pPr>
      <w:r w:rsidRPr="00510D7C">
        <w:rPr>
          <w:rStyle w:val="FootnoteReference"/>
          <w:rFonts w:ascii="Times New Roman"/>
          <w:noProof/>
        </w:rPr>
        <w:footnoteRef/>
      </w:r>
      <w:r w:rsidRPr="00510D7C">
        <w:rPr>
          <w:rFonts w:ascii="Times New Roman"/>
          <w:noProof/>
        </w:rPr>
        <w:t xml:space="preserve"> E.g. de Witte, op. cit. </w:t>
      </w:r>
      <w:r w:rsidRPr="00510D7C">
        <w:rPr>
          <w:rFonts w:ascii="Times New Roman"/>
          <w:i/>
          <w:noProof/>
        </w:rPr>
        <w:t xml:space="preserve">supra </w:t>
      </w:r>
      <w:r w:rsidRPr="00510D7C">
        <w:rPr>
          <w:rFonts w:ascii="Times New Roman"/>
          <w:noProof/>
        </w:rPr>
        <w:t xml:space="preserve">note </w:t>
      </w:r>
      <w:r w:rsidRPr="00510D7C">
        <w:rPr>
          <w:rFonts w:ascii="Times New Roman"/>
          <w:noProof/>
        </w:rPr>
        <w:fldChar w:fldCharType="begin"/>
      </w:r>
      <w:r w:rsidRPr="00510D7C">
        <w:rPr>
          <w:rFonts w:ascii="Times New Roman"/>
          <w:noProof/>
        </w:rPr>
        <w:instrText xml:space="preserve"> NOTEREF _Ref18857882 \h  \* MERGEFORMAT </w:instrText>
      </w:r>
      <w:r w:rsidRPr="00510D7C">
        <w:rPr>
          <w:rFonts w:ascii="Times New Roman"/>
          <w:noProof/>
        </w:rPr>
      </w:r>
      <w:r w:rsidRPr="00510D7C">
        <w:rPr>
          <w:rFonts w:ascii="Times New Roman"/>
          <w:noProof/>
        </w:rPr>
        <w:fldChar w:fldCharType="separate"/>
      </w:r>
      <w:r w:rsidRPr="00510D7C">
        <w:rPr>
          <w:rFonts w:ascii="Times New Roman"/>
          <w:noProof/>
        </w:rPr>
        <w:t>7</w:t>
      </w:r>
      <w:r w:rsidRPr="00510D7C">
        <w:rPr>
          <w:rFonts w:ascii="Times New Roman"/>
          <w:noProof/>
        </w:rPr>
        <w:fldChar w:fldCharType="end"/>
      </w:r>
      <w:r w:rsidRPr="00510D7C">
        <w:rPr>
          <w:rFonts w:ascii="Times New Roman"/>
          <w:noProof/>
        </w:rPr>
        <w:t xml:space="preserve">; Ferrera, </w:t>
      </w:r>
      <w:r w:rsidRPr="00510D7C">
        <w:rPr>
          <w:rFonts w:ascii="Times New Roman"/>
          <w:i/>
          <w:noProof/>
        </w:rPr>
        <w:t>The Boundaries of Welfare: European Integration and the New Spatial Politics of Social Protection</w:t>
      </w:r>
      <w:r w:rsidRPr="00510D7C">
        <w:rPr>
          <w:rFonts w:ascii="Times New Roman"/>
          <w:noProof/>
        </w:rPr>
        <w:t xml:space="preserve"> (OUP, 2005); Menéndez, op. cit. </w:t>
      </w:r>
      <w:r w:rsidRPr="00510D7C">
        <w:rPr>
          <w:rFonts w:ascii="Times New Roman"/>
          <w:i/>
          <w:noProof/>
        </w:rPr>
        <w:t xml:space="preserve">supra </w:t>
      </w:r>
      <w:r w:rsidRPr="00510D7C">
        <w:rPr>
          <w:rFonts w:ascii="Times New Roman"/>
          <w:noProof/>
        </w:rPr>
        <w:t xml:space="preserve">note </w:t>
      </w:r>
      <w:r w:rsidRPr="00510D7C">
        <w:rPr>
          <w:rFonts w:ascii="Times New Roman"/>
          <w:noProof/>
        </w:rPr>
        <w:fldChar w:fldCharType="begin"/>
      </w:r>
      <w:r w:rsidRPr="00510D7C">
        <w:rPr>
          <w:rFonts w:ascii="Times New Roman"/>
          <w:noProof/>
        </w:rPr>
        <w:instrText xml:space="preserve"> NOTEREF _Ref18858840 \h  \* MERGEFORMAT </w:instrText>
      </w:r>
      <w:r w:rsidRPr="00510D7C">
        <w:rPr>
          <w:rFonts w:ascii="Times New Roman"/>
          <w:noProof/>
        </w:rPr>
      </w:r>
      <w:r w:rsidRPr="00510D7C">
        <w:rPr>
          <w:rFonts w:ascii="Times New Roman"/>
          <w:noProof/>
        </w:rPr>
        <w:fldChar w:fldCharType="separate"/>
      </w:r>
      <w:r w:rsidRPr="00510D7C">
        <w:rPr>
          <w:rFonts w:ascii="Times New Roman"/>
          <w:noProof/>
        </w:rPr>
        <w:t>15</w:t>
      </w:r>
      <w:r w:rsidRPr="00510D7C">
        <w:rPr>
          <w:rFonts w:ascii="Times New Roman"/>
          <w:noProof/>
        </w:rPr>
        <w:fldChar w:fldCharType="end"/>
      </w:r>
      <w:r w:rsidRPr="00510D7C">
        <w:rPr>
          <w:rFonts w:ascii="Times New Roman"/>
          <w:noProof/>
        </w:rPr>
        <w:t xml:space="preserve">, 392–393; Paju, </w:t>
      </w:r>
      <w:r w:rsidRPr="00510D7C">
        <w:rPr>
          <w:rFonts w:ascii="Times New Roman"/>
          <w:i/>
          <w:noProof/>
        </w:rPr>
        <w:t>The European Union and Social Security Law</w:t>
      </w:r>
      <w:r w:rsidRPr="00510D7C">
        <w:rPr>
          <w:rFonts w:ascii="Times New Roman"/>
          <w:noProof/>
        </w:rPr>
        <w:t xml:space="preserve"> (Hart Publishing, 2017).</w:t>
      </w:r>
    </w:p>
  </w:footnote>
  <w:footnote w:id="185">
    <w:p w14:paraId="746E52AC" w14:textId="77777777" w:rsidR="00803628" w:rsidRPr="00510D7C" w:rsidRDefault="00803628" w:rsidP="008638AF">
      <w:pPr>
        <w:pStyle w:val="FootnoteText"/>
        <w:rPr>
          <w:rFonts w:ascii="Times New Roman"/>
          <w:noProof/>
        </w:rPr>
      </w:pPr>
      <w:r w:rsidRPr="00510D7C">
        <w:rPr>
          <w:rStyle w:val="FootnoteReference"/>
          <w:rFonts w:ascii="Times New Roman"/>
          <w:noProof/>
        </w:rPr>
        <w:footnoteRef/>
      </w:r>
      <w:r w:rsidRPr="00510D7C">
        <w:rPr>
          <w:rFonts w:ascii="Times New Roman"/>
          <w:noProof/>
        </w:rPr>
        <w:t xml:space="preserve"> For excellent analysis of those types of regulation with some comments on social security, see Saydé, op. cit. </w:t>
      </w:r>
      <w:r w:rsidRPr="00510D7C">
        <w:rPr>
          <w:rFonts w:ascii="Times New Roman"/>
          <w:i/>
          <w:noProof/>
        </w:rPr>
        <w:t xml:space="preserve">supra </w:t>
      </w:r>
      <w:r w:rsidRPr="00510D7C">
        <w:rPr>
          <w:rFonts w:ascii="Times New Roman"/>
          <w:noProof/>
        </w:rPr>
        <w:t xml:space="preserve">note </w:t>
      </w:r>
      <w:r w:rsidRPr="00510D7C">
        <w:rPr>
          <w:rFonts w:ascii="Times New Roman"/>
          <w:noProof/>
        </w:rPr>
        <w:fldChar w:fldCharType="begin"/>
      </w:r>
      <w:r w:rsidRPr="00510D7C">
        <w:rPr>
          <w:rFonts w:ascii="Times New Roman"/>
          <w:noProof/>
        </w:rPr>
        <w:instrText xml:space="preserve"> NOTEREF _Ref18858910 \h  \* MERGEFORMAT </w:instrText>
      </w:r>
      <w:r w:rsidRPr="00510D7C">
        <w:rPr>
          <w:rFonts w:ascii="Times New Roman"/>
          <w:noProof/>
        </w:rPr>
      </w:r>
      <w:r w:rsidRPr="00510D7C">
        <w:rPr>
          <w:rFonts w:ascii="Times New Roman"/>
          <w:noProof/>
        </w:rPr>
        <w:fldChar w:fldCharType="separate"/>
      </w:r>
      <w:r w:rsidRPr="00510D7C">
        <w:rPr>
          <w:rFonts w:ascii="Times New Roman"/>
          <w:noProof/>
        </w:rPr>
        <w:t>146</w:t>
      </w:r>
      <w:r w:rsidRPr="00510D7C">
        <w:rPr>
          <w:rFonts w:ascii="Times New Roman"/>
          <w:noProof/>
        </w:rPr>
        <w:fldChar w:fldCharType="end"/>
      </w:r>
      <w:r w:rsidRPr="00510D7C">
        <w:rPr>
          <w:rFonts w:ascii="Times New Roman"/>
          <w:noProof/>
        </w:rPr>
        <w:t>, in particular 385–391 and 408–410. In the context of posting, see Van Hoek, "Re-embedding the transnational employment relationship: A tale about the limitations of (EU) law?", (2018), CML Rev., 449–487.</w:t>
      </w:r>
    </w:p>
  </w:footnote>
  <w:footnote w:id="186">
    <w:p w14:paraId="476687D8" w14:textId="77777777" w:rsidR="00803628" w:rsidRPr="00510D7C" w:rsidRDefault="00803628">
      <w:pPr>
        <w:pStyle w:val="FootnoteText"/>
        <w:rPr>
          <w:rFonts w:ascii="Times New Roman"/>
          <w:noProof/>
        </w:rPr>
      </w:pPr>
      <w:r w:rsidRPr="00510D7C">
        <w:rPr>
          <w:rStyle w:val="FootnoteReference"/>
          <w:rFonts w:ascii="Times New Roman"/>
          <w:noProof/>
        </w:rPr>
        <w:footnoteRef/>
      </w:r>
      <w:r w:rsidRPr="00510D7C">
        <w:rPr>
          <w:rFonts w:ascii="Times New Roman"/>
          <w:noProof/>
        </w:rPr>
        <w:t xml:space="preserve"> Nic Shuibhne, op. cit. </w:t>
      </w:r>
      <w:r w:rsidRPr="00510D7C">
        <w:rPr>
          <w:rFonts w:ascii="Times New Roman"/>
          <w:i/>
          <w:noProof/>
        </w:rPr>
        <w:t xml:space="preserve">supra </w:t>
      </w:r>
      <w:r w:rsidRPr="00510D7C">
        <w:rPr>
          <w:rFonts w:ascii="Times New Roman"/>
          <w:noProof/>
        </w:rPr>
        <w:t xml:space="preserve">note </w:t>
      </w:r>
      <w:r w:rsidRPr="00510D7C">
        <w:rPr>
          <w:rFonts w:ascii="Times New Roman"/>
          <w:noProof/>
        </w:rPr>
        <w:fldChar w:fldCharType="begin"/>
      </w:r>
      <w:r w:rsidRPr="00510D7C">
        <w:rPr>
          <w:rFonts w:ascii="Times New Roman"/>
          <w:noProof/>
        </w:rPr>
        <w:instrText xml:space="preserve"> NOTEREF _Ref9436829 \h  \* MERGEFORMAT </w:instrText>
      </w:r>
      <w:r w:rsidRPr="00510D7C">
        <w:rPr>
          <w:rFonts w:ascii="Times New Roman"/>
          <w:noProof/>
        </w:rPr>
      </w:r>
      <w:r w:rsidRPr="00510D7C">
        <w:rPr>
          <w:rFonts w:ascii="Times New Roman"/>
          <w:noProof/>
        </w:rPr>
        <w:fldChar w:fldCharType="separate"/>
      </w:r>
      <w:r w:rsidRPr="00510D7C">
        <w:rPr>
          <w:rFonts w:ascii="Times New Roman"/>
          <w:noProof/>
        </w:rPr>
        <w:t>85</w:t>
      </w:r>
      <w:r w:rsidRPr="00510D7C">
        <w:rPr>
          <w:rFonts w:ascii="Times New Roman"/>
          <w:noProof/>
        </w:rPr>
        <w:fldChar w:fldCharType="end"/>
      </w:r>
      <w:r w:rsidRPr="00510D7C">
        <w:rPr>
          <w:rFonts w:ascii="Times New Roman"/>
          <w:noProof/>
        </w:rPr>
        <w:t>, 479.</w:t>
      </w:r>
    </w:p>
  </w:footnote>
  <w:footnote w:id="187">
    <w:p w14:paraId="437650F2" w14:textId="77777777" w:rsidR="00803628" w:rsidRPr="00510D7C" w:rsidRDefault="00803628" w:rsidP="008638AF">
      <w:pPr>
        <w:pStyle w:val="FootnoteText"/>
        <w:rPr>
          <w:rFonts w:ascii="Times New Roman"/>
          <w:noProof/>
        </w:rPr>
      </w:pPr>
      <w:r w:rsidRPr="00510D7C">
        <w:rPr>
          <w:rStyle w:val="FootnoteReference"/>
          <w:rFonts w:ascii="Times New Roman" w:eastAsiaTheme="majorEastAsia"/>
          <w:noProof/>
        </w:rPr>
        <w:footnoteRef/>
      </w:r>
      <w:r w:rsidRPr="00510D7C">
        <w:rPr>
          <w:rFonts w:ascii="Times New Roman"/>
          <w:noProof/>
        </w:rPr>
        <w:t xml:space="preserve"> Duff, "Philosophy and 'The Life of the Law'", (2009), Journal of Applied Philosophy, 245–258, 249.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D65F8"/>
    <w:multiLevelType w:val="hybridMultilevel"/>
    <w:tmpl w:val="6B6C7A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451B84"/>
    <w:multiLevelType w:val="hybridMultilevel"/>
    <w:tmpl w:val="C84A3AD6"/>
    <w:lvl w:ilvl="0" w:tplc="B540F42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682B8C"/>
    <w:multiLevelType w:val="hybridMultilevel"/>
    <w:tmpl w:val="48EAA152"/>
    <w:lvl w:ilvl="0" w:tplc="DD50F540">
      <w:start w:val="2013"/>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7469D4"/>
    <w:multiLevelType w:val="hybridMultilevel"/>
    <w:tmpl w:val="70A61696"/>
    <w:lvl w:ilvl="0" w:tplc="D6D65B56">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4819BC"/>
    <w:multiLevelType w:val="hybridMultilevel"/>
    <w:tmpl w:val="1D56E844"/>
    <w:lvl w:ilvl="0" w:tplc="783AA98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1551F5"/>
    <w:multiLevelType w:val="hybridMultilevel"/>
    <w:tmpl w:val="7952A6D8"/>
    <w:lvl w:ilvl="0" w:tplc="3ACCFC1C">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2C68D3"/>
    <w:multiLevelType w:val="hybridMultilevel"/>
    <w:tmpl w:val="4CC6A756"/>
    <w:lvl w:ilvl="0" w:tplc="FC7473D0">
      <w:start w:val="8"/>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8B2EA3"/>
    <w:multiLevelType w:val="hybridMultilevel"/>
    <w:tmpl w:val="0EE4A5CA"/>
    <w:lvl w:ilvl="0" w:tplc="55DC478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AA103A"/>
    <w:multiLevelType w:val="hybridMultilevel"/>
    <w:tmpl w:val="5CAC8F92"/>
    <w:lvl w:ilvl="0" w:tplc="2A2AD93A">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8FE7C7D"/>
    <w:multiLevelType w:val="hybridMultilevel"/>
    <w:tmpl w:val="71C2A218"/>
    <w:lvl w:ilvl="0" w:tplc="88EC5C82">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8C34F1"/>
    <w:multiLevelType w:val="hybridMultilevel"/>
    <w:tmpl w:val="B44A24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376E6A"/>
    <w:multiLevelType w:val="hybridMultilevel"/>
    <w:tmpl w:val="1810A3EE"/>
    <w:lvl w:ilvl="0" w:tplc="B8F8B99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D434BAC"/>
    <w:multiLevelType w:val="multilevel"/>
    <w:tmpl w:val="7DB40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716A88"/>
    <w:multiLevelType w:val="hybridMultilevel"/>
    <w:tmpl w:val="658869F4"/>
    <w:lvl w:ilvl="0" w:tplc="465E0378">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D4467A"/>
    <w:multiLevelType w:val="hybridMultilevel"/>
    <w:tmpl w:val="1228F972"/>
    <w:lvl w:ilvl="0" w:tplc="D9C0198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FF334D"/>
    <w:multiLevelType w:val="hybridMultilevel"/>
    <w:tmpl w:val="075A423A"/>
    <w:lvl w:ilvl="0" w:tplc="523EA44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5224E5"/>
    <w:multiLevelType w:val="multilevel"/>
    <w:tmpl w:val="FB2A33C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6F71C80"/>
    <w:multiLevelType w:val="hybridMultilevel"/>
    <w:tmpl w:val="99CEEA48"/>
    <w:lvl w:ilvl="0" w:tplc="4B0695C6">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8112D5"/>
    <w:multiLevelType w:val="hybridMultilevel"/>
    <w:tmpl w:val="782CC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8131F0"/>
    <w:multiLevelType w:val="hybridMultilevel"/>
    <w:tmpl w:val="E5EE788E"/>
    <w:lvl w:ilvl="0" w:tplc="4522791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987C16"/>
    <w:multiLevelType w:val="hybridMultilevel"/>
    <w:tmpl w:val="3CF4ADBA"/>
    <w:lvl w:ilvl="0" w:tplc="647425B4">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B412E3"/>
    <w:multiLevelType w:val="hybridMultilevel"/>
    <w:tmpl w:val="4656C506"/>
    <w:lvl w:ilvl="0" w:tplc="647425B4">
      <w:start w:val="1"/>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010AA9"/>
    <w:multiLevelType w:val="hybridMultilevel"/>
    <w:tmpl w:val="6FC44D58"/>
    <w:lvl w:ilvl="0" w:tplc="3594FCB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52187C"/>
    <w:multiLevelType w:val="hybridMultilevel"/>
    <w:tmpl w:val="07D0255C"/>
    <w:lvl w:ilvl="0" w:tplc="647425B4">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E022AC"/>
    <w:multiLevelType w:val="hybridMultilevel"/>
    <w:tmpl w:val="C34234F0"/>
    <w:lvl w:ilvl="0" w:tplc="647425B4">
      <w:start w:val="1"/>
      <w:numFmt w:val="bullet"/>
      <w:lvlText w:val="-"/>
      <w:lvlJc w:val="left"/>
      <w:pPr>
        <w:ind w:left="1440" w:hanging="360"/>
      </w:pPr>
      <w:rPr>
        <w:rFonts w:ascii="Calibri" w:eastAsia="Times New Roman"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3DD005F4"/>
    <w:multiLevelType w:val="hybridMultilevel"/>
    <w:tmpl w:val="6EF064E0"/>
    <w:lvl w:ilvl="0" w:tplc="851A9DE8">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4737C8"/>
    <w:multiLevelType w:val="hybridMultilevel"/>
    <w:tmpl w:val="3C9A49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BCB676F"/>
    <w:multiLevelType w:val="hybridMultilevel"/>
    <w:tmpl w:val="9262568E"/>
    <w:lvl w:ilvl="0" w:tplc="E8C0AD02">
      <w:start w:val="1"/>
      <w:numFmt w:val="bullet"/>
      <w:lvlText w:val="-"/>
      <w:lvlJc w:val="left"/>
      <w:pPr>
        <w:tabs>
          <w:tab w:val="num" w:pos="720"/>
        </w:tabs>
        <w:ind w:left="720" w:hanging="360"/>
      </w:pPr>
      <w:rPr>
        <w:rFonts w:ascii="Times New Roman" w:hAnsi="Times New Roman" w:hint="default"/>
      </w:rPr>
    </w:lvl>
    <w:lvl w:ilvl="1" w:tplc="9B98C1D2" w:tentative="1">
      <w:start w:val="1"/>
      <w:numFmt w:val="bullet"/>
      <w:lvlText w:val="-"/>
      <w:lvlJc w:val="left"/>
      <w:pPr>
        <w:tabs>
          <w:tab w:val="num" w:pos="1440"/>
        </w:tabs>
        <w:ind w:left="1440" w:hanging="360"/>
      </w:pPr>
      <w:rPr>
        <w:rFonts w:ascii="Times New Roman" w:hAnsi="Times New Roman" w:hint="default"/>
      </w:rPr>
    </w:lvl>
    <w:lvl w:ilvl="2" w:tplc="234A53D6" w:tentative="1">
      <w:start w:val="1"/>
      <w:numFmt w:val="bullet"/>
      <w:lvlText w:val="-"/>
      <w:lvlJc w:val="left"/>
      <w:pPr>
        <w:tabs>
          <w:tab w:val="num" w:pos="2160"/>
        </w:tabs>
        <w:ind w:left="2160" w:hanging="360"/>
      </w:pPr>
      <w:rPr>
        <w:rFonts w:ascii="Times New Roman" w:hAnsi="Times New Roman" w:hint="default"/>
      </w:rPr>
    </w:lvl>
    <w:lvl w:ilvl="3" w:tplc="C68A3B18" w:tentative="1">
      <w:start w:val="1"/>
      <w:numFmt w:val="bullet"/>
      <w:lvlText w:val="-"/>
      <w:lvlJc w:val="left"/>
      <w:pPr>
        <w:tabs>
          <w:tab w:val="num" w:pos="2880"/>
        </w:tabs>
        <w:ind w:left="2880" w:hanging="360"/>
      </w:pPr>
      <w:rPr>
        <w:rFonts w:ascii="Times New Roman" w:hAnsi="Times New Roman" w:hint="default"/>
      </w:rPr>
    </w:lvl>
    <w:lvl w:ilvl="4" w:tplc="9A60DF18" w:tentative="1">
      <w:start w:val="1"/>
      <w:numFmt w:val="bullet"/>
      <w:lvlText w:val="-"/>
      <w:lvlJc w:val="left"/>
      <w:pPr>
        <w:tabs>
          <w:tab w:val="num" w:pos="3600"/>
        </w:tabs>
        <w:ind w:left="3600" w:hanging="360"/>
      </w:pPr>
      <w:rPr>
        <w:rFonts w:ascii="Times New Roman" w:hAnsi="Times New Roman" w:hint="default"/>
      </w:rPr>
    </w:lvl>
    <w:lvl w:ilvl="5" w:tplc="600C421C" w:tentative="1">
      <w:start w:val="1"/>
      <w:numFmt w:val="bullet"/>
      <w:lvlText w:val="-"/>
      <w:lvlJc w:val="left"/>
      <w:pPr>
        <w:tabs>
          <w:tab w:val="num" w:pos="4320"/>
        </w:tabs>
        <w:ind w:left="4320" w:hanging="360"/>
      </w:pPr>
      <w:rPr>
        <w:rFonts w:ascii="Times New Roman" w:hAnsi="Times New Roman" w:hint="default"/>
      </w:rPr>
    </w:lvl>
    <w:lvl w:ilvl="6" w:tplc="861418D0" w:tentative="1">
      <w:start w:val="1"/>
      <w:numFmt w:val="bullet"/>
      <w:lvlText w:val="-"/>
      <w:lvlJc w:val="left"/>
      <w:pPr>
        <w:tabs>
          <w:tab w:val="num" w:pos="5040"/>
        </w:tabs>
        <w:ind w:left="5040" w:hanging="360"/>
      </w:pPr>
      <w:rPr>
        <w:rFonts w:ascii="Times New Roman" w:hAnsi="Times New Roman" w:hint="default"/>
      </w:rPr>
    </w:lvl>
    <w:lvl w:ilvl="7" w:tplc="6A2231C8" w:tentative="1">
      <w:start w:val="1"/>
      <w:numFmt w:val="bullet"/>
      <w:lvlText w:val="-"/>
      <w:lvlJc w:val="left"/>
      <w:pPr>
        <w:tabs>
          <w:tab w:val="num" w:pos="5760"/>
        </w:tabs>
        <w:ind w:left="5760" w:hanging="360"/>
      </w:pPr>
      <w:rPr>
        <w:rFonts w:ascii="Times New Roman" w:hAnsi="Times New Roman" w:hint="default"/>
      </w:rPr>
    </w:lvl>
    <w:lvl w:ilvl="8" w:tplc="1284A6D4"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4BFD0096"/>
    <w:multiLevelType w:val="hybridMultilevel"/>
    <w:tmpl w:val="6AD83B7E"/>
    <w:lvl w:ilvl="0" w:tplc="2A2AD93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B779DF"/>
    <w:multiLevelType w:val="hybridMultilevel"/>
    <w:tmpl w:val="8AA8D3E8"/>
    <w:lvl w:ilvl="0" w:tplc="739A4DB4">
      <w:numFmt w:val="bullet"/>
      <w:lvlText w:val="-"/>
      <w:lvlJc w:val="left"/>
      <w:pPr>
        <w:ind w:left="720" w:hanging="360"/>
      </w:pPr>
      <w:rPr>
        <w:rFonts w:ascii="Calibri" w:eastAsia="Times New Roman" w:hAnsi="Calibri" w:cs="Calibri"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3F4572"/>
    <w:multiLevelType w:val="hybridMultilevel"/>
    <w:tmpl w:val="11AA0180"/>
    <w:lvl w:ilvl="0" w:tplc="4B0695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C074C4"/>
    <w:multiLevelType w:val="hybridMultilevel"/>
    <w:tmpl w:val="C87A6594"/>
    <w:lvl w:ilvl="0" w:tplc="8F764CCE">
      <w:start w:val="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1D3240"/>
    <w:multiLevelType w:val="hybridMultilevel"/>
    <w:tmpl w:val="3D9E53B0"/>
    <w:lvl w:ilvl="0" w:tplc="EB3CE502">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BD69BD"/>
    <w:multiLevelType w:val="hybridMultilevel"/>
    <w:tmpl w:val="0C38FB3E"/>
    <w:lvl w:ilvl="0" w:tplc="FB2E9C6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912C18"/>
    <w:multiLevelType w:val="hybridMultilevel"/>
    <w:tmpl w:val="D856FBA0"/>
    <w:lvl w:ilvl="0" w:tplc="0CEC17FE">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01D0E8D"/>
    <w:multiLevelType w:val="hybridMultilevel"/>
    <w:tmpl w:val="DA5CA160"/>
    <w:lvl w:ilvl="0" w:tplc="4522791C">
      <w:start w:val="8"/>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EC3A64"/>
    <w:multiLevelType w:val="hybridMultilevel"/>
    <w:tmpl w:val="5DC488AA"/>
    <w:lvl w:ilvl="0" w:tplc="1A8A8AB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F1225B"/>
    <w:multiLevelType w:val="hybridMultilevel"/>
    <w:tmpl w:val="F8B61E72"/>
    <w:lvl w:ilvl="0" w:tplc="4DAAE47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A76058"/>
    <w:multiLevelType w:val="hybridMultilevel"/>
    <w:tmpl w:val="D1D21DE0"/>
    <w:lvl w:ilvl="0" w:tplc="0D3AE02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73955C5"/>
    <w:multiLevelType w:val="hybridMultilevel"/>
    <w:tmpl w:val="4C28F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C9E3B43"/>
    <w:multiLevelType w:val="multilevel"/>
    <w:tmpl w:val="F712084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6E977435"/>
    <w:multiLevelType w:val="hybridMultilevel"/>
    <w:tmpl w:val="48FA0BF4"/>
    <w:lvl w:ilvl="0" w:tplc="7258FBE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4D019FF"/>
    <w:multiLevelType w:val="hybridMultilevel"/>
    <w:tmpl w:val="728CE380"/>
    <w:lvl w:ilvl="0" w:tplc="2C38C378">
      <w:start w:val="3"/>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5230B9D"/>
    <w:multiLevelType w:val="hybridMultilevel"/>
    <w:tmpl w:val="E1E82120"/>
    <w:lvl w:ilvl="0" w:tplc="8842E758">
      <w:numFmt w:val="bullet"/>
      <w:lvlText w:val="-"/>
      <w:lvlJc w:val="left"/>
      <w:pPr>
        <w:ind w:left="720" w:hanging="360"/>
      </w:pPr>
      <w:rPr>
        <w:rFonts w:ascii="Calibri" w:eastAsia="Times New Roman" w:hAnsi="Calibri" w:cs="Calibri"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88552F0"/>
    <w:multiLevelType w:val="hybridMultilevel"/>
    <w:tmpl w:val="C73841F4"/>
    <w:lvl w:ilvl="0" w:tplc="35F20A56">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8A760BE"/>
    <w:multiLevelType w:val="hybridMultilevel"/>
    <w:tmpl w:val="3300EE94"/>
    <w:lvl w:ilvl="0" w:tplc="82DEE978">
      <w:start w:val="1"/>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8AF1121"/>
    <w:multiLevelType w:val="hybridMultilevel"/>
    <w:tmpl w:val="08866B42"/>
    <w:lvl w:ilvl="0" w:tplc="2A2AD93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C6F7772"/>
    <w:multiLevelType w:val="hybridMultilevel"/>
    <w:tmpl w:val="2D407590"/>
    <w:lvl w:ilvl="0" w:tplc="4B0695C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E2E70CE"/>
    <w:multiLevelType w:val="hybridMultilevel"/>
    <w:tmpl w:val="DE2CDEDC"/>
    <w:lvl w:ilvl="0" w:tplc="07FCAA32">
      <w:start w:val="30"/>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21"/>
  </w:num>
  <w:num w:numId="4">
    <w:abstractNumId w:val="46"/>
  </w:num>
  <w:num w:numId="5">
    <w:abstractNumId w:val="9"/>
  </w:num>
  <w:num w:numId="6">
    <w:abstractNumId w:val="17"/>
  </w:num>
  <w:num w:numId="7">
    <w:abstractNumId w:val="47"/>
  </w:num>
  <w:num w:numId="8">
    <w:abstractNumId w:val="30"/>
  </w:num>
  <w:num w:numId="9">
    <w:abstractNumId w:val="44"/>
  </w:num>
  <w:num w:numId="10">
    <w:abstractNumId w:val="5"/>
  </w:num>
  <w:num w:numId="11">
    <w:abstractNumId w:val="40"/>
  </w:num>
  <w:num w:numId="12">
    <w:abstractNumId w:val="32"/>
  </w:num>
  <w:num w:numId="13">
    <w:abstractNumId w:val="33"/>
  </w:num>
  <w:num w:numId="14">
    <w:abstractNumId w:val="8"/>
  </w:num>
  <w:num w:numId="15">
    <w:abstractNumId w:val="24"/>
  </w:num>
  <w:num w:numId="16">
    <w:abstractNumId w:val="16"/>
  </w:num>
  <w:num w:numId="17">
    <w:abstractNumId w:val="27"/>
  </w:num>
  <w:num w:numId="18">
    <w:abstractNumId w:val="11"/>
  </w:num>
  <w:num w:numId="19">
    <w:abstractNumId w:val="41"/>
  </w:num>
  <w:num w:numId="20">
    <w:abstractNumId w:val="7"/>
  </w:num>
  <w:num w:numId="21">
    <w:abstractNumId w:val="42"/>
  </w:num>
  <w:num w:numId="22">
    <w:abstractNumId w:val="2"/>
  </w:num>
  <w:num w:numId="23">
    <w:abstractNumId w:val="45"/>
  </w:num>
  <w:num w:numId="24">
    <w:abstractNumId w:val="29"/>
  </w:num>
  <w:num w:numId="25">
    <w:abstractNumId w:val="43"/>
  </w:num>
  <w:num w:numId="26">
    <w:abstractNumId w:val="31"/>
  </w:num>
  <w:num w:numId="27">
    <w:abstractNumId w:val="18"/>
  </w:num>
  <w:num w:numId="28">
    <w:abstractNumId w:val="28"/>
  </w:num>
  <w:num w:numId="29">
    <w:abstractNumId w:val="48"/>
  </w:num>
  <w:num w:numId="30">
    <w:abstractNumId w:val="15"/>
  </w:num>
  <w:num w:numId="31">
    <w:abstractNumId w:val="39"/>
  </w:num>
  <w:num w:numId="32">
    <w:abstractNumId w:val="36"/>
  </w:num>
  <w:num w:numId="33">
    <w:abstractNumId w:val="23"/>
  </w:num>
  <w:num w:numId="34">
    <w:abstractNumId w:val="20"/>
  </w:num>
  <w:num w:numId="35">
    <w:abstractNumId w:val="13"/>
  </w:num>
  <w:num w:numId="36">
    <w:abstractNumId w:val="19"/>
  </w:num>
  <w:num w:numId="37">
    <w:abstractNumId w:val="10"/>
  </w:num>
  <w:num w:numId="38">
    <w:abstractNumId w:val="35"/>
  </w:num>
  <w:num w:numId="39">
    <w:abstractNumId w:val="26"/>
  </w:num>
  <w:num w:numId="40">
    <w:abstractNumId w:val="1"/>
  </w:num>
  <w:num w:numId="41">
    <w:abstractNumId w:val="3"/>
  </w:num>
  <w:num w:numId="42">
    <w:abstractNumId w:val="34"/>
  </w:num>
  <w:num w:numId="43">
    <w:abstractNumId w:val="38"/>
  </w:num>
  <w:num w:numId="44">
    <w:abstractNumId w:val="6"/>
  </w:num>
  <w:num w:numId="45">
    <w:abstractNumId w:val="12"/>
  </w:num>
  <w:num w:numId="46">
    <w:abstractNumId w:val="37"/>
  </w:num>
  <w:num w:numId="47">
    <w:abstractNumId w:val="25"/>
  </w:num>
  <w:num w:numId="48">
    <w:abstractNumId w:val="4"/>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4C479A"/>
    <w:rsid w:val="000055A7"/>
    <w:rsid w:val="000512F3"/>
    <w:rsid w:val="000D1D6B"/>
    <w:rsid w:val="00124DC3"/>
    <w:rsid w:val="00143E60"/>
    <w:rsid w:val="00181317"/>
    <w:rsid w:val="001D67DC"/>
    <w:rsid w:val="00203E13"/>
    <w:rsid w:val="002A0816"/>
    <w:rsid w:val="003046B6"/>
    <w:rsid w:val="00311548"/>
    <w:rsid w:val="00413401"/>
    <w:rsid w:val="004526C7"/>
    <w:rsid w:val="004B3C4C"/>
    <w:rsid w:val="004C479A"/>
    <w:rsid w:val="004F332A"/>
    <w:rsid w:val="00510D7C"/>
    <w:rsid w:val="005531CC"/>
    <w:rsid w:val="00566E5E"/>
    <w:rsid w:val="0059028B"/>
    <w:rsid w:val="005E1DFC"/>
    <w:rsid w:val="006A622D"/>
    <w:rsid w:val="006F1CE1"/>
    <w:rsid w:val="007126AC"/>
    <w:rsid w:val="0072262E"/>
    <w:rsid w:val="007312CC"/>
    <w:rsid w:val="007330B8"/>
    <w:rsid w:val="00747E9B"/>
    <w:rsid w:val="00803628"/>
    <w:rsid w:val="008638AF"/>
    <w:rsid w:val="009443D1"/>
    <w:rsid w:val="00954FC2"/>
    <w:rsid w:val="009E720A"/>
    <w:rsid w:val="00A03C99"/>
    <w:rsid w:val="00AB3A61"/>
    <w:rsid w:val="00B04522"/>
    <w:rsid w:val="00B41FD9"/>
    <w:rsid w:val="00B728C7"/>
    <w:rsid w:val="00B8733A"/>
    <w:rsid w:val="00C13154"/>
    <w:rsid w:val="00C438AD"/>
    <w:rsid w:val="00C949C5"/>
    <w:rsid w:val="00CD2773"/>
    <w:rsid w:val="00CD46D7"/>
    <w:rsid w:val="00D421F2"/>
    <w:rsid w:val="00D65797"/>
    <w:rsid w:val="00D95D29"/>
    <w:rsid w:val="00DA57FD"/>
    <w:rsid w:val="00DD2B6F"/>
    <w:rsid w:val="00EB5AA5"/>
  </w:rsids>
  <m:mathPr>
    <m:mathFont m:val="Cambria Math"/>
    <m:brkBin m:val="before"/>
    <m:brkBinSub m:val="--"/>
    <m:smallFrac m:val="0"/>
    <m:dispDef/>
    <m:lMargin m:val="0"/>
    <m:rMargin m:val="0"/>
    <m:defJc m:val="centerGroup"/>
    <m:wrapIndent m:val="1440"/>
    <m:intLim m:val="subSup"/>
    <m:naryLim m:val="undOvr"/>
  </m:mathPr>
  <w:themeFontLang w:val="fr-FR"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BDA1C"/>
  <w15:chartTrackingRefBased/>
  <w15:docId w15:val="{C11E5F96-FE44-4DA0-9210-490ED852B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C479A"/>
  </w:style>
  <w:style w:type="paragraph" w:styleId="Heading1">
    <w:name w:val="heading 1"/>
    <w:basedOn w:val="Normal"/>
    <w:next w:val="Normal"/>
    <w:link w:val="Heading1Char"/>
    <w:uiPriority w:val="9"/>
    <w:qFormat/>
    <w:rsid w:val="004C479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C479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C479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4C479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479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C479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C479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4C479A"/>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4C479A"/>
    <w:pPr>
      <w:ind w:left="720"/>
      <w:contextualSpacing/>
    </w:pPr>
  </w:style>
  <w:style w:type="character" w:styleId="CommentReference">
    <w:name w:val="annotation reference"/>
    <w:basedOn w:val="DefaultParagraphFont"/>
    <w:uiPriority w:val="99"/>
    <w:semiHidden/>
    <w:unhideWhenUsed/>
    <w:rsid w:val="004C479A"/>
    <w:rPr>
      <w:sz w:val="16"/>
      <w:szCs w:val="16"/>
    </w:rPr>
  </w:style>
  <w:style w:type="paragraph" w:styleId="CommentText">
    <w:name w:val="annotation text"/>
    <w:basedOn w:val="Normal"/>
    <w:link w:val="CommentTextChar"/>
    <w:uiPriority w:val="99"/>
    <w:unhideWhenUsed/>
    <w:rsid w:val="004C479A"/>
    <w:pPr>
      <w:spacing w:line="240" w:lineRule="auto"/>
    </w:pPr>
    <w:rPr>
      <w:sz w:val="20"/>
      <w:szCs w:val="20"/>
    </w:rPr>
  </w:style>
  <w:style w:type="character" w:customStyle="1" w:styleId="CommentTextChar">
    <w:name w:val="Comment Text Char"/>
    <w:basedOn w:val="DefaultParagraphFont"/>
    <w:link w:val="CommentText"/>
    <w:uiPriority w:val="99"/>
    <w:rsid w:val="004C479A"/>
    <w:rPr>
      <w:sz w:val="20"/>
      <w:szCs w:val="20"/>
    </w:rPr>
  </w:style>
  <w:style w:type="paragraph" w:styleId="CommentSubject">
    <w:name w:val="annotation subject"/>
    <w:basedOn w:val="CommentText"/>
    <w:next w:val="CommentText"/>
    <w:link w:val="CommentSubjectChar"/>
    <w:uiPriority w:val="99"/>
    <w:semiHidden/>
    <w:unhideWhenUsed/>
    <w:rsid w:val="004C479A"/>
    <w:rPr>
      <w:b/>
      <w:bCs/>
    </w:rPr>
  </w:style>
  <w:style w:type="character" w:customStyle="1" w:styleId="CommentSubjectChar">
    <w:name w:val="Comment Subject Char"/>
    <w:basedOn w:val="CommentTextChar"/>
    <w:link w:val="CommentSubject"/>
    <w:uiPriority w:val="99"/>
    <w:semiHidden/>
    <w:rsid w:val="004C479A"/>
    <w:rPr>
      <w:b/>
      <w:bCs/>
      <w:sz w:val="20"/>
      <w:szCs w:val="20"/>
    </w:rPr>
  </w:style>
  <w:style w:type="paragraph" w:styleId="BalloonText">
    <w:name w:val="Balloon Text"/>
    <w:basedOn w:val="Normal"/>
    <w:link w:val="BalloonTextChar"/>
    <w:uiPriority w:val="99"/>
    <w:semiHidden/>
    <w:unhideWhenUsed/>
    <w:rsid w:val="004C47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79A"/>
    <w:rPr>
      <w:rFonts w:ascii="Segoe UI" w:hAnsi="Segoe UI" w:cs="Segoe UI"/>
      <w:sz w:val="18"/>
      <w:szCs w:val="18"/>
    </w:rPr>
  </w:style>
  <w:style w:type="paragraph" w:styleId="FootnoteText">
    <w:name w:val="footnote text"/>
    <w:basedOn w:val="Normal"/>
    <w:link w:val="FootnoteTextChar"/>
    <w:uiPriority w:val="99"/>
    <w:unhideWhenUsed/>
    <w:rsid w:val="004C479A"/>
    <w:pPr>
      <w:spacing w:after="0" w:line="240" w:lineRule="auto"/>
    </w:pPr>
    <w:rPr>
      <w:sz w:val="20"/>
      <w:szCs w:val="20"/>
    </w:rPr>
  </w:style>
  <w:style w:type="character" w:customStyle="1" w:styleId="FootnoteTextChar">
    <w:name w:val="Footnote Text Char"/>
    <w:basedOn w:val="DefaultParagraphFont"/>
    <w:link w:val="FootnoteText"/>
    <w:uiPriority w:val="99"/>
    <w:rsid w:val="004C479A"/>
    <w:rPr>
      <w:sz w:val="20"/>
      <w:szCs w:val="20"/>
    </w:rPr>
  </w:style>
  <w:style w:type="character" w:styleId="FootnoteReference">
    <w:name w:val="footnote reference"/>
    <w:aliases w:val="Footnote Reference in text,Footnotemark,FR,Footnotemark1,Footnotemark2,FR1,Footnotemark3,FR2,Footnotemark4,FR3,Footnotemark5,FR4,Footnotemark6,Footnotemark7,Footnotemark8,FR5,Footnotemark11,Footnotemark21,FR11,Footnotemark31,FR21,FR31"/>
    <w:basedOn w:val="DefaultParagraphFont"/>
    <w:unhideWhenUsed/>
    <w:rsid w:val="004C479A"/>
    <w:rPr>
      <w:vertAlign w:val="superscript"/>
    </w:rPr>
  </w:style>
  <w:style w:type="paragraph" w:styleId="Header">
    <w:name w:val="header"/>
    <w:basedOn w:val="Normal"/>
    <w:link w:val="HeaderChar"/>
    <w:uiPriority w:val="99"/>
    <w:unhideWhenUsed/>
    <w:rsid w:val="004C47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479A"/>
  </w:style>
  <w:style w:type="paragraph" w:styleId="Footer">
    <w:name w:val="footer"/>
    <w:basedOn w:val="Normal"/>
    <w:link w:val="FooterChar"/>
    <w:uiPriority w:val="99"/>
    <w:unhideWhenUsed/>
    <w:rsid w:val="004C47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479A"/>
  </w:style>
  <w:style w:type="table" w:styleId="TableGrid">
    <w:name w:val="Table Grid"/>
    <w:basedOn w:val="TableNormal"/>
    <w:uiPriority w:val="39"/>
    <w:rsid w:val="004C47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C479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479A"/>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4C479A"/>
    <w:pPr>
      <w:outlineLvl w:val="9"/>
    </w:pPr>
    <w:rPr>
      <w:lang w:val="en-US" w:eastAsia="en-US"/>
    </w:rPr>
  </w:style>
  <w:style w:type="paragraph" w:styleId="TOC1">
    <w:name w:val="toc 1"/>
    <w:basedOn w:val="Normal"/>
    <w:next w:val="Normal"/>
    <w:autoRedefine/>
    <w:uiPriority w:val="39"/>
    <w:unhideWhenUsed/>
    <w:rsid w:val="004C479A"/>
    <w:pPr>
      <w:tabs>
        <w:tab w:val="left" w:pos="440"/>
        <w:tab w:val="right" w:leader="dot" w:pos="9016"/>
      </w:tabs>
      <w:spacing w:after="100"/>
    </w:pPr>
  </w:style>
  <w:style w:type="paragraph" w:styleId="TOC2">
    <w:name w:val="toc 2"/>
    <w:basedOn w:val="Normal"/>
    <w:next w:val="Normal"/>
    <w:autoRedefine/>
    <w:uiPriority w:val="39"/>
    <w:unhideWhenUsed/>
    <w:rsid w:val="004C479A"/>
    <w:pPr>
      <w:spacing w:after="100"/>
      <w:ind w:left="220"/>
    </w:pPr>
  </w:style>
  <w:style w:type="paragraph" w:styleId="TOC3">
    <w:name w:val="toc 3"/>
    <w:basedOn w:val="Normal"/>
    <w:next w:val="Normal"/>
    <w:autoRedefine/>
    <w:uiPriority w:val="39"/>
    <w:unhideWhenUsed/>
    <w:rsid w:val="004C479A"/>
    <w:pPr>
      <w:spacing w:after="100"/>
      <w:ind w:left="440"/>
    </w:pPr>
  </w:style>
  <w:style w:type="character" w:styleId="Hyperlink">
    <w:name w:val="Hyperlink"/>
    <w:basedOn w:val="DefaultParagraphFont"/>
    <w:uiPriority w:val="99"/>
    <w:unhideWhenUsed/>
    <w:rsid w:val="004C479A"/>
    <w:rPr>
      <w:color w:val="0563C1" w:themeColor="hyperlink"/>
      <w:u w:val="single"/>
    </w:rPr>
  </w:style>
  <w:style w:type="paragraph" w:styleId="Revision">
    <w:name w:val="Revision"/>
    <w:hidden/>
    <w:uiPriority w:val="99"/>
    <w:semiHidden/>
    <w:rsid w:val="004C479A"/>
    <w:pPr>
      <w:spacing w:after="0" w:line="240" w:lineRule="auto"/>
    </w:pPr>
  </w:style>
  <w:style w:type="character" w:customStyle="1" w:styleId="UnresolvedMention1">
    <w:name w:val="Unresolved Mention1"/>
    <w:basedOn w:val="DefaultParagraphFont"/>
    <w:uiPriority w:val="99"/>
    <w:semiHidden/>
    <w:unhideWhenUsed/>
    <w:rsid w:val="004C479A"/>
    <w:rPr>
      <w:color w:val="605E5C"/>
      <w:shd w:val="clear" w:color="auto" w:fill="E1DFDD"/>
    </w:rPr>
  </w:style>
  <w:style w:type="character" w:styleId="UnresolvedMention">
    <w:name w:val="Unresolved Mention"/>
    <w:basedOn w:val="DefaultParagraphFont"/>
    <w:uiPriority w:val="99"/>
    <w:semiHidden/>
    <w:unhideWhenUsed/>
    <w:rsid w:val="004C479A"/>
    <w:rPr>
      <w:color w:val="605E5C"/>
      <w:shd w:val="clear" w:color="auto" w:fill="E1DFDD"/>
    </w:rPr>
  </w:style>
  <w:style w:type="paragraph" w:styleId="EndnoteText">
    <w:name w:val="endnote text"/>
    <w:basedOn w:val="Normal"/>
    <w:link w:val="EndnoteTextChar"/>
    <w:uiPriority w:val="99"/>
    <w:semiHidden/>
    <w:unhideWhenUsed/>
    <w:rsid w:val="004C479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C479A"/>
    <w:rPr>
      <w:sz w:val="20"/>
      <w:szCs w:val="20"/>
    </w:rPr>
  </w:style>
  <w:style w:type="character" w:styleId="EndnoteReference">
    <w:name w:val="endnote reference"/>
    <w:basedOn w:val="DefaultParagraphFont"/>
    <w:uiPriority w:val="99"/>
    <w:semiHidden/>
    <w:unhideWhenUsed/>
    <w:rsid w:val="004C47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13100</Words>
  <Characters>74674</Characters>
  <Application>Microsoft Office Word</Application>
  <DocSecurity>0</DocSecurity>
  <Lines>622</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Rennuy</dc:creator>
  <cp:keywords/>
  <dc:description/>
  <cp:lastModifiedBy>Nicolas Rennuy</cp:lastModifiedBy>
  <cp:revision>4</cp:revision>
  <dcterms:created xsi:type="dcterms:W3CDTF">2019-10-30T13:12:00Z</dcterms:created>
  <dcterms:modified xsi:type="dcterms:W3CDTF">2019-10-30T13:13:00Z</dcterms:modified>
</cp:coreProperties>
</file>