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13F72" w14:textId="5EC37145" w:rsidR="002F136F" w:rsidRDefault="00F87926" w:rsidP="002540F3">
      <w:pPr>
        <w:spacing w:after="160" w:line="259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Unintuitive trends in income </w:t>
      </w:r>
      <w:r w:rsidR="00B03007">
        <w:rPr>
          <w:rFonts w:ascii="Calibri" w:hAnsi="Calibri" w:cs="Calibri"/>
          <w:b/>
          <w:bCs/>
          <w:sz w:val="28"/>
          <w:szCs w:val="28"/>
        </w:rPr>
        <w:t>inequality</w:t>
      </w:r>
    </w:p>
    <w:p w14:paraId="6148ABE2" w14:textId="10F3B3B9" w:rsidR="002540F3" w:rsidRPr="007F2B2A" w:rsidRDefault="00EB7349" w:rsidP="002540F3">
      <w:pPr>
        <w:spacing w:after="160" w:line="259" w:lineRule="auto"/>
        <w:rPr>
          <w:rFonts w:ascii="Calibri" w:hAnsi="Calibri" w:cs="Calibri"/>
          <w:b/>
          <w:bCs/>
          <w:szCs w:val="24"/>
        </w:rPr>
      </w:pPr>
      <w:r w:rsidRPr="007F2B2A">
        <w:rPr>
          <w:rFonts w:ascii="Calibri" w:hAnsi="Calibri" w:cs="Calibri"/>
          <w:b/>
          <w:bCs/>
          <w:szCs w:val="24"/>
        </w:rPr>
        <w:t xml:space="preserve">Why don’t official statistics </w:t>
      </w:r>
      <w:r w:rsidR="007F2B2A">
        <w:rPr>
          <w:rFonts w:ascii="Calibri" w:hAnsi="Calibri" w:cs="Calibri"/>
          <w:b/>
          <w:bCs/>
          <w:szCs w:val="24"/>
        </w:rPr>
        <w:t>s</w:t>
      </w:r>
      <w:r w:rsidRPr="007F2B2A">
        <w:rPr>
          <w:rFonts w:ascii="Calibri" w:hAnsi="Calibri" w:cs="Calibri"/>
          <w:b/>
          <w:bCs/>
          <w:szCs w:val="24"/>
        </w:rPr>
        <w:t xml:space="preserve">how an increase in </w:t>
      </w:r>
      <w:r w:rsidR="00B03007">
        <w:rPr>
          <w:rFonts w:ascii="Calibri" w:hAnsi="Calibri" w:cs="Calibri"/>
          <w:b/>
          <w:bCs/>
          <w:szCs w:val="24"/>
        </w:rPr>
        <w:t>inequality</w:t>
      </w:r>
      <w:bookmarkStart w:id="0" w:name="_GoBack"/>
      <w:bookmarkEnd w:id="0"/>
      <w:r w:rsidRPr="007F2B2A">
        <w:rPr>
          <w:rFonts w:ascii="Calibri" w:hAnsi="Calibri" w:cs="Calibri"/>
          <w:b/>
          <w:bCs/>
          <w:szCs w:val="24"/>
        </w:rPr>
        <w:t>?</w:t>
      </w:r>
    </w:p>
    <w:p w14:paraId="06E13F73" w14:textId="77777777" w:rsidR="0085033F" w:rsidRDefault="0085033F"/>
    <w:p w14:paraId="06E13F74" w14:textId="15D1BDB4" w:rsidR="0085033F" w:rsidRPr="007412C1" w:rsidRDefault="0085033F" w:rsidP="007412C1">
      <w:pPr>
        <w:spacing w:after="160" w:line="259" w:lineRule="auto"/>
        <w:rPr>
          <w:rFonts w:ascii="Calibri" w:hAnsi="Calibri" w:cs="Calibri"/>
          <w:i/>
          <w:iCs/>
          <w:sz w:val="22"/>
        </w:rPr>
      </w:pPr>
      <w:r w:rsidRPr="007412C1">
        <w:rPr>
          <w:rFonts w:ascii="Calibri" w:hAnsi="Calibri" w:cs="Calibri"/>
          <w:i/>
          <w:iCs/>
          <w:sz w:val="22"/>
        </w:rPr>
        <w:t>Professor Jonathan Bradshaw FBA</w:t>
      </w:r>
    </w:p>
    <w:p w14:paraId="06E13F75" w14:textId="77777777" w:rsidR="0085033F" w:rsidRDefault="0085033F"/>
    <w:p w14:paraId="06E13F76" w14:textId="44263009" w:rsidR="0085033F" w:rsidRPr="00776DB4" w:rsidRDefault="0085033F" w:rsidP="00776DB4">
      <w:pPr>
        <w:spacing w:after="160" w:line="259" w:lineRule="auto"/>
        <w:rPr>
          <w:rFonts w:ascii="Calibri" w:hAnsi="Calibri" w:cs="Calibri"/>
          <w:sz w:val="22"/>
        </w:rPr>
      </w:pPr>
      <w:r w:rsidRPr="00776DB4">
        <w:rPr>
          <w:rFonts w:ascii="Calibri" w:hAnsi="Calibri" w:cs="Calibri"/>
          <w:sz w:val="22"/>
        </w:rPr>
        <w:t xml:space="preserve">Why are the UK official statistics not showing an increase in income poverty given the trends </w:t>
      </w:r>
      <w:r w:rsidR="00FB7FF4">
        <w:rPr>
          <w:rFonts w:ascii="Calibri" w:hAnsi="Calibri" w:cs="Calibri"/>
          <w:sz w:val="22"/>
        </w:rPr>
        <w:t xml:space="preserve">Peter </w:t>
      </w:r>
      <w:r w:rsidRPr="00776DB4">
        <w:rPr>
          <w:rFonts w:ascii="Calibri" w:hAnsi="Calibri" w:cs="Calibri"/>
          <w:sz w:val="22"/>
        </w:rPr>
        <w:t>Taylor-Gooby describes</w:t>
      </w:r>
      <w:r w:rsidR="000F13AC">
        <w:rPr>
          <w:rFonts w:ascii="Calibri" w:hAnsi="Calibri" w:cs="Calibri"/>
          <w:sz w:val="22"/>
        </w:rPr>
        <w:t xml:space="preserve"> in </w:t>
      </w:r>
      <w:r w:rsidR="000F13AC" w:rsidRPr="00DB186B">
        <w:rPr>
          <w:rFonts w:ascii="Calibri" w:hAnsi="Calibri" w:cs="Calibri"/>
          <w:sz w:val="22"/>
          <w:u w:val="single"/>
        </w:rPr>
        <w:t>The Inequality Paradox</w:t>
      </w:r>
      <w:r w:rsidR="003356FD" w:rsidRPr="00776DB4">
        <w:rPr>
          <w:rFonts w:ascii="Calibri" w:hAnsi="Calibri" w:cs="Calibri"/>
          <w:sz w:val="22"/>
        </w:rPr>
        <w:t>?</w:t>
      </w:r>
      <w:r w:rsidRPr="00776DB4">
        <w:rPr>
          <w:rFonts w:ascii="Calibri" w:hAnsi="Calibri" w:cs="Calibri"/>
          <w:sz w:val="22"/>
        </w:rPr>
        <w:t xml:space="preserve"> The ONS historical series</w:t>
      </w:r>
      <w:r w:rsidR="00031EF5">
        <w:rPr>
          <w:rFonts w:ascii="Calibri" w:hAnsi="Calibri" w:cs="Calibri"/>
          <w:sz w:val="22"/>
        </w:rPr>
        <w:t xml:space="preserve"> </w:t>
      </w:r>
      <w:r w:rsidR="00D46D9B">
        <w:rPr>
          <w:rFonts w:ascii="Calibri" w:hAnsi="Calibri" w:cs="Calibri"/>
          <w:sz w:val="22"/>
        </w:rPr>
        <w:t>‘</w:t>
      </w:r>
      <w:r w:rsidR="00D46D9B">
        <w:rPr>
          <w:rFonts w:ascii="Calibri" w:hAnsi="Calibri" w:cs="Calibri"/>
          <w:i/>
          <w:iCs/>
          <w:sz w:val="22"/>
        </w:rPr>
        <w:t>T</w:t>
      </w:r>
      <w:r w:rsidRPr="00776DB4">
        <w:rPr>
          <w:rFonts w:ascii="Calibri" w:hAnsi="Calibri" w:cs="Calibri"/>
          <w:i/>
          <w:iCs/>
          <w:sz w:val="22"/>
        </w:rPr>
        <w:t>he effects of taxes and benefits on household incomes</w:t>
      </w:r>
      <w:r w:rsidR="00D46D9B">
        <w:rPr>
          <w:rFonts w:ascii="Calibri" w:hAnsi="Calibri" w:cs="Calibri"/>
          <w:i/>
          <w:iCs/>
          <w:sz w:val="22"/>
        </w:rPr>
        <w:t>’</w:t>
      </w:r>
      <w:r w:rsidRPr="00776DB4">
        <w:rPr>
          <w:rFonts w:ascii="Calibri" w:hAnsi="Calibri" w:cs="Calibri"/>
          <w:sz w:val="22"/>
        </w:rPr>
        <w:t xml:space="preserve"> shows the </w:t>
      </w:r>
      <w:r w:rsidR="00CC304F" w:rsidRPr="00776DB4">
        <w:rPr>
          <w:rFonts w:ascii="Calibri" w:hAnsi="Calibri" w:cs="Calibri"/>
          <w:sz w:val="22"/>
        </w:rPr>
        <w:t>G</w:t>
      </w:r>
      <w:r w:rsidRPr="00776DB4">
        <w:rPr>
          <w:rFonts w:ascii="Calibri" w:hAnsi="Calibri" w:cs="Calibri"/>
          <w:sz w:val="22"/>
        </w:rPr>
        <w:t xml:space="preserve">ini coefficient of net disposable income increasing </w:t>
      </w:r>
      <w:r w:rsidRPr="00776DB4">
        <w:rPr>
          <w:rFonts w:asciiTheme="minorHAnsi" w:hAnsiTheme="minorHAnsi" w:cstheme="minorHAnsi"/>
          <w:sz w:val="22"/>
        </w:rPr>
        <w:t xml:space="preserve">sharply in the 1980s, broadly stable in the </w:t>
      </w:r>
      <w:r w:rsidR="00BD62AF" w:rsidRPr="00776DB4">
        <w:rPr>
          <w:rFonts w:asciiTheme="minorHAnsi" w:hAnsiTheme="minorHAnsi" w:cstheme="minorHAnsi"/>
          <w:sz w:val="22"/>
        </w:rPr>
        <w:t xml:space="preserve">1990s </w:t>
      </w:r>
      <w:r w:rsidRPr="00776DB4">
        <w:rPr>
          <w:rFonts w:asciiTheme="minorHAnsi" w:hAnsiTheme="minorHAnsi" w:cstheme="minorHAnsi"/>
          <w:sz w:val="22"/>
        </w:rPr>
        <w:t xml:space="preserve">and fluctuating downwards since </w:t>
      </w:r>
      <w:r w:rsidR="003356FD" w:rsidRPr="00776DB4">
        <w:rPr>
          <w:rFonts w:asciiTheme="minorHAnsi" w:hAnsiTheme="minorHAnsi" w:cstheme="minorHAnsi"/>
          <w:sz w:val="22"/>
        </w:rPr>
        <w:t xml:space="preserve">around 2000. </w:t>
      </w:r>
      <w:r w:rsidR="00776DB4" w:rsidRPr="00776DB4">
        <w:rPr>
          <w:rFonts w:asciiTheme="minorHAnsi" w:hAnsiTheme="minorHAnsi" w:cstheme="minorHAnsi"/>
          <w:sz w:val="22"/>
        </w:rPr>
        <w:t xml:space="preserve">(The Gini coefficient is a statistical measure of the degree of variation represented in a set of values, used especially in analysing income inequality. It describes inequality in a single number between 0 and 1: the higher the number, the greater the degree of income inequality.) </w:t>
      </w:r>
      <w:r w:rsidR="003356FD" w:rsidRPr="00776DB4">
        <w:rPr>
          <w:rFonts w:asciiTheme="minorHAnsi" w:hAnsiTheme="minorHAnsi" w:cstheme="minorHAnsi"/>
          <w:sz w:val="22"/>
        </w:rPr>
        <w:t>This is also true of original income (before taxes and benefits), gross income (after benefits) and post</w:t>
      </w:r>
      <w:r w:rsidR="009A67DF" w:rsidRPr="00776DB4">
        <w:rPr>
          <w:rFonts w:asciiTheme="minorHAnsi" w:hAnsiTheme="minorHAnsi" w:cstheme="minorHAnsi"/>
          <w:sz w:val="22"/>
        </w:rPr>
        <w:t>-</w:t>
      </w:r>
      <w:r w:rsidR="003356FD" w:rsidRPr="00776DB4">
        <w:rPr>
          <w:rFonts w:asciiTheme="minorHAnsi" w:hAnsiTheme="minorHAnsi" w:cstheme="minorHAnsi"/>
          <w:sz w:val="22"/>
        </w:rPr>
        <w:t xml:space="preserve"> tax income (after indirect taxes). The same series </w:t>
      </w:r>
      <w:r w:rsidR="003B2EE1" w:rsidRPr="00776DB4">
        <w:rPr>
          <w:rFonts w:asciiTheme="minorHAnsi" w:hAnsiTheme="minorHAnsi" w:cstheme="minorHAnsi"/>
          <w:sz w:val="22"/>
        </w:rPr>
        <w:t xml:space="preserve">also gives us </w:t>
      </w:r>
      <w:r w:rsidR="00D4690F" w:rsidRPr="00776DB4">
        <w:rPr>
          <w:rFonts w:asciiTheme="minorHAnsi" w:hAnsiTheme="minorHAnsi" w:cstheme="minorHAnsi"/>
          <w:sz w:val="22"/>
        </w:rPr>
        <w:t>two</w:t>
      </w:r>
      <w:r w:rsidR="003B2EE1" w:rsidRPr="00776DB4">
        <w:rPr>
          <w:rFonts w:asciiTheme="minorHAnsi" w:hAnsiTheme="minorHAnsi" w:cstheme="minorHAnsi"/>
          <w:sz w:val="22"/>
        </w:rPr>
        <w:t xml:space="preserve"> alternative inequality measure</w:t>
      </w:r>
      <w:r w:rsidR="00D4690F" w:rsidRPr="00776DB4">
        <w:rPr>
          <w:rFonts w:asciiTheme="minorHAnsi" w:hAnsiTheme="minorHAnsi" w:cstheme="minorHAnsi"/>
          <w:sz w:val="22"/>
        </w:rPr>
        <w:t>s:</w:t>
      </w:r>
      <w:r w:rsidR="003B2EE1" w:rsidRPr="00776DB4">
        <w:rPr>
          <w:rFonts w:asciiTheme="minorHAnsi" w:hAnsiTheme="minorHAnsi" w:cstheme="minorHAnsi"/>
          <w:sz w:val="22"/>
        </w:rPr>
        <w:t xml:space="preserve"> </w:t>
      </w:r>
      <w:r w:rsidR="00647AEF" w:rsidRPr="00776DB4">
        <w:rPr>
          <w:rFonts w:asciiTheme="minorHAnsi" w:hAnsiTheme="minorHAnsi" w:cstheme="minorHAnsi"/>
          <w:sz w:val="22"/>
        </w:rPr>
        <w:t xml:space="preserve">the 80/20 ratio – the ratio of the disposable income of the richest 20% divided by the share of the poorest 80% </w:t>
      </w:r>
      <w:r w:rsidR="000546D1" w:rsidRPr="00776DB4">
        <w:rPr>
          <w:rFonts w:asciiTheme="minorHAnsi" w:hAnsiTheme="minorHAnsi" w:cstheme="minorHAnsi"/>
          <w:sz w:val="22"/>
        </w:rPr>
        <w:t>and the 90/10 ratio. They both show the same pattern the share of the riches</w:t>
      </w:r>
      <w:r w:rsidR="00647AEF" w:rsidRPr="00776DB4">
        <w:rPr>
          <w:rFonts w:asciiTheme="minorHAnsi" w:hAnsiTheme="minorHAnsi" w:cstheme="minorHAnsi"/>
          <w:sz w:val="22"/>
        </w:rPr>
        <w:t>t has fallen since 2000.</w:t>
      </w:r>
    </w:p>
    <w:p w14:paraId="06E13F77" w14:textId="77777777" w:rsidR="00647AEF" w:rsidRPr="00CE5544" w:rsidRDefault="00647AEF">
      <w:pPr>
        <w:rPr>
          <w:rFonts w:asciiTheme="minorHAnsi" w:hAnsiTheme="minorHAnsi" w:cstheme="minorHAnsi"/>
        </w:rPr>
      </w:pPr>
    </w:p>
    <w:p w14:paraId="06E13F78" w14:textId="29D066B5" w:rsidR="008354E9" w:rsidRDefault="000546D1">
      <w:pPr>
        <w:rPr>
          <w:rFonts w:asciiTheme="minorHAnsi" w:hAnsiTheme="minorHAnsi" w:cstheme="minorHAnsi"/>
          <w:b/>
        </w:rPr>
      </w:pPr>
      <w:r w:rsidRPr="00CE5544">
        <w:rPr>
          <w:rFonts w:asciiTheme="minorHAnsi" w:hAnsiTheme="minorHAnsi" w:cstheme="minorHAnsi"/>
          <w:b/>
        </w:rPr>
        <w:t>Trends in income inequality</w:t>
      </w:r>
    </w:p>
    <w:p w14:paraId="3B00E98C" w14:textId="77777777" w:rsidR="00CE5544" w:rsidRPr="00CE5544" w:rsidRDefault="00CE5544">
      <w:pPr>
        <w:rPr>
          <w:rFonts w:asciiTheme="minorHAnsi" w:hAnsiTheme="minorHAnsi" w:cstheme="minorHAnsi"/>
          <w:b/>
        </w:rPr>
      </w:pPr>
    </w:p>
    <w:p w14:paraId="06E13F79" w14:textId="77777777" w:rsidR="008354E9" w:rsidRDefault="008354E9">
      <w:r>
        <w:rPr>
          <w:noProof/>
          <w:lang w:eastAsia="en-GB"/>
        </w:rPr>
        <w:drawing>
          <wp:inline distT="0" distB="0" distL="0" distR="0" wp14:anchorId="06E13F92" wp14:editId="06E13F93">
            <wp:extent cx="5731510" cy="3042285"/>
            <wp:effectExtent l="0" t="0" r="254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8FFFBCA-06BA-4B0A-8D01-D83F1121ED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5ADD10" w14:textId="77777777" w:rsidR="00CE5544" w:rsidRDefault="00CE5544"/>
    <w:p w14:paraId="06E13F7A" w14:textId="7FA2BA3A" w:rsidR="00647AEF" w:rsidRPr="00B7396E" w:rsidRDefault="000546D1">
      <w:pPr>
        <w:rPr>
          <w:rFonts w:asciiTheme="minorHAnsi" w:hAnsiTheme="minorHAnsi" w:cstheme="minorHAnsi"/>
          <w:i/>
          <w:iCs/>
          <w:sz w:val="22"/>
          <w:szCs w:val="20"/>
        </w:rPr>
      </w:pPr>
      <w:r w:rsidRPr="00B7396E">
        <w:rPr>
          <w:rFonts w:asciiTheme="minorHAnsi" w:hAnsiTheme="minorHAnsi" w:cstheme="minorHAnsi"/>
          <w:i/>
          <w:iCs/>
          <w:sz w:val="22"/>
          <w:szCs w:val="20"/>
        </w:rPr>
        <w:t>Source</w:t>
      </w:r>
      <w:r w:rsidR="00CE5544" w:rsidRPr="00B7396E">
        <w:rPr>
          <w:rFonts w:asciiTheme="minorHAnsi" w:hAnsiTheme="minorHAnsi" w:cstheme="minorHAnsi"/>
          <w:i/>
          <w:iCs/>
          <w:sz w:val="22"/>
          <w:szCs w:val="20"/>
        </w:rPr>
        <w:t xml:space="preserve">:  </w:t>
      </w:r>
      <w:r w:rsidR="00B7396E" w:rsidRPr="00B7396E">
        <w:rPr>
          <w:rFonts w:asciiTheme="minorHAnsi" w:hAnsiTheme="minorHAnsi" w:cstheme="minorHAnsi"/>
          <w:i/>
          <w:iCs/>
          <w:sz w:val="22"/>
          <w:szCs w:val="20"/>
        </w:rPr>
        <w:t xml:space="preserve">ONS (2019) The effects of taxes and benefits on household incomes  </w:t>
      </w:r>
    </w:p>
    <w:p w14:paraId="06E13F7B" w14:textId="77777777" w:rsidR="000546D1" w:rsidRPr="00B7396E" w:rsidRDefault="000546D1" w:rsidP="000546D1"/>
    <w:p w14:paraId="06E13F7D" w14:textId="3BB0B085" w:rsidR="000546D1" w:rsidRPr="003F1224" w:rsidRDefault="000546D1" w:rsidP="003F1224">
      <w:pPr>
        <w:spacing w:after="160" w:line="259" w:lineRule="auto"/>
        <w:rPr>
          <w:rFonts w:ascii="Calibri" w:hAnsi="Calibri" w:cs="Calibri"/>
          <w:sz w:val="22"/>
        </w:rPr>
      </w:pPr>
      <w:r w:rsidRPr="00EC6759">
        <w:rPr>
          <w:rFonts w:ascii="Calibri" w:hAnsi="Calibri" w:cs="Calibri"/>
          <w:sz w:val="22"/>
        </w:rPr>
        <w:t>What are the possible explanations for this? The Family Resources Survey on which this data is based under</w:t>
      </w:r>
      <w:r w:rsidR="009A67DF" w:rsidRPr="00EC6759">
        <w:rPr>
          <w:rFonts w:ascii="Calibri" w:hAnsi="Calibri" w:cs="Calibri"/>
          <w:sz w:val="22"/>
        </w:rPr>
        <w:t>-</w:t>
      </w:r>
      <w:r w:rsidRPr="00EC6759">
        <w:rPr>
          <w:rFonts w:ascii="Calibri" w:hAnsi="Calibri" w:cs="Calibri"/>
          <w:sz w:val="22"/>
        </w:rPr>
        <w:t>reports incomes at the top and there are very few top earners in the survey. The inequality measures are not very sensitive to the very top of the distribution</w:t>
      </w:r>
      <w:r w:rsidR="00593C92" w:rsidRPr="00EC6759">
        <w:rPr>
          <w:rFonts w:ascii="Calibri" w:hAnsi="Calibri" w:cs="Calibri"/>
          <w:sz w:val="22"/>
        </w:rPr>
        <w:t xml:space="preserve"> – even the top 10% are not all rich</w:t>
      </w:r>
      <w:r w:rsidRPr="00EC6759">
        <w:rPr>
          <w:rFonts w:ascii="Calibri" w:hAnsi="Calibri" w:cs="Calibri"/>
          <w:sz w:val="22"/>
        </w:rPr>
        <w:t xml:space="preserve">. But we </w:t>
      </w:r>
      <w:r w:rsidR="00593C92" w:rsidRPr="00EC6759">
        <w:rPr>
          <w:rFonts w:ascii="Calibri" w:hAnsi="Calibri" w:cs="Calibri"/>
          <w:sz w:val="22"/>
        </w:rPr>
        <w:t xml:space="preserve">also </w:t>
      </w:r>
      <w:r w:rsidRPr="00EC6759">
        <w:rPr>
          <w:rFonts w:ascii="Calibri" w:hAnsi="Calibri" w:cs="Calibri"/>
          <w:sz w:val="22"/>
        </w:rPr>
        <w:t>know from Resolution Foundation work that benefit receipt is also under</w:t>
      </w:r>
      <w:r w:rsidR="00CE69E8">
        <w:rPr>
          <w:rFonts w:ascii="Calibri" w:hAnsi="Calibri" w:cs="Calibri"/>
          <w:sz w:val="22"/>
        </w:rPr>
        <w:t>-</w:t>
      </w:r>
      <w:r w:rsidRPr="00EC6759">
        <w:rPr>
          <w:rFonts w:ascii="Calibri" w:hAnsi="Calibri" w:cs="Calibri"/>
          <w:sz w:val="22"/>
        </w:rPr>
        <w:t>reported at the bottom of the distribution. The series is not up to date</w:t>
      </w:r>
      <w:r w:rsidR="00593C92" w:rsidRPr="00EC6759">
        <w:rPr>
          <w:rFonts w:ascii="Calibri" w:hAnsi="Calibri" w:cs="Calibri"/>
          <w:sz w:val="22"/>
        </w:rPr>
        <w:t xml:space="preserve"> -</w:t>
      </w:r>
      <w:r w:rsidRPr="00EC6759">
        <w:rPr>
          <w:rFonts w:ascii="Calibri" w:hAnsi="Calibri" w:cs="Calibri"/>
          <w:sz w:val="22"/>
        </w:rPr>
        <w:t xml:space="preserve"> it takes us to 2017/18 when there was actually a slight increase in inequality and this may be the start of a trend given the freeze in working age benefits </w:t>
      </w:r>
      <w:r w:rsidR="009A67DF" w:rsidRPr="00EC6759">
        <w:rPr>
          <w:rFonts w:ascii="Calibri" w:hAnsi="Calibri" w:cs="Calibri"/>
          <w:sz w:val="22"/>
        </w:rPr>
        <w:t>from</w:t>
      </w:r>
      <w:r w:rsidRPr="00EC6759">
        <w:rPr>
          <w:rFonts w:ascii="Calibri" w:hAnsi="Calibri" w:cs="Calibri"/>
          <w:sz w:val="22"/>
        </w:rPr>
        <w:t xml:space="preserve"> 2016 and the r</w:t>
      </w:r>
      <w:r w:rsidRPr="003F1224">
        <w:rPr>
          <w:rFonts w:ascii="Calibri" w:hAnsi="Calibri" w:cs="Calibri"/>
          <w:sz w:val="22"/>
        </w:rPr>
        <w:t xml:space="preserve">oll-out of Universal Credit, the two-child limit, and the </w:t>
      </w:r>
      <w:r w:rsidRPr="003F1224">
        <w:rPr>
          <w:rFonts w:ascii="Calibri" w:hAnsi="Calibri" w:cs="Calibri"/>
          <w:sz w:val="22"/>
        </w:rPr>
        <w:lastRenderedPageBreak/>
        <w:t xml:space="preserve">benefit cap. </w:t>
      </w:r>
      <w:r w:rsidR="00CC304F" w:rsidRPr="003F1224">
        <w:rPr>
          <w:rFonts w:ascii="Calibri" w:hAnsi="Calibri" w:cs="Calibri"/>
          <w:sz w:val="22"/>
        </w:rPr>
        <w:t>Indeed</w:t>
      </w:r>
      <w:r w:rsidR="00593C92" w:rsidRPr="003F1224">
        <w:rPr>
          <w:rFonts w:ascii="Calibri" w:hAnsi="Calibri" w:cs="Calibri"/>
          <w:sz w:val="22"/>
        </w:rPr>
        <w:t>,</w:t>
      </w:r>
      <w:r w:rsidR="00CC304F" w:rsidRPr="003F1224">
        <w:rPr>
          <w:rFonts w:ascii="Calibri" w:hAnsi="Calibri" w:cs="Calibri"/>
          <w:sz w:val="22"/>
        </w:rPr>
        <w:t xml:space="preserve"> we need to concentrate </w:t>
      </w:r>
      <w:r w:rsidR="00727851" w:rsidRPr="003F1224">
        <w:rPr>
          <w:rFonts w:ascii="Calibri" w:hAnsi="Calibri" w:cs="Calibri"/>
          <w:sz w:val="22"/>
        </w:rPr>
        <w:t xml:space="preserve">on benefits because they do most of the heavy lifting on redistribution. </w:t>
      </w:r>
      <w:r w:rsidR="00612C33">
        <w:rPr>
          <w:rFonts w:ascii="Calibri" w:hAnsi="Calibri" w:cs="Calibri"/>
          <w:sz w:val="22"/>
        </w:rPr>
        <w:t>Work by the Child Poverty Action Group has shown that t</w:t>
      </w:r>
      <w:r w:rsidR="00727851" w:rsidRPr="003F1224">
        <w:rPr>
          <w:rFonts w:ascii="Calibri" w:hAnsi="Calibri" w:cs="Calibri"/>
          <w:sz w:val="22"/>
        </w:rPr>
        <w:t>he redistributive effects of direct taxes are largely cancelled out by the negative effects of indirect taxes</w:t>
      </w:r>
      <w:r w:rsidR="00593C92" w:rsidRPr="003F1224">
        <w:rPr>
          <w:rFonts w:ascii="Calibri" w:hAnsi="Calibri" w:cs="Calibri"/>
          <w:sz w:val="22"/>
        </w:rPr>
        <w:t>.</w:t>
      </w:r>
    </w:p>
    <w:p w14:paraId="2DFC3461" w14:textId="7BCF4D3A" w:rsidR="003F1224" w:rsidRDefault="000546D1" w:rsidP="003F1224">
      <w:pPr>
        <w:spacing w:after="160" w:line="259" w:lineRule="auto"/>
        <w:rPr>
          <w:rFonts w:ascii="Calibri" w:hAnsi="Calibri" w:cs="Calibri"/>
          <w:sz w:val="22"/>
        </w:rPr>
      </w:pPr>
      <w:r w:rsidRPr="003F1224">
        <w:rPr>
          <w:rFonts w:ascii="Calibri" w:hAnsi="Calibri" w:cs="Calibri"/>
          <w:sz w:val="22"/>
        </w:rPr>
        <w:t xml:space="preserve">But there have also been countervailing factors to the huge income increases for the </w:t>
      </w:r>
      <w:r w:rsidR="00B54467" w:rsidRPr="003F1224">
        <w:rPr>
          <w:rFonts w:ascii="Calibri" w:hAnsi="Calibri" w:cs="Calibri"/>
          <w:sz w:val="22"/>
        </w:rPr>
        <w:t>‘</w:t>
      </w:r>
      <w:r w:rsidRPr="003F1224">
        <w:rPr>
          <w:rFonts w:ascii="Calibri" w:hAnsi="Calibri" w:cs="Calibri"/>
          <w:sz w:val="22"/>
        </w:rPr>
        <w:t>fat</w:t>
      </w:r>
      <w:r w:rsidR="00727851" w:rsidRPr="003F1224">
        <w:rPr>
          <w:rFonts w:ascii="Calibri" w:hAnsi="Calibri" w:cs="Calibri"/>
          <w:sz w:val="22"/>
        </w:rPr>
        <w:t xml:space="preserve"> </w:t>
      </w:r>
      <w:r w:rsidRPr="003F1224">
        <w:rPr>
          <w:rFonts w:ascii="Calibri" w:hAnsi="Calibri" w:cs="Calibri"/>
          <w:sz w:val="22"/>
        </w:rPr>
        <w:t>cats</w:t>
      </w:r>
      <w:r w:rsidR="00EC6759">
        <w:rPr>
          <w:rFonts w:ascii="Calibri" w:hAnsi="Calibri" w:cs="Calibri"/>
          <w:sz w:val="22"/>
        </w:rPr>
        <w:t>’</w:t>
      </w:r>
      <w:r w:rsidR="00641916">
        <w:rPr>
          <w:rFonts w:ascii="Calibri" w:hAnsi="Calibri" w:cs="Calibri"/>
          <w:sz w:val="22"/>
        </w:rPr>
        <w:t>.</w:t>
      </w:r>
      <w:r w:rsidR="00B54467" w:rsidRPr="003F1224">
        <w:rPr>
          <w:rFonts w:ascii="Calibri" w:hAnsi="Calibri" w:cs="Calibri"/>
          <w:sz w:val="22"/>
        </w:rPr>
        <w:t xml:space="preserve"> Unemployment is at a record low</w:t>
      </w:r>
      <w:r w:rsidR="00593C92" w:rsidRPr="003F1224">
        <w:rPr>
          <w:rFonts w:ascii="Calibri" w:hAnsi="Calibri" w:cs="Calibri"/>
          <w:sz w:val="22"/>
        </w:rPr>
        <w:t>. E</w:t>
      </w:r>
      <w:r w:rsidR="00B54467" w:rsidRPr="003F1224">
        <w:rPr>
          <w:rFonts w:ascii="Calibri" w:hAnsi="Calibri" w:cs="Calibri"/>
          <w:sz w:val="22"/>
        </w:rPr>
        <w:t>mployment rates are at a record high, with a big increase in female labour supply and dual earning households. There has also been a big increase in lone parent employment and</w:t>
      </w:r>
      <w:r w:rsidR="009A67DF" w:rsidRPr="003F1224">
        <w:rPr>
          <w:rFonts w:ascii="Calibri" w:hAnsi="Calibri" w:cs="Calibri"/>
          <w:sz w:val="22"/>
        </w:rPr>
        <w:t>,</w:t>
      </w:r>
      <w:r w:rsidR="00B54467" w:rsidRPr="003F1224">
        <w:rPr>
          <w:rFonts w:ascii="Calibri" w:hAnsi="Calibri" w:cs="Calibri"/>
          <w:sz w:val="22"/>
        </w:rPr>
        <w:t xml:space="preserve"> despite the insecurity at the bottom end of the labour market</w:t>
      </w:r>
      <w:r w:rsidR="009A67DF" w:rsidRPr="003F1224">
        <w:rPr>
          <w:rFonts w:ascii="Calibri" w:hAnsi="Calibri" w:cs="Calibri"/>
          <w:sz w:val="22"/>
        </w:rPr>
        <w:t>,</w:t>
      </w:r>
      <w:r w:rsidR="00B54467" w:rsidRPr="003F1224">
        <w:rPr>
          <w:rFonts w:ascii="Calibri" w:hAnsi="Calibri" w:cs="Calibri"/>
          <w:sz w:val="22"/>
        </w:rPr>
        <w:t xml:space="preserve"> </w:t>
      </w:r>
      <w:r w:rsidR="009A67DF" w:rsidRPr="003F1224">
        <w:rPr>
          <w:rFonts w:ascii="Calibri" w:hAnsi="Calibri" w:cs="Calibri"/>
          <w:sz w:val="22"/>
        </w:rPr>
        <w:t>t</w:t>
      </w:r>
      <w:r w:rsidR="00B54467" w:rsidRPr="003F1224">
        <w:rPr>
          <w:rFonts w:ascii="Calibri" w:hAnsi="Calibri" w:cs="Calibri"/>
          <w:sz w:val="22"/>
        </w:rPr>
        <w:t>he minimum wage has risen faster than average earnings</w:t>
      </w:r>
      <w:r w:rsidR="00FB6A08">
        <w:rPr>
          <w:rFonts w:ascii="Calibri" w:hAnsi="Calibri" w:cs="Calibri"/>
          <w:sz w:val="22"/>
        </w:rPr>
        <w:t>.</w:t>
      </w:r>
      <w:r w:rsidR="009A67DF" w:rsidRPr="003F1224">
        <w:rPr>
          <w:rFonts w:ascii="Calibri" w:hAnsi="Calibri" w:cs="Calibri"/>
          <w:sz w:val="22"/>
        </w:rPr>
        <w:t xml:space="preserve"> Also</w:t>
      </w:r>
      <w:r w:rsidR="00A43F71">
        <w:rPr>
          <w:rFonts w:ascii="Calibri" w:hAnsi="Calibri" w:cs="Calibri"/>
          <w:sz w:val="22"/>
        </w:rPr>
        <w:t>,</w:t>
      </w:r>
      <w:r w:rsidR="009A67DF" w:rsidRPr="003F1224">
        <w:rPr>
          <w:rFonts w:ascii="Calibri" w:hAnsi="Calibri" w:cs="Calibri"/>
          <w:sz w:val="22"/>
        </w:rPr>
        <w:t xml:space="preserve"> </w:t>
      </w:r>
      <w:r w:rsidR="00B54467" w:rsidRPr="003F1224">
        <w:rPr>
          <w:rFonts w:ascii="Calibri" w:hAnsi="Calibri" w:cs="Calibri"/>
          <w:sz w:val="22"/>
        </w:rPr>
        <w:t>pensioner incomes have been increasing</w:t>
      </w:r>
      <w:r w:rsidR="00593C92" w:rsidRPr="003F1224">
        <w:rPr>
          <w:rFonts w:ascii="Calibri" w:hAnsi="Calibri" w:cs="Calibri"/>
          <w:sz w:val="22"/>
        </w:rPr>
        <w:t>,</w:t>
      </w:r>
      <w:r w:rsidR="00B54467" w:rsidRPr="003F1224">
        <w:rPr>
          <w:rFonts w:ascii="Calibri" w:hAnsi="Calibri" w:cs="Calibri"/>
          <w:sz w:val="22"/>
        </w:rPr>
        <w:t xml:space="preserve"> partly thanks to </w:t>
      </w:r>
      <w:r w:rsidR="0066053D">
        <w:rPr>
          <w:rFonts w:ascii="Calibri" w:hAnsi="Calibri" w:cs="Calibri"/>
          <w:sz w:val="22"/>
        </w:rPr>
        <w:t>the UK government’s pensions ‘</w:t>
      </w:r>
      <w:r w:rsidR="00B54467" w:rsidRPr="003F1224">
        <w:rPr>
          <w:rFonts w:ascii="Calibri" w:hAnsi="Calibri" w:cs="Calibri"/>
          <w:sz w:val="22"/>
        </w:rPr>
        <w:t>triple lock</w:t>
      </w:r>
      <w:r w:rsidR="0066053D">
        <w:rPr>
          <w:rFonts w:ascii="Calibri" w:hAnsi="Calibri" w:cs="Calibri"/>
          <w:sz w:val="22"/>
        </w:rPr>
        <w:t>’</w:t>
      </w:r>
      <w:r w:rsidR="003F1224">
        <w:rPr>
          <w:rFonts w:ascii="Calibri" w:hAnsi="Calibri" w:cs="Calibri"/>
          <w:sz w:val="22"/>
        </w:rPr>
        <w:t>,</w:t>
      </w:r>
      <w:r w:rsidR="0066053D">
        <w:rPr>
          <w:rFonts w:ascii="Calibri" w:hAnsi="Calibri" w:cs="Calibri"/>
          <w:sz w:val="22"/>
        </w:rPr>
        <w:t xml:space="preserve"> whereby </w:t>
      </w:r>
      <w:r w:rsidR="0066053D" w:rsidRPr="0066053D">
        <w:rPr>
          <w:rFonts w:ascii="Calibri" w:hAnsi="Calibri" w:cs="Calibri"/>
          <w:sz w:val="22"/>
        </w:rPr>
        <w:t xml:space="preserve">the basic state pension </w:t>
      </w:r>
      <w:r w:rsidR="0087148F">
        <w:rPr>
          <w:rFonts w:ascii="Calibri" w:hAnsi="Calibri" w:cs="Calibri"/>
          <w:sz w:val="22"/>
        </w:rPr>
        <w:t xml:space="preserve">is raised </w:t>
      </w:r>
      <w:r w:rsidR="0066053D" w:rsidRPr="0066053D">
        <w:rPr>
          <w:rFonts w:ascii="Calibri" w:hAnsi="Calibri" w:cs="Calibri"/>
          <w:sz w:val="22"/>
        </w:rPr>
        <w:t>by average earnings, inflation or 2.5%, whichever is higher</w:t>
      </w:r>
      <w:r w:rsidR="00B54467" w:rsidRPr="003F1224">
        <w:rPr>
          <w:rFonts w:ascii="Calibri" w:hAnsi="Calibri" w:cs="Calibri"/>
          <w:sz w:val="22"/>
        </w:rPr>
        <w:t xml:space="preserve">. </w:t>
      </w:r>
      <w:r w:rsidR="009A67DF" w:rsidRPr="003F1224">
        <w:rPr>
          <w:rFonts w:ascii="Calibri" w:hAnsi="Calibri" w:cs="Calibri"/>
          <w:sz w:val="22"/>
        </w:rPr>
        <w:t xml:space="preserve">It may be that the Institute for Fiscal Studies Commission on Inequality chaired by Angus Deaton will get to the bottom of </w:t>
      </w:r>
      <w:r w:rsidR="00593C92" w:rsidRPr="003F1224">
        <w:rPr>
          <w:rFonts w:ascii="Calibri" w:hAnsi="Calibri" w:cs="Calibri"/>
          <w:sz w:val="22"/>
        </w:rPr>
        <w:t xml:space="preserve">all </w:t>
      </w:r>
      <w:r w:rsidR="009A67DF" w:rsidRPr="003F1224">
        <w:rPr>
          <w:rFonts w:ascii="Calibri" w:hAnsi="Calibri" w:cs="Calibri"/>
          <w:sz w:val="22"/>
        </w:rPr>
        <w:t>this.</w:t>
      </w:r>
    </w:p>
    <w:p w14:paraId="06E13F81" w14:textId="571B23DC" w:rsidR="00727851" w:rsidRPr="003F1224" w:rsidRDefault="00CC304F" w:rsidP="003F1224">
      <w:pPr>
        <w:spacing w:after="160" w:line="259" w:lineRule="auto"/>
        <w:rPr>
          <w:rFonts w:ascii="Calibri" w:hAnsi="Calibri" w:cs="Calibri"/>
          <w:sz w:val="22"/>
        </w:rPr>
      </w:pPr>
      <w:r w:rsidRPr="003F1224">
        <w:rPr>
          <w:rFonts w:ascii="Calibri" w:hAnsi="Calibri" w:cs="Calibri"/>
          <w:sz w:val="22"/>
        </w:rPr>
        <w:t>There is very worrying evidence of increasing inequality of other kinds</w:t>
      </w:r>
      <w:r w:rsidR="00841EAF" w:rsidRPr="003F1224">
        <w:rPr>
          <w:rFonts w:ascii="Calibri" w:hAnsi="Calibri" w:cs="Calibri"/>
          <w:sz w:val="22"/>
        </w:rPr>
        <w:t>. As</w:t>
      </w:r>
      <w:r w:rsidRPr="003F1224">
        <w:rPr>
          <w:rFonts w:ascii="Calibri" w:hAnsi="Calibri" w:cs="Calibri"/>
          <w:sz w:val="22"/>
        </w:rPr>
        <w:t xml:space="preserve"> well as wealth, spatial and generational inequalities are certainly growing. So are life-cycle inequalities</w:t>
      </w:r>
      <w:r w:rsidR="00593C92" w:rsidRPr="003F1224">
        <w:rPr>
          <w:rFonts w:ascii="Calibri" w:hAnsi="Calibri" w:cs="Calibri"/>
          <w:sz w:val="22"/>
        </w:rPr>
        <w:t>,</w:t>
      </w:r>
      <w:r w:rsidRPr="003F1224">
        <w:rPr>
          <w:rFonts w:ascii="Calibri" w:hAnsi="Calibri" w:cs="Calibri"/>
          <w:sz w:val="22"/>
        </w:rPr>
        <w:t xml:space="preserve"> with children the main victims of austerity. </w:t>
      </w:r>
      <w:r w:rsidR="00727851" w:rsidRPr="003F1224">
        <w:rPr>
          <w:rFonts w:ascii="Calibri" w:hAnsi="Calibri" w:cs="Calibri"/>
          <w:sz w:val="22"/>
        </w:rPr>
        <w:t xml:space="preserve">Child poverty is rising rapidly, both </w:t>
      </w:r>
      <w:r w:rsidR="003F1224">
        <w:rPr>
          <w:rFonts w:ascii="Calibri" w:hAnsi="Calibri" w:cs="Calibri"/>
          <w:sz w:val="22"/>
        </w:rPr>
        <w:t xml:space="preserve">in terms of </w:t>
      </w:r>
      <w:r w:rsidR="00727851" w:rsidRPr="003F1224">
        <w:rPr>
          <w:rFonts w:ascii="Calibri" w:hAnsi="Calibri" w:cs="Calibri"/>
          <w:sz w:val="22"/>
        </w:rPr>
        <w:t xml:space="preserve">poverty rates </w:t>
      </w:r>
      <w:r w:rsidR="00AD6EAD">
        <w:rPr>
          <w:rFonts w:ascii="Calibri" w:hAnsi="Calibri" w:cs="Calibri"/>
          <w:sz w:val="22"/>
        </w:rPr>
        <w:t xml:space="preserve">(how many are in poverty) </w:t>
      </w:r>
      <w:r w:rsidR="00727851" w:rsidRPr="003F1224">
        <w:rPr>
          <w:rFonts w:ascii="Calibri" w:hAnsi="Calibri" w:cs="Calibri"/>
          <w:sz w:val="22"/>
        </w:rPr>
        <w:t>and poverty gaps</w:t>
      </w:r>
      <w:r w:rsidR="00084AD5">
        <w:rPr>
          <w:rFonts w:ascii="Calibri" w:hAnsi="Calibri" w:cs="Calibri"/>
          <w:sz w:val="22"/>
        </w:rPr>
        <w:t xml:space="preserve"> (</w:t>
      </w:r>
      <w:r w:rsidR="00921FF1">
        <w:rPr>
          <w:rFonts w:ascii="Calibri" w:hAnsi="Calibri" w:cs="Calibri"/>
          <w:sz w:val="22"/>
        </w:rPr>
        <w:t xml:space="preserve">how far below the poverty line </w:t>
      </w:r>
      <w:r w:rsidR="00827579">
        <w:rPr>
          <w:rFonts w:ascii="Calibri" w:hAnsi="Calibri" w:cs="Calibri"/>
          <w:sz w:val="22"/>
        </w:rPr>
        <w:t>a person is)</w:t>
      </w:r>
      <w:r w:rsidR="00727851" w:rsidRPr="003F1224">
        <w:rPr>
          <w:rFonts w:ascii="Calibri" w:hAnsi="Calibri" w:cs="Calibri"/>
          <w:sz w:val="22"/>
        </w:rPr>
        <w:t xml:space="preserve">. The evidence is there in the excellent report of the UN Rapporteur on extreme poverty. </w:t>
      </w:r>
      <w:r w:rsidRPr="003F1224">
        <w:rPr>
          <w:rFonts w:ascii="Calibri" w:hAnsi="Calibri" w:cs="Calibri"/>
          <w:sz w:val="22"/>
        </w:rPr>
        <w:t>Perhaps most worrying of all is the increase in inequalities in life expecta</w:t>
      </w:r>
      <w:r w:rsidR="00841EAF" w:rsidRPr="003F1224">
        <w:rPr>
          <w:rFonts w:ascii="Calibri" w:hAnsi="Calibri" w:cs="Calibri"/>
          <w:sz w:val="22"/>
        </w:rPr>
        <w:t>ncy,</w:t>
      </w:r>
      <w:r w:rsidRPr="003F1224">
        <w:rPr>
          <w:rFonts w:ascii="Calibri" w:hAnsi="Calibri" w:cs="Calibri"/>
          <w:sz w:val="22"/>
        </w:rPr>
        <w:t xml:space="preserve"> partly driven by an increas</w:t>
      </w:r>
      <w:r w:rsidR="00727851" w:rsidRPr="003F1224">
        <w:rPr>
          <w:rFonts w:ascii="Calibri" w:hAnsi="Calibri" w:cs="Calibri"/>
          <w:sz w:val="22"/>
        </w:rPr>
        <w:t>e</w:t>
      </w:r>
      <w:r w:rsidRPr="003F1224">
        <w:rPr>
          <w:rFonts w:ascii="Calibri" w:hAnsi="Calibri" w:cs="Calibri"/>
          <w:sz w:val="22"/>
        </w:rPr>
        <w:t xml:space="preserve"> in </w:t>
      </w:r>
      <w:r w:rsidR="00727851" w:rsidRPr="003F1224">
        <w:rPr>
          <w:rFonts w:ascii="Calibri" w:hAnsi="Calibri" w:cs="Calibri"/>
          <w:sz w:val="22"/>
        </w:rPr>
        <w:t xml:space="preserve">the </w:t>
      </w:r>
      <w:r w:rsidRPr="003F1224">
        <w:rPr>
          <w:rFonts w:ascii="Calibri" w:hAnsi="Calibri" w:cs="Calibri"/>
          <w:sz w:val="22"/>
        </w:rPr>
        <w:t xml:space="preserve">infant mortality </w:t>
      </w:r>
      <w:r w:rsidR="00727851" w:rsidRPr="003F1224">
        <w:rPr>
          <w:rFonts w:ascii="Calibri" w:hAnsi="Calibri" w:cs="Calibri"/>
          <w:sz w:val="22"/>
        </w:rPr>
        <w:t>over the last two years</w:t>
      </w:r>
      <w:r w:rsidR="00593C92" w:rsidRPr="003F1224">
        <w:rPr>
          <w:rFonts w:ascii="Calibri" w:hAnsi="Calibri" w:cs="Calibri"/>
          <w:sz w:val="22"/>
        </w:rPr>
        <w:t>,</w:t>
      </w:r>
      <w:r w:rsidR="00727851" w:rsidRPr="003F1224">
        <w:rPr>
          <w:rFonts w:ascii="Calibri" w:hAnsi="Calibri" w:cs="Calibri"/>
          <w:sz w:val="22"/>
        </w:rPr>
        <w:t xml:space="preserve"> after decades of improving rates. This is </w:t>
      </w:r>
      <w:r w:rsidRPr="003F1224">
        <w:rPr>
          <w:rFonts w:ascii="Calibri" w:hAnsi="Calibri" w:cs="Calibri"/>
          <w:sz w:val="22"/>
        </w:rPr>
        <w:t xml:space="preserve">mainly driven by increases </w:t>
      </w:r>
      <w:r w:rsidR="00727851" w:rsidRPr="003F1224">
        <w:rPr>
          <w:rFonts w:ascii="Calibri" w:hAnsi="Calibri" w:cs="Calibri"/>
          <w:sz w:val="22"/>
        </w:rPr>
        <w:t xml:space="preserve">for </w:t>
      </w:r>
      <w:r w:rsidRPr="003F1224">
        <w:rPr>
          <w:rFonts w:ascii="Calibri" w:hAnsi="Calibri" w:cs="Calibri"/>
          <w:sz w:val="22"/>
        </w:rPr>
        <w:t xml:space="preserve">the </w:t>
      </w:r>
      <w:r w:rsidR="00727851" w:rsidRPr="003F1224">
        <w:rPr>
          <w:rFonts w:ascii="Calibri" w:hAnsi="Calibri" w:cs="Calibri"/>
          <w:sz w:val="22"/>
        </w:rPr>
        <w:t xml:space="preserve">lowest </w:t>
      </w:r>
      <w:r w:rsidRPr="003F1224">
        <w:rPr>
          <w:rFonts w:ascii="Calibri" w:hAnsi="Calibri" w:cs="Calibri"/>
          <w:sz w:val="22"/>
        </w:rPr>
        <w:t>socio-economic groups</w:t>
      </w:r>
      <w:r w:rsidR="00727851" w:rsidRPr="003F1224">
        <w:rPr>
          <w:rFonts w:ascii="Calibri" w:hAnsi="Calibri" w:cs="Calibri"/>
          <w:sz w:val="22"/>
        </w:rPr>
        <w:t xml:space="preserve"> and a growing gap in health outcomes</w:t>
      </w:r>
      <w:r w:rsidRPr="003F1224">
        <w:rPr>
          <w:rFonts w:ascii="Calibri" w:hAnsi="Calibri" w:cs="Calibri"/>
          <w:sz w:val="22"/>
        </w:rPr>
        <w:t xml:space="preserve">.  </w:t>
      </w:r>
      <w:r w:rsidR="009A67DF" w:rsidRPr="003F1224">
        <w:rPr>
          <w:rFonts w:ascii="Calibri" w:hAnsi="Calibri" w:cs="Calibri"/>
          <w:sz w:val="22"/>
        </w:rPr>
        <w:t xml:space="preserve"> </w:t>
      </w:r>
    </w:p>
    <w:p w14:paraId="06E13F82" w14:textId="77777777" w:rsidR="00727851" w:rsidRPr="003F1224" w:rsidRDefault="00727851" w:rsidP="003F1224">
      <w:pPr>
        <w:spacing w:after="160" w:line="259" w:lineRule="auto"/>
        <w:rPr>
          <w:rFonts w:ascii="Calibri" w:hAnsi="Calibri" w:cs="Calibri"/>
          <w:sz w:val="22"/>
        </w:rPr>
      </w:pPr>
      <w:r w:rsidRPr="003F1224">
        <w:rPr>
          <w:rFonts w:ascii="Calibri" w:hAnsi="Calibri" w:cs="Calibri"/>
          <w:sz w:val="22"/>
        </w:rPr>
        <w:t>Like Taylor-Gooby I am not much motivated by the social mobility discourse.</w:t>
      </w:r>
      <w:r w:rsidR="00841EAF" w:rsidRPr="003F1224">
        <w:rPr>
          <w:rFonts w:ascii="Calibri" w:hAnsi="Calibri" w:cs="Calibri"/>
          <w:sz w:val="22"/>
        </w:rPr>
        <w:t xml:space="preserve"> If we remake the welfare state as it was in the 1970s as a strong redistributive state, with effective taxation on the rich and high earners</w:t>
      </w:r>
      <w:r w:rsidR="00593C92" w:rsidRPr="003F1224">
        <w:rPr>
          <w:rFonts w:ascii="Calibri" w:hAnsi="Calibri" w:cs="Calibri"/>
          <w:sz w:val="22"/>
        </w:rPr>
        <w:t>,</w:t>
      </w:r>
      <w:r w:rsidR="00841EAF" w:rsidRPr="003F1224">
        <w:rPr>
          <w:rFonts w:ascii="Calibri" w:hAnsi="Calibri" w:cs="Calibri"/>
          <w:sz w:val="22"/>
        </w:rPr>
        <w:t xml:space="preserve"> and improved living standards for the poor through adequate wages, decent benefits and restored public services</w:t>
      </w:r>
      <w:r w:rsidR="00593C92" w:rsidRPr="003F1224">
        <w:rPr>
          <w:rFonts w:ascii="Calibri" w:hAnsi="Calibri" w:cs="Calibri"/>
          <w:sz w:val="22"/>
        </w:rPr>
        <w:t>,</w:t>
      </w:r>
      <w:r w:rsidR="00841EAF" w:rsidRPr="003F1224">
        <w:rPr>
          <w:rFonts w:ascii="Calibri" w:hAnsi="Calibri" w:cs="Calibri"/>
          <w:sz w:val="22"/>
        </w:rPr>
        <w:t xml:space="preserve"> then social mobility will follow. It has been done before and can be done again.</w:t>
      </w:r>
    </w:p>
    <w:p w14:paraId="06E13F83" w14:textId="77777777" w:rsidR="000546D1" w:rsidRDefault="000546D1"/>
    <w:p w14:paraId="06E13F84" w14:textId="77777777" w:rsidR="00800ED6" w:rsidRPr="003F1224" w:rsidRDefault="00800ED6">
      <w:pPr>
        <w:rPr>
          <w:rFonts w:asciiTheme="minorHAnsi" w:hAnsiTheme="minorHAnsi" w:cstheme="minorHAnsi"/>
          <w:b/>
          <w:sz w:val="22"/>
          <w:szCs w:val="20"/>
        </w:rPr>
      </w:pPr>
      <w:r w:rsidRPr="003F1224">
        <w:rPr>
          <w:rFonts w:asciiTheme="minorHAnsi" w:hAnsiTheme="minorHAnsi" w:cstheme="minorHAnsi"/>
          <w:b/>
          <w:sz w:val="22"/>
          <w:szCs w:val="20"/>
        </w:rPr>
        <w:t>References</w:t>
      </w:r>
    </w:p>
    <w:p w14:paraId="06E13F85" w14:textId="77777777" w:rsidR="00800ED6" w:rsidRPr="003F1224" w:rsidRDefault="00800ED6">
      <w:pPr>
        <w:rPr>
          <w:rFonts w:asciiTheme="minorHAnsi" w:hAnsiTheme="minorHAnsi" w:cstheme="minorHAnsi"/>
          <w:sz w:val="22"/>
          <w:szCs w:val="20"/>
        </w:rPr>
      </w:pPr>
    </w:p>
    <w:p w14:paraId="06E13F86" w14:textId="77777777" w:rsidR="00800ED6" w:rsidRPr="003F1224" w:rsidRDefault="00800ED6" w:rsidP="00800ED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lang w:eastAsia="en-GB"/>
        </w:rPr>
      </w:pPr>
      <w:r w:rsidRPr="003F1224">
        <w:rPr>
          <w:rFonts w:asciiTheme="minorHAnsi" w:eastAsia="Times New Roman" w:hAnsiTheme="minorHAnsi" w:cstheme="minorHAnsi"/>
          <w:sz w:val="22"/>
          <w:lang w:eastAsia="en-GB"/>
        </w:rPr>
        <w:t xml:space="preserve">Bradshaw, J. and Keung, A. (2019) UK poverty gaps are still increasing, </w:t>
      </w:r>
      <w:r w:rsidRPr="003F1224">
        <w:rPr>
          <w:rFonts w:asciiTheme="minorHAnsi" w:eastAsia="Times New Roman" w:hAnsiTheme="minorHAnsi" w:cstheme="minorHAnsi"/>
          <w:i/>
          <w:sz w:val="22"/>
          <w:lang w:eastAsia="en-GB"/>
        </w:rPr>
        <w:t>Poverty</w:t>
      </w:r>
      <w:r w:rsidRPr="003F1224">
        <w:rPr>
          <w:rFonts w:asciiTheme="minorHAnsi" w:eastAsia="Times New Roman" w:hAnsiTheme="minorHAnsi" w:cstheme="minorHAnsi"/>
          <w:sz w:val="22"/>
          <w:lang w:eastAsia="en-GB"/>
        </w:rPr>
        <w:t>, 162, 11-14.</w:t>
      </w:r>
    </w:p>
    <w:p w14:paraId="06E13F87" w14:textId="77777777" w:rsidR="00800ED6" w:rsidRPr="003F1224" w:rsidRDefault="00800ED6" w:rsidP="00800ED6">
      <w:pPr>
        <w:rPr>
          <w:rFonts w:asciiTheme="minorHAnsi" w:hAnsiTheme="minorHAnsi" w:cstheme="minorHAnsi"/>
          <w:sz w:val="22"/>
          <w:szCs w:val="20"/>
        </w:rPr>
      </w:pPr>
    </w:p>
    <w:p w14:paraId="06E13F88" w14:textId="18C60461" w:rsidR="00800ED6" w:rsidRPr="003F1224" w:rsidRDefault="00800ED6" w:rsidP="00800ED6">
      <w:pPr>
        <w:rPr>
          <w:rFonts w:asciiTheme="minorHAnsi" w:hAnsiTheme="minorHAnsi" w:cstheme="minorHAnsi"/>
          <w:sz w:val="22"/>
          <w:szCs w:val="20"/>
        </w:rPr>
      </w:pPr>
      <w:r w:rsidRPr="003F1224">
        <w:rPr>
          <w:rFonts w:asciiTheme="minorHAnsi" w:eastAsia="Times New Roman" w:hAnsiTheme="minorHAnsi" w:cstheme="minorHAnsi"/>
          <w:color w:val="222222"/>
          <w:sz w:val="22"/>
          <w:shd w:val="clear" w:color="auto" w:fill="FFFFFF"/>
          <w:lang w:val="en-US"/>
        </w:rPr>
        <w:t xml:space="preserve">Bradshaw, J. (2017) The outcomes for children of austerity, Blog, </w:t>
      </w:r>
      <w:hyperlink r:id="rId11" w:history="1">
        <w:r w:rsidR="00B7396E" w:rsidRPr="003F1224">
          <w:rPr>
            <w:rStyle w:val="Hyperlink"/>
            <w:rFonts w:asciiTheme="minorHAnsi" w:eastAsia="Times New Roman" w:hAnsiTheme="minorHAnsi" w:cstheme="minorHAnsi"/>
            <w:sz w:val="22"/>
            <w:shd w:val="clear" w:color="auto" w:fill="FFFFFF"/>
            <w:lang w:val="en-US"/>
          </w:rPr>
          <w:t>http://jonathanbradshaw.blogspot.co.uk/2017/10/the-outcomes-for-children-of-austerity.html</w:t>
        </w:r>
      </w:hyperlink>
    </w:p>
    <w:p w14:paraId="06E13F89" w14:textId="77777777" w:rsidR="00800ED6" w:rsidRPr="003F1224" w:rsidRDefault="00800ED6">
      <w:pPr>
        <w:rPr>
          <w:rFonts w:asciiTheme="minorHAnsi" w:hAnsiTheme="minorHAnsi" w:cstheme="minorHAnsi"/>
          <w:sz w:val="22"/>
          <w:szCs w:val="20"/>
        </w:rPr>
      </w:pPr>
    </w:p>
    <w:p w14:paraId="06E13F8A" w14:textId="77777777" w:rsidR="00800ED6" w:rsidRPr="003F1224" w:rsidRDefault="00800ED6">
      <w:pPr>
        <w:rPr>
          <w:rFonts w:asciiTheme="minorHAnsi" w:hAnsiTheme="minorHAnsi" w:cstheme="minorHAnsi"/>
          <w:sz w:val="22"/>
          <w:szCs w:val="20"/>
        </w:rPr>
      </w:pPr>
      <w:r w:rsidRPr="003F1224">
        <w:rPr>
          <w:rFonts w:asciiTheme="minorHAnsi" w:hAnsiTheme="minorHAnsi" w:cstheme="minorHAnsi"/>
          <w:sz w:val="22"/>
          <w:szCs w:val="20"/>
        </w:rPr>
        <w:t>Child Poverty Action Group (2019) Let’s talk about tax: how the tax system works and how to change it. Forthcoming July.</w:t>
      </w:r>
    </w:p>
    <w:p w14:paraId="06E13F8B" w14:textId="77777777" w:rsidR="00800ED6" w:rsidRPr="003F1224" w:rsidRDefault="00800ED6">
      <w:pPr>
        <w:rPr>
          <w:rFonts w:asciiTheme="minorHAnsi" w:hAnsiTheme="minorHAnsi" w:cstheme="minorHAnsi"/>
          <w:sz w:val="22"/>
          <w:szCs w:val="20"/>
        </w:rPr>
      </w:pPr>
    </w:p>
    <w:p w14:paraId="06E13F8C" w14:textId="77777777" w:rsidR="00841EAF" w:rsidRPr="003F1224" w:rsidRDefault="00841EAF">
      <w:pPr>
        <w:rPr>
          <w:rFonts w:asciiTheme="minorHAnsi" w:hAnsiTheme="minorHAnsi" w:cstheme="minorHAnsi"/>
          <w:sz w:val="22"/>
          <w:szCs w:val="20"/>
        </w:rPr>
      </w:pPr>
      <w:r w:rsidRPr="003F1224">
        <w:rPr>
          <w:rFonts w:asciiTheme="minorHAnsi" w:hAnsiTheme="minorHAnsi" w:cstheme="minorHAnsi"/>
          <w:sz w:val="22"/>
          <w:szCs w:val="20"/>
        </w:rPr>
        <w:t xml:space="preserve">ONS (2019) The effects of taxes and benefits on household incomes, </w:t>
      </w:r>
      <w:hyperlink r:id="rId12" w:history="1">
        <w:r w:rsidRPr="003F1224">
          <w:rPr>
            <w:rStyle w:val="Hyperlink"/>
            <w:rFonts w:asciiTheme="minorHAnsi" w:hAnsiTheme="minorHAnsi" w:cstheme="minorHAnsi"/>
            <w:sz w:val="22"/>
            <w:szCs w:val="20"/>
          </w:rPr>
          <w:t>https://www.ons.gov.uk/peoplepopulationandcommunity/personalandhouseholdfinances/incomeandwealth/datasets/householddisposableincomeandinequality</w:t>
        </w:r>
      </w:hyperlink>
    </w:p>
    <w:p w14:paraId="06E13F8D" w14:textId="77777777" w:rsidR="00841EAF" w:rsidRPr="003F1224" w:rsidRDefault="00841EAF">
      <w:pPr>
        <w:rPr>
          <w:rFonts w:asciiTheme="minorHAnsi" w:hAnsiTheme="minorHAnsi" w:cstheme="minorHAnsi"/>
          <w:sz w:val="22"/>
          <w:szCs w:val="20"/>
        </w:rPr>
      </w:pPr>
    </w:p>
    <w:p w14:paraId="06E13F8E" w14:textId="77777777" w:rsidR="00593C92" w:rsidRPr="003F1224" w:rsidRDefault="00593C92">
      <w:pPr>
        <w:rPr>
          <w:rFonts w:asciiTheme="minorHAnsi" w:hAnsiTheme="minorHAnsi" w:cstheme="minorHAnsi"/>
          <w:sz w:val="22"/>
          <w:szCs w:val="20"/>
        </w:rPr>
      </w:pPr>
      <w:r w:rsidRPr="003F1224">
        <w:rPr>
          <w:rFonts w:asciiTheme="minorHAnsi" w:hAnsiTheme="minorHAnsi" w:cstheme="minorHAnsi"/>
          <w:sz w:val="22"/>
          <w:szCs w:val="20"/>
        </w:rPr>
        <w:t xml:space="preserve">Resolution Foundation (2019) Living Standards Outlook 2019 </w:t>
      </w:r>
      <w:hyperlink r:id="rId13" w:history="1">
        <w:r w:rsidRPr="003F1224">
          <w:rPr>
            <w:rStyle w:val="Hyperlink"/>
            <w:rFonts w:asciiTheme="minorHAnsi" w:hAnsiTheme="minorHAnsi" w:cstheme="minorHAnsi"/>
            <w:sz w:val="22"/>
            <w:szCs w:val="20"/>
          </w:rPr>
          <w:t>https://www.resolutionfoundation.org/publications/the-living-standards-outlook-2019/</w:t>
        </w:r>
      </w:hyperlink>
    </w:p>
    <w:p w14:paraId="06E13F8F" w14:textId="77777777" w:rsidR="00593C92" w:rsidRPr="003F1224" w:rsidRDefault="00593C92">
      <w:pPr>
        <w:rPr>
          <w:rFonts w:asciiTheme="minorHAnsi" w:hAnsiTheme="minorHAnsi" w:cstheme="minorHAnsi"/>
          <w:sz w:val="22"/>
          <w:szCs w:val="20"/>
        </w:rPr>
      </w:pPr>
    </w:p>
    <w:p w14:paraId="06E13F90" w14:textId="77777777" w:rsidR="00841EAF" w:rsidRPr="003F1224" w:rsidRDefault="00841EAF" w:rsidP="00841EAF">
      <w:pPr>
        <w:rPr>
          <w:rFonts w:asciiTheme="minorHAnsi" w:hAnsiTheme="minorHAnsi" w:cstheme="minorHAnsi"/>
          <w:sz w:val="22"/>
          <w:szCs w:val="20"/>
        </w:rPr>
      </w:pPr>
      <w:r w:rsidRPr="003F1224">
        <w:rPr>
          <w:rFonts w:asciiTheme="minorHAnsi" w:hAnsiTheme="minorHAnsi" w:cstheme="minorHAnsi"/>
          <w:sz w:val="22"/>
          <w:szCs w:val="20"/>
        </w:rPr>
        <w:t>UN Human Rights Council (2019) Visit to the United Kingdom of Great Britain and Northern Ireland: Report of the Special Rapporteur on extreme poverty and human rights</w:t>
      </w:r>
    </w:p>
    <w:p w14:paraId="06E13F91" w14:textId="77777777" w:rsidR="00841EAF" w:rsidRPr="003F1224" w:rsidRDefault="00841EAF">
      <w:pPr>
        <w:rPr>
          <w:rFonts w:asciiTheme="minorHAnsi" w:hAnsiTheme="minorHAnsi" w:cstheme="minorHAnsi"/>
          <w:sz w:val="22"/>
          <w:szCs w:val="20"/>
        </w:rPr>
      </w:pPr>
    </w:p>
    <w:sectPr w:rsidR="00841EAF" w:rsidRPr="003F1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2A5E" w14:textId="77777777" w:rsidR="00695978" w:rsidRDefault="00695978" w:rsidP="00486689">
      <w:r>
        <w:separator/>
      </w:r>
    </w:p>
  </w:endnote>
  <w:endnote w:type="continuationSeparator" w:id="0">
    <w:p w14:paraId="088CFD9C" w14:textId="77777777" w:rsidR="00695978" w:rsidRDefault="00695978" w:rsidP="00486689">
      <w:r>
        <w:continuationSeparator/>
      </w:r>
    </w:p>
  </w:endnote>
  <w:endnote w:type="continuationNotice" w:id="1">
    <w:p w14:paraId="7921EA4A" w14:textId="77777777" w:rsidR="00596E56" w:rsidRDefault="00596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C318D" w14:textId="77777777" w:rsidR="00695978" w:rsidRDefault="00695978" w:rsidP="00486689">
      <w:r>
        <w:separator/>
      </w:r>
    </w:p>
  </w:footnote>
  <w:footnote w:type="continuationSeparator" w:id="0">
    <w:p w14:paraId="07CEAFC8" w14:textId="77777777" w:rsidR="00695978" w:rsidRDefault="00695978" w:rsidP="00486689">
      <w:r>
        <w:continuationSeparator/>
      </w:r>
    </w:p>
  </w:footnote>
  <w:footnote w:type="continuationNotice" w:id="1">
    <w:p w14:paraId="50E2D7E9" w14:textId="77777777" w:rsidR="00596E56" w:rsidRDefault="00596E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3F"/>
    <w:rsid w:val="0001535E"/>
    <w:rsid w:val="00031EF5"/>
    <w:rsid w:val="00054347"/>
    <w:rsid w:val="000546D1"/>
    <w:rsid w:val="00084AD5"/>
    <w:rsid w:val="000F13AC"/>
    <w:rsid w:val="001266B8"/>
    <w:rsid w:val="00173325"/>
    <w:rsid w:val="002540F3"/>
    <w:rsid w:val="002F136F"/>
    <w:rsid w:val="00306572"/>
    <w:rsid w:val="003356FD"/>
    <w:rsid w:val="003B2EE1"/>
    <w:rsid w:val="003F1224"/>
    <w:rsid w:val="00486689"/>
    <w:rsid w:val="00513DE5"/>
    <w:rsid w:val="00593C92"/>
    <w:rsid w:val="00596E56"/>
    <w:rsid w:val="00612C33"/>
    <w:rsid w:val="00641916"/>
    <w:rsid w:val="00647AEF"/>
    <w:rsid w:val="0066053D"/>
    <w:rsid w:val="00692AA5"/>
    <w:rsid w:val="00695978"/>
    <w:rsid w:val="006D065F"/>
    <w:rsid w:val="00727851"/>
    <w:rsid w:val="007412C1"/>
    <w:rsid w:val="00776DB4"/>
    <w:rsid w:val="00790AE4"/>
    <w:rsid w:val="007A626F"/>
    <w:rsid w:val="007F2B2A"/>
    <w:rsid w:val="00800ED6"/>
    <w:rsid w:val="00827579"/>
    <w:rsid w:val="008354E9"/>
    <w:rsid w:val="00841EAF"/>
    <w:rsid w:val="0084362C"/>
    <w:rsid w:val="0085033F"/>
    <w:rsid w:val="0087148F"/>
    <w:rsid w:val="008B1AF2"/>
    <w:rsid w:val="00902163"/>
    <w:rsid w:val="00921FF1"/>
    <w:rsid w:val="009968B0"/>
    <w:rsid w:val="009A67DF"/>
    <w:rsid w:val="009D3F39"/>
    <w:rsid w:val="00A23D59"/>
    <w:rsid w:val="00A43F71"/>
    <w:rsid w:val="00AD6EAD"/>
    <w:rsid w:val="00B03007"/>
    <w:rsid w:val="00B338F5"/>
    <w:rsid w:val="00B54467"/>
    <w:rsid w:val="00B7396E"/>
    <w:rsid w:val="00B8284E"/>
    <w:rsid w:val="00B85B92"/>
    <w:rsid w:val="00BA69AE"/>
    <w:rsid w:val="00BD62AF"/>
    <w:rsid w:val="00C456D3"/>
    <w:rsid w:val="00CC304F"/>
    <w:rsid w:val="00CE5544"/>
    <w:rsid w:val="00CE69E8"/>
    <w:rsid w:val="00D4690F"/>
    <w:rsid w:val="00D46D9B"/>
    <w:rsid w:val="00DB186B"/>
    <w:rsid w:val="00DC3DE6"/>
    <w:rsid w:val="00E8450A"/>
    <w:rsid w:val="00EB7349"/>
    <w:rsid w:val="00EC6759"/>
    <w:rsid w:val="00EE5998"/>
    <w:rsid w:val="00F87926"/>
    <w:rsid w:val="00FB6A08"/>
    <w:rsid w:val="00F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3F72"/>
  <w15:chartTrackingRefBased/>
  <w15:docId w15:val="{09A35D6C-8B16-4FD0-8D55-87D8C77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6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2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6B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6B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66B8"/>
    <w:pPr>
      <w:spacing w:after="0" w:line="240" w:lineRule="auto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68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6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96E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E5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6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E56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554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olutionfoundation.org/publications/the-living-standards-outlook-2019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ns.gov.uk/peoplepopulationandcommunity/personalandhouseholdfinances/incomeandwealth/datasets/householddisposableincomeandinequa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onathanbradshaw.blogspot.co.uk/2017/10/the-outcomes-for-children-of-austerity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S80/S20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Sheet1!$A$2:$A$42</c:f>
              <c:strCache>
                <c:ptCount val="41"/>
                <c:pt idx="0">
                  <c:v>1977 </c:v>
                </c:pt>
                <c:pt idx="1">
                  <c:v>1978 </c:v>
                </c:pt>
                <c:pt idx="2">
                  <c:v>1979 </c:v>
                </c:pt>
                <c:pt idx="3">
                  <c:v>1980 </c:v>
                </c:pt>
                <c:pt idx="4">
                  <c:v>1981 </c:v>
                </c:pt>
                <c:pt idx="5">
                  <c:v>1982 </c:v>
                </c:pt>
                <c:pt idx="6">
                  <c:v>1983 </c:v>
                </c:pt>
                <c:pt idx="7">
                  <c:v>1984 </c:v>
                </c:pt>
                <c:pt idx="8">
                  <c:v>1985 </c:v>
                </c:pt>
                <c:pt idx="9">
                  <c:v>1986 </c:v>
                </c:pt>
                <c:pt idx="10">
                  <c:v>1987 </c:v>
                </c:pt>
                <c:pt idx="11">
                  <c:v>1988 </c:v>
                </c:pt>
                <c:pt idx="12">
                  <c:v>1989 </c:v>
                </c:pt>
                <c:pt idx="13">
                  <c:v>1990 </c:v>
                </c:pt>
                <c:pt idx="14">
                  <c:v>1991 </c:v>
                </c:pt>
                <c:pt idx="15">
                  <c:v>1992 </c:v>
                </c:pt>
                <c:pt idx="16">
                  <c:v>1993 </c:v>
                </c:pt>
                <c:pt idx="17">
                  <c:v>1994/95</c:v>
                </c:pt>
                <c:pt idx="18">
                  <c:v>1995/96</c:v>
                </c:pt>
                <c:pt idx="19">
                  <c:v>1996/97</c:v>
                </c:pt>
                <c:pt idx="20">
                  <c:v>1997/98</c:v>
                </c:pt>
                <c:pt idx="21">
                  <c:v>1998/99</c:v>
                </c:pt>
                <c:pt idx="22">
                  <c:v>1999/00</c:v>
                </c:pt>
                <c:pt idx="23">
                  <c:v>2000/01</c:v>
                </c:pt>
                <c:pt idx="24">
                  <c:v>2001/02</c:v>
                </c:pt>
                <c:pt idx="25">
                  <c:v>2002/03</c:v>
                </c:pt>
                <c:pt idx="26">
                  <c:v>2003/04</c:v>
                </c:pt>
                <c:pt idx="27">
                  <c:v>2004/05</c:v>
                </c:pt>
                <c:pt idx="28">
                  <c:v>2005/06</c:v>
                </c:pt>
                <c:pt idx="29">
                  <c:v>2006/07</c:v>
                </c:pt>
                <c:pt idx="30">
                  <c:v>2007/08</c:v>
                </c:pt>
                <c:pt idx="31">
                  <c:v>2008/09</c:v>
                </c:pt>
                <c:pt idx="32">
                  <c:v>2009/10</c:v>
                </c:pt>
                <c:pt idx="33">
                  <c:v>2010/11</c:v>
                </c:pt>
                <c:pt idx="34">
                  <c:v>2011/12</c:v>
                </c:pt>
                <c:pt idx="35">
                  <c:v>2012/13</c:v>
                </c:pt>
                <c:pt idx="36">
                  <c:v>2013/14</c:v>
                </c:pt>
                <c:pt idx="37">
                  <c:v>2014/15</c:v>
                </c:pt>
                <c:pt idx="38">
                  <c:v>2015/16</c:v>
                </c:pt>
                <c:pt idx="39">
                  <c:v>2016/17</c:v>
                </c:pt>
                <c:pt idx="40">
                  <c:v>2017/18</c:v>
                </c:pt>
              </c:strCache>
            </c:strRef>
          </c:cat>
          <c:val>
            <c:numRef>
              <c:f>Sheet1!$B$2:$B$42</c:f>
              <c:numCache>
                <c:formatCode>0.0</c:formatCode>
                <c:ptCount val="41"/>
                <c:pt idx="0">
                  <c:v>3.6</c:v>
                </c:pt>
                <c:pt idx="1">
                  <c:v>3.5</c:v>
                </c:pt>
                <c:pt idx="2">
                  <c:v>3.6</c:v>
                </c:pt>
                <c:pt idx="3">
                  <c:v>3.9</c:v>
                </c:pt>
                <c:pt idx="4">
                  <c:v>3.9</c:v>
                </c:pt>
                <c:pt idx="5">
                  <c:v>3.9</c:v>
                </c:pt>
                <c:pt idx="6">
                  <c:v>4.0999999999999996</c:v>
                </c:pt>
                <c:pt idx="7">
                  <c:v>3.9</c:v>
                </c:pt>
                <c:pt idx="8">
                  <c:v>4.4000000000000004</c:v>
                </c:pt>
                <c:pt idx="9">
                  <c:v>4.5</c:v>
                </c:pt>
                <c:pt idx="10">
                  <c:v>4.9000000000000004</c:v>
                </c:pt>
                <c:pt idx="11">
                  <c:v>5.4</c:v>
                </c:pt>
                <c:pt idx="12">
                  <c:v>5.4</c:v>
                </c:pt>
                <c:pt idx="13">
                  <c:v>6</c:v>
                </c:pt>
                <c:pt idx="14">
                  <c:v>5.7</c:v>
                </c:pt>
                <c:pt idx="15">
                  <c:v>5.5</c:v>
                </c:pt>
                <c:pt idx="16">
                  <c:v>5.5</c:v>
                </c:pt>
                <c:pt idx="17">
                  <c:v>5.2</c:v>
                </c:pt>
                <c:pt idx="18">
                  <c:v>5.2</c:v>
                </c:pt>
                <c:pt idx="19">
                  <c:v>5.4</c:v>
                </c:pt>
                <c:pt idx="20">
                  <c:v>5.5</c:v>
                </c:pt>
                <c:pt idx="21">
                  <c:v>5.8</c:v>
                </c:pt>
                <c:pt idx="22">
                  <c:v>6</c:v>
                </c:pt>
                <c:pt idx="23">
                  <c:v>5.7</c:v>
                </c:pt>
                <c:pt idx="24">
                  <c:v>5.9</c:v>
                </c:pt>
                <c:pt idx="25">
                  <c:v>5.3</c:v>
                </c:pt>
                <c:pt idx="26">
                  <c:v>5.2</c:v>
                </c:pt>
                <c:pt idx="27">
                  <c:v>5.0999999999999996</c:v>
                </c:pt>
                <c:pt idx="28">
                  <c:v>5.3</c:v>
                </c:pt>
                <c:pt idx="29">
                  <c:v>5.6</c:v>
                </c:pt>
                <c:pt idx="30">
                  <c:v>5.5</c:v>
                </c:pt>
                <c:pt idx="31">
                  <c:v>5.4</c:v>
                </c:pt>
                <c:pt idx="32">
                  <c:v>5.2</c:v>
                </c:pt>
                <c:pt idx="33">
                  <c:v>5.3</c:v>
                </c:pt>
                <c:pt idx="34">
                  <c:v>4.8</c:v>
                </c:pt>
                <c:pt idx="35">
                  <c:v>5.2</c:v>
                </c:pt>
                <c:pt idx="36">
                  <c:v>5</c:v>
                </c:pt>
                <c:pt idx="37">
                  <c:v>5.0999999999999996</c:v>
                </c:pt>
                <c:pt idx="38">
                  <c:v>4.8</c:v>
                </c:pt>
                <c:pt idx="39">
                  <c:v>4.9000000000000004</c:v>
                </c:pt>
                <c:pt idx="40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98-40CD-9F6E-3E20B25D0BE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P90/P10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Sheet1!$A$2:$A$42</c:f>
              <c:strCache>
                <c:ptCount val="41"/>
                <c:pt idx="0">
                  <c:v>1977 </c:v>
                </c:pt>
                <c:pt idx="1">
                  <c:v>1978 </c:v>
                </c:pt>
                <c:pt idx="2">
                  <c:v>1979 </c:v>
                </c:pt>
                <c:pt idx="3">
                  <c:v>1980 </c:v>
                </c:pt>
                <c:pt idx="4">
                  <c:v>1981 </c:v>
                </c:pt>
                <c:pt idx="5">
                  <c:v>1982 </c:v>
                </c:pt>
                <c:pt idx="6">
                  <c:v>1983 </c:v>
                </c:pt>
                <c:pt idx="7">
                  <c:v>1984 </c:v>
                </c:pt>
                <c:pt idx="8">
                  <c:v>1985 </c:v>
                </c:pt>
                <c:pt idx="9">
                  <c:v>1986 </c:v>
                </c:pt>
                <c:pt idx="10">
                  <c:v>1987 </c:v>
                </c:pt>
                <c:pt idx="11">
                  <c:v>1988 </c:v>
                </c:pt>
                <c:pt idx="12">
                  <c:v>1989 </c:v>
                </c:pt>
                <c:pt idx="13">
                  <c:v>1990 </c:v>
                </c:pt>
                <c:pt idx="14">
                  <c:v>1991 </c:v>
                </c:pt>
                <c:pt idx="15">
                  <c:v>1992 </c:v>
                </c:pt>
                <c:pt idx="16">
                  <c:v>1993 </c:v>
                </c:pt>
                <c:pt idx="17">
                  <c:v>1994/95</c:v>
                </c:pt>
                <c:pt idx="18">
                  <c:v>1995/96</c:v>
                </c:pt>
                <c:pt idx="19">
                  <c:v>1996/97</c:v>
                </c:pt>
                <c:pt idx="20">
                  <c:v>1997/98</c:v>
                </c:pt>
                <c:pt idx="21">
                  <c:v>1998/99</c:v>
                </c:pt>
                <c:pt idx="22">
                  <c:v>1999/00</c:v>
                </c:pt>
                <c:pt idx="23">
                  <c:v>2000/01</c:v>
                </c:pt>
                <c:pt idx="24">
                  <c:v>2001/02</c:v>
                </c:pt>
                <c:pt idx="25">
                  <c:v>2002/03</c:v>
                </c:pt>
                <c:pt idx="26">
                  <c:v>2003/04</c:v>
                </c:pt>
                <c:pt idx="27">
                  <c:v>2004/05</c:v>
                </c:pt>
                <c:pt idx="28">
                  <c:v>2005/06</c:v>
                </c:pt>
                <c:pt idx="29">
                  <c:v>2006/07</c:v>
                </c:pt>
                <c:pt idx="30">
                  <c:v>2007/08</c:v>
                </c:pt>
                <c:pt idx="31">
                  <c:v>2008/09</c:v>
                </c:pt>
                <c:pt idx="32">
                  <c:v>2009/10</c:v>
                </c:pt>
                <c:pt idx="33">
                  <c:v>2010/11</c:v>
                </c:pt>
                <c:pt idx="34">
                  <c:v>2011/12</c:v>
                </c:pt>
                <c:pt idx="35">
                  <c:v>2012/13</c:v>
                </c:pt>
                <c:pt idx="36">
                  <c:v>2013/14</c:v>
                </c:pt>
                <c:pt idx="37">
                  <c:v>2014/15</c:v>
                </c:pt>
                <c:pt idx="38">
                  <c:v>2015/16</c:v>
                </c:pt>
                <c:pt idx="39">
                  <c:v>2016/17</c:v>
                </c:pt>
                <c:pt idx="40">
                  <c:v>2017/18</c:v>
                </c:pt>
              </c:strCache>
            </c:strRef>
          </c:cat>
          <c:val>
            <c:numRef>
              <c:f>Sheet1!$C$2:$C$42</c:f>
              <c:numCache>
                <c:formatCode>0.0</c:formatCode>
                <c:ptCount val="41"/>
                <c:pt idx="0">
                  <c:v>3.1</c:v>
                </c:pt>
                <c:pt idx="1">
                  <c:v>3.1</c:v>
                </c:pt>
                <c:pt idx="2">
                  <c:v>3.2</c:v>
                </c:pt>
                <c:pt idx="3">
                  <c:v>3.3</c:v>
                </c:pt>
                <c:pt idx="4">
                  <c:v>3.4</c:v>
                </c:pt>
                <c:pt idx="5">
                  <c:v>3.3</c:v>
                </c:pt>
                <c:pt idx="6">
                  <c:v>3.5</c:v>
                </c:pt>
                <c:pt idx="7">
                  <c:v>3.3</c:v>
                </c:pt>
                <c:pt idx="8">
                  <c:v>3.8</c:v>
                </c:pt>
                <c:pt idx="9">
                  <c:v>3.7</c:v>
                </c:pt>
                <c:pt idx="10">
                  <c:v>4</c:v>
                </c:pt>
                <c:pt idx="11">
                  <c:v>4.4000000000000004</c:v>
                </c:pt>
                <c:pt idx="12">
                  <c:v>4.4000000000000004</c:v>
                </c:pt>
                <c:pt idx="13">
                  <c:v>4.8</c:v>
                </c:pt>
                <c:pt idx="14">
                  <c:v>4.7</c:v>
                </c:pt>
                <c:pt idx="15">
                  <c:v>4.5</c:v>
                </c:pt>
                <c:pt idx="16">
                  <c:v>4.5</c:v>
                </c:pt>
                <c:pt idx="17">
                  <c:v>4.3</c:v>
                </c:pt>
                <c:pt idx="18">
                  <c:v>4.3</c:v>
                </c:pt>
                <c:pt idx="19">
                  <c:v>4.4000000000000004</c:v>
                </c:pt>
                <c:pt idx="20">
                  <c:v>4.5</c:v>
                </c:pt>
                <c:pt idx="21">
                  <c:v>4.5999999999999996</c:v>
                </c:pt>
                <c:pt idx="22">
                  <c:v>4.5999999999999996</c:v>
                </c:pt>
                <c:pt idx="23">
                  <c:v>4.5</c:v>
                </c:pt>
                <c:pt idx="24">
                  <c:v>4.5</c:v>
                </c:pt>
                <c:pt idx="25">
                  <c:v>4.3</c:v>
                </c:pt>
                <c:pt idx="26">
                  <c:v>4</c:v>
                </c:pt>
                <c:pt idx="27">
                  <c:v>4.0999999999999996</c:v>
                </c:pt>
                <c:pt idx="28">
                  <c:v>4.2</c:v>
                </c:pt>
                <c:pt idx="29">
                  <c:v>4.3</c:v>
                </c:pt>
                <c:pt idx="30">
                  <c:v>4.4000000000000004</c:v>
                </c:pt>
                <c:pt idx="31">
                  <c:v>4.2</c:v>
                </c:pt>
                <c:pt idx="32">
                  <c:v>4.2</c:v>
                </c:pt>
                <c:pt idx="33">
                  <c:v>4.0999999999999996</c:v>
                </c:pt>
                <c:pt idx="34">
                  <c:v>3.9</c:v>
                </c:pt>
                <c:pt idx="35">
                  <c:v>4</c:v>
                </c:pt>
                <c:pt idx="36">
                  <c:v>4.0999999999999996</c:v>
                </c:pt>
                <c:pt idx="37">
                  <c:v>4.2</c:v>
                </c:pt>
                <c:pt idx="38">
                  <c:v>3.9</c:v>
                </c:pt>
                <c:pt idx="39">
                  <c:v>3.9</c:v>
                </c:pt>
                <c:pt idx="40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98-40CD-9F6E-3E20B25D0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2562616"/>
        <c:axId val="732564256"/>
      </c:line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Gini right hand axis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Sheet1!$A$2:$A$42</c:f>
              <c:strCache>
                <c:ptCount val="41"/>
                <c:pt idx="0">
                  <c:v>1977 </c:v>
                </c:pt>
                <c:pt idx="1">
                  <c:v>1978 </c:v>
                </c:pt>
                <c:pt idx="2">
                  <c:v>1979 </c:v>
                </c:pt>
                <c:pt idx="3">
                  <c:v>1980 </c:v>
                </c:pt>
                <c:pt idx="4">
                  <c:v>1981 </c:v>
                </c:pt>
                <c:pt idx="5">
                  <c:v>1982 </c:v>
                </c:pt>
                <c:pt idx="6">
                  <c:v>1983 </c:v>
                </c:pt>
                <c:pt idx="7">
                  <c:v>1984 </c:v>
                </c:pt>
                <c:pt idx="8">
                  <c:v>1985 </c:v>
                </c:pt>
                <c:pt idx="9">
                  <c:v>1986 </c:v>
                </c:pt>
                <c:pt idx="10">
                  <c:v>1987 </c:v>
                </c:pt>
                <c:pt idx="11">
                  <c:v>1988 </c:v>
                </c:pt>
                <c:pt idx="12">
                  <c:v>1989 </c:v>
                </c:pt>
                <c:pt idx="13">
                  <c:v>1990 </c:v>
                </c:pt>
                <c:pt idx="14">
                  <c:v>1991 </c:v>
                </c:pt>
                <c:pt idx="15">
                  <c:v>1992 </c:v>
                </c:pt>
                <c:pt idx="16">
                  <c:v>1993 </c:v>
                </c:pt>
                <c:pt idx="17">
                  <c:v>1994/95</c:v>
                </c:pt>
                <c:pt idx="18">
                  <c:v>1995/96</c:v>
                </c:pt>
                <c:pt idx="19">
                  <c:v>1996/97</c:v>
                </c:pt>
                <c:pt idx="20">
                  <c:v>1997/98</c:v>
                </c:pt>
                <c:pt idx="21">
                  <c:v>1998/99</c:v>
                </c:pt>
                <c:pt idx="22">
                  <c:v>1999/00</c:v>
                </c:pt>
                <c:pt idx="23">
                  <c:v>2000/01</c:v>
                </c:pt>
                <c:pt idx="24">
                  <c:v>2001/02</c:v>
                </c:pt>
                <c:pt idx="25">
                  <c:v>2002/03</c:v>
                </c:pt>
                <c:pt idx="26">
                  <c:v>2003/04</c:v>
                </c:pt>
                <c:pt idx="27">
                  <c:v>2004/05</c:v>
                </c:pt>
                <c:pt idx="28">
                  <c:v>2005/06</c:v>
                </c:pt>
                <c:pt idx="29">
                  <c:v>2006/07</c:v>
                </c:pt>
                <c:pt idx="30">
                  <c:v>2007/08</c:v>
                </c:pt>
                <c:pt idx="31">
                  <c:v>2008/09</c:v>
                </c:pt>
                <c:pt idx="32">
                  <c:v>2009/10</c:v>
                </c:pt>
                <c:pt idx="33">
                  <c:v>2010/11</c:v>
                </c:pt>
                <c:pt idx="34">
                  <c:v>2011/12</c:v>
                </c:pt>
                <c:pt idx="35">
                  <c:v>2012/13</c:v>
                </c:pt>
                <c:pt idx="36">
                  <c:v>2013/14</c:v>
                </c:pt>
                <c:pt idx="37">
                  <c:v>2014/15</c:v>
                </c:pt>
                <c:pt idx="38">
                  <c:v>2015/16</c:v>
                </c:pt>
                <c:pt idx="39">
                  <c:v>2016/17</c:v>
                </c:pt>
                <c:pt idx="40">
                  <c:v>2017/18</c:v>
                </c:pt>
              </c:strCache>
            </c:strRef>
          </c:cat>
          <c:val>
            <c:numRef>
              <c:f>Sheet1!$D$2:$D$42</c:f>
              <c:numCache>
                <c:formatCode>0.0</c:formatCode>
                <c:ptCount val="41"/>
                <c:pt idx="0">
                  <c:v>25.5</c:v>
                </c:pt>
                <c:pt idx="1">
                  <c:v>25</c:v>
                </c:pt>
                <c:pt idx="2">
                  <c:v>25.4</c:v>
                </c:pt>
                <c:pt idx="3">
                  <c:v>26.7</c:v>
                </c:pt>
                <c:pt idx="4">
                  <c:v>27.4</c:v>
                </c:pt>
                <c:pt idx="5">
                  <c:v>27.6</c:v>
                </c:pt>
                <c:pt idx="6">
                  <c:v>28.3</c:v>
                </c:pt>
                <c:pt idx="7">
                  <c:v>27</c:v>
                </c:pt>
                <c:pt idx="8">
                  <c:v>29.6</c:v>
                </c:pt>
                <c:pt idx="9">
                  <c:v>30.1</c:v>
                </c:pt>
                <c:pt idx="10">
                  <c:v>31.5</c:v>
                </c:pt>
                <c:pt idx="11">
                  <c:v>33.299999999999997</c:v>
                </c:pt>
                <c:pt idx="12">
                  <c:v>32.700000000000003</c:v>
                </c:pt>
                <c:pt idx="13">
                  <c:v>34.9</c:v>
                </c:pt>
                <c:pt idx="14">
                  <c:v>33.9</c:v>
                </c:pt>
                <c:pt idx="15">
                  <c:v>33.4</c:v>
                </c:pt>
                <c:pt idx="16">
                  <c:v>33.700000000000003</c:v>
                </c:pt>
                <c:pt idx="17">
                  <c:v>32.5</c:v>
                </c:pt>
                <c:pt idx="18">
                  <c:v>32.299999999999997</c:v>
                </c:pt>
                <c:pt idx="19">
                  <c:v>33.200000000000003</c:v>
                </c:pt>
                <c:pt idx="20">
                  <c:v>33.4</c:v>
                </c:pt>
                <c:pt idx="21">
                  <c:v>34.4</c:v>
                </c:pt>
                <c:pt idx="22">
                  <c:v>35.1</c:v>
                </c:pt>
                <c:pt idx="23">
                  <c:v>34.299999999999997</c:v>
                </c:pt>
                <c:pt idx="24">
                  <c:v>34.9</c:v>
                </c:pt>
                <c:pt idx="25">
                  <c:v>32.799999999999997</c:v>
                </c:pt>
                <c:pt idx="26">
                  <c:v>32.799999999999997</c:v>
                </c:pt>
                <c:pt idx="27">
                  <c:v>32</c:v>
                </c:pt>
                <c:pt idx="28">
                  <c:v>32.9</c:v>
                </c:pt>
                <c:pt idx="29">
                  <c:v>34.1</c:v>
                </c:pt>
                <c:pt idx="30">
                  <c:v>33.299999999999997</c:v>
                </c:pt>
                <c:pt idx="31">
                  <c:v>33.1</c:v>
                </c:pt>
                <c:pt idx="32">
                  <c:v>32.700000000000003</c:v>
                </c:pt>
                <c:pt idx="33">
                  <c:v>33.299999999999997</c:v>
                </c:pt>
                <c:pt idx="34">
                  <c:v>31.4</c:v>
                </c:pt>
                <c:pt idx="35">
                  <c:v>33</c:v>
                </c:pt>
                <c:pt idx="36">
                  <c:v>31.8</c:v>
                </c:pt>
                <c:pt idx="37">
                  <c:v>32</c:v>
                </c:pt>
                <c:pt idx="38">
                  <c:v>31.2</c:v>
                </c:pt>
                <c:pt idx="39">
                  <c:v>31.4</c:v>
                </c:pt>
                <c:pt idx="40">
                  <c:v>32.5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98-40CD-9F6E-3E20B25D0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0867872"/>
        <c:axId val="85476360"/>
      </c:lineChart>
      <c:catAx>
        <c:axId val="73256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564256"/>
        <c:crosses val="autoZero"/>
        <c:auto val="1"/>
        <c:lblAlgn val="ctr"/>
        <c:lblOffset val="100"/>
        <c:noMultiLvlLbl val="0"/>
      </c:catAx>
      <c:valAx>
        <c:axId val="732564256"/>
        <c:scaling>
          <c:orientation val="minMax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562616"/>
        <c:crosses val="autoZero"/>
        <c:crossBetween val="between"/>
      </c:valAx>
      <c:valAx>
        <c:axId val="85476360"/>
        <c:scaling>
          <c:orientation val="minMax"/>
          <c:min val="25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0867872"/>
        <c:crosses val="max"/>
        <c:crossBetween val="between"/>
      </c:valAx>
      <c:catAx>
        <c:axId val="770867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4763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92937250B77408AB94081EE71A9E9" ma:contentTypeVersion="10" ma:contentTypeDescription="Create a new document." ma:contentTypeScope="" ma:versionID="c8cb705edef603511824c2f60b3cb6da">
  <xsd:schema xmlns:xsd="http://www.w3.org/2001/XMLSchema" xmlns:xs="http://www.w3.org/2001/XMLSchema" xmlns:p="http://schemas.microsoft.com/office/2006/metadata/properties" xmlns:ns2="116d95a0-2d60-4572-bb71-cc71e0788e12" xmlns:ns3="575415ac-d7b8-4e3e-b128-75681c392104" targetNamespace="http://schemas.microsoft.com/office/2006/metadata/properties" ma:root="true" ma:fieldsID="311135a6b258a0e8b56e40b1209d366a" ns2:_="" ns3:_="">
    <xsd:import namespace="116d95a0-2d60-4572-bb71-cc71e0788e12"/>
    <xsd:import namespace="575415ac-d7b8-4e3e-b128-75681c392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95a0-2d60-4572-bb71-cc71e0788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15ac-d7b8-4e3e-b128-75681c392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9A63-221E-4155-8D78-2C0782BEF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d95a0-2d60-4572-bb71-cc71e0788e12"/>
    <ds:schemaRef ds:uri="575415ac-d7b8-4e3e-b128-75681c392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750B1-589C-4E4F-8C8D-0A77B7AF607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16d95a0-2d60-4572-bb71-cc71e0788e12"/>
    <ds:schemaRef ds:uri="http://purl.org/dc/elements/1.1/"/>
    <ds:schemaRef ds:uri="http://schemas.microsoft.com/office/2006/metadata/properties"/>
    <ds:schemaRef ds:uri="575415ac-d7b8-4e3e-b128-75681c3921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CEE415-C820-4257-B4E7-E6D2ADF25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DF1E2-F225-4625-B6A7-66EE627B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</dc:creator>
  <cp:keywords/>
  <dc:description/>
  <cp:lastModifiedBy>Jonathan Bradshaw</cp:lastModifiedBy>
  <cp:revision>3</cp:revision>
  <cp:lastPrinted>2019-10-10T08:27:00Z</cp:lastPrinted>
  <dcterms:created xsi:type="dcterms:W3CDTF">2019-10-10T16:39:00Z</dcterms:created>
  <dcterms:modified xsi:type="dcterms:W3CDTF">2019-10-29T14:22:00Z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0x0101005E092937250B77408AB94081EE71A9E9</vt:lpwstr>
  </property>
</Properties>
</file>