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F0DBB0" w14:textId="2ED6D8E7" w:rsidR="008F4116" w:rsidRPr="002C7C2E" w:rsidRDefault="008F4116" w:rsidP="00863B14">
      <w:pPr>
        <w:pStyle w:val="Heading1"/>
        <w:spacing w:line="480" w:lineRule="auto"/>
        <w:rPr>
          <w:sz w:val="36"/>
          <w:szCs w:val="36"/>
        </w:rPr>
      </w:pPr>
      <w:bookmarkStart w:id="0" w:name="_Toc10458649"/>
      <w:bookmarkStart w:id="1" w:name="_Toc11935379"/>
      <w:bookmarkStart w:id="2" w:name="_Toc19016221"/>
      <w:bookmarkStart w:id="3" w:name="_Hlk11923201"/>
      <w:r w:rsidRPr="002C7C2E">
        <w:rPr>
          <w:sz w:val="36"/>
          <w:szCs w:val="36"/>
        </w:rPr>
        <w:t xml:space="preserve">A review of </w:t>
      </w:r>
      <w:r w:rsidR="000451F6">
        <w:rPr>
          <w:sz w:val="36"/>
          <w:szCs w:val="36"/>
        </w:rPr>
        <w:t>methods</w:t>
      </w:r>
      <w:r w:rsidR="000451F6" w:rsidRPr="002C7C2E">
        <w:rPr>
          <w:sz w:val="36"/>
          <w:szCs w:val="36"/>
        </w:rPr>
        <w:t xml:space="preserve"> </w:t>
      </w:r>
      <w:r w:rsidRPr="002C7C2E">
        <w:rPr>
          <w:sz w:val="36"/>
          <w:szCs w:val="36"/>
        </w:rPr>
        <w:t xml:space="preserve">and data to determine </w:t>
      </w:r>
      <w:r w:rsidR="000451F6">
        <w:rPr>
          <w:sz w:val="36"/>
          <w:szCs w:val="36"/>
        </w:rPr>
        <w:t xml:space="preserve">raw </w:t>
      </w:r>
      <w:r w:rsidRPr="002C7C2E">
        <w:rPr>
          <w:sz w:val="36"/>
          <w:szCs w:val="36"/>
        </w:rPr>
        <w:t>material criticality</w:t>
      </w:r>
      <w:bookmarkEnd w:id="0"/>
      <w:bookmarkEnd w:id="1"/>
      <w:bookmarkEnd w:id="2"/>
    </w:p>
    <w:bookmarkEnd w:id="3"/>
    <w:p w14:paraId="0528F5AA" w14:textId="77777777" w:rsidR="008F4116" w:rsidRPr="00317F4F" w:rsidRDefault="008F4116" w:rsidP="00863B14">
      <w:pPr>
        <w:spacing w:line="480" w:lineRule="auto"/>
        <w:rPr>
          <w:highlight w:val="cyan"/>
        </w:rPr>
      </w:pPr>
    </w:p>
    <w:p w14:paraId="0F651EA7" w14:textId="77777777" w:rsidR="008F4116" w:rsidRPr="002B7D9B" w:rsidRDefault="008F4116" w:rsidP="00863B14">
      <w:pPr>
        <w:spacing w:line="480" w:lineRule="auto"/>
        <w:rPr>
          <w:rFonts w:ascii="Calibri" w:hAnsi="Calibri"/>
        </w:rPr>
      </w:pPr>
      <w:r w:rsidRPr="002C7C2E">
        <w:rPr>
          <w:rFonts w:ascii="Calibri" w:hAnsi="Calibri"/>
        </w:rPr>
        <w:t xml:space="preserve">To be submitted in </w:t>
      </w:r>
      <w:r w:rsidRPr="002C7C2E">
        <w:rPr>
          <w:rFonts w:ascii="Calibri" w:hAnsi="Calibri"/>
          <w:i/>
        </w:rPr>
        <w:t>Resources, Conservation &amp; Recycling</w:t>
      </w:r>
      <w:r w:rsidRPr="00317F4F">
        <w:rPr>
          <w:rFonts w:ascii="Calibri" w:hAnsi="Calibri"/>
        </w:rPr>
        <w:t xml:space="preserve">, Special issue on </w:t>
      </w:r>
      <w:r w:rsidRPr="002B7D9B">
        <w:rPr>
          <w:rFonts w:ascii="Calibri" w:hAnsi="Calibri"/>
          <w:i/>
          <w:color w:val="222222"/>
        </w:rPr>
        <w:t>Critical Material Management for Sustainable Transition</w:t>
      </w:r>
    </w:p>
    <w:p w14:paraId="0BFF65BA" w14:textId="27EC9DC4" w:rsidR="006D7D72" w:rsidRDefault="006D7D72" w:rsidP="00863B14">
      <w:pPr>
        <w:spacing w:line="480" w:lineRule="auto"/>
      </w:pPr>
      <w:r w:rsidRPr="001716FD">
        <w:rPr>
          <w:b/>
        </w:rPr>
        <w:t>Review paper:</w:t>
      </w:r>
      <w:r>
        <w:t xml:space="preserve"> </w:t>
      </w:r>
      <w:r w:rsidRPr="003333E7">
        <w:rPr>
          <w:i/>
        </w:rPr>
        <w:t>These papers provide extensive overview and thorough assessment of recent developments in selected areas that fall within the aims and scope of the journal.</w:t>
      </w:r>
    </w:p>
    <w:p w14:paraId="5FEE555A" w14:textId="77777777" w:rsidR="006D7D72" w:rsidRDefault="006D7D72" w:rsidP="00863B14">
      <w:pPr>
        <w:spacing w:line="480" w:lineRule="auto"/>
        <w:rPr>
          <w:i/>
        </w:rPr>
      </w:pPr>
      <w:r w:rsidRPr="002028EC">
        <w:rPr>
          <w:b/>
          <w:i/>
        </w:rPr>
        <w:t>9,000 words for the manuscript and 250 words for the abstract.</w:t>
      </w:r>
      <w:r w:rsidRPr="003333E7">
        <w:rPr>
          <w:i/>
        </w:rPr>
        <w:t xml:space="preserve"> </w:t>
      </w:r>
    </w:p>
    <w:p w14:paraId="179F23B1" w14:textId="77777777" w:rsidR="002B5168" w:rsidRPr="002B5168" w:rsidRDefault="002B5168" w:rsidP="00863B14">
      <w:pPr>
        <w:spacing w:line="480" w:lineRule="auto"/>
      </w:pPr>
      <w:bookmarkStart w:id="4" w:name="_Toc415758568"/>
      <w:bookmarkStart w:id="5" w:name="_Toc5093523"/>
      <w:bookmarkStart w:id="6" w:name="_Toc10458650"/>
      <w:bookmarkStart w:id="7" w:name="_Toc11935380"/>
    </w:p>
    <w:p w14:paraId="554D5428" w14:textId="29B81F8D" w:rsidR="006D7D72" w:rsidRDefault="006D7D72" w:rsidP="00863B14">
      <w:pPr>
        <w:pStyle w:val="Heading2"/>
        <w:spacing w:line="480" w:lineRule="auto"/>
      </w:pPr>
      <w:bookmarkStart w:id="8" w:name="_Toc19016222"/>
      <w:r>
        <w:t>Authors</w:t>
      </w:r>
      <w:bookmarkEnd w:id="4"/>
      <w:bookmarkEnd w:id="5"/>
      <w:bookmarkEnd w:id="6"/>
      <w:bookmarkEnd w:id="7"/>
      <w:bookmarkEnd w:id="8"/>
    </w:p>
    <w:tbl>
      <w:tblPr>
        <w:tblW w:w="9614" w:type="dxa"/>
        <w:tblInd w:w="-5" w:type="dxa"/>
        <w:tblLook w:val="04A0" w:firstRow="1" w:lastRow="0" w:firstColumn="1" w:lastColumn="0" w:noHBand="0" w:noVBand="1"/>
      </w:tblPr>
      <w:tblGrid>
        <w:gridCol w:w="2835"/>
        <w:gridCol w:w="6779"/>
      </w:tblGrid>
      <w:tr w:rsidR="006D7D72" w:rsidRPr="00112BEB" w14:paraId="1B5C90EA" w14:textId="77777777" w:rsidTr="002B5168">
        <w:trPr>
          <w:trHeight w:val="151"/>
        </w:trPr>
        <w:tc>
          <w:tcPr>
            <w:tcW w:w="283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7ABE4EAC" w14:textId="77777777" w:rsidR="006D7D72" w:rsidRPr="00112BEB" w:rsidRDefault="006D7D72" w:rsidP="00863B14">
            <w:pPr>
              <w:spacing w:line="480" w:lineRule="auto"/>
              <w:rPr>
                <w:rFonts w:ascii="Calibri" w:hAnsi="Calibri"/>
                <w:b/>
                <w:color w:val="000000"/>
              </w:rPr>
            </w:pPr>
            <w:r w:rsidRPr="00112BEB">
              <w:rPr>
                <w:rFonts w:ascii="Calibri" w:hAnsi="Calibri"/>
                <w:b/>
                <w:color w:val="000000"/>
              </w:rPr>
              <w:t>Name</w:t>
            </w:r>
          </w:p>
        </w:tc>
        <w:tc>
          <w:tcPr>
            <w:tcW w:w="677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71DD06BB" w14:textId="77777777" w:rsidR="006D7D72" w:rsidRPr="00112BEB" w:rsidRDefault="006D7D72" w:rsidP="00863B14">
            <w:pPr>
              <w:spacing w:line="480" w:lineRule="auto"/>
              <w:rPr>
                <w:rFonts w:ascii="Calibri" w:hAnsi="Calibri"/>
                <w:b/>
                <w:color w:val="000000"/>
              </w:rPr>
            </w:pPr>
            <w:r w:rsidRPr="00112BEB">
              <w:rPr>
                <w:rFonts w:ascii="Calibri" w:hAnsi="Calibri"/>
                <w:b/>
                <w:color w:val="000000"/>
              </w:rPr>
              <w:t>Affiliation</w:t>
            </w:r>
          </w:p>
        </w:tc>
      </w:tr>
      <w:tr w:rsidR="006D7D72" w:rsidRPr="00112BEB" w14:paraId="4A8CB097" w14:textId="77777777" w:rsidTr="002B5168">
        <w:trPr>
          <w:trHeight w:val="151"/>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49303347" w14:textId="77777777" w:rsidR="006D7D72" w:rsidRPr="00B219FB" w:rsidRDefault="006D7D72" w:rsidP="00863B14">
            <w:pPr>
              <w:spacing w:line="480" w:lineRule="auto"/>
              <w:rPr>
                <w:rFonts w:ascii="Calibri" w:hAnsi="Calibri" w:cs="Calibri"/>
                <w:color w:val="000000" w:themeColor="text1"/>
                <w:sz w:val="22"/>
                <w:szCs w:val="22"/>
              </w:rPr>
            </w:pPr>
            <w:r w:rsidRPr="00B219FB">
              <w:rPr>
                <w:rFonts w:ascii="Calibri" w:hAnsi="Calibri" w:cs="Calibri"/>
                <w:color w:val="000000" w:themeColor="text1"/>
                <w:sz w:val="22"/>
                <w:szCs w:val="22"/>
              </w:rPr>
              <w:t xml:space="preserve">Dieuwertje Schrijvers </w:t>
            </w:r>
          </w:p>
        </w:tc>
        <w:tc>
          <w:tcPr>
            <w:tcW w:w="6779" w:type="dxa"/>
            <w:tcBorders>
              <w:top w:val="nil"/>
              <w:left w:val="nil"/>
              <w:bottom w:val="single" w:sz="4" w:space="0" w:color="auto"/>
              <w:right w:val="single" w:sz="4" w:space="0" w:color="auto"/>
            </w:tcBorders>
            <w:shd w:val="clear" w:color="auto" w:fill="auto"/>
            <w:vAlign w:val="center"/>
            <w:hideMark/>
          </w:tcPr>
          <w:p w14:paraId="6C03263F" w14:textId="38EDC409" w:rsidR="00AD5C61" w:rsidRPr="00F136C3" w:rsidRDefault="00766D2E" w:rsidP="00863B14">
            <w:pPr>
              <w:pStyle w:val="ListParagraph"/>
              <w:numPr>
                <w:ilvl w:val="0"/>
                <w:numId w:val="50"/>
              </w:numPr>
              <w:spacing w:after="0" w:line="480" w:lineRule="auto"/>
              <w:rPr>
                <w:rFonts w:ascii="Calibri" w:hAnsi="Calibri" w:cs="Calibri"/>
                <w:lang w:val="fr-FR"/>
              </w:rPr>
            </w:pPr>
            <w:r w:rsidRPr="00F136C3">
              <w:rPr>
                <w:rFonts w:ascii="Calibri" w:eastAsia="Times New Roman" w:hAnsi="Calibri" w:cs="Calibri"/>
                <w:lang w:val="fr-FR"/>
              </w:rPr>
              <w:t>Univ. Bordeaux, ISM, UMR 5255, F-33400 Talence, France</w:t>
            </w:r>
          </w:p>
          <w:p w14:paraId="592C1591" w14:textId="16AC12D5" w:rsidR="006D7D72" w:rsidRPr="00F136C3" w:rsidRDefault="00766D2E" w:rsidP="00863B14">
            <w:pPr>
              <w:pStyle w:val="ListParagraph"/>
              <w:numPr>
                <w:ilvl w:val="0"/>
                <w:numId w:val="50"/>
              </w:numPr>
              <w:spacing w:after="0" w:line="480" w:lineRule="auto"/>
              <w:rPr>
                <w:rFonts w:ascii="Calibri" w:hAnsi="Calibri" w:cs="Calibri"/>
              </w:rPr>
            </w:pPr>
            <w:r w:rsidRPr="00F136C3">
              <w:rPr>
                <w:rFonts w:ascii="Calibri" w:eastAsia="Times New Roman" w:hAnsi="Calibri" w:cs="Calibri"/>
              </w:rPr>
              <w:t xml:space="preserve">CNRS, ISM, UMR 5255, F-33400 </w:t>
            </w:r>
            <w:proofErr w:type="spellStart"/>
            <w:r w:rsidRPr="00F136C3">
              <w:rPr>
                <w:rFonts w:ascii="Calibri" w:eastAsia="Times New Roman" w:hAnsi="Calibri" w:cs="Calibri"/>
              </w:rPr>
              <w:t>Talence</w:t>
            </w:r>
            <w:proofErr w:type="spellEnd"/>
            <w:r w:rsidRPr="00F136C3">
              <w:rPr>
                <w:rFonts w:ascii="Calibri" w:eastAsia="Times New Roman" w:hAnsi="Calibri" w:cs="Calibri"/>
              </w:rPr>
              <w:t>, France</w:t>
            </w:r>
          </w:p>
        </w:tc>
      </w:tr>
      <w:tr w:rsidR="00254FC3" w:rsidRPr="00B4107A" w14:paraId="3F8E0A7F" w14:textId="77777777" w:rsidTr="002B5168">
        <w:trPr>
          <w:trHeight w:val="151"/>
        </w:trPr>
        <w:tc>
          <w:tcPr>
            <w:tcW w:w="2835" w:type="dxa"/>
            <w:tcBorders>
              <w:top w:val="nil"/>
              <w:left w:val="single" w:sz="4" w:space="0" w:color="auto"/>
              <w:bottom w:val="single" w:sz="4" w:space="0" w:color="auto"/>
              <w:right w:val="single" w:sz="4" w:space="0" w:color="auto"/>
            </w:tcBorders>
            <w:shd w:val="clear" w:color="auto" w:fill="auto"/>
            <w:vAlign w:val="center"/>
          </w:tcPr>
          <w:p w14:paraId="6E050251" w14:textId="62900DF3" w:rsidR="00254FC3" w:rsidRPr="00B219FB" w:rsidRDefault="00254FC3" w:rsidP="00863B14">
            <w:pPr>
              <w:spacing w:line="480" w:lineRule="auto"/>
              <w:rPr>
                <w:rFonts w:ascii="Calibri" w:hAnsi="Calibri" w:cs="Calibri"/>
                <w:color w:val="000000" w:themeColor="text1"/>
                <w:sz w:val="22"/>
                <w:szCs w:val="22"/>
              </w:rPr>
            </w:pPr>
            <w:r w:rsidRPr="00B219FB">
              <w:rPr>
                <w:rFonts w:ascii="Calibri" w:hAnsi="Calibri" w:cs="Calibri"/>
                <w:color w:val="000000" w:themeColor="text1"/>
                <w:sz w:val="22"/>
                <w:szCs w:val="22"/>
              </w:rPr>
              <w:t xml:space="preserve">Alessandra Hool </w:t>
            </w:r>
            <w:r w:rsidR="00905F21" w:rsidRPr="00B219FB">
              <w:rPr>
                <w:rFonts w:ascii="Calibri" w:hAnsi="Calibri" w:cs="Calibri"/>
                <w:color w:val="000000" w:themeColor="text1"/>
                <w:sz w:val="22"/>
                <w:szCs w:val="22"/>
              </w:rPr>
              <w:t>(corresponding author)</w:t>
            </w:r>
          </w:p>
        </w:tc>
        <w:tc>
          <w:tcPr>
            <w:tcW w:w="6779" w:type="dxa"/>
            <w:tcBorders>
              <w:top w:val="nil"/>
              <w:left w:val="nil"/>
              <w:bottom w:val="single" w:sz="4" w:space="0" w:color="auto"/>
              <w:right w:val="single" w:sz="4" w:space="0" w:color="auto"/>
            </w:tcBorders>
            <w:shd w:val="clear" w:color="auto" w:fill="auto"/>
            <w:vAlign w:val="center"/>
          </w:tcPr>
          <w:p w14:paraId="5136D4C9" w14:textId="03F8F488" w:rsidR="00254FC3" w:rsidRPr="00F136C3" w:rsidRDefault="008F4116" w:rsidP="00863B14">
            <w:pPr>
              <w:spacing w:line="480" w:lineRule="auto"/>
              <w:rPr>
                <w:rFonts w:ascii="Calibri" w:hAnsi="Calibri" w:cs="Calibri"/>
                <w:sz w:val="22"/>
                <w:szCs w:val="22"/>
                <w:lang w:val="de-CH"/>
              </w:rPr>
            </w:pPr>
            <w:r w:rsidRPr="00F136C3">
              <w:rPr>
                <w:rFonts w:ascii="Calibri" w:hAnsi="Calibri" w:cs="Calibri"/>
                <w:sz w:val="22"/>
                <w:szCs w:val="22"/>
                <w:lang w:val="de-CH"/>
              </w:rPr>
              <w:t xml:space="preserve">ESM </w:t>
            </w:r>
            <w:proofErr w:type="spellStart"/>
            <w:r w:rsidRPr="00F136C3">
              <w:rPr>
                <w:rFonts w:ascii="Calibri" w:hAnsi="Calibri" w:cs="Calibri"/>
                <w:sz w:val="22"/>
                <w:szCs w:val="22"/>
                <w:lang w:val="de-CH"/>
              </w:rPr>
              <w:t>Foundation</w:t>
            </w:r>
            <w:proofErr w:type="spellEnd"/>
            <w:r w:rsidRPr="00F136C3">
              <w:rPr>
                <w:rFonts w:ascii="Calibri" w:hAnsi="Calibri" w:cs="Calibri"/>
                <w:sz w:val="22"/>
                <w:szCs w:val="22"/>
                <w:lang w:val="de-CH"/>
              </w:rPr>
              <w:t xml:space="preserve">, </w:t>
            </w:r>
            <w:proofErr w:type="spellStart"/>
            <w:r w:rsidRPr="00F136C3">
              <w:rPr>
                <w:rFonts w:ascii="Calibri" w:hAnsi="Calibri" w:cs="Calibri"/>
                <w:sz w:val="22"/>
                <w:szCs w:val="22"/>
                <w:lang w:val="de-CH"/>
              </w:rPr>
              <w:t>Junkerngasse</w:t>
            </w:r>
            <w:proofErr w:type="spellEnd"/>
            <w:r w:rsidRPr="00F136C3">
              <w:rPr>
                <w:rFonts w:ascii="Calibri" w:hAnsi="Calibri" w:cs="Calibri"/>
                <w:sz w:val="22"/>
                <w:szCs w:val="22"/>
                <w:lang w:val="de-CH"/>
              </w:rPr>
              <w:t xml:space="preserve"> 56, 3011 Bern, </w:t>
            </w:r>
            <w:proofErr w:type="spellStart"/>
            <w:r w:rsidRPr="00F136C3">
              <w:rPr>
                <w:rFonts w:ascii="Calibri" w:hAnsi="Calibri" w:cs="Calibri"/>
                <w:sz w:val="22"/>
                <w:szCs w:val="22"/>
                <w:lang w:val="de-CH"/>
              </w:rPr>
              <w:t>Switzerland</w:t>
            </w:r>
            <w:proofErr w:type="spellEnd"/>
          </w:p>
        </w:tc>
      </w:tr>
      <w:tr w:rsidR="00254FC3" w:rsidRPr="00112BEB" w14:paraId="62FA1C7C" w14:textId="77777777" w:rsidTr="002B5168">
        <w:trPr>
          <w:trHeight w:val="303"/>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125F665A" w14:textId="77777777" w:rsidR="00254FC3" w:rsidRPr="00B219FB" w:rsidRDefault="00254FC3" w:rsidP="00863B14">
            <w:pPr>
              <w:spacing w:line="480" w:lineRule="auto"/>
              <w:rPr>
                <w:rFonts w:ascii="Calibri" w:hAnsi="Calibri" w:cs="Calibri"/>
                <w:color w:val="000000" w:themeColor="text1"/>
                <w:sz w:val="22"/>
                <w:szCs w:val="22"/>
              </w:rPr>
            </w:pPr>
            <w:r w:rsidRPr="00B219FB">
              <w:rPr>
                <w:rFonts w:ascii="Calibri" w:hAnsi="Calibri" w:cs="Calibri"/>
                <w:color w:val="000000" w:themeColor="text1"/>
                <w:sz w:val="22"/>
                <w:szCs w:val="22"/>
              </w:rPr>
              <w:t xml:space="preserve">Gian Andrea </w:t>
            </w:r>
            <w:proofErr w:type="spellStart"/>
            <w:r w:rsidRPr="00B219FB">
              <w:rPr>
                <w:rFonts w:ascii="Calibri" w:hAnsi="Calibri" w:cs="Calibri"/>
                <w:color w:val="000000" w:themeColor="text1"/>
                <w:sz w:val="22"/>
                <w:szCs w:val="22"/>
              </w:rPr>
              <w:t>Blengini</w:t>
            </w:r>
            <w:proofErr w:type="spellEnd"/>
            <w:r w:rsidRPr="00B219FB">
              <w:rPr>
                <w:rFonts w:ascii="Calibri" w:hAnsi="Calibri" w:cs="Calibri"/>
                <w:color w:val="000000" w:themeColor="text1"/>
                <w:sz w:val="22"/>
                <w:szCs w:val="22"/>
              </w:rPr>
              <w:t xml:space="preserve"> </w:t>
            </w:r>
          </w:p>
        </w:tc>
        <w:tc>
          <w:tcPr>
            <w:tcW w:w="6779" w:type="dxa"/>
            <w:tcBorders>
              <w:top w:val="nil"/>
              <w:left w:val="nil"/>
              <w:bottom w:val="single" w:sz="4" w:space="0" w:color="auto"/>
              <w:right w:val="single" w:sz="4" w:space="0" w:color="auto"/>
            </w:tcBorders>
            <w:shd w:val="clear" w:color="auto" w:fill="auto"/>
            <w:vAlign w:val="center"/>
            <w:hideMark/>
          </w:tcPr>
          <w:p w14:paraId="70E647D6" w14:textId="14866D55" w:rsidR="00254FC3" w:rsidRPr="00F136C3" w:rsidRDefault="00254FC3" w:rsidP="00863B14">
            <w:pPr>
              <w:spacing w:after="160" w:line="480" w:lineRule="auto"/>
              <w:rPr>
                <w:rFonts w:ascii="Calibri" w:eastAsiaTheme="minorEastAsia" w:hAnsi="Calibri" w:cs="Calibri"/>
                <w:sz w:val="22"/>
                <w:szCs w:val="22"/>
              </w:rPr>
            </w:pPr>
            <w:r w:rsidRPr="00F136C3">
              <w:rPr>
                <w:rFonts w:ascii="Calibri" w:hAnsi="Calibri" w:cs="Calibri"/>
                <w:sz w:val="22"/>
                <w:szCs w:val="22"/>
              </w:rPr>
              <w:t>European Commission</w:t>
            </w:r>
            <w:r w:rsidR="00FB2B06" w:rsidRPr="00F136C3">
              <w:rPr>
                <w:rFonts w:ascii="Calibri" w:hAnsi="Calibri" w:cs="Calibri"/>
                <w:sz w:val="22"/>
                <w:szCs w:val="22"/>
              </w:rPr>
              <w:t xml:space="preserve">, </w:t>
            </w:r>
            <w:r w:rsidR="00FB2B06" w:rsidRPr="00F136C3">
              <w:rPr>
                <w:rFonts w:ascii="Calibri" w:hAnsi="Calibri" w:cs="Calibri"/>
                <w:sz w:val="22"/>
                <w:szCs w:val="22"/>
                <w:lang w:val="en-GB"/>
              </w:rPr>
              <w:t xml:space="preserve">DG JRC – Joint Research Centre, Sustainable Resources Directorate Unit D3 – Land Resources, </w:t>
            </w:r>
            <w:r w:rsidR="00FB2B06" w:rsidRPr="00F136C3">
              <w:rPr>
                <w:rFonts w:ascii="Calibri" w:hAnsi="Calibri" w:cs="Calibri"/>
                <w:sz w:val="22"/>
                <w:szCs w:val="22"/>
              </w:rPr>
              <w:t xml:space="preserve">Via Enrico Fermi 2749 TP270, I-21027 </w:t>
            </w:r>
            <w:proofErr w:type="spellStart"/>
            <w:r w:rsidR="00FB2B06" w:rsidRPr="00F136C3">
              <w:rPr>
                <w:rFonts w:ascii="Calibri" w:hAnsi="Calibri" w:cs="Calibri"/>
                <w:sz w:val="22"/>
                <w:szCs w:val="22"/>
              </w:rPr>
              <w:t>Ispra</w:t>
            </w:r>
            <w:proofErr w:type="spellEnd"/>
            <w:r w:rsidR="00FB2B06" w:rsidRPr="00F136C3">
              <w:rPr>
                <w:rFonts w:ascii="Calibri" w:hAnsi="Calibri" w:cs="Calibri"/>
                <w:sz w:val="22"/>
                <w:szCs w:val="22"/>
              </w:rPr>
              <w:t>/Italy</w:t>
            </w:r>
          </w:p>
        </w:tc>
      </w:tr>
      <w:tr w:rsidR="00254FC3" w:rsidRPr="00112BEB" w14:paraId="667D8A2B" w14:textId="77777777" w:rsidTr="002B5168">
        <w:trPr>
          <w:trHeight w:val="151"/>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3023B51D" w14:textId="4F21A3FE" w:rsidR="00254FC3" w:rsidRPr="008B2713" w:rsidRDefault="007A7958" w:rsidP="00863B14">
            <w:pPr>
              <w:spacing w:line="480" w:lineRule="auto"/>
              <w:rPr>
                <w:rFonts w:ascii="Calibri" w:hAnsi="Calibri" w:cs="Calibri"/>
                <w:sz w:val="22"/>
                <w:szCs w:val="22"/>
              </w:rPr>
            </w:pPr>
            <w:r w:rsidRPr="008B2713">
              <w:rPr>
                <w:rFonts w:ascii="Calibri" w:hAnsi="Calibri" w:cs="Calibri"/>
                <w:sz w:val="22"/>
                <w:szCs w:val="22"/>
              </w:rPr>
              <w:t>Wei-</w:t>
            </w:r>
            <w:proofErr w:type="spellStart"/>
            <w:r w:rsidRPr="008B2713">
              <w:rPr>
                <w:rFonts w:ascii="Calibri" w:hAnsi="Calibri" w:cs="Calibri"/>
                <w:sz w:val="22"/>
                <w:szCs w:val="22"/>
              </w:rPr>
              <w:t>Qiang</w:t>
            </w:r>
            <w:proofErr w:type="spellEnd"/>
            <w:r w:rsidRPr="008B2713">
              <w:rPr>
                <w:rFonts w:ascii="Calibri" w:hAnsi="Calibri" w:cs="Calibri"/>
                <w:sz w:val="22"/>
                <w:szCs w:val="22"/>
              </w:rPr>
              <w:t xml:space="preserve"> Chen</w:t>
            </w:r>
          </w:p>
        </w:tc>
        <w:tc>
          <w:tcPr>
            <w:tcW w:w="6779" w:type="dxa"/>
            <w:tcBorders>
              <w:top w:val="nil"/>
              <w:left w:val="nil"/>
              <w:bottom w:val="single" w:sz="4" w:space="0" w:color="auto"/>
              <w:right w:val="single" w:sz="4" w:space="0" w:color="auto"/>
            </w:tcBorders>
            <w:shd w:val="clear" w:color="auto" w:fill="auto"/>
            <w:vAlign w:val="center"/>
            <w:hideMark/>
          </w:tcPr>
          <w:p w14:paraId="64E7DADF" w14:textId="5D1977C6" w:rsidR="00254FC3" w:rsidRPr="008B2713" w:rsidRDefault="007A7958" w:rsidP="00863B14">
            <w:pPr>
              <w:spacing w:line="480" w:lineRule="auto"/>
              <w:rPr>
                <w:rFonts w:ascii="Calibri" w:hAnsi="Calibri" w:cs="Calibri"/>
                <w:sz w:val="22"/>
                <w:szCs w:val="22"/>
              </w:rPr>
            </w:pPr>
            <w:r w:rsidRPr="008B2713">
              <w:rPr>
                <w:rFonts w:ascii="Calibri" w:hAnsi="Calibri" w:cs="Calibri"/>
                <w:sz w:val="22"/>
                <w:szCs w:val="22"/>
              </w:rPr>
              <w:t xml:space="preserve">Key Lab of Urban Environment and Health, Institute of Urban Environment, Chinese Academy of Sciences. 1799 </w:t>
            </w:r>
            <w:proofErr w:type="spellStart"/>
            <w:r w:rsidRPr="008B2713">
              <w:rPr>
                <w:rFonts w:ascii="Calibri" w:hAnsi="Calibri" w:cs="Calibri"/>
                <w:sz w:val="22"/>
                <w:szCs w:val="22"/>
              </w:rPr>
              <w:t>Jimei</w:t>
            </w:r>
            <w:proofErr w:type="spellEnd"/>
            <w:r w:rsidRPr="008B2713">
              <w:rPr>
                <w:rFonts w:ascii="Calibri" w:hAnsi="Calibri" w:cs="Calibri"/>
                <w:sz w:val="22"/>
                <w:szCs w:val="22"/>
              </w:rPr>
              <w:t xml:space="preserve"> Road, Xiamen 361021, China</w:t>
            </w:r>
          </w:p>
        </w:tc>
      </w:tr>
      <w:tr w:rsidR="00254FC3" w:rsidRPr="00112BEB" w14:paraId="6AD11303" w14:textId="77777777" w:rsidTr="002B5168">
        <w:trPr>
          <w:trHeight w:val="151"/>
        </w:trPr>
        <w:tc>
          <w:tcPr>
            <w:tcW w:w="2835" w:type="dxa"/>
            <w:tcBorders>
              <w:top w:val="nil"/>
              <w:left w:val="single" w:sz="4" w:space="0" w:color="auto"/>
              <w:bottom w:val="single" w:sz="4" w:space="0" w:color="auto"/>
              <w:right w:val="single" w:sz="4" w:space="0" w:color="auto"/>
            </w:tcBorders>
            <w:shd w:val="clear" w:color="auto" w:fill="auto"/>
          </w:tcPr>
          <w:p w14:paraId="17487301" w14:textId="1595FDF5" w:rsidR="00254FC3" w:rsidRPr="00B219FB" w:rsidRDefault="00254FC3" w:rsidP="00863B14">
            <w:pPr>
              <w:spacing w:line="480" w:lineRule="auto"/>
              <w:rPr>
                <w:rFonts w:ascii="Calibri" w:hAnsi="Calibri" w:cs="Calibri"/>
                <w:color w:val="000000" w:themeColor="text1"/>
                <w:sz w:val="22"/>
                <w:szCs w:val="22"/>
              </w:rPr>
            </w:pPr>
            <w:r w:rsidRPr="00B219FB">
              <w:rPr>
                <w:rFonts w:ascii="Calibri" w:hAnsi="Calibri" w:cs="Calibri"/>
                <w:color w:val="000000" w:themeColor="text1"/>
                <w:sz w:val="22"/>
                <w:szCs w:val="22"/>
              </w:rPr>
              <w:lastRenderedPageBreak/>
              <w:t xml:space="preserve">Jo </w:t>
            </w:r>
            <w:proofErr w:type="spellStart"/>
            <w:r w:rsidRPr="00B219FB">
              <w:rPr>
                <w:rFonts w:ascii="Calibri" w:hAnsi="Calibri" w:cs="Calibri"/>
                <w:color w:val="000000" w:themeColor="text1"/>
                <w:sz w:val="22"/>
                <w:szCs w:val="22"/>
              </w:rPr>
              <w:t>Dewulf</w:t>
            </w:r>
            <w:proofErr w:type="spellEnd"/>
          </w:p>
        </w:tc>
        <w:tc>
          <w:tcPr>
            <w:tcW w:w="6779" w:type="dxa"/>
            <w:tcBorders>
              <w:top w:val="nil"/>
              <w:left w:val="nil"/>
              <w:bottom w:val="single" w:sz="4" w:space="0" w:color="auto"/>
              <w:right w:val="single" w:sz="4" w:space="0" w:color="auto"/>
            </w:tcBorders>
            <w:shd w:val="clear" w:color="auto" w:fill="auto"/>
          </w:tcPr>
          <w:p w14:paraId="5170AE07" w14:textId="78D5F28E" w:rsidR="00254FC3" w:rsidRPr="0094073B" w:rsidRDefault="00720F0A" w:rsidP="00863B14">
            <w:pPr>
              <w:spacing w:line="480" w:lineRule="auto"/>
              <w:rPr>
                <w:rFonts w:ascii="Calibri" w:hAnsi="Calibri" w:cs="Calibri"/>
                <w:sz w:val="22"/>
                <w:szCs w:val="22"/>
              </w:rPr>
            </w:pPr>
            <w:r w:rsidRPr="0094073B">
              <w:rPr>
                <w:rFonts w:ascii="Calibri" w:hAnsi="Calibri" w:cs="Calibri"/>
                <w:sz w:val="22"/>
                <w:szCs w:val="22"/>
              </w:rPr>
              <w:t xml:space="preserve">Research Group Sustainable Systems Engineering, Department Green Chemistry and Technology, Faculty of Bioscience Engineering, Ghent University, Campus </w:t>
            </w:r>
            <w:proofErr w:type="spellStart"/>
            <w:r w:rsidRPr="0094073B">
              <w:rPr>
                <w:rFonts w:ascii="Calibri" w:hAnsi="Calibri" w:cs="Calibri"/>
                <w:sz w:val="22"/>
                <w:szCs w:val="22"/>
              </w:rPr>
              <w:t>Coupure</w:t>
            </w:r>
            <w:proofErr w:type="spellEnd"/>
            <w:r w:rsidRPr="0094073B">
              <w:rPr>
                <w:rFonts w:ascii="Calibri" w:hAnsi="Calibri" w:cs="Calibri"/>
                <w:sz w:val="22"/>
                <w:szCs w:val="22"/>
              </w:rPr>
              <w:t xml:space="preserve">, Building B, </w:t>
            </w:r>
            <w:proofErr w:type="spellStart"/>
            <w:r w:rsidRPr="0094073B">
              <w:rPr>
                <w:rFonts w:ascii="Calibri" w:hAnsi="Calibri" w:cs="Calibri"/>
                <w:sz w:val="22"/>
                <w:szCs w:val="22"/>
              </w:rPr>
              <w:t>Coupure</w:t>
            </w:r>
            <w:proofErr w:type="spellEnd"/>
            <w:r w:rsidRPr="0094073B">
              <w:rPr>
                <w:rFonts w:ascii="Calibri" w:hAnsi="Calibri" w:cs="Calibri"/>
                <w:sz w:val="22"/>
                <w:szCs w:val="22"/>
              </w:rPr>
              <w:t xml:space="preserve"> Links 653, 9000 Ghent, Belgium</w:t>
            </w:r>
          </w:p>
        </w:tc>
      </w:tr>
      <w:tr w:rsidR="00254FC3" w:rsidRPr="00112BEB" w14:paraId="06733ED6" w14:textId="77777777" w:rsidTr="002B5168">
        <w:trPr>
          <w:trHeight w:val="408"/>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2CD1B530" w14:textId="77777777" w:rsidR="00254FC3" w:rsidRPr="00B219FB" w:rsidRDefault="00254FC3" w:rsidP="00863B14">
            <w:pPr>
              <w:spacing w:line="480" w:lineRule="auto"/>
              <w:rPr>
                <w:rFonts w:ascii="Calibri" w:hAnsi="Calibri" w:cs="Calibri"/>
                <w:color w:val="000000" w:themeColor="text1"/>
                <w:sz w:val="22"/>
                <w:szCs w:val="22"/>
              </w:rPr>
            </w:pPr>
            <w:r w:rsidRPr="00B219FB">
              <w:rPr>
                <w:rFonts w:ascii="Calibri" w:hAnsi="Calibri" w:cs="Calibri"/>
                <w:color w:val="000000" w:themeColor="text1"/>
                <w:sz w:val="22"/>
                <w:szCs w:val="22"/>
              </w:rPr>
              <w:t xml:space="preserve">Roderick Eggert </w:t>
            </w:r>
          </w:p>
        </w:tc>
        <w:tc>
          <w:tcPr>
            <w:tcW w:w="6779" w:type="dxa"/>
            <w:tcBorders>
              <w:top w:val="nil"/>
              <w:left w:val="nil"/>
              <w:bottom w:val="single" w:sz="4" w:space="0" w:color="auto"/>
              <w:right w:val="single" w:sz="4" w:space="0" w:color="auto"/>
            </w:tcBorders>
            <w:shd w:val="clear" w:color="auto" w:fill="auto"/>
            <w:vAlign w:val="center"/>
            <w:hideMark/>
          </w:tcPr>
          <w:p w14:paraId="0420B3C7" w14:textId="1B2D1FFB" w:rsidR="00254FC3" w:rsidRPr="0094073B" w:rsidRDefault="00827CF9" w:rsidP="00863B14">
            <w:pPr>
              <w:spacing w:after="160" w:line="480" w:lineRule="auto"/>
              <w:rPr>
                <w:rFonts w:ascii="Calibri" w:eastAsiaTheme="minorEastAsia" w:hAnsi="Calibri" w:cs="Calibri"/>
                <w:sz w:val="22"/>
                <w:szCs w:val="22"/>
              </w:rPr>
            </w:pPr>
            <w:r w:rsidRPr="0094073B">
              <w:rPr>
                <w:rFonts w:ascii="Calibri" w:hAnsi="Calibri" w:cs="Calibri"/>
                <w:sz w:val="22"/>
                <w:szCs w:val="22"/>
              </w:rPr>
              <w:t>Division of Economics &amp; Business, Colorado School of Mines, Golden, Colorado, USA 80401</w:t>
            </w:r>
          </w:p>
        </w:tc>
      </w:tr>
      <w:tr w:rsidR="00D3719C" w:rsidRPr="00112BEB" w14:paraId="1576EA12" w14:textId="77777777" w:rsidTr="002B5168">
        <w:trPr>
          <w:trHeight w:val="1212"/>
        </w:trPr>
        <w:tc>
          <w:tcPr>
            <w:tcW w:w="2835" w:type="dxa"/>
            <w:tcBorders>
              <w:top w:val="nil"/>
              <w:left w:val="single" w:sz="4" w:space="0" w:color="auto"/>
              <w:bottom w:val="single" w:sz="4" w:space="0" w:color="auto"/>
              <w:right w:val="single" w:sz="4" w:space="0" w:color="auto"/>
            </w:tcBorders>
            <w:shd w:val="clear" w:color="auto" w:fill="auto"/>
            <w:vAlign w:val="center"/>
          </w:tcPr>
          <w:p w14:paraId="530CA895" w14:textId="719FE427" w:rsidR="00D3719C" w:rsidRPr="00B219FB" w:rsidRDefault="00D3719C" w:rsidP="00863B14">
            <w:pPr>
              <w:spacing w:line="480" w:lineRule="auto"/>
              <w:rPr>
                <w:rFonts w:ascii="Calibri" w:hAnsi="Calibri" w:cs="Calibri"/>
                <w:color w:val="000000" w:themeColor="text1"/>
                <w:sz w:val="22"/>
                <w:szCs w:val="22"/>
              </w:rPr>
            </w:pPr>
            <w:r w:rsidRPr="00B219FB">
              <w:rPr>
                <w:rFonts w:ascii="Calibri" w:hAnsi="Calibri" w:cs="Calibri"/>
                <w:color w:val="000000" w:themeColor="text1"/>
                <w:sz w:val="22"/>
                <w:szCs w:val="22"/>
              </w:rPr>
              <w:t>Layla van Ellen</w:t>
            </w:r>
          </w:p>
        </w:tc>
        <w:tc>
          <w:tcPr>
            <w:tcW w:w="6779" w:type="dxa"/>
            <w:tcBorders>
              <w:top w:val="nil"/>
              <w:left w:val="nil"/>
              <w:bottom w:val="single" w:sz="4" w:space="0" w:color="auto"/>
              <w:right w:val="single" w:sz="4" w:space="0" w:color="auto"/>
            </w:tcBorders>
            <w:shd w:val="clear" w:color="auto" w:fill="auto"/>
            <w:vAlign w:val="center"/>
          </w:tcPr>
          <w:p w14:paraId="27AC3B97" w14:textId="0BFBCEAE" w:rsidR="00D3719C" w:rsidRPr="008B12DE" w:rsidRDefault="00D3719C" w:rsidP="00863B14">
            <w:pPr>
              <w:spacing w:after="160" w:line="480" w:lineRule="auto"/>
              <w:rPr>
                <w:rFonts w:ascii="Calibri" w:eastAsiaTheme="minorEastAsia" w:hAnsi="Calibri" w:cs="Calibri"/>
                <w:sz w:val="22"/>
                <w:szCs w:val="22"/>
              </w:rPr>
            </w:pPr>
            <w:r w:rsidRPr="00DE4961">
              <w:rPr>
                <w:rFonts w:ascii="Calibri" w:hAnsi="Calibri" w:cs="Calibri"/>
                <w:sz w:val="22"/>
                <w:szCs w:val="22"/>
              </w:rPr>
              <w:t xml:space="preserve">Delft University of Technology, </w:t>
            </w:r>
            <w:r w:rsidRPr="00DE4961">
              <w:rPr>
                <w:rFonts w:ascii="Calibri" w:hAnsi="Calibri" w:cs="Calibri"/>
                <w:sz w:val="22"/>
                <w:szCs w:val="22"/>
                <w:shd w:val="clear" w:color="auto" w:fill="FFFFFF"/>
              </w:rPr>
              <w:t xml:space="preserve">Faculty of Architecture and the Built Environment, </w:t>
            </w:r>
            <w:r w:rsidRPr="00DE4961">
              <w:rPr>
                <w:rFonts w:ascii="Calibri" w:hAnsi="Calibri" w:cs="Calibri"/>
                <w:sz w:val="22"/>
                <w:szCs w:val="22"/>
              </w:rPr>
              <w:t>Architectural Engineering and Technology,</w:t>
            </w:r>
            <w:r w:rsidRPr="00DE4961">
              <w:rPr>
                <w:rFonts w:ascii="Calibri" w:hAnsi="Calibri" w:cs="Calibri"/>
                <w:sz w:val="22"/>
                <w:szCs w:val="22"/>
                <w:shd w:val="clear" w:color="auto" w:fill="FFFFFF"/>
              </w:rPr>
              <w:t xml:space="preserve"> Building 8, </w:t>
            </w:r>
            <w:r w:rsidRPr="00DE4961">
              <w:rPr>
                <w:rFonts w:ascii="Calibri" w:hAnsi="Calibri" w:cs="Calibri"/>
                <w:sz w:val="22"/>
                <w:szCs w:val="22"/>
              </w:rPr>
              <w:t xml:space="preserve">Delft University of Technology (TU Delft), </w:t>
            </w:r>
            <w:proofErr w:type="spellStart"/>
            <w:r w:rsidRPr="00DE4961">
              <w:rPr>
                <w:rFonts w:ascii="Calibri" w:hAnsi="Calibri" w:cs="Calibri"/>
                <w:sz w:val="22"/>
                <w:szCs w:val="22"/>
              </w:rPr>
              <w:t>Julianalaan</w:t>
            </w:r>
            <w:proofErr w:type="spellEnd"/>
            <w:r w:rsidRPr="00DE4961">
              <w:rPr>
                <w:rFonts w:ascii="Calibri" w:hAnsi="Calibri" w:cs="Calibri"/>
                <w:sz w:val="22"/>
                <w:szCs w:val="22"/>
              </w:rPr>
              <w:t xml:space="preserve"> 134, 2628BL, </w:t>
            </w:r>
            <w:r w:rsidRPr="00DE4961">
              <w:rPr>
                <w:rStyle w:val="apple-converted-space"/>
                <w:rFonts w:ascii="Calibri" w:hAnsi="Calibri" w:cs="Calibri"/>
                <w:sz w:val="22"/>
                <w:szCs w:val="22"/>
              </w:rPr>
              <w:t> </w:t>
            </w:r>
            <w:r w:rsidRPr="00DE4961">
              <w:rPr>
                <w:rFonts w:ascii="Calibri" w:hAnsi="Calibri" w:cs="Calibri"/>
                <w:sz w:val="22"/>
                <w:szCs w:val="22"/>
              </w:rPr>
              <w:t>The Netherlands</w:t>
            </w:r>
          </w:p>
        </w:tc>
      </w:tr>
      <w:tr w:rsidR="00D3719C" w:rsidRPr="00112BEB" w14:paraId="44DE9516" w14:textId="77777777" w:rsidTr="002B5168">
        <w:trPr>
          <w:trHeight w:val="151"/>
        </w:trPr>
        <w:tc>
          <w:tcPr>
            <w:tcW w:w="2835" w:type="dxa"/>
            <w:tcBorders>
              <w:top w:val="nil"/>
              <w:left w:val="single" w:sz="4" w:space="0" w:color="auto"/>
              <w:bottom w:val="single" w:sz="4" w:space="0" w:color="auto"/>
              <w:right w:val="single" w:sz="4" w:space="0" w:color="auto"/>
            </w:tcBorders>
            <w:shd w:val="clear" w:color="auto" w:fill="auto"/>
            <w:vAlign w:val="center"/>
          </w:tcPr>
          <w:p w14:paraId="1F208C58" w14:textId="77777777" w:rsidR="00D3719C" w:rsidRPr="00B219FB" w:rsidRDefault="00D3719C" w:rsidP="00863B14">
            <w:pPr>
              <w:spacing w:line="480" w:lineRule="auto"/>
              <w:rPr>
                <w:rFonts w:ascii="Calibri" w:hAnsi="Calibri" w:cs="Calibri"/>
                <w:color w:val="000000" w:themeColor="text1"/>
                <w:sz w:val="22"/>
                <w:szCs w:val="22"/>
              </w:rPr>
            </w:pPr>
            <w:r w:rsidRPr="00B219FB">
              <w:rPr>
                <w:rFonts w:ascii="Calibri" w:hAnsi="Calibri" w:cs="Calibri"/>
                <w:color w:val="000000" w:themeColor="text1"/>
                <w:sz w:val="22"/>
                <w:szCs w:val="22"/>
              </w:rPr>
              <w:t>Roland Gauss</w:t>
            </w:r>
          </w:p>
        </w:tc>
        <w:tc>
          <w:tcPr>
            <w:tcW w:w="6779" w:type="dxa"/>
            <w:tcBorders>
              <w:top w:val="nil"/>
              <w:left w:val="nil"/>
              <w:bottom w:val="single" w:sz="4" w:space="0" w:color="auto"/>
              <w:right w:val="single" w:sz="4" w:space="0" w:color="auto"/>
            </w:tcBorders>
            <w:shd w:val="clear" w:color="auto" w:fill="auto"/>
            <w:vAlign w:val="center"/>
          </w:tcPr>
          <w:p w14:paraId="3EB4E18A" w14:textId="3BB1AB29" w:rsidR="00D3719C" w:rsidRPr="00D24AA6" w:rsidRDefault="00D3719C" w:rsidP="00863B14">
            <w:pPr>
              <w:spacing w:after="160" w:line="480" w:lineRule="auto"/>
              <w:rPr>
                <w:rFonts w:ascii="Calibri" w:eastAsiaTheme="minorEastAsia" w:hAnsi="Calibri" w:cs="Calibri"/>
                <w:sz w:val="22"/>
                <w:szCs w:val="22"/>
              </w:rPr>
            </w:pPr>
            <w:r w:rsidRPr="000248D5">
              <w:rPr>
                <w:rFonts w:ascii="Calibri" w:hAnsi="Calibri" w:cs="Calibri"/>
                <w:sz w:val="22"/>
                <w:szCs w:val="22"/>
                <w:shd w:val="clear" w:color="auto" w:fill="FFFFFF"/>
                <w:lang w:val="de-CH"/>
              </w:rPr>
              <w:t xml:space="preserve">EIT </w:t>
            </w:r>
            <w:proofErr w:type="spellStart"/>
            <w:r w:rsidRPr="000248D5">
              <w:rPr>
                <w:rFonts w:ascii="Calibri" w:hAnsi="Calibri" w:cs="Calibri"/>
                <w:sz w:val="22"/>
                <w:szCs w:val="22"/>
                <w:shd w:val="clear" w:color="auto" w:fill="FFFFFF"/>
                <w:lang w:val="de-CH"/>
              </w:rPr>
              <w:t>RawMaterials</w:t>
            </w:r>
            <w:proofErr w:type="spellEnd"/>
            <w:r w:rsidRPr="000248D5">
              <w:rPr>
                <w:rFonts w:ascii="Calibri" w:hAnsi="Calibri" w:cs="Calibri"/>
                <w:sz w:val="22"/>
                <w:szCs w:val="22"/>
                <w:shd w:val="clear" w:color="auto" w:fill="FFFFFF"/>
                <w:lang w:val="de-CH"/>
              </w:rPr>
              <w:t xml:space="preserve"> GmbH, Europa Center, </w:t>
            </w:r>
            <w:proofErr w:type="spellStart"/>
            <w:r w:rsidRPr="000248D5">
              <w:rPr>
                <w:rFonts w:ascii="Calibri" w:hAnsi="Calibri" w:cs="Calibri"/>
                <w:sz w:val="22"/>
                <w:szCs w:val="22"/>
                <w:shd w:val="clear" w:color="auto" w:fill="FFFFFF"/>
                <w:lang w:val="de-CH"/>
              </w:rPr>
              <w:t>Tauentzienstr</w:t>
            </w:r>
            <w:proofErr w:type="spellEnd"/>
            <w:r w:rsidRPr="000248D5">
              <w:rPr>
                <w:rFonts w:ascii="Calibri" w:hAnsi="Calibri" w:cs="Calibri"/>
                <w:sz w:val="22"/>
                <w:szCs w:val="22"/>
                <w:shd w:val="clear" w:color="auto" w:fill="FFFFFF"/>
                <w:lang w:val="de-CH"/>
              </w:rPr>
              <w:t xml:space="preserve">. </w:t>
            </w:r>
            <w:r w:rsidRPr="00D24AA6">
              <w:rPr>
                <w:rFonts w:ascii="Calibri" w:hAnsi="Calibri" w:cs="Calibri"/>
                <w:sz w:val="22"/>
                <w:szCs w:val="22"/>
                <w:shd w:val="clear" w:color="auto" w:fill="FFFFFF"/>
              </w:rPr>
              <w:t>11, 10789 Berlin, Germany</w:t>
            </w:r>
          </w:p>
        </w:tc>
      </w:tr>
      <w:tr w:rsidR="00D3719C" w:rsidRPr="00112BEB" w14:paraId="08FDC923" w14:textId="77777777" w:rsidTr="002B5168">
        <w:trPr>
          <w:trHeight w:val="154"/>
        </w:trPr>
        <w:tc>
          <w:tcPr>
            <w:tcW w:w="2835" w:type="dxa"/>
            <w:tcBorders>
              <w:top w:val="nil"/>
              <w:left w:val="single" w:sz="4" w:space="0" w:color="auto"/>
              <w:bottom w:val="single" w:sz="4" w:space="0" w:color="auto"/>
              <w:right w:val="single" w:sz="4" w:space="0" w:color="auto"/>
            </w:tcBorders>
            <w:shd w:val="clear" w:color="auto" w:fill="auto"/>
            <w:vAlign w:val="center"/>
          </w:tcPr>
          <w:p w14:paraId="2A0A41AA" w14:textId="77777777" w:rsidR="00D3719C" w:rsidRPr="00B219FB" w:rsidRDefault="00D3719C" w:rsidP="00863B14">
            <w:pPr>
              <w:spacing w:line="480" w:lineRule="auto"/>
              <w:rPr>
                <w:rFonts w:ascii="Calibri" w:hAnsi="Calibri" w:cs="Calibri"/>
                <w:color w:val="000000" w:themeColor="text1"/>
                <w:sz w:val="22"/>
                <w:szCs w:val="22"/>
              </w:rPr>
            </w:pPr>
            <w:r w:rsidRPr="00B219FB">
              <w:rPr>
                <w:rFonts w:ascii="Calibri" w:hAnsi="Calibri" w:cs="Calibri"/>
                <w:color w:val="000000" w:themeColor="text1"/>
                <w:sz w:val="22"/>
                <w:szCs w:val="22"/>
              </w:rPr>
              <w:t xml:space="preserve">James </w:t>
            </w:r>
            <w:proofErr w:type="spellStart"/>
            <w:r w:rsidRPr="00B219FB">
              <w:rPr>
                <w:rFonts w:ascii="Calibri" w:hAnsi="Calibri" w:cs="Calibri"/>
                <w:color w:val="000000" w:themeColor="text1"/>
                <w:sz w:val="22"/>
                <w:szCs w:val="22"/>
              </w:rPr>
              <w:t>Goddin</w:t>
            </w:r>
            <w:proofErr w:type="spellEnd"/>
          </w:p>
        </w:tc>
        <w:tc>
          <w:tcPr>
            <w:tcW w:w="6779" w:type="dxa"/>
            <w:tcBorders>
              <w:top w:val="nil"/>
              <w:left w:val="nil"/>
              <w:bottom w:val="single" w:sz="4" w:space="0" w:color="auto"/>
              <w:right w:val="single" w:sz="4" w:space="0" w:color="auto"/>
            </w:tcBorders>
            <w:shd w:val="clear" w:color="auto" w:fill="auto"/>
            <w:vAlign w:val="center"/>
          </w:tcPr>
          <w:p w14:paraId="6685D3F9" w14:textId="2A0026CD" w:rsidR="00D3719C" w:rsidRPr="00D24AA6" w:rsidRDefault="00D3719C" w:rsidP="00863B14">
            <w:pPr>
              <w:spacing w:after="160" w:line="480" w:lineRule="auto"/>
              <w:rPr>
                <w:rFonts w:ascii="Calibri" w:eastAsiaTheme="minorEastAsia" w:hAnsi="Calibri" w:cs="Calibri"/>
                <w:sz w:val="22"/>
                <w:szCs w:val="22"/>
              </w:rPr>
            </w:pPr>
            <w:r w:rsidRPr="000248D5">
              <w:rPr>
                <w:rFonts w:ascii="Calibri" w:hAnsi="Calibri" w:cs="Calibri"/>
                <w:sz w:val="22"/>
                <w:szCs w:val="22"/>
              </w:rPr>
              <w:t xml:space="preserve">Granta Design/ANSYS, </w:t>
            </w:r>
            <w:proofErr w:type="spellStart"/>
            <w:r w:rsidRPr="000248D5">
              <w:rPr>
                <w:rFonts w:ascii="Calibri" w:hAnsi="Calibri" w:cs="Calibri"/>
                <w:sz w:val="22"/>
                <w:szCs w:val="22"/>
              </w:rPr>
              <w:t>Rustat</w:t>
            </w:r>
            <w:proofErr w:type="spellEnd"/>
            <w:r w:rsidRPr="000248D5">
              <w:rPr>
                <w:rFonts w:ascii="Calibri" w:hAnsi="Calibri" w:cs="Calibri"/>
                <w:sz w:val="22"/>
                <w:szCs w:val="22"/>
              </w:rPr>
              <w:t xml:space="preserve"> House, 62 Clifton Road, Cambridge, CB1 7EG, UK</w:t>
            </w:r>
          </w:p>
        </w:tc>
      </w:tr>
      <w:tr w:rsidR="00D3719C" w:rsidRPr="00112BEB" w14:paraId="3CDD25BF" w14:textId="77777777" w:rsidTr="002B5168">
        <w:trPr>
          <w:trHeight w:val="154"/>
        </w:trPr>
        <w:tc>
          <w:tcPr>
            <w:tcW w:w="2835" w:type="dxa"/>
            <w:tcBorders>
              <w:top w:val="nil"/>
              <w:left w:val="single" w:sz="4" w:space="0" w:color="auto"/>
              <w:bottom w:val="single" w:sz="4" w:space="0" w:color="auto"/>
              <w:right w:val="single" w:sz="4" w:space="0" w:color="auto"/>
            </w:tcBorders>
            <w:shd w:val="clear" w:color="auto" w:fill="auto"/>
            <w:vAlign w:val="center"/>
          </w:tcPr>
          <w:p w14:paraId="0B19EBA8" w14:textId="77777777" w:rsidR="00D3719C" w:rsidRPr="00B219FB" w:rsidRDefault="00D3719C" w:rsidP="00863B14">
            <w:pPr>
              <w:spacing w:line="480" w:lineRule="auto"/>
              <w:rPr>
                <w:rFonts w:ascii="Calibri" w:hAnsi="Calibri" w:cs="Calibri"/>
                <w:color w:val="000000" w:themeColor="text1"/>
                <w:sz w:val="22"/>
                <w:szCs w:val="22"/>
              </w:rPr>
            </w:pPr>
            <w:proofErr w:type="spellStart"/>
            <w:r w:rsidRPr="00B219FB">
              <w:rPr>
                <w:rFonts w:ascii="Calibri" w:hAnsi="Calibri" w:cs="Calibri"/>
                <w:color w:val="000000" w:themeColor="text1"/>
                <w:sz w:val="22"/>
                <w:szCs w:val="22"/>
              </w:rPr>
              <w:t>Komal</w:t>
            </w:r>
            <w:proofErr w:type="spellEnd"/>
            <w:r w:rsidRPr="00B219FB">
              <w:rPr>
                <w:rFonts w:ascii="Calibri" w:hAnsi="Calibri" w:cs="Calibri"/>
                <w:color w:val="000000" w:themeColor="text1"/>
                <w:sz w:val="22"/>
                <w:szCs w:val="22"/>
              </w:rPr>
              <w:t xml:space="preserve"> Habib</w:t>
            </w:r>
          </w:p>
        </w:tc>
        <w:tc>
          <w:tcPr>
            <w:tcW w:w="6779" w:type="dxa"/>
            <w:tcBorders>
              <w:top w:val="nil"/>
              <w:left w:val="nil"/>
              <w:bottom w:val="single" w:sz="4" w:space="0" w:color="auto"/>
              <w:right w:val="single" w:sz="4" w:space="0" w:color="auto"/>
            </w:tcBorders>
            <w:shd w:val="clear" w:color="auto" w:fill="auto"/>
            <w:vAlign w:val="center"/>
          </w:tcPr>
          <w:p w14:paraId="671A8F66" w14:textId="77777777" w:rsidR="00D3719C" w:rsidRPr="00D24AA6" w:rsidRDefault="00D3719C" w:rsidP="00863B14">
            <w:pPr>
              <w:spacing w:line="480" w:lineRule="auto"/>
              <w:rPr>
                <w:rFonts w:ascii="Calibri" w:hAnsi="Calibri" w:cs="Calibri"/>
                <w:sz w:val="22"/>
                <w:szCs w:val="22"/>
              </w:rPr>
            </w:pPr>
            <w:r w:rsidRPr="000248D5">
              <w:rPr>
                <w:rFonts w:ascii="Calibri" w:hAnsi="Calibri" w:cs="Calibri"/>
                <w:sz w:val="22"/>
                <w:szCs w:val="22"/>
              </w:rPr>
              <w:t>Faculty of Environment, Universi</w:t>
            </w:r>
            <w:r w:rsidRPr="00D24AA6">
              <w:rPr>
                <w:rFonts w:ascii="Calibri" w:hAnsi="Calibri" w:cs="Calibri"/>
                <w:sz w:val="22"/>
                <w:szCs w:val="22"/>
              </w:rPr>
              <w:t>ty of Waterloo. 200 University Ave West, Waterloo Ontario, N2L3G1, Canada</w:t>
            </w:r>
          </w:p>
          <w:p w14:paraId="7C723863" w14:textId="7B6FDDF0" w:rsidR="00D3719C" w:rsidRPr="008B12DE" w:rsidRDefault="00D3719C" w:rsidP="00863B14">
            <w:pPr>
              <w:spacing w:line="480" w:lineRule="auto"/>
              <w:rPr>
                <w:rFonts w:ascii="Calibri" w:hAnsi="Calibri" w:cs="Calibri"/>
                <w:sz w:val="22"/>
                <w:szCs w:val="22"/>
              </w:rPr>
            </w:pPr>
          </w:p>
        </w:tc>
      </w:tr>
      <w:tr w:rsidR="00D3719C" w:rsidRPr="00112BEB" w14:paraId="5A47DE8B" w14:textId="77777777" w:rsidTr="002B5168">
        <w:trPr>
          <w:trHeight w:val="303"/>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0AFDF3AC" w14:textId="77777777" w:rsidR="00D3719C" w:rsidRPr="00B219FB" w:rsidRDefault="00D3719C" w:rsidP="00863B14">
            <w:pPr>
              <w:spacing w:line="480" w:lineRule="auto"/>
              <w:rPr>
                <w:rFonts w:ascii="Calibri" w:hAnsi="Calibri"/>
                <w:color w:val="000000" w:themeColor="text1"/>
                <w:sz w:val="22"/>
                <w:szCs w:val="22"/>
              </w:rPr>
            </w:pPr>
            <w:r w:rsidRPr="00B219FB">
              <w:rPr>
                <w:rFonts w:ascii="Calibri" w:hAnsi="Calibri"/>
                <w:color w:val="000000" w:themeColor="text1"/>
                <w:sz w:val="22"/>
                <w:szCs w:val="22"/>
              </w:rPr>
              <w:t>Christian Hagelüken</w:t>
            </w:r>
          </w:p>
        </w:tc>
        <w:tc>
          <w:tcPr>
            <w:tcW w:w="6779" w:type="dxa"/>
            <w:tcBorders>
              <w:top w:val="nil"/>
              <w:left w:val="nil"/>
              <w:bottom w:val="single" w:sz="4" w:space="0" w:color="auto"/>
              <w:right w:val="single" w:sz="4" w:space="0" w:color="auto"/>
            </w:tcBorders>
            <w:shd w:val="clear" w:color="auto" w:fill="auto"/>
            <w:vAlign w:val="center"/>
            <w:hideMark/>
          </w:tcPr>
          <w:p w14:paraId="06C14A93" w14:textId="206E98CF" w:rsidR="00D3719C" w:rsidRPr="00D24AA6" w:rsidRDefault="00D3719C" w:rsidP="00863B14">
            <w:pPr>
              <w:pStyle w:val="ListParagraph"/>
              <w:numPr>
                <w:ilvl w:val="0"/>
                <w:numId w:val="51"/>
              </w:numPr>
              <w:spacing w:line="480" w:lineRule="auto"/>
              <w:ind w:left="360"/>
              <w:rPr>
                <w:rFonts w:ascii="Calibri" w:hAnsi="Calibri" w:cs="Calibri"/>
              </w:rPr>
            </w:pPr>
            <w:r w:rsidRPr="000248D5">
              <w:rPr>
                <w:rFonts w:ascii="Calibri" w:hAnsi="Calibri" w:cs="Calibri"/>
                <w:lang w:val="en-GB"/>
              </w:rPr>
              <w:t xml:space="preserve">Umicore AG &amp; Co KG,  </w:t>
            </w:r>
            <w:proofErr w:type="spellStart"/>
            <w:r w:rsidRPr="000248D5">
              <w:rPr>
                <w:rFonts w:ascii="Calibri" w:hAnsi="Calibri" w:cs="Calibri"/>
                <w:lang w:val="en-GB"/>
              </w:rPr>
              <w:t>Rodenbacher</w:t>
            </w:r>
            <w:proofErr w:type="spellEnd"/>
            <w:r w:rsidRPr="000248D5">
              <w:rPr>
                <w:rFonts w:ascii="Calibri" w:hAnsi="Calibri" w:cs="Calibri"/>
                <w:lang w:val="en-GB"/>
              </w:rPr>
              <w:t xml:space="preserve"> Chaussee 4,  </w:t>
            </w:r>
            <w:r w:rsidRPr="00D24AA6">
              <w:rPr>
                <w:rFonts w:ascii="Calibri" w:hAnsi="Calibri" w:cs="Calibri"/>
              </w:rPr>
              <w:t>63457 Hanau, Germany</w:t>
            </w:r>
          </w:p>
          <w:p w14:paraId="3F248B83" w14:textId="78EB99E7" w:rsidR="00D3719C" w:rsidRPr="008B12DE" w:rsidRDefault="00D3719C" w:rsidP="00863B14">
            <w:pPr>
              <w:pStyle w:val="ListParagraph"/>
              <w:numPr>
                <w:ilvl w:val="0"/>
                <w:numId w:val="51"/>
              </w:numPr>
              <w:spacing w:after="0" w:line="480" w:lineRule="auto"/>
              <w:ind w:left="360"/>
              <w:rPr>
                <w:rFonts w:ascii="Calibri" w:hAnsi="Calibri" w:cs="Calibri"/>
              </w:rPr>
            </w:pPr>
            <w:r w:rsidRPr="008B12DE">
              <w:rPr>
                <w:rFonts w:ascii="Calibri" w:eastAsia="Times New Roman" w:hAnsi="Calibri" w:cs="Calibri"/>
              </w:rPr>
              <w:t xml:space="preserve">ESM Foundation, </w:t>
            </w:r>
            <w:proofErr w:type="spellStart"/>
            <w:r w:rsidRPr="008B12DE">
              <w:rPr>
                <w:rFonts w:ascii="Calibri" w:eastAsia="Times New Roman" w:hAnsi="Calibri" w:cs="Calibri"/>
              </w:rPr>
              <w:t>Junkerngasse</w:t>
            </w:r>
            <w:proofErr w:type="spellEnd"/>
            <w:r w:rsidRPr="008B12DE">
              <w:rPr>
                <w:rFonts w:ascii="Calibri" w:eastAsia="Times New Roman" w:hAnsi="Calibri" w:cs="Calibri"/>
              </w:rPr>
              <w:t xml:space="preserve"> 56, 3011 Bern, Switzerland </w:t>
            </w:r>
          </w:p>
          <w:p w14:paraId="4B79B472" w14:textId="4DE904D5" w:rsidR="00D3719C" w:rsidRPr="002B45EF" w:rsidRDefault="00D3719C" w:rsidP="00863B14">
            <w:pPr>
              <w:spacing w:line="480" w:lineRule="auto"/>
              <w:rPr>
                <w:rFonts w:ascii="Calibri" w:hAnsi="Calibri" w:cs="Calibri"/>
                <w:sz w:val="22"/>
                <w:szCs w:val="22"/>
              </w:rPr>
            </w:pPr>
          </w:p>
        </w:tc>
      </w:tr>
      <w:tr w:rsidR="00D3719C" w:rsidRPr="00112BEB" w14:paraId="7250B540" w14:textId="77777777" w:rsidTr="002B5168">
        <w:trPr>
          <w:trHeight w:val="303"/>
        </w:trPr>
        <w:tc>
          <w:tcPr>
            <w:tcW w:w="2835" w:type="dxa"/>
            <w:tcBorders>
              <w:top w:val="nil"/>
              <w:left w:val="single" w:sz="4" w:space="0" w:color="auto"/>
              <w:bottom w:val="single" w:sz="4" w:space="0" w:color="auto"/>
              <w:right w:val="single" w:sz="4" w:space="0" w:color="auto"/>
            </w:tcBorders>
            <w:shd w:val="clear" w:color="auto" w:fill="auto"/>
            <w:vAlign w:val="center"/>
          </w:tcPr>
          <w:p w14:paraId="60D0A32A" w14:textId="67580CC9" w:rsidR="00D3719C" w:rsidRPr="00B219FB" w:rsidRDefault="00D3719C" w:rsidP="00863B14">
            <w:pPr>
              <w:spacing w:line="480" w:lineRule="auto"/>
              <w:rPr>
                <w:rFonts w:ascii="Calibri" w:hAnsi="Calibri"/>
                <w:color w:val="000000" w:themeColor="text1"/>
                <w:sz w:val="22"/>
                <w:szCs w:val="22"/>
              </w:rPr>
            </w:pPr>
            <w:proofErr w:type="spellStart"/>
            <w:r w:rsidRPr="00B219FB">
              <w:rPr>
                <w:rFonts w:ascii="Calibri" w:hAnsi="Calibri"/>
                <w:color w:val="000000" w:themeColor="text1"/>
                <w:sz w:val="22"/>
                <w:szCs w:val="22"/>
              </w:rPr>
              <w:t>Atsufumi</w:t>
            </w:r>
            <w:proofErr w:type="spellEnd"/>
            <w:r w:rsidRPr="00B219FB">
              <w:rPr>
                <w:rFonts w:ascii="Calibri" w:hAnsi="Calibri"/>
                <w:color w:val="000000" w:themeColor="text1"/>
                <w:sz w:val="22"/>
                <w:szCs w:val="22"/>
              </w:rPr>
              <w:t xml:space="preserve"> </w:t>
            </w:r>
            <w:proofErr w:type="spellStart"/>
            <w:r w:rsidRPr="00B219FB">
              <w:rPr>
                <w:rFonts w:ascii="Calibri" w:hAnsi="Calibri"/>
                <w:color w:val="000000" w:themeColor="text1"/>
                <w:sz w:val="22"/>
                <w:szCs w:val="22"/>
              </w:rPr>
              <w:t>Hirohata</w:t>
            </w:r>
            <w:proofErr w:type="spellEnd"/>
          </w:p>
        </w:tc>
        <w:tc>
          <w:tcPr>
            <w:tcW w:w="6779" w:type="dxa"/>
            <w:tcBorders>
              <w:top w:val="nil"/>
              <w:left w:val="nil"/>
              <w:bottom w:val="single" w:sz="4" w:space="0" w:color="auto"/>
              <w:right w:val="single" w:sz="4" w:space="0" w:color="auto"/>
            </w:tcBorders>
            <w:shd w:val="clear" w:color="auto" w:fill="auto"/>
            <w:vAlign w:val="center"/>
          </w:tcPr>
          <w:p w14:paraId="3F106071" w14:textId="42C73C34" w:rsidR="00D3719C" w:rsidRPr="00D24AA6" w:rsidRDefault="00D3719C" w:rsidP="00863B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Calibri" w:hAnsi="Calibri"/>
                <w:sz w:val="22"/>
                <w:szCs w:val="22"/>
              </w:rPr>
            </w:pPr>
            <w:r w:rsidRPr="000248D5">
              <w:rPr>
                <w:rFonts w:ascii="Calibri" w:hAnsi="Calibri" w:cs="Courier"/>
                <w:sz w:val="22"/>
                <w:szCs w:val="22"/>
                <w:lang w:eastAsia="de-DE"/>
              </w:rPr>
              <w:t>Department of El</w:t>
            </w:r>
            <w:r w:rsidRPr="00D24AA6">
              <w:rPr>
                <w:rFonts w:ascii="Calibri" w:hAnsi="Calibri" w:cs="Courier"/>
                <w:sz w:val="22"/>
                <w:szCs w:val="22"/>
                <w:lang w:eastAsia="de-DE"/>
              </w:rPr>
              <w:t>ectronic Engineering University of York Heslington York YO10 5DD, United Kingdom</w:t>
            </w:r>
          </w:p>
        </w:tc>
      </w:tr>
      <w:tr w:rsidR="00D3719C" w:rsidRPr="00112BEB" w14:paraId="05B85F21" w14:textId="77777777" w:rsidTr="002B5168">
        <w:trPr>
          <w:trHeight w:val="303"/>
        </w:trPr>
        <w:tc>
          <w:tcPr>
            <w:tcW w:w="2835" w:type="dxa"/>
            <w:tcBorders>
              <w:top w:val="nil"/>
              <w:left w:val="single" w:sz="4" w:space="0" w:color="auto"/>
              <w:bottom w:val="single" w:sz="4" w:space="0" w:color="auto"/>
              <w:right w:val="single" w:sz="4" w:space="0" w:color="auto"/>
            </w:tcBorders>
            <w:shd w:val="clear" w:color="auto" w:fill="auto"/>
            <w:vAlign w:val="center"/>
          </w:tcPr>
          <w:p w14:paraId="23E52B4D" w14:textId="376FFC02" w:rsidR="00D3719C" w:rsidRPr="002B5168" w:rsidRDefault="00D3719C" w:rsidP="00863B14">
            <w:pPr>
              <w:spacing w:line="480" w:lineRule="auto"/>
              <w:rPr>
                <w:rFonts w:ascii="Calibri" w:hAnsi="Calibri"/>
                <w:color w:val="000000"/>
                <w:sz w:val="22"/>
                <w:szCs w:val="22"/>
              </w:rPr>
            </w:pPr>
            <w:r w:rsidRPr="002B5168">
              <w:rPr>
                <w:rFonts w:ascii="Calibri" w:hAnsi="Calibri"/>
                <w:color w:val="000000"/>
                <w:sz w:val="22"/>
                <w:szCs w:val="22"/>
              </w:rPr>
              <w:lastRenderedPageBreak/>
              <w:t>Margarethe Hofmann-</w:t>
            </w:r>
            <w:proofErr w:type="spellStart"/>
            <w:r w:rsidRPr="002B5168">
              <w:rPr>
                <w:rFonts w:ascii="Calibri" w:hAnsi="Calibri"/>
                <w:color w:val="000000"/>
                <w:sz w:val="22"/>
                <w:szCs w:val="22"/>
              </w:rPr>
              <w:t>Amtenbrink</w:t>
            </w:r>
            <w:proofErr w:type="spellEnd"/>
          </w:p>
        </w:tc>
        <w:tc>
          <w:tcPr>
            <w:tcW w:w="6779" w:type="dxa"/>
            <w:tcBorders>
              <w:top w:val="nil"/>
              <w:left w:val="nil"/>
              <w:bottom w:val="single" w:sz="4" w:space="0" w:color="auto"/>
              <w:right w:val="single" w:sz="4" w:space="0" w:color="auto"/>
            </w:tcBorders>
            <w:shd w:val="clear" w:color="auto" w:fill="auto"/>
            <w:vAlign w:val="center"/>
          </w:tcPr>
          <w:p w14:paraId="29BAFE3E" w14:textId="134D7AB3" w:rsidR="00D3719C" w:rsidRPr="00D24AA6" w:rsidRDefault="00D3719C" w:rsidP="00863B14">
            <w:pPr>
              <w:spacing w:line="480" w:lineRule="auto"/>
              <w:rPr>
                <w:rFonts w:ascii="Calibri" w:hAnsi="Calibri"/>
                <w:sz w:val="22"/>
                <w:szCs w:val="22"/>
              </w:rPr>
            </w:pPr>
            <w:r w:rsidRPr="000248D5">
              <w:rPr>
                <w:rFonts w:ascii="Calibri" w:hAnsi="Calibri"/>
                <w:sz w:val="22"/>
                <w:szCs w:val="22"/>
              </w:rPr>
              <w:t xml:space="preserve">MatSearch Consulting Hofmann, </w:t>
            </w:r>
            <w:proofErr w:type="spellStart"/>
            <w:r w:rsidRPr="000248D5">
              <w:rPr>
                <w:rFonts w:ascii="Calibri" w:hAnsi="Calibri"/>
                <w:sz w:val="22"/>
                <w:szCs w:val="22"/>
              </w:rPr>
              <w:t>Chemin</w:t>
            </w:r>
            <w:proofErr w:type="spellEnd"/>
            <w:r w:rsidRPr="000248D5">
              <w:rPr>
                <w:rFonts w:ascii="Calibri" w:hAnsi="Calibri"/>
                <w:sz w:val="22"/>
                <w:szCs w:val="22"/>
              </w:rPr>
              <w:t xml:space="preserve"> Jean </w:t>
            </w:r>
            <w:proofErr w:type="spellStart"/>
            <w:r w:rsidRPr="00D24AA6">
              <w:rPr>
                <w:rFonts w:ascii="Calibri" w:hAnsi="Calibri"/>
                <w:sz w:val="22"/>
                <w:szCs w:val="22"/>
              </w:rPr>
              <w:t>Pavillard</w:t>
            </w:r>
            <w:proofErr w:type="spellEnd"/>
            <w:r w:rsidRPr="00D24AA6">
              <w:rPr>
                <w:rFonts w:ascii="Calibri" w:hAnsi="Calibri"/>
                <w:sz w:val="22"/>
                <w:szCs w:val="22"/>
              </w:rPr>
              <w:t xml:space="preserve"> 14, 1009 Pully, Switzerland</w:t>
            </w:r>
          </w:p>
        </w:tc>
      </w:tr>
      <w:tr w:rsidR="00D3719C" w:rsidRPr="00112BEB" w14:paraId="7BF8E446" w14:textId="77777777" w:rsidTr="002B5168">
        <w:trPr>
          <w:trHeight w:val="141"/>
        </w:trPr>
        <w:tc>
          <w:tcPr>
            <w:tcW w:w="2835" w:type="dxa"/>
            <w:tcBorders>
              <w:top w:val="nil"/>
              <w:left w:val="single" w:sz="4" w:space="0" w:color="auto"/>
              <w:bottom w:val="single" w:sz="4" w:space="0" w:color="auto"/>
              <w:right w:val="single" w:sz="4" w:space="0" w:color="auto"/>
            </w:tcBorders>
            <w:shd w:val="clear" w:color="auto" w:fill="auto"/>
            <w:vAlign w:val="center"/>
          </w:tcPr>
          <w:p w14:paraId="055AC586" w14:textId="77777777" w:rsidR="00D3719C" w:rsidRPr="00B219FB" w:rsidRDefault="00D3719C" w:rsidP="00863B14">
            <w:pPr>
              <w:spacing w:line="480" w:lineRule="auto"/>
              <w:rPr>
                <w:rFonts w:ascii="Calibri" w:hAnsi="Calibri"/>
                <w:color w:val="000000"/>
                <w:sz w:val="22"/>
                <w:szCs w:val="22"/>
              </w:rPr>
            </w:pPr>
            <w:r w:rsidRPr="002B5168">
              <w:rPr>
                <w:rFonts w:ascii="Calibri" w:hAnsi="Calibri"/>
                <w:color w:val="000000"/>
                <w:sz w:val="22"/>
                <w:szCs w:val="22"/>
              </w:rPr>
              <w:t xml:space="preserve">Jan </w:t>
            </w:r>
            <w:proofErr w:type="spellStart"/>
            <w:r w:rsidRPr="002B5168">
              <w:rPr>
                <w:rFonts w:ascii="Calibri" w:hAnsi="Calibri"/>
                <w:color w:val="000000"/>
                <w:sz w:val="22"/>
                <w:szCs w:val="22"/>
              </w:rPr>
              <w:t>Kosmol</w:t>
            </w:r>
            <w:proofErr w:type="spellEnd"/>
          </w:p>
        </w:tc>
        <w:tc>
          <w:tcPr>
            <w:tcW w:w="6779" w:type="dxa"/>
            <w:tcBorders>
              <w:top w:val="nil"/>
              <w:left w:val="nil"/>
              <w:bottom w:val="single" w:sz="4" w:space="0" w:color="auto"/>
              <w:right w:val="single" w:sz="4" w:space="0" w:color="auto"/>
            </w:tcBorders>
            <w:shd w:val="clear" w:color="auto" w:fill="auto"/>
            <w:vAlign w:val="center"/>
          </w:tcPr>
          <w:p w14:paraId="06584B73" w14:textId="7F6B2BBA" w:rsidR="00D3719C" w:rsidRPr="00D24AA6" w:rsidRDefault="00D3719C" w:rsidP="00863B14">
            <w:pPr>
              <w:spacing w:line="480" w:lineRule="auto"/>
              <w:rPr>
                <w:rFonts w:ascii="Calibri" w:hAnsi="Calibri"/>
                <w:sz w:val="22"/>
                <w:szCs w:val="22"/>
              </w:rPr>
            </w:pPr>
            <w:r w:rsidRPr="000248D5">
              <w:rPr>
                <w:rFonts w:ascii="Calibri" w:hAnsi="Calibri"/>
                <w:sz w:val="22"/>
                <w:szCs w:val="22"/>
              </w:rPr>
              <w:t xml:space="preserve">German Environment Agency (UBA), </w:t>
            </w:r>
            <w:proofErr w:type="spellStart"/>
            <w:r w:rsidRPr="000248D5">
              <w:rPr>
                <w:rFonts w:ascii="Calibri" w:hAnsi="Calibri"/>
                <w:sz w:val="22"/>
                <w:szCs w:val="22"/>
              </w:rPr>
              <w:t>Wörlitzer</w:t>
            </w:r>
            <w:proofErr w:type="spellEnd"/>
            <w:r w:rsidRPr="000248D5">
              <w:rPr>
                <w:rFonts w:ascii="Calibri" w:hAnsi="Calibri"/>
                <w:sz w:val="22"/>
                <w:szCs w:val="22"/>
              </w:rPr>
              <w:t xml:space="preserve"> Platz 1, </w:t>
            </w:r>
            <w:r w:rsidRPr="00D24AA6">
              <w:rPr>
                <w:rFonts w:ascii="Calibri" w:hAnsi="Calibri"/>
                <w:sz w:val="22"/>
                <w:szCs w:val="22"/>
              </w:rPr>
              <w:t>06844 Dessau-</w:t>
            </w:r>
            <w:proofErr w:type="spellStart"/>
            <w:r w:rsidRPr="00D24AA6">
              <w:rPr>
                <w:rFonts w:ascii="Calibri" w:hAnsi="Calibri"/>
                <w:sz w:val="22"/>
                <w:szCs w:val="22"/>
              </w:rPr>
              <w:t>Rosslau</w:t>
            </w:r>
            <w:proofErr w:type="spellEnd"/>
            <w:r w:rsidRPr="00D24AA6">
              <w:rPr>
                <w:rFonts w:ascii="Calibri" w:hAnsi="Calibri"/>
                <w:sz w:val="22"/>
                <w:szCs w:val="22"/>
              </w:rPr>
              <w:t>, Germany</w:t>
            </w:r>
          </w:p>
        </w:tc>
      </w:tr>
      <w:tr w:rsidR="00D3719C" w:rsidRPr="00461423" w14:paraId="63545193" w14:textId="77777777" w:rsidTr="002B5168">
        <w:trPr>
          <w:trHeight w:val="303"/>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165A3BD5" w14:textId="77777777" w:rsidR="00D3719C" w:rsidRPr="00B219FB" w:rsidRDefault="00D3719C" w:rsidP="00863B14">
            <w:pPr>
              <w:spacing w:line="480" w:lineRule="auto"/>
              <w:rPr>
                <w:rFonts w:ascii="Calibri" w:hAnsi="Calibri"/>
                <w:color w:val="000000"/>
                <w:sz w:val="22"/>
                <w:szCs w:val="22"/>
              </w:rPr>
            </w:pPr>
            <w:proofErr w:type="spellStart"/>
            <w:r w:rsidRPr="00B219FB">
              <w:rPr>
                <w:rFonts w:ascii="Calibri" w:hAnsi="Calibri"/>
                <w:color w:val="000000"/>
                <w:sz w:val="22"/>
                <w:szCs w:val="22"/>
              </w:rPr>
              <w:t>Maïté</w:t>
            </w:r>
            <w:proofErr w:type="spellEnd"/>
            <w:r w:rsidRPr="00B219FB">
              <w:rPr>
                <w:rFonts w:ascii="Calibri" w:hAnsi="Calibri"/>
                <w:color w:val="000000"/>
                <w:sz w:val="22"/>
                <w:szCs w:val="22"/>
              </w:rPr>
              <w:t xml:space="preserve"> Le </w:t>
            </w:r>
            <w:proofErr w:type="spellStart"/>
            <w:r w:rsidRPr="00B219FB">
              <w:rPr>
                <w:rFonts w:ascii="Calibri" w:hAnsi="Calibri"/>
                <w:color w:val="000000"/>
                <w:sz w:val="22"/>
                <w:szCs w:val="22"/>
              </w:rPr>
              <w:t>Gleuher</w:t>
            </w:r>
            <w:proofErr w:type="spellEnd"/>
          </w:p>
        </w:tc>
        <w:tc>
          <w:tcPr>
            <w:tcW w:w="6779" w:type="dxa"/>
            <w:tcBorders>
              <w:top w:val="nil"/>
              <w:left w:val="nil"/>
              <w:bottom w:val="single" w:sz="4" w:space="0" w:color="auto"/>
              <w:right w:val="single" w:sz="4" w:space="0" w:color="auto"/>
            </w:tcBorders>
            <w:shd w:val="clear" w:color="auto" w:fill="auto"/>
            <w:vAlign w:val="center"/>
            <w:hideMark/>
          </w:tcPr>
          <w:p w14:paraId="1EB60B29" w14:textId="7891C160" w:rsidR="00D3719C" w:rsidRPr="00D24AA6" w:rsidRDefault="00D3719C" w:rsidP="00863B14">
            <w:pPr>
              <w:spacing w:line="480" w:lineRule="auto"/>
              <w:rPr>
                <w:rFonts w:ascii="Calibri" w:hAnsi="Calibri" w:cs="Calibri"/>
                <w:sz w:val="22"/>
                <w:szCs w:val="22"/>
                <w:lang w:val="fr-FR"/>
              </w:rPr>
            </w:pPr>
            <w:r w:rsidRPr="00D24AA6">
              <w:rPr>
                <w:rFonts w:ascii="Calibri" w:hAnsi="Calibri" w:cs="Calibri"/>
                <w:sz w:val="22"/>
                <w:szCs w:val="22"/>
                <w:lang w:val="fr-FR"/>
              </w:rPr>
              <w:t xml:space="preserve">BRGM, </w:t>
            </w:r>
            <w:r w:rsidR="00397850" w:rsidRPr="00DE4961">
              <w:rPr>
                <w:rFonts w:ascii="Arial" w:hAnsi="Arial" w:cs="Arial"/>
                <w:sz w:val="20"/>
                <w:szCs w:val="20"/>
                <w:shd w:val="clear" w:color="auto" w:fill="FFFFFF"/>
                <w:lang w:val="fr-FR"/>
              </w:rPr>
              <w:t>3 avenue C. Guillemin, 45060 Orléans, France</w:t>
            </w:r>
          </w:p>
        </w:tc>
      </w:tr>
      <w:tr w:rsidR="00D3719C" w:rsidRPr="00112BEB" w14:paraId="04930E0D" w14:textId="77777777" w:rsidTr="002B5168">
        <w:trPr>
          <w:trHeight w:val="303"/>
        </w:trPr>
        <w:tc>
          <w:tcPr>
            <w:tcW w:w="2835" w:type="dxa"/>
            <w:tcBorders>
              <w:top w:val="nil"/>
              <w:left w:val="single" w:sz="4" w:space="0" w:color="auto"/>
              <w:bottom w:val="single" w:sz="4" w:space="0" w:color="auto"/>
              <w:right w:val="single" w:sz="4" w:space="0" w:color="auto"/>
            </w:tcBorders>
            <w:shd w:val="clear" w:color="auto" w:fill="auto"/>
            <w:vAlign w:val="center"/>
          </w:tcPr>
          <w:p w14:paraId="5496EBDF" w14:textId="6F6DBEED" w:rsidR="00D3719C" w:rsidRPr="00B219FB" w:rsidRDefault="00D3719C" w:rsidP="00863B14">
            <w:pPr>
              <w:spacing w:line="480" w:lineRule="auto"/>
              <w:rPr>
                <w:rFonts w:ascii="Calibri" w:hAnsi="Calibri"/>
                <w:color w:val="000000"/>
                <w:sz w:val="22"/>
                <w:szCs w:val="22"/>
              </w:rPr>
            </w:pPr>
            <w:r w:rsidRPr="002B5168">
              <w:rPr>
                <w:rFonts w:ascii="Calibri" w:hAnsi="Calibri"/>
                <w:color w:val="000000"/>
                <w:sz w:val="22"/>
                <w:szCs w:val="22"/>
              </w:rPr>
              <w:t>Milan Grohol</w:t>
            </w:r>
            <w:r w:rsidRPr="002B5168">
              <w:rPr>
                <w:rFonts w:ascii="Calibri" w:hAnsi="Calibri"/>
                <w:color w:val="000000"/>
                <w:sz w:val="22"/>
                <w:szCs w:val="22"/>
              </w:rPr>
              <w:tab/>
            </w:r>
          </w:p>
        </w:tc>
        <w:tc>
          <w:tcPr>
            <w:tcW w:w="6779" w:type="dxa"/>
            <w:tcBorders>
              <w:top w:val="nil"/>
              <w:left w:val="nil"/>
              <w:bottom w:val="single" w:sz="4" w:space="0" w:color="auto"/>
              <w:right w:val="single" w:sz="4" w:space="0" w:color="auto"/>
            </w:tcBorders>
            <w:shd w:val="clear" w:color="auto" w:fill="auto"/>
            <w:vAlign w:val="center"/>
          </w:tcPr>
          <w:p w14:paraId="3CE3A739" w14:textId="2090FB35" w:rsidR="00D3719C" w:rsidRPr="002B45EF" w:rsidDel="009A1B02" w:rsidRDefault="00D3719C" w:rsidP="00863B14">
            <w:pPr>
              <w:spacing w:line="480" w:lineRule="auto"/>
              <w:rPr>
                <w:rFonts w:ascii="Calibri" w:hAnsi="Calibri" w:cs="Calibri"/>
                <w:sz w:val="22"/>
                <w:szCs w:val="22"/>
              </w:rPr>
            </w:pPr>
            <w:r w:rsidRPr="000248D5">
              <w:rPr>
                <w:rStyle w:val="Emphasis"/>
                <w:rFonts w:ascii="Calibri" w:hAnsi="Calibri" w:cs="Calibri"/>
                <w:i w:val="0"/>
                <w:iCs w:val="0"/>
                <w:sz w:val="22"/>
                <w:szCs w:val="22"/>
              </w:rPr>
              <w:t>European Commissi</w:t>
            </w:r>
            <w:r w:rsidRPr="00D24AA6">
              <w:rPr>
                <w:rStyle w:val="Emphasis"/>
                <w:rFonts w:ascii="Calibri" w:hAnsi="Calibri" w:cs="Calibri"/>
                <w:i w:val="0"/>
                <w:iCs w:val="0"/>
                <w:sz w:val="22"/>
                <w:szCs w:val="22"/>
              </w:rPr>
              <w:t>on</w:t>
            </w:r>
            <w:r w:rsidRPr="00D24AA6">
              <w:rPr>
                <w:rFonts w:ascii="Calibri" w:hAnsi="Calibri" w:cs="Calibri"/>
                <w:sz w:val="22"/>
                <w:szCs w:val="22"/>
                <w:shd w:val="clear" w:color="auto" w:fill="FFFFFF"/>
              </w:rPr>
              <w:t xml:space="preserve">, </w:t>
            </w:r>
            <w:r w:rsidRPr="00D24AA6">
              <w:rPr>
                <w:rFonts w:ascii="Calibri" w:hAnsi="Calibri" w:cs="Calibri"/>
                <w:sz w:val="22"/>
                <w:szCs w:val="22"/>
              </w:rPr>
              <w:t>DG Internal Market, Industry, Entrepreneurship and SMEs, BREY 07/045, 1049 Brussels, Belgium</w:t>
            </w:r>
          </w:p>
        </w:tc>
      </w:tr>
      <w:tr w:rsidR="00D3719C" w:rsidRPr="00112BEB" w14:paraId="057BA15E" w14:textId="77777777" w:rsidTr="002B5168">
        <w:trPr>
          <w:trHeight w:val="75"/>
        </w:trPr>
        <w:tc>
          <w:tcPr>
            <w:tcW w:w="2835" w:type="dxa"/>
            <w:tcBorders>
              <w:top w:val="nil"/>
              <w:left w:val="single" w:sz="4" w:space="0" w:color="auto"/>
              <w:bottom w:val="single" w:sz="4" w:space="0" w:color="auto"/>
              <w:right w:val="single" w:sz="4" w:space="0" w:color="auto"/>
            </w:tcBorders>
            <w:shd w:val="clear" w:color="auto" w:fill="auto"/>
            <w:vAlign w:val="center"/>
          </w:tcPr>
          <w:p w14:paraId="54F09D8F" w14:textId="10258DDA" w:rsidR="00D3719C" w:rsidRPr="00B219FB" w:rsidRDefault="00D3719C" w:rsidP="00863B14">
            <w:pPr>
              <w:spacing w:line="480" w:lineRule="auto"/>
              <w:rPr>
                <w:rFonts w:ascii="Calibri" w:hAnsi="Calibri"/>
                <w:color w:val="000000"/>
                <w:sz w:val="22"/>
                <w:szCs w:val="22"/>
              </w:rPr>
            </w:pPr>
            <w:r w:rsidRPr="00B219FB">
              <w:rPr>
                <w:rFonts w:ascii="Calibri" w:hAnsi="Calibri"/>
                <w:color w:val="000000"/>
                <w:sz w:val="22"/>
                <w:szCs w:val="22"/>
              </w:rPr>
              <w:t>Anthony Ku</w:t>
            </w:r>
          </w:p>
        </w:tc>
        <w:tc>
          <w:tcPr>
            <w:tcW w:w="6779" w:type="dxa"/>
            <w:tcBorders>
              <w:top w:val="nil"/>
              <w:left w:val="nil"/>
              <w:bottom w:val="single" w:sz="4" w:space="0" w:color="auto"/>
              <w:right w:val="single" w:sz="4" w:space="0" w:color="auto"/>
            </w:tcBorders>
            <w:shd w:val="clear" w:color="auto" w:fill="auto"/>
            <w:vAlign w:val="center"/>
          </w:tcPr>
          <w:p w14:paraId="2DD95416" w14:textId="705D723A" w:rsidR="00D3719C" w:rsidRPr="00D24AA6" w:rsidRDefault="00D3719C" w:rsidP="00863B14">
            <w:pPr>
              <w:spacing w:line="480" w:lineRule="auto"/>
              <w:rPr>
                <w:rFonts w:ascii="Calibri" w:hAnsi="Calibri" w:cs="Calibri"/>
                <w:sz w:val="22"/>
                <w:szCs w:val="22"/>
                <w:lang w:eastAsia="de-DE"/>
              </w:rPr>
            </w:pPr>
            <w:r w:rsidRPr="000248D5">
              <w:rPr>
                <w:rFonts w:ascii="Calibri" w:hAnsi="Calibri" w:cs="Calibri"/>
                <w:sz w:val="22"/>
                <w:szCs w:val="22"/>
                <w:lang w:eastAsia="de-DE"/>
              </w:rPr>
              <w:t xml:space="preserve">NICE America Research, 2091 </w:t>
            </w:r>
            <w:proofErr w:type="spellStart"/>
            <w:r w:rsidRPr="00D24AA6">
              <w:rPr>
                <w:rFonts w:ascii="Calibri" w:hAnsi="Calibri" w:cs="Calibri"/>
                <w:sz w:val="22"/>
                <w:szCs w:val="22"/>
                <w:lang w:eastAsia="de-DE"/>
              </w:rPr>
              <w:t>Stierlin</w:t>
            </w:r>
            <w:proofErr w:type="spellEnd"/>
            <w:r w:rsidRPr="00D24AA6">
              <w:rPr>
                <w:rFonts w:ascii="Calibri" w:hAnsi="Calibri" w:cs="Calibri"/>
                <w:sz w:val="22"/>
                <w:szCs w:val="22"/>
                <w:lang w:eastAsia="de-DE"/>
              </w:rPr>
              <w:t xml:space="preserve"> Ct, Mountain View, CA 94043</w:t>
            </w:r>
          </w:p>
        </w:tc>
      </w:tr>
      <w:tr w:rsidR="00D3719C" w:rsidRPr="00112BEB" w14:paraId="434CF26F" w14:textId="77777777" w:rsidTr="002B5168">
        <w:trPr>
          <w:trHeight w:val="75"/>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34CA7235" w14:textId="77777777" w:rsidR="00D3719C" w:rsidRPr="00B219FB" w:rsidRDefault="00D3719C" w:rsidP="00863B14">
            <w:pPr>
              <w:spacing w:line="480" w:lineRule="auto"/>
              <w:rPr>
                <w:rFonts w:ascii="Calibri" w:hAnsi="Calibri"/>
                <w:color w:val="000000"/>
                <w:sz w:val="22"/>
                <w:szCs w:val="22"/>
              </w:rPr>
            </w:pPr>
            <w:r w:rsidRPr="00B219FB">
              <w:rPr>
                <w:rFonts w:ascii="Calibri" w:hAnsi="Calibri"/>
                <w:color w:val="000000"/>
                <w:sz w:val="22"/>
                <w:szCs w:val="22"/>
              </w:rPr>
              <w:t>Min-Ha Lee</w:t>
            </w:r>
          </w:p>
        </w:tc>
        <w:tc>
          <w:tcPr>
            <w:tcW w:w="6779" w:type="dxa"/>
            <w:tcBorders>
              <w:top w:val="nil"/>
              <w:left w:val="nil"/>
              <w:bottom w:val="single" w:sz="4" w:space="0" w:color="auto"/>
              <w:right w:val="single" w:sz="4" w:space="0" w:color="auto"/>
            </w:tcBorders>
            <w:shd w:val="clear" w:color="auto" w:fill="auto"/>
            <w:vAlign w:val="center"/>
            <w:hideMark/>
          </w:tcPr>
          <w:p w14:paraId="56826BB5" w14:textId="55CAFEC4" w:rsidR="00D3719C" w:rsidRPr="008B12DE" w:rsidRDefault="00D3719C" w:rsidP="00863B14">
            <w:pPr>
              <w:spacing w:line="480" w:lineRule="auto"/>
              <w:rPr>
                <w:rFonts w:ascii="Calibri" w:hAnsi="Calibri" w:cs="Calibri"/>
                <w:sz w:val="22"/>
                <w:szCs w:val="22"/>
              </w:rPr>
            </w:pPr>
            <w:r w:rsidRPr="000248D5">
              <w:rPr>
                <w:rFonts w:ascii="Calibri" w:hAnsi="Calibri" w:cs="Calibri"/>
                <w:sz w:val="22"/>
                <w:szCs w:val="22"/>
              </w:rPr>
              <w:t xml:space="preserve">Korea Institute of Industrial Technology (KITECH), </w:t>
            </w:r>
            <w:r w:rsidRPr="00D24AA6">
              <w:rPr>
                <w:rFonts w:ascii="Calibri" w:eastAsia="Calibri" w:hAnsi="Calibri" w:cs="Calibri"/>
                <w:sz w:val="22"/>
                <w:szCs w:val="22"/>
              </w:rPr>
              <w:t xml:space="preserve">156 </w:t>
            </w:r>
            <w:proofErr w:type="spellStart"/>
            <w:r w:rsidRPr="00D24AA6">
              <w:rPr>
                <w:rFonts w:ascii="Calibri" w:eastAsia="Calibri" w:hAnsi="Calibri" w:cs="Calibri"/>
                <w:sz w:val="22"/>
                <w:szCs w:val="22"/>
              </w:rPr>
              <w:t>Gaetbeol-ro</w:t>
            </w:r>
            <w:proofErr w:type="spellEnd"/>
            <w:r w:rsidRPr="00D24AA6">
              <w:rPr>
                <w:rFonts w:ascii="Calibri" w:eastAsia="Calibri" w:hAnsi="Calibri" w:cs="Calibri"/>
                <w:sz w:val="22"/>
                <w:szCs w:val="22"/>
              </w:rPr>
              <w:t xml:space="preserve">, </w:t>
            </w:r>
            <w:proofErr w:type="spellStart"/>
            <w:r w:rsidRPr="00D24AA6">
              <w:rPr>
                <w:rFonts w:ascii="Calibri" w:eastAsia="Calibri" w:hAnsi="Calibri" w:cs="Calibri"/>
                <w:sz w:val="22"/>
                <w:szCs w:val="22"/>
              </w:rPr>
              <w:t>Yeonsu</w:t>
            </w:r>
            <w:proofErr w:type="spellEnd"/>
            <w:r w:rsidRPr="00D24AA6">
              <w:rPr>
                <w:rFonts w:ascii="Calibri" w:eastAsia="Calibri" w:hAnsi="Calibri" w:cs="Calibri"/>
                <w:sz w:val="22"/>
                <w:szCs w:val="22"/>
              </w:rPr>
              <w:t>-Gu</w:t>
            </w:r>
            <w:r w:rsidRPr="00D24AA6">
              <w:rPr>
                <w:rFonts w:ascii="Calibri" w:hAnsi="Calibri" w:cs="Calibri"/>
                <w:sz w:val="22"/>
                <w:szCs w:val="22"/>
              </w:rPr>
              <w:t xml:space="preserve">, </w:t>
            </w:r>
            <w:r w:rsidRPr="00D24AA6">
              <w:rPr>
                <w:rFonts w:ascii="Calibri" w:eastAsia="Calibri" w:hAnsi="Calibri" w:cs="Calibri"/>
                <w:sz w:val="22"/>
                <w:szCs w:val="22"/>
              </w:rPr>
              <w:t>21999 Incheon</w:t>
            </w:r>
            <w:r w:rsidRPr="008B12DE">
              <w:rPr>
                <w:rFonts w:ascii="Calibri" w:hAnsi="Calibri" w:cs="Calibri"/>
                <w:sz w:val="22"/>
                <w:szCs w:val="22"/>
              </w:rPr>
              <w:t xml:space="preserve">, </w:t>
            </w:r>
            <w:r w:rsidRPr="008B12DE">
              <w:rPr>
                <w:rFonts w:ascii="Calibri" w:eastAsia="Calibri" w:hAnsi="Calibri" w:cs="Calibri"/>
                <w:sz w:val="22"/>
                <w:szCs w:val="22"/>
              </w:rPr>
              <w:t>Republic of Korea</w:t>
            </w:r>
          </w:p>
          <w:p w14:paraId="558C341E" w14:textId="0F7E74F1" w:rsidR="00D3719C" w:rsidRPr="002B45EF" w:rsidRDefault="00D3719C" w:rsidP="00863B14">
            <w:pPr>
              <w:spacing w:line="480" w:lineRule="auto"/>
              <w:rPr>
                <w:rFonts w:ascii="Calibri" w:hAnsi="Calibri" w:cs="Calibri"/>
                <w:sz w:val="22"/>
                <w:szCs w:val="22"/>
              </w:rPr>
            </w:pPr>
          </w:p>
        </w:tc>
      </w:tr>
      <w:tr w:rsidR="00D3719C" w:rsidRPr="00112BEB" w14:paraId="0BD2684D" w14:textId="77777777" w:rsidTr="002B5168">
        <w:trPr>
          <w:trHeight w:val="151"/>
        </w:trPr>
        <w:tc>
          <w:tcPr>
            <w:tcW w:w="2835" w:type="dxa"/>
            <w:tcBorders>
              <w:top w:val="nil"/>
              <w:left w:val="single" w:sz="4" w:space="0" w:color="auto"/>
              <w:bottom w:val="single" w:sz="4" w:space="0" w:color="auto"/>
              <w:right w:val="single" w:sz="4" w:space="0" w:color="auto"/>
            </w:tcBorders>
            <w:shd w:val="clear" w:color="auto" w:fill="auto"/>
          </w:tcPr>
          <w:p w14:paraId="79FD5F91" w14:textId="77777777" w:rsidR="00D3719C" w:rsidRPr="00B219FB" w:rsidRDefault="00D3719C" w:rsidP="00863B14">
            <w:pPr>
              <w:spacing w:line="480" w:lineRule="auto"/>
              <w:rPr>
                <w:rFonts w:ascii="Calibri" w:hAnsi="Calibri"/>
                <w:color w:val="000000"/>
                <w:sz w:val="22"/>
                <w:szCs w:val="22"/>
              </w:rPr>
            </w:pPr>
            <w:r w:rsidRPr="002B5168">
              <w:rPr>
                <w:rFonts w:ascii="Calibri" w:hAnsi="Calibri"/>
                <w:color w:val="000000"/>
                <w:sz w:val="22"/>
                <w:szCs w:val="22"/>
              </w:rPr>
              <w:t>Gang Liu</w:t>
            </w:r>
          </w:p>
        </w:tc>
        <w:tc>
          <w:tcPr>
            <w:tcW w:w="6779" w:type="dxa"/>
            <w:tcBorders>
              <w:top w:val="nil"/>
              <w:left w:val="nil"/>
              <w:bottom w:val="single" w:sz="4" w:space="0" w:color="auto"/>
              <w:right w:val="single" w:sz="4" w:space="0" w:color="auto"/>
            </w:tcBorders>
            <w:shd w:val="clear" w:color="auto" w:fill="auto"/>
          </w:tcPr>
          <w:p w14:paraId="08483650" w14:textId="4BF40505" w:rsidR="00D3719C" w:rsidRPr="00D24AA6" w:rsidRDefault="00D3719C" w:rsidP="00863B14">
            <w:pPr>
              <w:spacing w:line="480" w:lineRule="auto"/>
              <w:rPr>
                <w:rFonts w:ascii="Calibri" w:hAnsi="Calibri" w:cs="Calibri"/>
                <w:sz w:val="22"/>
                <w:szCs w:val="22"/>
                <w:lang w:eastAsia="de-DE"/>
              </w:rPr>
            </w:pPr>
            <w:r w:rsidRPr="000248D5">
              <w:rPr>
                <w:rFonts w:ascii="Calibri" w:hAnsi="Calibri" w:cs="Calibri"/>
                <w:iCs/>
                <w:sz w:val="22"/>
                <w:szCs w:val="22"/>
                <w:lang w:eastAsia="de-DE"/>
              </w:rPr>
              <w:t xml:space="preserve">SDU Life Cycle Engineering, Department of Chemical Engineering, </w:t>
            </w:r>
            <w:r w:rsidRPr="00D24AA6">
              <w:rPr>
                <w:rFonts w:ascii="Calibri" w:hAnsi="Calibri" w:cs="Calibri"/>
                <w:iCs/>
                <w:sz w:val="22"/>
                <w:szCs w:val="22"/>
                <w:lang w:eastAsia="de-DE"/>
              </w:rPr>
              <w:t>Biotechnology, and Environmental Technology, University of Southern Denmark, 5230 Odense, Denmark</w:t>
            </w:r>
          </w:p>
        </w:tc>
      </w:tr>
      <w:tr w:rsidR="00D3719C" w:rsidRPr="00112BEB" w14:paraId="0DAF898A" w14:textId="77777777" w:rsidTr="002B5168">
        <w:trPr>
          <w:trHeight w:val="151"/>
        </w:trPr>
        <w:tc>
          <w:tcPr>
            <w:tcW w:w="2835" w:type="dxa"/>
            <w:tcBorders>
              <w:top w:val="nil"/>
              <w:left w:val="single" w:sz="4" w:space="0" w:color="auto"/>
              <w:bottom w:val="single" w:sz="4" w:space="0" w:color="auto"/>
              <w:right w:val="single" w:sz="4" w:space="0" w:color="auto"/>
            </w:tcBorders>
            <w:shd w:val="clear" w:color="auto" w:fill="auto"/>
          </w:tcPr>
          <w:p w14:paraId="7FD087D0" w14:textId="2079C097" w:rsidR="00D3719C" w:rsidRPr="002B5168" w:rsidRDefault="00D3719C" w:rsidP="00863B14">
            <w:pPr>
              <w:spacing w:line="480" w:lineRule="auto"/>
              <w:rPr>
                <w:rFonts w:ascii="Calibri" w:hAnsi="Calibri"/>
                <w:color w:val="000000"/>
                <w:sz w:val="22"/>
                <w:szCs w:val="22"/>
              </w:rPr>
            </w:pPr>
            <w:r w:rsidRPr="002B5168">
              <w:rPr>
                <w:rFonts w:ascii="Calibri" w:hAnsi="Calibri"/>
                <w:color w:val="000000"/>
                <w:sz w:val="22"/>
                <w:szCs w:val="22"/>
              </w:rPr>
              <w:t xml:space="preserve">Keisuke </w:t>
            </w:r>
            <w:proofErr w:type="spellStart"/>
            <w:r w:rsidRPr="002B5168">
              <w:rPr>
                <w:rFonts w:ascii="Calibri" w:hAnsi="Calibri"/>
                <w:color w:val="000000"/>
                <w:sz w:val="22"/>
                <w:szCs w:val="22"/>
              </w:rPr>
              <w:t>Nansai</w:t>
            </w:r>
            <w:proofErr w:type="spellEnd"/>
          </w:p>
        </w:tc>
        <w:tc>
          <w:tcPr>
            <w:tcW w:w="6779" w:type="dxa"/>
            <w:tcBorders>
              <w:top w:val="nil"/>
              <w:left w:val="nil"/>
              <w:bottom w:val="single" w:sz="4" w:space="0" w:color="auto"/>
              <w:right w:val="single" w:sz="4" w:space="0" w:color="auto"/>
            </w:tcBorders>
            <w:shd w:val="clear" w:color="auto" w:fill="auto"/>
          </w:tcPr>
          <w:p w14:paraId="7DF72767" w14:textId="62A46867" w:rsidR="00D3719C" w:rsidRPr="00D24AA6" w:rsidRDefault="00D3719C" w:rsidP="00863B14">
            <w:pPr>
              <w:spacing w:line="480" w:lineRule="auto"/>
              <w:rPr>
                <w:rFonts w:ascii="Calibri" w:hAnsi="Calibri"/>
                <w:sz w:val="22"/>
                <w:szCs w:val="22"/>
              </w:rPr>
            </w:pPr>
            <w:r w:rsidRPr="000248D5">
              <w:rPr>
                <w:rFonts w:ascii="Calibri" w:hAnsi="Calibri"/>
                <w:sz w:val="22"/>
                <w:szCs w:val="22"/>
              </w:rPr>
              <w:t>National Institute for E</w:t>
            </w:r>
            <w:r w:rsidRPr="00D24AA6">
              <w:rPr>
                <w:rFonts w:ascii="Calibri" w:hAnsi="Calibri"/>
                <w:sz w:val="22"/>
                <w:szCs w:val="22"/>
              </w:rPr>
              <w:t xml:space="preserve">nvironmental Studies, 16-2 </w:t>
            </w:r>
            <w:proofErr w:type="spellStart"/>
            <w:r w:rsidRPr="00D24AA6">
              <w:rPr>
                <w:rFonts w:ascii="Calibri" w:hAnsi="Calibri"/>
                <w:sz w:val="22"/>
                <w:szCs w:val="22"/>
              </w:rPr>
              <w:t>Onogawa</w:t>
            </w:r>
            <w:proofErr w:type="spellEnd"/>
            <w:r w:rsidRPr="00D24AA6">
              <w:rPr>
                <w:rFonts w:ascii="Calibri" w:hAnsi="Calibri"/>
                <w:sz w:val="22"/>
                <w:szCs w:val="22"/>
              </w:rPr>
              <w:t xml:space="preserve"> Tsukuba 305-8506, Japan</w:t>
            </w:r>
          </w:p>
        </w:tc>
      </w:tr>
      <w:tr w:rsidR="00D3719C" w:rsidRPr="00112BEB" w14:paraId="5F1027F9" w14:textId="77777777" w:rsidTr="002B5168">
        <w:trPr>
          <w:trHeight w:val="151"/>
        </w:trPr>
        <w:tc>
          <w:tcPr>
            <w:tcW w:w="2835" w:type="dxa"/>
            <w:tcBorders>
              <w:top w:val="nil"/>
              <w:left w:val="single" w:sz="4" w:space="0" w:color="auto"/>
              <w:bottom w:val="single" w:sz="4" w:space="0" w:color="auto"/>
              <w:right w:val="single" w:sz="4" w:space="0" w:color="auto"/>
            </w:tcBorders>
            <w:shd w:val="clear" w:color="auto" w:fill="auto"/>
            <w:vAlign w:val="center"/>
          </w:tcPr>
          <w:p w14:paraId="448D228E" w14:textId="77777777" w:rsidR="00D3719C" w:rsidRPr="002B5168" w:rsidRDefault="00D3719C" w:rsidP="00863B14">
            <w:pPr>
              <w:spacing w:line="480" w:lineRule="auto"/>
              <w:rPr>
                <w:rFonts w:ascii="Calibri" w:hAnsi="Calibri"/>
                <w:color w:val="000000"/>
                <w:sz w:val="22"/>
                <w:szCs w:val="22"/>
              </w:rPr>
            </w:pPr>
            <w:r w:rsidRPr="002B5168">
              <w:rPr>
                <w:rFonts w:ascii="Calibri" w:hAnsi="Calibri"/>
                <w:color w:val="000000"/>
                <w:sz w:val="22"/>
                <w:szCs w:val="22"/>
              </w:rPr>
              <w:t xml:space="preserve">Philip </w:t>
            </w:r>
            <w:proofErr w:type="spellStart"/>
            <w:r w:rsidRPr="002B5168">
              <w:rPr>
                <w:rFonts w:ascii="Calibri" w:hAnsi="Calibri"/>
                <w:color w:val="000000"/>
                <w:sz w:val="22"/>
                <w:szCs w:val="22"/>
              </w:rPr>
              <w:t>Nuss</w:t>
            </w:r>
            <w:proofErr w:type="spellEnd"/>
          </w:p>
        </w:tc>
        <w:tc>
          <w:tcPr>
            <w:tcW w:w="6779" w:type="dxa"/>
            <w:tcBorders>
              <w:top w:val="nil"/>
              <w:left w:val="nil"/>
              <w:bottom w:val="single" w:sz="4" w:space="0" w:color="auto"/>
              <w:right w:val="single" w:sz="4" w:space="0" w:color="auto"/>
            </w:tcBorders>
            <w:shd w:val="clear" w:color="auto" w:fill="auto"/>
            <w:vAlign w:val="center"/>
          </w:tcPr>
          <w:p w14:paraId="75736DEF" w14:textId="3401B677" w:rsidR="00D3719C" w:rsidRPr="00D24AA6" w:rsidRDefault="00E758EB" w:rsidP="00863B14">
            <w:pPr>
              <w:spacing w:line="480" w:lineRule="auto"/>
              <w:rPr>
                <w:rFonts w:ascii="Calibri" w:hAnsi="Calibri" w:cs="Calibri"/>
                <w:sz w:val="22"/>
                <w:szCs w:val="22"/>
              </w:rPr>
            </w:pPr>
            <w:r>
              <w:rPr>
                <w:rFonts w:ascii="Calibri" w:hAnsi="Calibri"/>
                <w:color w:val="000000"/>
              </w:rPr>
              <w:t>German Environment Agency (</w:t>
            </w:r>
            <w:r w:rsidRPr="00112BEB">
              <w:rPr>
                <w:rFonts w:ascii="Calibri" w:hAnsi="Calibri"/>
                <w:color w:val="000000"/>
              </w:rPr>
              <w:t>UBA</w:t>
            </w:r>
            <w:r>
              <w:rPr>
                <w:rFonts w:ascii="Calibri" w:hAnsi="Calibri"/>
                <w:color w:val="000000"/>
              </w:rPr>
              <w:t xml:space="preserve">), </w:t>
            </w:r>
            <w:r w:rsidRPr="00BA74C6">
              <w:rPr>
                <w:rFonts w:ascii="Calibri" w:hAnsi="Calibri" w:hint="eastAsia"/>
                <w:color w:val="000000"/>
              </w:rPr>
              <w:t>Unit I1.1 - Fundamental Aspects, Sustainability Strategies and Scenarios, Sustainable Resource Use</w:t>
            </w:r>
            <w:r>
              <w:rPr>
                <w:rFonts w:ascii="Calibri" w:hAnsi="Calibri"/>
                <w:color w:val="000000"/>
              </w:rPr>
              <w:t xml:space="preserve">, </w:t>
            </w:r>
            <w:proofErr w:type="spellStart"/>
            <w:r w:rsidRPr="00BA74C6">
              <w:rPr>
                <w:rFonts w:ascii="Calibri" w:hAnsi="Calibri" w:hint="eastAsia"/>
                <w:color w:val="000000"/>
              </w:rPr>
              <w:t>Woerlitzer</w:t>
            </w:r>
            <w:proofErr w:type="spellEnd"/>
            <w:r w:rsidRPr="00BA74C6">
              <w:rPr>
                <w:rFonts w:ascii="Calibri" w:hAnsi="Calibri" w:hint="eastAsia"/>
                <w:color w:val="000000"/>
              </w:rPr>
              <w:t xml:space="preserve"> Platz 1</w:t>
            </w:r>
            <w:r w:rsidRPr="00BA74C6">
              <w:rPr>
                <w:rFonts w:ascii="Calibri" w:hAnsi="Calibri"/>
                <w:color w:val="000000"/>
              </w:rPr>
              <w:t xml:space="preserve">, </w:t>
            </w:r>
            <w:r w:rsidRPr="00BA74C6">
              <w:rPr>
                <w:rFonts w:ascii="Calibri" w:hAnsi="Calibri" w:hint="eastAsia"/>
                <w:color w:val="000000"/>
              </w:rPr>
              <w:t>06844 Dessau-</w:t>
            </w:r>
            <w:proofErr w:type="spellStart"/>
            <w:r w:rsidRPr="00BA74C6">
              <w:rPr>
                <w:rFonts w:ascii="Calibri" w:hAnsi="Calibri" w:hint="eastAsia"/>
                <w:color w:val="000000"/>
              </w:rPr>
              <w:t>Rosslau</w:t>
            </w:r>
            <w:proofErr w:type="spellEnd"/>
            <w:r w:rsidRPr="00BA74C6">
              <w:rPr>
                <w:rFonts w:ascii="Calibri" w:hAnsi="Calibri"/>
                <w:color w:val="000000"/>
              </w:rPr>
              <w:t xml:space="preserve">, </w:t>
            </w:r>
            <w:r w:rsidRPr="00BA74C6">
              <w:rPr>
                <w:rFonts w:ascii="Calibri" w:hAnsi="Calibri" w:hint="eastAsia"/>
                <w:color w:val="000000"/>
              </w:rPr>
              <w:t>Germany</w:t>
            </w:r>
            <w:r>
              <w:rPr>
                <w:rFonts w:ascii="Calibri" w:hAnsi="Calibri"/>
                <w:color w:val="000000"/>
              </w:rPr>
              <w:t>, Email: philip@nuss.me</w:t>
            </w:r>
          </w:p>
        </w:tc>
      </w:tr>
      <w:tr w:rsidR="00D3719C" w:rsidRPr="00112BEB" w14:paraId="39CDF76A" w14:textId="77777777" w:rsidTr="002B5168">
        <w:trPr>
          <w:trHeight w:val="151"/>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09DA5334" w14:textId="77777777" w:rsidR="00D3719C" w:rsidRPr="00B219FB" w:rsidRDefault="00D3719C" w:rsidP="00863B14">
            <w:pPr>
              <w:spacing w:line="480" w:lineRule="auto"/>
              <w:rPr>
                <w:rFonts w:ascii="Calibri" w:hAnsi="Calibri" w:cs="Calibri"/>
                <w:color w:val="000000"/>
                <w:sz w:val="22"/>
                <w:szCs w:val="22"/>
              </w:rPr>
            </w:pPr>
            <w:r w:rsidRPr="00B219FB">
              <w:rPr>
                <w:rFonts w:ascii="Calibri" w:hAnsi="Calibri" w:cs="Calibri"/>
                <w:color w:val="000000"/>
                <w:sz w:val="22"/>
                <w:szCs w:val="22"/>
              </w:rPr>
              <w:t>David Peck</w:t>
            </w:r>
          </w:p>
        </w:tc>
        <w:tc>
          <w:tcPr>
            <w:tcW w:w="6779" w:type="dxa"/>
            <w:tcBorders>
              <w:top w:val="nil"/>
              <w:left w:val="nil"/>
              <w:bottom w:val="single" w:sz="4" w:space="0" w:color="auto"/>
              <w:right w:val="single" w:sz="4" w:space="0" w:color="auto"/>
            </w:tcBorders>
            <w:shd w:val="clear" w:color="auto" w:fill="auto"/>
            <w:vAlign w:val="center"/>
            <w:hideMark/>
          </w:tcPr>
          <w:p w14:paraId="17B699E8" w14:textId="43A1280C" w:rsidR="00D3719C" w:rsidRPr="008B12DE" w:rsidRDefault="00D3719C" w:rsidP="00863B14">
            <w:pPr>
              <w:spacing w:line="480" w:lineRule="auto"/>
              <w:rPr>
                <w:rFonts w:ascii="Calibri" w:hAnsi="Calibri" w:cs="Calibri"/>
                <w:sz w:val="22"/>
                <w:szCs w:val="22"/>
              </w:rPr>
            </w:pPr>
            <w:r w:rsidRPr="00DE4961">
              <w:rPr>
                <w:rFonts w:ascii="Calibri" w:hAnsi="Calibri" w:cs="Calibri"/>
                <w:sz w:val="22"/>
                <w:szCs w:val="22"/>
              </w:rPr>
              <w:t xml:space="preserve">Delft University of Technology, </w:t>
            </w:r>
            <w:r w:rsidRPr="00DE4961">
              <w:rPr>
                <w:rFonts w:ascii="Calibri" w:hAnsi="Calibri" w:cs="Calibri"/>
                <w:sz w:val="22"/>
                <w:szCs w:val="22"/>
                <w:shd w:val="clear" w:color="auto" w:fill="FFFFFF"/>
              </w:rPr>
              <w:t xml:space="preserve">Faculty of Architecture and the Built Environment, </w:t>
            </w:r>
            <w:r w:rsidRPr="00DE4961">
              <w:rPr>
                <w:rFonts w:ascii="Calibri" w:hAnsi="Calibri" w:cs="Calibri"/>
                <w:sz w:val="22"/>
                <w:szCs w:val="22"/>
              </w:rPr>
              <w:t>Architectural Engineering and Technology,</w:t>
            </w:r>
            <w:r w:rsidRPr="00DE4961">
              <w:rPr>
                <w:rFonts w:ascii="Calibri" w:hAnsi="Calibri" w:cs="Calibri"/>
                <w:sz w:val="22"/>
                <w:szCs w:val="22"/>
                <w:shd w:val="clear" w:color="auto" w:fill="FFFFFF"/>
              </w:rPr>
              <w:t xml:space="preserve"> Building 8, </w:t>
            </w:r>
            <w:r w:rsidRPr="00DE4961">
              <w:rPr>
                <w:rFonts w:ascii="Calibri" w:hAnsi="Calibri" w:cs="Calibri"/>
                <w:sz w:val="22"/>
                <w:szCs w:val="22"/>
              </w:rPr>
              <w:t xml:space="preserve">Delft University of Technology (TU Delft), </w:t>
            </w:r>
            <w:proofErr w:type="spellStart"/>
            <w:r w:rsidRPr="00DE4961">
              <w:rPr>
                <w:rFonts w:ascii="Calibri" w:hAnsi="Calibri" w:cs="Calibri"/>
                <w:sz w:val="22"/>
                <w:szCs w:val="22"/>
              </w:rPr>
              <w:t>Julianalaan</w:t>
            </w:r>
            <w:proofErr w:type="spellEnd"/>
            <w:r w:rsidRPr="00DE4961">
              <w:rPr>
                <w:rFonts w:ascii="Calibri" w:hAnsi="Calibri" w:cs="Calibri"/>
                <w:sz w:val="22"/>
                <w:szCs w:val="22"/>
              </w:rPr>
              <w:t xml:space="preserve"> 134, 2628BL, </w:t>
            </w:r>
            <w:r w:rsidRPr="00DE4961">
              <w:rPr>
                <w:rStyle w:val="apple-converted-space"/>
                <w:rFonts w:ascii="Calibri" w:hAnsi="Calibri" w:cs="Calibri"/>
                <w:sz w:val="22"/>
                <w:szCs w:val="22"/>
              </w:rPr>
              <w:t> </w:t>
            </w:r>
            <w:r w:rsidRPr="00DE4961">
              <w:rPr>
                <w:rFonts w:ascii="Calibri" w:hAnsi="Calibri" w:cs="Calibri"/>
                <w:sz w:val="22"/>
                <w:szCs w:val="22"/>
              </w:rPr>
              <w:t>The Netherlands</w:t>
            </w:r>
          </w:p>
        </w:tc>
      </w:tr>
      <w:tr w:rsidR="00D3719C" w:rsidRPr="00B4107A" w14:paraId="5DA3516F" w14:textId="77777777" w:rsidTr="002B5168">
        <w:trPr>
          <w:trHeight w:val="151"/>
        </w:trPr>
        <w:tc>
          <w:tcPr>
            <w:tcW w:w="2835" w:type="dxa"/>
            <w:tcBorders>
              <w:top w:val="nil"/>
              <w:left w:val="single" w:sz="4" w:space="0" w:color="auto"/>
              <w:bottom w:val="single" w:sz="4" w:space="0" w:color="auto"/>
              <w:right w:val="single" w:sz="4" w:space="0" w:color="auto"/>
            </w:tcBorders>
            <w:shd w:val="clear" w:color="auto" w:fill="auto"/>
            <w:vAlign w:val="center"/>
          </w:tcPr>
          <w:p w14:paraId="5FC653DD" w14:textId="366A25E7" w:rsidR="00D3719C" w:rsidRPr="00B219FB" w:rsidRDefault="00D3719C" w:rsidP="00863B14">
            <w:pPr>
              <w:spacing w:line="480" w:lineRule="auto"/>
              <w:rPr>
                <w:rFonts w:ascii="Calibri" w:hAnsi="Calibri" w:cs="Calibri"/>
                <w:color w:val="000000"/>
                <w:sz w:val="22"/>
                <w:szCs w:val="22"/>
              </w:rPr>
            </w:pPr>
            <w:r w:rsidRPr="00B219FB">
              <w:rPr>
                <w:rFonts w:ascii="Calibri" w:hAnsi="Calibri" w:cs="Calibri"/>
                <w:color w:val="000000"/>
                <w:sz w:val="22"/>
                <w:szCs w:val="22"/>
              </w:rPr>
              <w:lastRenderedPageBreak/>
              <w:t>Armin Reller</w:t>
            </w:r>
          </w:p>
        </w:tc>
        <w:tc>
          <w:tcPr>
            <w:tcW w:w="6779" w:type="dxa"/>
            <w:tcBorders>
              <w:top w:val="nil"/>
              <w:left w:val="nil"/>
              <w:bottom w:val="single" w:sz="4" w:space="0" w:color="auto"/>
              <w:right w:val="single" w:sz="4" w:space="0" w:color="auto"/>
            </w:tcBorders>
            <w:shd w:val="clear" w:color="auto" w:fill="auto"/>
            <w:vAlign w:val="center"/>
          </w:tcPr>
          <w:p w14:paraId="05BE8BFB" w14:textId="41EBDD89" w:rsidR="00D3719C" w:rsidRPr="00D24AA6" w:rsidRDefault="00D3719C" w:rsidP="00863B14">
            <w:pPr>
              <w:pStyle w:val="ListParagraph"/>
              <w:numPr>
                <w:ilvl w:val="0"/>
                <w:numId w:val="49"/>
              </w:numPr>
              <w:spacing w:after="0" w:line="480" w:lineRule="auto"/>
              <w:rPr>
                <w:rFonts w:ascii="Calibri" w:eastAsia="Times New Roman" w:hAnsi="Calibri" w:cs="Calibri"/>
              </w:rPr>
            </w:pPr>
            <w:r w:rsidRPr="000248D5">
              <w:rPr>
                <w:rFonts w:ascii="Calibri" w:hAnsi="Calibri" w:cs="Calibri"/>
                <w:shd w:val="clear" w:color="auto" w:fill="FFFFFF"/>
              </w:rPr>
              <w:t>Institute for Materials Resource Management</w:t>
            </w:r>
            <w:r w:rsidR="007B060A">
              <w:rPr>
                <w:rFonts w:ascii="Calibri" w:hAnsi="Calibri" w:cs="Calibri"/>
                <w:shd w:val="clear" w:color="auto" w:fill="FFFFFF"/>
              </w:rPr>
              <w:t>/Resource Lab</w:t>
            </w:r>
            <w:r w:rsidRPr="000248D5">
              <w:rPr>
                <w:rFonts w:ascii="Calibri" w:hAnsi="Calibri" w:cs="Calibri"/>
                <w:shd w:val="clear" w:color="auto" w:fill="FFFFFF"/>
              </w:rPr>
              <w:t xml:space="preserve">, </w:t>
            </w:r>
            <w:proofErr w:type="spellStart"/>
            <w:r w:rsidRPr="000248D5">
              <w:rPr>
                <w:rFonts w:ascii="Calibri" w:hAnsi="Calibri" w:cs="Calibri"/>
                <w:shd w:val="clear" w:color="auto" w:fill="FFFFFF"/>
              </w:rPr>
              <w:t>Universitätsstr</w:t>
            </w:r>
            <w:proofErr w:type="spellEnd"/>
            <w:r w:rsidRPr="000248D5">
              <w:rPr>
                <w:rFonts w:ascii="Calibri" w:hAnsi="Calibri" w:cs="Calibri"/>
                <w:shd w:val="clear" w:color="auto" w:fill="FFFFFF"/>
              </w:rPr>
              <w:t xml:space="preserve">. 1a, </w:t>
            </w:r>
            <w:r w:rsidRPr="00D24AA6">
              <w:rPr>
                <w:rFonts w:ascii="Calibri" w:eastAsia="Times New Roman" w:hAnsi="Calibri" w:cs="Calibri"/>
              </w:rPr>
              <w:t xml:space="preserve">University of Augsburg, </w:t>
            </w:r>
            <w:r w:rsidRPr="00D24AA6">
              <w:rPr>
                <w:rFonts w:ascii="Calibri" w:hAnsi="Calibri" w:cs="Calibri"/>
                <w:shd w:val="clear" w:color="auto" w:fill="FFFFFF"/>
              </w:rPr>
              <w:t xml:space="preserve">86159 Augsburg, </w:t>
            </w:r>
            <w:proofErr w:type="spellStart"/>
            <w:r w:rsidRPr="00D24AA6">
              <w:rPr>
                <w:rFonts w:ascii="Calibri" w:hAnsi="Calibri" w:cs="Calibri"/>
                <w:shd w:val="clear" w:color="auto" w:fill="FFFFFF"/>
              </w:rPr>
              <w:t>Gemany</w:t>
            </w:r>
            <w:proofErr w:type="spellEnd"/>
          </w:p>
          <w:p w14:paraId="568C40EB" w14:textId="53C560D1" w:rsidR="00D3719C" w:rsidRPr="00DE4961" w:rsidRDefault="00D3719C" w:rsidP="00863B14">
            <w:pPr>
              <w:pStyle w:val="ListParagraph"/>
              <w:numPr>
                <w:ilvl w:val="0"/>
                <w:numId w:val="49"/>
              </w:numPr>
              <w:spacing w:after="0" w:line="480" w:lineRule="auto"/>
              <w:rPr>
                <w:rFonts w:ascii="Calibri" w:hAnsi="Calibri" w:cs="Calibri"/>
                <w:lang w:val="de-CH"/>
              </w:rPr>
            </w:pPr>
            <w:r w:rsidRPr="00DE4961">
              <w:rPr>
                <w:rFonts w:ascii="Calibri" w:eastAsia="Times New Roman" w:hAnsi="Calibri" w:cs="Calibri"/>
                <w:lang w:val="de-CH"/>
              </w:rPr>
              <w:t xml:space="preserve">ESM </w:t>
            </w:r>
            <w:proofErr w:type="spellStart"/>
            <w:r w:rsidRPr="00DE4961">
              <w:rPr>
                <w:rFonts w:ascii="Calibri" w:eastAsia="Times New Roman" w:hAnsi="Calibri" w:cs="Calibri"/>
                <w:lang w:val="de-CH"/>
              </w:rPr>
              <w:t>Foundation</w:t>
            </w:r>
            <w:proofErr w:type="spellEnd"/>
            <w:r w:rsidRPr="00DE4961">
              <w:rPr>
                <w:rFonts w:ascii="Calibri" w:eastAsia="Times New Roman" w:hAnsi="Calibri" w:cs="Calibri"/>
                <w:lang w:val="de-CH"/>
              </w:rPr>
              <w:t xml:space="preserve">, </w:t>
            </w:r>
            <w:proofErr w:type="spellStart"/>
            <w:r w:rsidRPr="00DE4961">
              <w:rPr>
                <w:rFonts w:ascii="Calibri" w:eastAsia="Times New Roman" w:hAnsi="Calibri" w:cs="Calibri"/>
                <w:lang w:val="de-CH"/>
              </w:rPr>
              <w:t>Junkerngasse</w:t>
            </w:r>
            <w:proofErr w:type="spellEnd"/>
            <w:r w:rsidRPr="00DE4961">
              <w:rPr>
                <w:rFonts w:ascii="Calibri" w:eastAsia="Times New Roman" w:hAnsi="Calibri" w:cs="Calibri"/>
                <w:lang w:val="de-CH"/>
              </w:rPr>
              <w:t xml:space="preserve"> 56, 3011 Bern, </w:t>
            </w:r>
            <w:proofErr w:type="spellStart"/>
            <w:r w:rsidRPr="00DE4961">
              <w:rPr>
                <w:rFonts w:ascii="Calibri" w:eastAsia="Times New Roman" w:hAnsi="Calibri" w:cs="Calibri"/>
                <w:lang w:val="de-CH"/>
              </w:rPr>
              <w:t>Switzerland</w:t>
            </w:r>
            <w:proofErr w:type="spellEnd"/>
          </w:p>
        </w:tc>
      </w:tr>
      <w:tr w:rsidR="00D3719C" w:rsidRPr="00112BEB" w14:paraId="3E572496" w14:textId="77777777" w:rsidTr="002B5168">
        <w:trPr>
          <w:trHeight w:val="151"/>
        </w:trPr>
        <w:tc>
          <w:tcPr>
            <w:tcW w:w="2835" w:type="dxa"/>
            <w:tcBorders>
              <w:top w:val="nil"/>
              <w:left w:val="single" w:sz="4" w:space="0" w:color="auto"/>
              <w:bottom w:val="single" w:sz="4" w:space="0" w:color="auto"/>
              <w:right w:val="single" w:sz="4" w:space="0" w:color="auto"/>
            </w:tcBorders>
            <w:shd w:val="clear" w:color="auto" w:fill="auto"/>
            <w:vAlign w:val="center"/>
          </w:tcPr>
          <w:p w14:paraId="0A1086AB" w14:textId="207791E9" w:rsidR="00D3719C" w:rsidRPr="00B219FB" w:rsidRDefault="00D3719C" w:rsidP="00863B14">
            <w:pPr>
              <w:spacing w:line="480" w:lineRule="auto"/>
              <w:rPr>
                <w:rFonts w:ascii="Calibri" w:hAnsi="Calibri" w:cs="Calibri"/>
                <w:color w:val="000000"/>
                <w:sz w:val="22"/>
                <w:szCs w:val="22"/>
              </w:rPr>
            </w:pPr>
            <w:r w:rsidRPr="00B219FB">
              <w:rPr>
                <w:rFonts w:ascii="Calibri" w:hAnsi="Calibri" w:cs="Calibri"/>
                <w:color w:val="000000"/>
                <w:sz w:val="22"/>
                <w:szCs w:val="22"/>
              </w:rPr>
              <w:t xml:space="preserve">Guido </w:t>
            </w:r>
            <w:proofErr w:type="spellStart"/>
            <w:r w:rsidRPr="00B219FB">
              <w:rPr>
                <w:rFonts w:ascii="Calibri" w:hAnsi="Calibri" w:cs="Calibri"/>
                <w:color w:val="000000"/>
                <w:sz w:val="22"/>
                <w:szCs w:val="22"/>
              </w:rPr>
              <w:t>Sonnemann</w:t>
            </w:r>
            <w:proofErr w:type="spellEnd"/>
          </w:p>
        </w:tc>
        <w:tc>
          <w:tcPr>
            <w:tcW w:w="6779" w:type="dxa"/>
            <w:tcBorders>
              <w:top w:val="nil"/>
              <w:left w:val="nil"/>
              <w:bottom w:val="single" w:sz="4" w:space="0" w:color="auto"/>
              <w:right w:val="single" w:sz="4" w:space="0" w:color="auto"/>
            </w:tcBorders>
            <w:shd w:val="clear" w:color="auto" w:fill="auto"/>
            <w:vAlign w:val="center"/>
          </w:tcPr>
          <w:p w14:paraId="79BF878A" w14:textId="7AB6EB2E" w:rsidR="00D3719C" w:rsidRPr="00F136C3" w:rsidRDefault="00D3719C" w:rsidP="00863B14">
            <w:pPr>
              <w:pStyle w:val="ListParagraph"/>
              <w:numPr>
                <w:ilvl w:val="0"/>
                <w:numId w:val="52"/>
              </w:numPr>
              <w:spacing w:after="0" w:line="480" w:lineRule="auto"/>
              <w:rPr>
                <w:rFonts w:ascii="Calibri" w:hAnsi="Calibri" w:cs="Calibri"/>
                <w:lang w:val="fr-FR"/>
              </w:rPr>
            </w:pPr>
            <w:r w:rsidRPr="00F136C3">
              <w:rPr>
                <w:rFonts w:ascii="Calibri" w:eastAsia="Times New Roman" w:hAnsi="Calibri" w:cs="Calibri"/>
                <w:lang w:val="fr-FR"/>
              </w:rPr>
              <w:t>Univ. Bordeaux, ISM, UMR 5255, F-33400 Talence, France</w:t>
            </w:r>
          </w:p>
          <w:p w14:paraId="370B0F4F" w14:textId="0015F20F" w:rsidR="00D3719C" w:rsidRPr="00F136C3" w:rsidRDefault="00D3719C" w:rsidP="00863B14">
            <w:pPr>
              <w:pStyle w:val="ListParagraph"/>
              <w:numPr>
                <w:ilvl w:val="0"/>
                <w:numId w:val="52"/>
              </w:numPr>
              <w:spacing w:after="0" w:line="480" w:lineRule="auto"/>
              <w:rPr>
                <w:rFonts w:ascii="Calibri" w:hAnsi="Calibri" w:cs="Calibri"/>
              </w:rPr>
            </w:pPr>
            <w:r w:rsidRPr="00F136C3">
              <w:rPr>
                <w:rFonts w:ascii="Calibri" w:eastAsia="Times New Roman" w:hAnsi="Calibri" w:cs="Calibri"/>
              </w:rPr>
              <w:t xml:space="preserve">CNRS, ISM, UMR 5255, F-33400 </w:t>
            </w:r>
            <w:proofErr w:type="spellStart"/>
            <w:r w:rsidRPr="00F136C3">
              <w:rPr>
                <w:rFonts w:ascii="Calibri" w:eastAsia="Times New Roman" w:hAnsi="Calibri" w:cs="Calibri"/>
              </w:rPr>
              <w:t>Talence</w:t>
            </w:r>
            <w:proofErr w:type="spellEnd"/>
            <w:r w:rsidRPr="00F136C3">
              <w:rPr>
                <w:rFonts w:ascii="Calibri" w:eastAsia="Times New Roman" w:hAnsi="Calibri" w:cs="Calibri"/>
              </w:rPr>
              <w:t>, France</w:t>
            </w:r>
          </w:p>
        </w:tc>
      </w:tr>
      <w:tr w:rsidR="00D3719C" w:rsidRPr="003C633E" w14:paraId="19B0E3B2" w14:textId="77777777" w:rsidTr="002B5168">
        <w:trPr>
          <w:trHeight w:val="151"/>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74A41B11" w14:textId="77777777" w:rsidR="00D3719C" w:rsidRPr="00B219FB" w:rsidRDefault="00D3719C" w:rsidP="00863B14">
            <w:pPr>
              <w:spacing w:line="480" w:lineRule="auto"/>
              <w:rPr>
                <w:rFonts w:ascii="Calibri" w:hAnsi="Calibri" w:cs="Calibri"/>
                <w:color w:val="000000"/>
                <w:sz w:val="22"/>
                <w:szCs w:val="22"/>
              </w:rPr>
            </w:pPr>
            <w:r w:rsidRPr="00B219FB">
              <w:rPr>
                <w:rFonts w:ascii="Calibri" w:hAnsi="Calibri" w:cs="Calibri"/>
                <w:color w:val="000000"/>
                <w:sz w:val="22"/>
                <w:szCs w:val="22"/>
              </w:rPr>
              <w:t xml:space="preserve">Luis </w:t>
            </w:r>
            <w:proofErr w:type="spellStart"/>
            <w:r w:rsidRPr="00B219FB">
              <w:rPr>
                <w:rFonts w:ascii="Calibri" w:hAnsi="Calibri" w:cs="Calibri"/>
                <w:color w:val="000000"/>
                <w:sz w:val="22"/>
                <w:szCs w:val="22"/>
              </w:rPr>
              <w:t>Tercero</w:t>
            </w:r>
            <w:proofErr w:type="spellEnd"/>
          </w:p>
        </w:tc>
        <w:tc>
          <w:tcPr>
            <w:tcW w:w="6779" w:type="dxa"/>
            <w:tcBorders>
              <w:top w:val="nil"/>
              <w:left w:val="nil"/>
              <w:bottom w:val="single" w:sz="4" w:space="0" w:color="auto"/>
              <w:right w:val="single" w:sz="4" w:space="0" w:color="auto"/>
            </w:tcBorders>
            <w:shd w:val="clear" w:color="auto" w:fill="auto"/>
            <w:vAlign w:val="center"/>
            <w:hideMark/>
          </w:tcPr>
          <w:p w14:paraId="67E67536" w14:textId="77777777" w:rsidR="00D3719C" w:rsidRPr="00F136C3" w:rsidRDefault="00D3719C" w:rsidP="00863B14">
            <w:pPr>
              <w:pStyle w:val="ListParagraph"/>
              <w:numPr>
                <w:ilvl w:val="0"/>
                <w:numId w:val="54"/>
              </w:numPr>
              <w:spacing w:line="480" w:lineRule="auto"/>
              <w:rPr>
                <w:rFonts w:ascii="Calibri" w:hAnsi="Calibri" w:cs="Calibri"/>
              </w:rPr>
            </w:pPr>
            <w:r w:rsidRPr="00F136C3">
              <w:rPr>
                <w:rFonts w:ascii="Calibri" w:hAnsi="Calibri" w:cs="Calibri"/>
              </w:rPr>
              <w:t>Fraunhofer Institute for Systems and Innovation Research ISI. Business Unit Systemic Risks, </w:t>
            </w:r>
            <w:proofErr w:type="spellStart"/>
            <w:r w:rsidRPr="00F136C3">
              <w:rPr>
                <w:rFonts w:ascii="Calibri" w:hAnsi="Calibri" w:cs="Calibri"/>
              </w:rPr>
              <w:t>Breslauer</w:t>
            </w:r>
            <w:proofErr w:type="spellEnd"/>
            <w:r w:rsidRPr="00F136C3">
              <w:rPr>
                <w:rFonts w:ascii="Calibri" w:hAnsi="Calibri" w:cs="Calibri"/>
              </w:rPr>
              <w:t xml:space="preserve"> </w:t>
            </w:r>
            <w:proofErr w:type="spellStart"/>
            <w:r w:rsidRPr="00F136C3">
              <w:rPr>
                <w:rFonts w:ascii="Calibri" w:hAnsi="Calibri" w:cs="Calibri"/>
              </w:rPr>
              <w:t>Straße</w:t>
            </w:r>
            <w:proofErr w:type="spellEnd"/>
            <w:r w:rsidRPr="00F136C3">
              <w:rPr>
                <w:rFonts w:ascii="Calibri" w:hAnsi="Calibri" w:cs="Calibri"/>
              </w:rPr>
              <w:t xml:space="preserve"> 4, 76139 Karlsruhe, Germany</w:t>
            </w:r>
          </w:p>
          <w:p w14:paraId="2229119C" w14:textId="566943EA" w:rsidR="00D3719C" w:rsidRPr="00F136C3" w:rsidRDefault="00D3719C" w:rsidP="00863B14">
            <w:pPr>
              <w:pStyle w:val="ListParagraph"/>
              <w:numPr>
                <w:ilvl w:val="0"/>
                <w:numId w:val="54"/>
              </w:numPr>
              <w:spacing w:line="480" w:lineRule="auto"/>
              <w:rPr>
                <w:rFonts w:ascii="Calibri" w:hAnsi="Calibri" w:cs="Calibri"/>
                <w:lang w:val="de-CH"/>
              </w:rPr>
            </w:pPr>
            <w:r w:rsidRPr="00F136C3">
              <w:rPr>
                <w:rFonts w:ascii="Calibri" w:hAnsi="Calibri" w:cs="Calibri"/>
                <w:lang w:val="de-CH"/>
              </w:rPr>
              <w:t xml:space="preserve">ESM </w:t>
            </w:r>
            <w:proofErr w:type="spellStart"/>
            <w:r w:rsidRPr="00F136C3">
              <w:rPr>
                <w:rFonts w:ascii="Calibri" w:hAnsi="Calibri" w:cs="Calibri"/>
                <w:lang w:val="de-CH"/>
              </w:rPr>
              <w:t>Foundation</w:t>
            </w:r>
            <w:proofErr w:type="spellEnd"/>
            <w:r w:rsidRPr="00F136C3">
              <w:rPr>
                <w:rFonts w:ascii="Calibri" w:hAnsi="Calibri" w:cs="Calibri"/>
                <w:lang w:val="de-CH"/>
              </w:rPr>
              <w:t xml:space="preserve">, </w:t>
            </w:r>
            <w:proofErr w:type="spellStart"/>
            <w:r w:rsidRPr="00F136C3">
              <w:rPr>
                <w:rFonts w:ascii="Calibri" w:hAnsi="Calibri" w:cs="Calibri"/>
                <w:lang w:val="de-CH"/>
              </w:rPr>
              <w:t>Junkerngasse</w:t>
            </w:r>
            <w:proofErr w:type="spellEnd"/>
            <w:r w:rsidRPr="00F136C3">
              <w:rPr>
                <w:rFonts w:ascii="Calibri" w:hAnsi="Calibri" w:cs="Calibri"/>
                <w:lang w:val="de-CH"/>
              </w:rPr>
              <w:t xml:space="preserve"> 56, 3011 Bern, </w:t>
            </w:r>
            <w:proofErr w:type="spellStart"/>
            <w:r w:rsidRPr="00F136C3">
              <w:rPr>
                <w:rFonts w:ascii="Calibri" w:hAnsi="Calibri" w:cs="Calibri"/>
                <w:lang w:val="de-CH"/>
              </w:rPr>
              <w:t>Switzerland</w:t>
            </w:r>
            <w:proofErr w:type="spellEnd"/>
            <w:r w:rsidRPr="00F136C3">
              <w:rPr>
                <w:rFonts w:ascii="Calibri" w:hAnsi="Calibri" w:cs="Calibri"/>
                <w:lang w:val="de-CH"/>
              </w:rPr>
              <w:t xml:space="preserve"> </w:t>
            </w:r>
          </w:p>
          <w:p w14:paraId="56AF48A5" w14:textId="27526D64" w:rsidR="00D3719C" w:rsidRPr="00F136C3" w:rsidRDefault="00D3719C" w:rsidP="00863B14">
            <w:pPr>
              <w:spacing w:line="480" w:lineRule="auto"/>
              <w:rPr>
                <w:rFonts w:ascii="Calibri" w:hAnsi="Calibri" w:cs="Calibri"/>
                <w:sz w:val="22"/>
                <w:szCs w:val="22"/>
                <w:lang w:val="de-CH"/>
              </w:rPr>
            </w:pPr>
          </w:p>
        </w:tc>
      </w:tr>
      <w:tr w:rsidR="00D3719C" w:rsidRPr="00A53A7D" w14:paraId="6B7D57F7" w14:textId="77777777" w:rsidTr="002B5168">
        <w:trPr>
          <w:trHeight w:val="151"/>
        </w:trPr>
        <w:tc>
          <w:tcPr>
            <w:tcW w:w="2835" w:type="dxa"/>
            <w:tcBorders>
              <w:top w:val="nil"/>
              <w:left w:val="single" w:sz="4" w:space="0" w:color="auto"/>
              <w:bottom w:val="single" w:sz="4" w:space="0" w:color="auto"/>
              <w:right w:val="single" w:sz="4" w:space="0" w:color="auto"/>
            </w:tcBorders>
            <w:shd w:val="clear" w:color="auto" w:fill="auto"/>
            <w:vAlign w:val="center"/>
          </w:tcPr>
          <w:p w14:paraId="321BEDD8" w14:textId="77777777" w:rsidR="00D3719C" w:rsidRPr="00B219FB" w:rsidRDefault="00D3719C" w:rsidP="00863B14">
            <w:pPr>
              <w:spacing w:line="480" w:lineRule="auto"/>
              <w:rPr>
                <w:rFonts w:ascii="Calibri" w:hAnsi="Calibri" w:cs="Calibri"/>
                <w:color w:val="000000"/>
                <w:sz w:val="22"/>
                <w:szCs w:val="22"/>
              </w:rPr>
            </w:pPr>
            <w:r w:rsidRPr="00B219FB">
              <w:rPr>
                <w:rFonts w:ascii="Calibri" w:hAnsi="Calibri" w:cs="Calibri"/>
                <w:color w:val="000000"/>
                <w:sz w:val="22"/>
                <w:szCs w:val="22"/>
              </w:rPr>
              <w:t xml:space="preserve">Andrea </w:t>
            </w:r>
            <w:proofErr w:type="spellStart"/>
            <w:r w:rsidRPr="00B219FB">
              <w:rPr>
                <w:rFonts w:ascii="Calibri" w:hAnsi="Calibri" w:cs="Calibri"/>
                <w:color w:val="000000"/>
                <w:sz w:val="22"/>
                <w:szCs w:val="22"/>
              </w:rPr>
              <w:t>Thorenz</w:t>
            </w:r>
            <w:proofErr w:type="spellEnd"/>
          </w:p>
        </w:tc>
        <w:tc>
          <w:tcPr>
            <w:tcW w:w="6779" w:type="dxa"/>
            <w:tcBorders>
              <w:top w:val="nil"/>
              <w:left w:val="nil"/>
              <w:bottom w:val="single" w:sz="4" w:space="0" w:color="auto"/>
              <w:right w:val="single" w:sz="4" w:space="0" w:color="auto"/>
            </w:tcBorders>
            <w:shd w:val="clear" w:color="auto" w:fill="auto"/>
            <w:vAlign w:val="center"/>
          </w:tcPr>
          <w:p w14:paraId="74804A90" w14:textId="067E88DC" w:rsidR="00D3719C" w:rsidRPr="00F136C3" w:rsidRDefault="00D3719C" w:rsidP="00863B14">
            <w:pPr>
              <w:spacing w:line="480" w:lineRule="auto"/>
              <w:rPr>
                <w:rFonts w:ascii="Calibri" w:eastAsiaTheme="minorEastAsia" w:hAnsi="Calibri" w:cs="Calibri"/>
                <w:sz w:val="22"/>
                <w:szCs w:val="22"/>
              </w:rPr>
            </w:pPr>
            <w:r w:rsidRPr="00F136C3">
              <w:rPr>
                <w:rFonts w:ascii="Calibri" w:hAnsi="Calibri" w:cs="Calibri"/>
                <w:sz w:val="22"/>
                <w:szCs w:val="22"/>
                <w:shd w:val="clear" w:color="auto" w:fill="FFFFFF"/>
              </w:rPr>
              <w:t>Institute for Materials Resource Management</w:t>
            </w:r>
            <w:r w:rsidR="007B060A">
              <w:rPr>
                <w:rFonts w:ascii="Calibri" w:hAnsi="Calibri" w:cs="Calibri"/>
                <w:sz w:val="22"/>
                <w:szCs w:val="22"/>
                <w:shd w:val="clear" w:color="auto" w:fill="FFFFFF"/>
              </w:rPr>
              <w:t>/Resource Lab</w:t>
            </w:r>
            <w:r w:rsidRPr="00F136C3">
              <w:rPr>
                <w:rFonts w:ascii="Calibri" w:hAnsi="Calibri" w:cs="Calibri"/>
                <w:sz w:val="22"/>
                <w:szCs w:val="22"/>
                <w:shd w:val="clear" w:color="auto" w:fill="FFFFFF"/>
              </w:rPr>
              <w:t xml:space="preserve">, </w:t>
            </w:r>
            <w:proofErr w:type="spellStart"/>
            <w:r w:rsidRPr="00F136C3">
              <w:rPr>
                <w:rFonts w:ascii="Calibri" w:hAnsi="Calibri" w:cs="Calibri"/>
                <w:sz w:val="22"/>
                <w:szCs w:val="22"/>
                <w:shd w:val="clear" w:color="auto" w:fill="FFFFFF"/>
              </w:rPr>
              <w:t>Universitätsstr</w:t>
            </w:r>
            <w:proofErr w:type="spellEnd"/>
            <w:r w:rsidRPr="00F136C3">
              <w:rPr>
                <w:rFonts w:ascii="Calibri" w:hAnsi="Calibri" w:cs="Calibri"/>
                <w:sz w:val="22"/>
                <w:szCs w:val="22"/>
                <w:shd w:val="clear" w:color="auto" w:fill="FFFFFF"/>
              </w:rPr>
              <w:t xml:space="preserve">. 1a, </w:t>
            </w:r>
            <w:r w:rsidRPr="00F136C3">
              <w:rPr>
                <w:rFonts w:ascii="Calibri" w:hAnsi="Calibri" w:cs="Calibri"/>
                <w:sz w:val="22"/>
                <w:szCs w:val="22"/>
              </w:rPr>
              <w:t xml:space="preserve">University of Augsburg, </w:t>
            </w:r>
            <w:r w:rsidRPr="00F136C3">
              <w:rPr>
                <w:rFonts w:ascii="Calibri" w:hAnsi="Calibri" w:cs="Calibri"/>
                <w:sz w:val="22"/>
                <w:szCs w:val="22"/>
                <w:shd w:val="clear" w:color="auto" w:fill="FFFFFF"/>
              </w:rPr>
              <w:t>86159 Augsburg, Germany</w:t>
            </w:r>
          </w:p>
        </w:tc>
      </w:tr>
      <w:tr w:rsidR="00D3719C" w:rsidRPr="00B4107A" w14:paraId="647E92B6" w14:textId="77777777" w:rsidTr="002B5168">
        <w:trPr>
          <w:trHeight w:val="151"/>
        </w:trPr>
        <w:tc>
          <w:tcPr>
            <w:tcW w:w="2835" w:type="dxa"/>
            <w:tcBorders>
              <w:top w:val="nil"/>
              <w:left w:val="single" w:sz="4" w:space="0" w:color="auto"/>
              <w:bottom w:val="single" w:sz="4" w:space="0" w:color="auto"/>
              <w:right w:val="single" w:sz="4" w:space="0" w:color="auto"/>
            </w:tcBorders>
            <w:shd w:val="clear" w:color="auto" w:fill="auto"/>
            <w:vAlign w:val="center"/>
          </w:tcPr>
          <w:p w14:paraId="347129A4" w14:textId="77777777" w:rsidR="00D3719C" w:rsidRPr="00B219FB" w:rsidRDefault="00D3719C" w:rsidP="00863B14">
            <w:pPr>
              <w:spacing w:line="480" w:lineRule="auto"/>
              <w:rPr>
                <w:rFonts w:ascii="Calibri" w:hAnsi="Calibri" w:cs="Calibri"/>
                <w:color w:val="000000"/>
                <w:sz w:val="22"/>
                <w:szCs w:val="22"/>
              </w:rPr>
            </w:pPr>
            <w:r w:rsidRPr="00B219FB">
              <w:rPr>
                <w:rFonts w:ascii="Calibri" w:hAnsi="Calibri" w:cs="Calibri"/>
                <w:color w:val="000000"/>
                <w:sz w:val="22"/>
                <w:szCs w:val="22"/>
              </w:rPr>
              <w:t xml:space="preserve">Patrick </w:t>
            </w:r>
            <w:proofErr w:type="spellStart"/>
            <w:r w:rsidRPr="00B219FB">
              <w:rPr>
                <w:rFonts w:ascii="Calibri" w:hAnsi="Calibri" w:cs="Calibri"/>
                <w:color w:val="000000"/>
                <w:sz w:val="22"/>
                <w:szCs w:val="22"/>
              </w:rPr>
              <w:t>Wäger</w:t>
            </w:r>
            <w:proofErr w:type="spellEnd"/>
            <w:r w:rsidRPr="00B219FB">
              <w:rPr>
                <w:rFonts w:ascii="Calibri" w:hAnsi="Calibri" w:cs="Calibri"/>
                <w:color w:val="000000"/>
                <w:sz w:val="22"/>
                <w:szCs w:val="22"/>
              </w:rPr>
              <w:t xml:space="preserve"> </w:t>
            </w:r>
          </w:p>
        </w:tc>
        <w:tc>
          <w:tcPr>
            <w:tcW w:w="6779" w:type="dxa"/>
            <w:tcBorders>
              <w:top w:val="nil"/>
              <w:left w:val="nil"/>
              <w:bottom w:val="single" w:sz="4" w:space="0" w:color="auto"/>
              <w:right w:val="single" w:sz="4" w:space="0" w:color="auto"/>
            </w:tcBorders>
            <w:shd w:val="clear" w:color="auto" w:fill="auto"/>
            <w:vAlign w:val="center"/>
          </w:tcPr>
          <w:p w14:paraId="7986BAA3" w14:textId="5905CA0B" w:rsidR="00D3719C" w:rsidRPr="00DE4961" w:rsidRDefault="00D3719C" w:rsidP="00863B14">
            <w:pPr>
              <w:pStyle w:val="ListParagraph"/>
              <w:numPr>
                <w:ilvl w:val="0"/>
                <w:numId w:val="51"/>
              </w:numPr>
              <w:spacing w:after="0" w:line="480" w:lineRule="auto"/>
              <w:ind w:left="360"/>
              <w:rPr>
                <w:rFonts w:ascii="Calibri" w:eastAsia="Times New Roman" w:hAnsi="Calibri" w:cs="Calibri"/>
              </w:rPr>
            </w:pPr>
            <w:r w:rsidRPr="00F136C3">
              <w:rPr>
                <w:rFonts w:ascii="Calibri" w:eastAsia="Times New Roman" w:hAnsi="Calibri" w:cs="Times New Roman"/>
              </w:rPr>
              <w:t xml:space="preserve">Empa, Swiss Federal Laboratories for Materials Science and Technology, Technology &amp; Society Laboratory, </w:t>
            </w:r>
            <w:proofErr w:type="spellStart"/>
            <w:r w:rsidRPr="00F136C3">
              <w:rPr>
                <w:rFonts w:ascii="Calibri" w:eastAsia="Times New Roman" w:hAnsi="Calibri" w:cs="Times New Roman"/>
              </w:rPr>
              <w:t>Lerchenfeldstrasse</w:t>
            </w:r>
            <w:proofErr w:type="spellEnd"/>
            <w:r w:rsidRPr="00F136C3">
              <w:rPr>
                <w:rFonts w:ascii="Calibri" w:eastAsia="Times New Roman" w:hAnsi="Calibri" w:cs="Times New Roman"/>
              </w:rPr>
              <w:t xml:space="preserve"> 5, CH-9014 St. Gallen, Switzerland</w:t>
            </w:r>
            <w:r w:rsidRPr="00F136C3" w:rsidDel="00AD32DE">
              <w:rPr>
                <w:rFonts w:ascii="Calibri" w:eastAsia="Times New Roman" w:hAnsi="Calibri" w:cs="Calibri"/>
              </w:rPr>
              <w:t xml:space="preserve"> </w:t>
            </w:r>
          </w:p>
          <w:p w14:paraId="74573604" w14:textId="4AF0D08D" w:rsidR="00D3719C" w:rsidRPr="00DE4961" w:rsidRDefault="00D3719C" w:rsidP="00863B14">
            <w:pPr>
              <w:pStyle w:val="ListParagraph"/>
              <w:numPr>
                <w:ilvl w:val="0"/>
                <w:numId w:val="51"/>
              </w:numPr>
              <w:spacing w:after="0" w:line="480" w:lineRule="auto"/>
              <w:ind w:left="360"/>
              <w:rPr>
                <w:rFonts w:ascii="Calibri" w:hAnsi="Calibri" w:cs="Calibri"/>
                <w:lang w:val="de-CH"/>
              </w:rPr>
            </w:pPr>
            <w:r w:rsidRPr="00F136C3">
              <w:rPr>
                <w:rFonts w:ascii="Calibri" w:eastAsia="Times New Roman" w:hAnsi="Calibri" w:cs="Calibri"/>
                <w:lang w:val="de-CH"/>
              </w:rPr>
              <w:t xml:space="preserve">ESM </w:t>
            </w:r>
            <w:proofErr w:type="spellStart"/>
            <w:r w:rsidRPr="00F136C3">
              <w:rPr>
                <w:rFonts w:ascii="Calibri" w:eastAsia="Times New Roman" w:hAnsi="Calibri" w:cs="Calibri"/>
                <w:lang w:val="de-CH"/>
              </w:rPr>
              <w:t>Foundation</w:t>
            </w:r>
            <w:proofErr w:type="spellEnd"/>
            <w:r w:rsidRPr="00F136C3">
              <w:rPr>
                <w:rFonts w:ascii="Calibri" w:eastAsia="Times New Roman" w:hAnsi="Calibri" w:cs="Calibri"/>
                <w:lang w:val="de-CH"/>
              </w:rPr>
              <w:t xml:space="preserve">, </w:t>
            </w:r>
            <w:proofErr w:type="spellStart"/>
            <w:r w:rsidRPr="00F136C3">
              <w:rPr>
                <w:rFonts w:ascii="Calibri" w:eastAsia="Times New Roman" w:hAnsi="Calibri" w:cs="Calibri"/>
                <w:lang w:val="de-CH"/>
              </w:rPr>
              <w:t>Junkerngasse</w:t>
            </w:r>
            <w:proofErr w:type="spellEnd"/>
            <w:r w:rsidRPr="00F136C3">
              <w:rPr>
                <w:rFonts w:ascii="Calibri" w:eastAsia="Times New Roman" w:hAnsi="Calibri" w:cs="Calibri"/>
                <w:lang w:val="de-CH"/>
              </w:rPr>
              <w:t xml:space="preserve"> 56, 3011 Bern, </w:t>
            </w:r>
            <w:proofErr w:type="spellStart"/>
            <w:r w:rsidRPr="00F136C3">
              <w:rPr>
                <w:rFonts w:ascii="Calibri" w:eastAsia="Times New Roman" w:hAnsi="Calibri" w:cs="Calibri"/>
                <w:lang w:val="de-CH"/>
              </w:rPr>
              <w:t>Switzerland</w:t>
            </w:r>
            <w:proofErr w:type="spellEnd"/>
            <w:r w:rsidRPr="00F136C3">
              <w:rPr>
                <w:rFonts w:ascii="Calibri" w:eastAsia="Times New Roman" w:hAnsi="Calibri" w:cs="Calibri"/>
                <w:lang w:val="de-CH"/>
              </w:rPr>
              <w:t xml:space="preserve"> </w:t>
            </w:r>
          </w:p>
        </w:tc>
      </w:tr>
    </w:tbl>
    <w:p w14:paraId="48FE957A" w14:textId="10495BDF" w:rsidR="006D7D72" w:rsidRDefault="006D7D72" w:rsidP="00863B14">
      <w:pPr>
        <w:spacing w:line="480" w:lineRule="auto"/>
        <w:rPr>
          <w:sz w:val="27"/>
          <w:lang w:val="de-CH"/>
        </w:rPr>
      </w:pPr>
    </w:p>
    <w:p w14:paraId="69562864" w14:textId="7B5D23E4" w:rsidR="003A56E0" w:rsidRPr="003A56E0" w:rsidRDefault="003A56E0" w:rsidP="003A56E0">
      <w:pPr>
        <w:pStyle w:val="Heading2"/>
        <w:spacing w:line="480" w:lineRule="auto"/>
      </w:pPr>
      <w:bookmarkStart w:id="9" w:name="_Toc19016223"/>
      <w:r w:rsidRPr="003A56E0">
        <w:t>Keywords</w:t>
      </w:r>
      <w:bookmarkEnd w:id="9"/>
    </w:p>
    <w:p w14:paraId="0DF65BF8" w14:textId="31D4DBF8" w:rsidR="003A56E0" w:rsidRPr="003A56E0" w:rsidRDefault="003A56E0" w:rsidP="00863B14">
      <w:pPr>
        <w:spacing w:line="480" w:lineRule="auto"/>
        <w:rPr>
          <w:sz w:val="27"/>
        </w:rPr>
      </w:pPr>
      <w:r w:rsidRPr="003A56E0">
        <w:rPr>
          <w:sz w:val="27"/>
        </w:rPr>
        <w:t>critical raw materials; material criticality; critical resources; strategic raw materials; criticality assessment</w:t>
      </w:r>
    </w:p>
    <w:sdt>
      <w:sdtPr>
        <w:rPr>
          <w:rFonts w:asciiTheme="minorHAnsi" w:eastAsiaTheme="minorEastAsia" w:hAnsiTheme="minorHAnsi" w:cstheme="minorBidi"/>
          <w:color w:val="auto"/>
          <w:sz w:val="22"/>
          <w:szCs w:val="22"/>
          <w:lang w:eastAsia="zh-CN"/>
        </w:rPr>
        <w:id w:val="737055601"/>
        <w:docPartObj>
          <w:docPartGallery w:val="Table of Contents"/>
          <w:docPartUnique/>
        </w:docPartObj>
      </w:sdtPr>
      <w:sdtEndPr>
        <w:rPr>
          <w:rFonts w:ascii="Times New Roman" w:eastAsia="Times New Roman" w:hAnsi="Times New Roman" w:cs="Times New Roman"/>
          <w:b/>
          <w:bCs/>
          <w:noProof/>
          <w:sz w:val="24"/>
          <w:szCs w:val="24"/>
        </w:rPr>
      </w:sdtEndPr>
      <w:sdtContent>
        <w:p w14:paraId="5D21D701" w14:textId="77777777" w:rsidR="002B5168" w:rsidRDefault="002B5168" w:rsidP="00863B14">
          <w:pPr>
            <w:pStyle w:val="TOCHeading"/>
            <w:spacing w:line="480" w:lineRule="auto"/>
            <w:rPr>
              <w:rFonts w:asciiTheme="minorHAnsi" w:eastAsiaTheme="minorEastAsia" w:hAnsiTheme="minorHAnsi" w:cstheme="minorBidi"/>
              <w:color w:val="auto"/>
              <w:sz w:val="22"/>
              <w:szCs w:val="22"/>
              <w:lang w:eastAsia="zh-CN"/>
            </w:rPr>
          </w:pPr>
        </w:p>
        <w:p w14:paraId="6DEB2DC0" w14:textId="7140C711" w:rsidR="007D2922" w:rsidRDefault="007D2922" w:rsidP="00863B14">
          <w:pPr>
            <w:pStyle w:val="TOCHeading"/>
            <w:spacing w:line="480" w:lineRule="auto"/>
          </w:pPr>
          <w:r>
            <w:t>Contents</w:t>
          </w:r>
        </w:p>
        <w:p w14:paraId="7FB3EBC7" w14:textId="63D7FD4C" w:rsidR="00000B19" w:rsidRDefault="007D2922">
          <w:pPr>
            <w:pStyle w:val="TOC1"/>
            <w:rPr>
              <w:rFonts w:asciiTheme="minorHAnsi" w:hAnsiTheme="minorHAnsi"/>
              <w:b w:val="0"/>
              <w:caps w:val="0"/>
              <w:noProof/>
              <w:lang w:eastAsia="zh-CN"/>
            </w:rPr>
          </w:pPr>
          <w:r>
            <w:fldChar w:fldCharType="begin"/>
          </w:r>
          <w:r w:rsidRPr="00290E9C">
            <w:rPr>
              <w:caps w:val="0"/>
            </w:rPr>
            <w:instrText xml:space="preserve"> TOC \o "1-3" \h \z \u </w:instrText>
          </w:r>
          <w:r>
            <w:fldChar w:fldCharType="separate"/>
          </w:r>
          <w:hyperlink w:anchor="_Toc19016221" w:history="1">
            <w:r w:rsidR="00000B19" w:rsidRPr="00E75873">
              <w:rPr>
                <w:rStyle w:val="Hyperlink"/>
                <w:noProof/>
              </w:rPr>
              <w:t>A review of methods and data to determine raw material criticality</w:t>
            </w:r>
            <w:r w:rsidR="00000B19">
              <w:rPr>
                <w:noProof/>
                <w:webHidden/>
              </w:rPr>
              <w:tab/>
            </w:r>
            <w:r w:rsidR="00000B19">
              <w:rPr>
                <w:noProof/>
                <w:webHidden/>
              </w:rPr>
              <w:fldChar w:fldCharType="begin"/>
            </w:r>
            <w:r w:rsidR="00000B19">
              <w:rPr>
                <w:noProof/>
                <w:webHidden/>
              </w:rPr>
              <w:instrText xml:space="preserve"> PAGEREF _Toc19016221 \h </w:instrText>
            </w:r>
            <w:r w:rsidR="00000B19">
              <w:rPr>
                <w:noProof/>
                <w:webHidden/>
              </w:rPr>
            </w:r>
            <w:r w:rsidR="00000B19">
              <w:rPr>
                <w:noProof/>
                <w:webHidden/>
              </w:rPr>
              <w:fldChar w:fldCharType="separate"/>
            </w:r>
            <w:r w:rsidR="00000B19">
              <w:rPr>
                <w:noProof/>
                <w:webHidden/>
              </w:rPr>
              <w:t>1</w:t>
            </w:r>
            <w:r w:rsidR="00000B19">
              <w:rPr>
                <w:noProof/>
                <w:webHidden/>
              </w:rPr>
              <w:fldChar w:fldCharType="end"/>
            </w:r>
          </w:hyperlink>
        </w:p>
        <w:p w14:paraId="34692189" w14:textId="32E9C2FD" w:rsidR="00000B19" w:rsidRDefault="00444B2B">
          <w:pPr>
            <w:pStyle w:val="TOC2"/>
            <w:rPr>
              <w:b w:val="0"/>
              <w:noProof/>
              <w:sz w:val="24"/>
              <w:szCs w:val="24"/>
              <w:lang w:eastAsia="zh-CN"/>
            </w:rPr>
          </w:pPr>
          <w:hyperlink w:anchor="_Toc19016222" w:history="1">
            <w:r w:rsidR="00000B19" w:rsidRPr="00E75873">
              <w:rPr>
                <w:rStyle w:val="Hyperlink"/>
                <w:noProof/>
              </w:rPr>
              <w:t>Authors</w:t>
            </w:r>
            <w:r w:rsidR="00000B19">
              <w:rPr>
                <w:noProof/>
                <w:webHidden/>
              </w:rPr>
              <w:tab/>
            </w:r>
            <w:r w:rsidR="00000B19">
              <w:rPr>
                <w:noProof/>
                <w:webHidden/>
              </w:rPr>
              <w:fldChar w:fldCharType="begin"/>
            </w:r>
            <w:r w:rsidR="00000B19">
              <w:rPr>
                <w:noProof/>
                <w:webHidden/>
              </w:rPr>
              <w:instrText xml:space="preserve"> PAGEREF _Toc19016222 \h </w:instrText>
            </w:r>
            <w:r w:rsidR="00000B19">
              <w:rPr>
                <w:noProof/>
                <w:webHidden/>
              </w:rPr>
            </w:r>
            <w:r w:rsidR="00000B19">
              <w:rPr>
                <w:noProof/>
                <w:webHidden/>
              </w:rPr>
              <w:fldChar w:fldCharType="separate"/>
            </w:r>
            <w:r w:rsidR="00000B19">
              <w:rPr>
                <w:noProof/>
                <w:webHidden/>
              </w:rPr>
              <w:t>1</w:t>
            </w:r>
            <w:r w:rsidR="00000B19">
              <w:rPr>
                <w:noProof/>
                <w:webHidden/>
              </w:rPr>
              <w:fldChar w:fldCharType="end"/>
            </w:r>
          </w:hyperlink>
        </w:p>
        <w:p w14:paraId="40386281" w14:textId="732BB666" w:rsidR="00000B19" w:rsidRDefault="00444B2B">
          <w:pPr>
            <w:pStyle w:val="TOC2"/>
            <w:rPr>
              <w:b w:val="0"/>
              <w:noProof/>
              <w:sz w:val="24"/>
              <w:szCs w:val="24"/>
              <w:lang w:eastAsia="zh-CN"/>
            </w:rPr>
          </w:pPr>
          <w:hyperlink w:anchor="_Toc19016223" w:history="1">
            <w:r w:rsidR="00000B19" w:rsidRPr="00E75873">
              <w:rPr>
                <w:rStyle w:val="Hyperlink"/>
                <w:noProof/>
              </w:rPr>
              <w:t>Keywords</w:t>
            </w:r>
            <w:r w:rsidR="00000B19">
              <w:rPr>
                <w:noProof/>
                <w:webHidden/>
              </w:rPr>
              <w:tab/>
            </w:r>
            <w:r w:rsidR="00000B19">
              <w:rPr>
                <w:noProof/>
                <w:webHidden/>
              </w:rPr>
              <w:fldChar w:fldCharType="begin"/>
            </w:r>
            <w:r w:rsidR="00000B19">
              <w:rPr>
                <w:noProof/>
                <w:webHidden/>
              </w:rPr>
              <w:instrText xml:space="preserve"> PAGEREF _Toc19016223 \h </w:instrText>
            </w:r>
            <w:r w:rsidR="00000B19">
              <w:rPr>
                <w:noProof/>
                <w:webHidden/>
              </w:rPr>
            </w:r>
            <w:r w:rsidR="00000B19">
              <w:rPr>
                <w:noProof/>
                <w:webHidden/>
              </w:rPr>
              <w:fldChar w:fldCharType="separate"/>
            </w:r>
            <w:r w:rsidR="00000B19">
              <w:rPr>
                <w:noProof/>
                <w:webHidden/>
              </w:rPr>
              <w:t>4</w:t>
            </w:r>
            <w:r w:rsidR="00000B19">
              <w:rPr>
                <w:noProof/>
                <w:webHidden/>
              </w:rPr>
              <w:fldChar w:fldCharType="end"/>
            </w:r>
          </w:hyperlink>
        </w:p>
        <w:p w14:paraId="4E27D19E" w14:textId="232C24A3" w:rsidR="00000B19" w:rsidRDefault="00444B2B">
          <w:pPr>
            <w:pStyle w:val="TOC2"/>
            <w:rPr>
              <w:b w:val="0"/>
              <w:noProof/>
              <w:sz w:val="24"/>
              <w:szCs w:val="24"/>
              <w:lang w:eastAsia="zh-CN"/>
            </w:rPr>
          </w:pPr>
          <w:hyperlink w:anchor="_Toc19016224" w:history="1">
            <w:r w:rsidR="00000B19" w:rsidRPr="00E75873">
              <w:rPr>
                <w:rStyle w:val="Hyperlink"/>
                <w:noProof/>
                <w:lang w:val="en-GB"/>
              </w:rPr>
              <w:t>List of abbreviations</w:t>
            </w:r>
            <w:r w:rsidR="00000B19">
              <w:rPr>
                <w:noProof/>
                <w:webHidden/>
              </w:rPr>
              <w:tab/>
            </w:r>
            <w:r w:rsidR="00000B19">
              <w:rPr>
                <w:noProof/>
                <w:webHidden/>
              </w:rPr>
              <w:fldChar w:fldCharType="begin"/>
            </w:r>
            <w:r w:rsidR="00000B19">
              <w:rPr>
                <w:noProof/>
                <w:webHidden/>
              </w:rPr>
              <w:instrText xml:space="preserve"> PAGEREF _Toc19016224 \h </w:instrText>
            </w:r>
            <w:r w:rsidR="00000B19">
              <w:rPr>
                <w:noProof/>
                <w:webHidden/>
              </w:rPr>
            </w:r>
            <w:r w:rsidR="00000B19">
              <w:rPr>
                <w:noProof/>
                <w:webHidden/>
              </w:rPr>
              <w:fldChar w:fldCharType="separate"/>
            </w:r>
            <w:r w:rsidR="00000B19">
              <w:rPr>
                <w:noProof/>
                <w:webHidden/>
              </w:rPr>
              <w:t>6</w:t>
            </w:r>
            <w:r w:rsidR="00000B19">
              <w:rPr>
                <w:noProof/>
                <w:webHidden/>
              </w:rPr>
              <w:fldChar w:fldCharType="end"/>
            </w:r>
          </w:hyperlink>
        </w:p>
        <w:p w14:paraId="68A183AC" w14:textId="644CE99B" w:rsidR="00000B19" w:rsidRDefault="00444B2B">
          <w:pPr>
            <w:pStyle w:val="TOC2"/>
            <w:rPr>
              <w:b w:val="0"/>
              <w:noProof/>
              <w:sz w:val="24"/>
              <w:szCs w:val="24"/>
              <w:lang w:eastAsia="zh-CN"/>
            </w:rPr>
          </w:pPr>
          <w:hyperlink w:anchor="_Toc19016225" w:history="1">
            <w:r w:rsidR="00000B19" w:rsidRPr="00E75873">
              <w:rPr>
                <w:rStyle w:val="Hyperlink"/>
                <w:noProof/>
              </w:rPr>
              <w:t>Abstract</w:t>
            </w:r>
            <w:r w:rsidR="00000B19">
              <w:rPr>
                <w:noProof/>
                <w:webHidden/>
              </w:rPr>
              <w:tab/>
            </w:r>
            <w:r w:rsidR="00000B19">
              <w:rPr>
                <w:noProof/>
                <w:webHidden/>
              </w:rPr>
              <w:fldChar w:fldCharType="begin"/>
            </w:r>
            <w:r w:rsidR="00000B19">
              <w:rPr>
                <w:noProof/>
                <w:webHidden/>
              </w:rPr>
              <w:instrText xml:space="preserve"> PAGEREF _Toc19016225 \h </w:instrText>
            </w:r>
            <w:r w:rsidR="00000B19">
              <w:rPr>
                <w:noProof/>
                <w:webHidden/>
              </w:rPr>
            </w:r>
            <w:r w:rsidR="00000B19">
              <w:rPr>
                <w:noProof/>
                <w:webHidden/>
              </w:rPr>
              <w:fldChar w:fldCharType="separate"/>
            </w:r>
            <w:r w:rsidR="00000B19">
              <w:rPr>
                <w:noProof/>
                <w:webHidden/>
              </w:rPr>
              <w:t>8</w:t>
            </w:r>
            <w:r w:rsidR="00000B19">
              <w:rPr>
                <w:noProof/>
                <w:webHidden/>
              </w:rPr>
              <w:fldChar w:fldCharType="end"/>
            </w:r>
          </w:hyperlink>
        </w:p>
        <w:p w14:paraId="17453F32" w14:textId="2B1CB0B8" w:rsidR="00000B19" w:rsidRDefault="00444B2B">
          <w:pPr>
            <w:pStyle w:val="TOC2"/>
            <w:rPr>
              <w:b w:val="0"/>
              <w:noProof/>
              <w:sz w:val="24"/>
              <w:szCs w:val="24"/>
              <w:lang w:eastAsia="zh-CN"/>
            </w:rPr>
          </w:pPr>
          <w:hyperlink w:anchor="_Toc19016226" w:history="1">
            <w:r w:rsidR="00000B19" w:rsidRPr="00E75873">
              <w:rPr>
                <w:rStyle w:val="Hyperlink"/>
                <w:noProof/>
                <w:lang w:val="nl-NL"/>
              </w:rPr>
              <w:t>1.</w:t>
            </w:r>
            <w:r w:rsidR="00000B19">
              <w:rPr>
                <w:b w:val="0"/>
                <w:noProof/>
                <w:sz w:val="24"/>
                <w:szCs w:val="24"/>
                <w:lang w:eastAsia="zh-CN"/>
              </w:rPr>
              <w:tab/>
            </w:r>
            <w:r w:rsidR="00000B19" w:rsidRPr="00E75873">
              <w:rPr>
                <w:rStyle w:val="Hyperlink"/>
                <w:noProof/>
                <w:lang w:val="nl-NL"/>
              </w:rPr>
              <w:t>Introduction</w:t>
            </w:r>
            <w:r w:rsidR="00000B19">
              <w:rPr>
                <w:noProof/>
                <w:webHidden/>
              </w:rPr>
              <w:tab/>
            </w:r>
            <w:r w:rsidR="00000B19">
              <w:rPr>
                <w:noProof/>
                <w:webHidden/>
              </w:rPr>
              <w:fldChar w:fldCharType="begin"/>
            </w:r>
            <w:r w:rsidR="00000B19">
              <w:rPr>
                <w:noProof/>
                <w:webHidden/>
              </w:rPr>
              <w:instrText xml:space="preserve"> PAGEREF _Toc19016226 \h </w:instrText>
            </w:r>
            <w:r w:rsidR="00000B19">
              <w:rPr>
                <w:noProof/>
                <w:webHidden/>
              </w:rPr>
            </w:r>
            <w:r w:rsidR="00000B19">
              <w:rPr>
                <w:noProof/>
                <w:webHidden/>
              </w:rPr>
              <w:fldChar w:fldCharType="separate"/>
            </w:r>
            <w:r w:rsidR="00000B19">
              <w:rPr>
                <w:noProof/>
                <w:webHidden/>
              </w:rPr>
              <w:t>9</w:t>
            </w:r>
            <w:r w:rsidR="00000B19">
              <w:rPr>
                <w:noProof/>
                <w:webHidden/>
              </w:rPr>
              <w:fldChar w:fldCharType="end"/>
            </w:r>
          </w:hyperlink>
        </w:p>
        <w:p w14:paraId="56960F3E" w14:textId="04CF35F4" w:rsidR="00000B19" w:rsidRDefault="00444B2B">
          <w:pPr>
            <w:pStyle w:val="TOC2"/>
            <w:rPr>
              <w:b w:val="0"/>
              <w:noProof/>
              <w:sz w:val="24"/>
              <w:szCs w:val="24"/>
              <w:lang w:eastAsia="zh-CN"/>
            </w:rPr>
          </w:pPr>
          <w:hyperlink w:anchor="_Toc19016227" w:history="1">
            <w:r w:rsidR="00000B19" w:rsidRPr="00E75873">
              <w:rPr>
                <w:rStyle w:val="Hyperlink"/>
                <w:noProof/>
              </w:rPr>
              <w:t>2.</w:t>
            </w:r>
            <w:r w:rsidR="00000B19">
              <w:rPr>
                <w:b w:val="0"/>
                <w:noProof/>
                <w:sz w:val="24"/>
                <w:szCs w:val="24"/>
                <w:lang w:eastAsia="zh-CN"/>
              </w:rPr>
              <w:tab/>
            </w:r>
            <w:r w:rsidR="00000B19" w:rsidRPr="00E75873">
              <w:rPr>
                <w:rStyle w:val="Hyperlink"/>
                <w:noProof/>
              </w:rPr>
              <w:t>Methods</w:t>
            </w:r>
            <w:r w:rsidR="00000B19">
              <w:rPr>
                <w:noProof/>
                <w:webHidden/>
              </w:rPr>
              <w:tab/>
            </w:r>
            <w:r w:rsidR="00000B19">
              <w:rPr>
                <w:noProof/>
                <w:webHidden/>
              </w:rPr>
              <w:fldChar w:fldCharType="begin"/>
            </w:r>
            <w:r w:rsidR="00000B19">
              <w:rPr>
                <w:noProof/>
                <w:webHidden/>
              </w:rPr>
              <w:instrText xml:space="preserve"> PAGEREF _Toc19016227 \h </w:instrText>
            </w:r>
            <w:r w:rsidR="00000B19">
              <w:rPr>
                <w:noProof/>
                <w:webHidden/>
              </w:rPr>
            </w:r>
            <w:r w:rsidR="00000B19">
              <w:rPr>
                <w:noProof/>
                <w:webHidden/>
              </w:rPr>
              <w:fldChar w:fldCharType="separate"/>
            </w:r>
            <w:r w:rsidR="00000B19">
              <w:rPr>
                <w:noProof/>
                <w:webHidden/>
              </w:rPr>
              <w:t>13</w:t>
            </w:r>
            <w:r w:rsidR="00000B19">
              <w:rPr>
                <w:noProof/>
                <w:webHidden/>
              </w:rPr>
              <w:fldChar w:fldCharType="end"/>
            </w:r>
          </w:hyperlink>
        </w:p>
        <w:p w14:paraId="55D3B28F" w14:textId="4E2877A2" w:rsidR="00000B19" w:rsidRDefault="00444B2B">
          <w:pPr>
            <w:pStyle w:val="TOC2"/>
            <w:rPr>
              <w:b w:val="0"/>
              <w:noProof/>
              <w:sz w:val="24"/>
              <w:szCs w:val="24"/>
              <w:lang w:eastAsia="zh-CN"/>
            </w:rPr>
          </w:pPr>
          <w:hyperlink w:anchor="_Toc19016228" w:history="1">
            <w:r w:rsidR="00000B19" w:rsidRPr="00E75873">
              <w:rPr>
                <w:rStyle w:val="Hyperlink"/>
                <w:noProof/>
              </w:rPr>
              <w:t>3.</w:t>
            </w:r>
            <w:r w:rsidR="00000B19">
              <w:rPr>
                <w:b w:val="0"/>
                <w:noProof/>
                <w:sz w:val="24"/>
                <w:szCs w:val="24"/>
                <w:lang w:eastAsia="zh-CN"/>
              </w:rPr>
              <w:tab/>
            </w:r>
            <w:r w:rsidR="00000B19" w:rsidRPr="00E75873">
              <w:rPr>
                <w:rStyle w:val="Hyperlink"/>
                <w:noProof/>
              </w:rPr>
              <w:t>Results and Discussion</w:t>
            </w:r>
            <w:r w:rsidR="00000B19">
              <w:rPr>
                <w:noProof/>
                <w:webHidden/>
              </w:rPr>
              <w:tab/>
            </w:r>
            <w:r w:rsidR="00000B19">
              <w:rPr>
                <w:noProof/>
                <w:webHidden/>
              </w:rPr>
              <w:fldChar w:fldCharType="begin"/>
            </w:r>
            <w:r w:rsidR="00000B19">
              <w:rPr>
                <w:noProof/>
                <w:webHidden/>
              </w:rPr>
              <w:instrText xml:space="preserve"> PAGEREF _Toc19016228 \h </w:instrText>
            </w:r>
            <w:r w:rsidR="00000B19">
              <w:rPr>
                <w:noProof/>
                <w:webHidden/>
              </w:rPr>
            </w:r>
            <w:r w:rsidR="00000B19">
              <w:rPr>
                <w:noProof/>
                <w:webHidden/>
              </w:rPr>
              <w:fldChar w:fldCharType="separate"/>
            </w:r>
            <w:r w:rsidR="00000B19">
              <w:rPr>
                <w:noProof/>
                <w:webHidden/>
              </w:rPr>
              <w:t>14</w:t>
            </w:r>
            <w:r w:rsidR="00000B19">
              <w:rPr>
                <w:noProof/>
                <w:webHidden/>
              </w:rPr>
              <w:fldChar w:fldCharType="end"/>
            </w:r>
          </w:hyperlink>
        </w:p>
        <w:p w14:paraId="35760D83" w14:textId="1CEBF450" w:rsidR="00000B19" w:rsidRDefault="00444B2B">
          <w:pPr>
            <w:pStyle w:val="TOC3"/>
            <w:tabs>
              <w:tab w:val="left" w:pos="880"/>
              <w:tab w:val="right" w:leader="dot" w:pos="9396"/>
            </w:tabs>
            <w:rPr>
              <w:noProof/>
              <w:sz w:val="24"/>
              <w:szCs w:val="24"/>
              <w:lang w:eastAsia="zh-CN"/>
            </w:rPr>
          </w:pPr>
          <w:hyperlink w:anchor="_Toc19016229" w:history="1">
            <w:r w:rsidR="00000B19" w:rsidRPr="00E75873">
              <w:rPr>
                <w:rStyle w:val="Hyperlink"/>
                <w:noProof/>
              </w:rPr>
              <w:t>3.1.</w:t>
            </w:r>
            <w:r w:rsidR="00000B19">
              <w:rPr>
                <w:noProof/>
                <w:sz w:val="24"/>
                <w:szCs w:val="24"/>
                <w:lang w:eastAsia="zh-CN"/>
              </w:rPr>
              <w:tab/>
            </w:r>
            <w:r w:rsidR="00000B19" w:rsidRPr="00E75873">
              <w:rPr>
                <w:rStyle w:val="Hyperlink"/>
                <w:noProof/>
              </w:rPr>
              <w:t>Goal and scope</w:t>
            </w:r>
            <w:r w:rsidR="00000B19">
              <w:rPr>
                <w:noProof/>
                <w:webHidden/>
              </w:rPr>
              <w:tab/>
            </w:r>
            <w:r w:rsidR="00000B19">
              <w:rPr>
                <w:noProof/>
                <w:webHidden/>
              </w:rPr>
              <w:fldChar w:fldCharType="begin"/>
            </w:r>
            <w:r w:rsidR="00000B19">
              <w:rPr>
                <w:noProof/>
                <w:webHidden/>
              </w:rPr>
              <w:instrText xml:space="preserve"> PAGEREF _Toc19016229 \h </w:instrText>
            </w:r>
            <w:r w:rsidR="00000B19">
              <w:rPr>
                <w:noProof/>
                <w:webHidden/>
              </w:rPr>
            </w:r>
            <w:r w:rsidR="00000B19">
              <w:rPr>
                <w:noProof/>
                <w:webHidden/>
              </w:rPr>
              <w:fldChar w:fldCharType="separate"/>
            </w:r>
            <w:r w:rsidR="00000B19">
              <w:rPr>
                <w:noProof/>
                <w:webHidden/>
              </w:rPr>
              <w:t>24</w:t>
            </w:r>
            <w:r w:rsidR="00000B19">
              <w:rPr>
                <w:noProof/>
                <w:webHidden/>
              </w:rPr>
              <w:fldChar w:fldCharType="end"/>
            </w:r>
          </w:hyperlink>
        </w:p>
        <w:p w14:paraId="0CF13435" w14:textId="1E7070AA" w:rsidR="00000B19" w:rsidRDefault="00444B2B">
          <w:pPr>
            <w:pStyle w:val="TOC3"/>
            <w:tabs>
              <w:tab w:val="left" w:pos="880"/>
              <w:tab w:val="right" w:leader="dot" w:pos="9396"/>
            </w:tabs>
            <w:rPr>
              <w:noProof/>
              <w:sz w:val="24"/>
              <w:szCs w:val="24"/>
              <w:lang w:eastAsia="zh-CN"/>
            </w:rPr>
          </w:pPr>
          <w:hyperlink w:anchor="_Toc19016230" w:history="1">
            <w:r w:rsidR="00000B19" w:rsidRPr="00E75873">
              <w:rPr>
                <w:rStyle w:val="Hyperlink"/>
                <w:noProof/>
              </w:rPr>
              <w:t>3.2.</w:t>
            </w:r>
            <w:r w:rsidR="00000B19">
              <w:rPr>
                <w:noProof/>
                <w:sz w:val="24"/>
                <w:szCs w:val="24"/>
                <w:lang w:eastAsia="zh-CN"/>
              </w:rPr>
              <w:tab/>
            </w:r>
            <w:r w:rsidR="00000B19" w:rsidRPr="00E75873">
              <w:rPr>
                <w:rStyle w:val="Hyperlink"/>
                <w:noProof/>
              </w:rPr>
              <w:t>Indicator evaluation</w:t>
            </w:r>
            <w:r w:rsidR="00000B19">
              <w:rPr>
                <w:noProof/>
                <w:webHidden/>
              </w:rPr>
              <w:tab/>
            </w:r>
            <w:r w:rsidR="00000B19">
              <w:rPr>
                <w:noProof/>
                <w:webHidden/>
              </w:rPr>
              <w:fldChar w:fldCharType="begin"/>
            </w:r>
            <w:r w:rsidR="00000B19">
              <w:rPr>
                <w:noProof/>
                <w:webHidden/>
              </w:rPr>
              <w:instrText xml:space="preserve"> PAGEREF _Toc19016230 \h </w:instrText>
            </w:r>
            <w:r w:rsidR="00000B19">
              <w:rPr>
                <w:noProof/>
                <w:webHidden/>
              </w:rPr>
            </w:r>
            <w:r w:rsidR="00000B19">
              <w:rPr>
                <w:noProof/>
                <w:webHidden/>
              </w:rPr>
              <w:fldChar w:fldCharType="separate"/>
            </w:r>
            <w:r w:rsidR="00000B19">
              <w:rPr>
                <w:noProof/>
                <w:webHidden/>
              </w:rPr>
              <w:t>30</w:t>
            </w:r>
            <w:r w:rsidR="00000B19">
              <w:rPr>
                <w:noProof/>
                <w:webHidden/>
              </w:rPr>
              <w:fldChar w:fldCharType="end"/>
            </w:r>
          </w:hyperlink>
        </w:p>
        <w:p w14:paraId="1C6C9206" w14:textId="5AB78E90" w:rsidR="00000B19" w:rsidRDefault="00444B2B">
          <w:pPr>
            <w:pStyle w:val="TOC3"/>
            <w:tabs>
              <w:tab w:val="left" w:pos="880"/>
              <w:tab w:val="right" w:leader="dot" w:pos="9396"/>
            </w:tabs>
            <w:rPr>
              <w:noProof/>
              <w:sz w:val="24"/>
              <w:szCs w:val="24"/>
              <w:lang w:eastAsia="zh-CN"/>
            </w:rPr>
          </w:pPr>
          <w:hyperlink w:anchor="_Toc19016231" w:history="1">
            <w:r w:rsidR="00000B19" w:rsidRPr="00E75873">
              <w:rPr>
                <w:rStyle w:val="Hyperlink"/>
                <w:noProof/>
              </w:rPr>
              <w:t>1.2.</w:t>
            </w:r>
            <w:r w:rsidR="00000B19">
              <w:rPr>
                <w:noProof/>
                <w:sz w:val="24"/>
                <w:szCs w:val="24"/>
                <w:lang w:eastAsia="zh-CN"/>
              </w:rPr>
              <w:tab/>
            </w:r>
            <w:r w:rsidR="00000B19" w:rsidRPr="00E75873">
              <w:rPr>
                <w:rStyle w:val="Hyperlink"/>
                <w:noProof/>
              </w:rPr>
              <w:t>Aggregation</w:t>
            </w:r>
            <w:r w:rsidR="00000B19">
              <w:rPr>
                <w:noProof/>
                <w:webHidden/>
              </w:rPr>
              <w:tab/>
            </w:r>
            <w:r w:rsidR="00000B19">
              <w:rPr>
                <w:noProof/>
                <w:webHidden/>
              </w:rPr>
              <w:fldChar w:fldCharType="begin"/>
            </w:r>
            <w:r w:rsidR="00000B19">
              <w:rPr>
                <w:noProof/>
                <w:webHidden/>
              </w:rPr>
              <w:instrText xml:space="preserve"> PAGEREF _Toc19016231 \h </w:instrText>
            </w:r>
            <w:r w:rsidR="00000B19">
              <w:rPr>
                <w:noProof/>
                <w:webHidden/>
              </w:rPr>
            </w:r>
            <w:r w:rsidR="00000B19">
              <w:rPr>
                <w:noProof/>
                <w:webHidden/>
              </w:rPr>
              <w:fldChar w:fldCharType="separate"/>
            </w:r>
            <w:r w:rsidR="00000B19">
              <w:rPr>
                <w:noProof/>
                <w:webHidden/>
              </w:rPr>
              <w:t>48</w:t>
            </w:r>
            <w:r w:rsidR="00000B19">
              <w:rPr>
                <w:noProof/>
                <w:webHidden/>
              </w:rPr>
              <w:fldChar w:fldCharType="end"/>
            </w:r>
          </w:hyperlink>
        </w:p>
        <w:p w14:paraId="0C2AAF93" w14:textId="76BC6883" w:rsidR="00000B19" w:rsidRDefault="00444B2B">
          <w:pPr>
            <w:pStyle w:val="TOC3"/>
            <w:tabs>
              <w:tab w:val="left" w:pos="880"/>
              <w:tab w:val="right" w:leader="dot" w:pos="9396"/>
            </w:tabs>
            <w:rPr>
              <w:noProof/>
              <w:sz w:val="24"/>
              <w:szCs w:val="24"/>
              <w:lang w:eastAsia="zh-CN"/>
            </w:rPr>
          </w:pPr>
          <w:hyperlink w:anchor="_Toc19016232" w:history="1">
            <w:r w:rsidR="00000B19" w:rsidRPr="00E75873">
              <w:rPr>
                <w:rStyle w:val="Hyperlink"/>
                <w:noProof/>
              </w:rPr>
              <w:t>1.3.</w:t>
            </w:r>
            <w:r w:rsidR="00000B19">
              <w:rPr>
                <w:noProof/>
                <w:sz w:val="24"/>
                <w:szCs w:val="24"/>
                <w:lang w:eastAsia="zh-CN"/>
              </w:rPr>
              <w:tab/>
            </w:r>
            <w:r w:rsidR="00000B19" w:rsidRPr="00E75873">
              <w:rPr>
                <w:rStyle w:val="Hyperlink"/>
                <w:noProof/>
              </w:rPr>
              <w:t>Interpretation and communication of the results</w:t>
            </w:r>
            <w:r w:rsidR="00000B19">
              <w:rPr>
                <w:noProof/>
                <w:webHidden/>
              </w:rPr>
              <w:tab/>
            </w:r>
            <w:r w:rsidR="00000B19">
              <w:rPr>
                <w:noProof/>
                <w:webHidden/>
              </w:rPr>
              <w:fldChar w:fldCharType="begin"/>
            </w:r>
            <w:r w:rsidR="00000B19">
              <w:rPr>
                <w:noProof/>
                <w:webHidden/>
              </w:rPr>
              <w:instrText xml:space="preserve"> PAGEREF _Toc19016232 \h </w:instrText>
            </w:r>
            <w:r w:rsidR="00000B19">
              <w:rPr>
                <w:noProof/>
                <w:webHidden/>
              </w:rPr>
            </w:r>
            <w:r w:rsidR="00000B19">
              <w:rPr>
                <w:noProof/>
                <w:webHidden/>
              </w:rPr>
              <w:fldChar w:fldCharType="separate"/>
            </w:r>
            <w:r w:rsidR="00000B19">
              <w:rPr>
                <w:noProof/>
                <w:webHidden/>
              </w:rPr>
              <w:t>48</w:t>
            </w:r>
            <w:r w:rsidR="00000B19">
              <w:rPr>
                <w:noProof/>
                <w:webHidden/>
              </w:rPr>
              <w:fldChar w:fldCharType="end"/>
            </w:r>
          </w:hyperlink>
        </w:p>
        <w:p w14:paraId="5C9E4124" w14:textId="4EAEEEB1" w:rsidR="00000B19" w:rsidRDefault="00444B2B">
          <w:pPr>
            <w:pStyle w:val="TOC2"/>
            <w:rPr>
              <w:b w:val="0"/>
              <w:noProof/>
              <w:sz w:val="24"/>
              <w:szCs w:val="24"/>
              <w:lang w:eastAsia="zh-CN"/>
            </w:rPr>
          </w:pPr>
          <w:hyperlink w:anchor="_Toc19016233" w:history="1">
            <w:r w:rsidR="00000B19" w:rsidRPr="00E75873">
              <w:rPr>
                <w:rStyle w:val="Hyperlink"/>
                <w:noProof/>
              </w:rPr>
              <w:t>2.</w:t>
            </w:r>
            <w:r w:rsidR="00000B19">
              <w:rPr>
                <w:b w:val="0"/>
                <w:noProof/>
                <w:sz w:val="24"/>
                <w:szCs w:val="24"/>
                <w:lang w:eastAsia="zh-CN"/>
              </w:rPr>
              <w:tab/>
            </w:r>
            <w:r w:rsidR="00000B19" w:rsidRPr="00E75873">
              <w:rPr>
                <w:rStyle w:val="Hyperlink"/>
                <w:noProof/>
              </w:rPr>
              <w:t>Conclusions and Perspectives</w:t>
            </w:r>
            <w:r w:rsidR="00000B19">
              <w:rPr>
                <w:noProof/>
                <w:webHidden/>
              </w:rPr>
              <w:tab/>
            </w:r>
            <w:r w:rsidR="00000B19">
              <w:rPr>
                <w:noProof/>
                <w:webHidden/>
              </w:rPr>
              <w:fldChar w:fldCharType="begin"/>
            </w:r>
            <w:r w:rsidR="00000B19">
              <w:rPr>
                <w:noProof/>
                <w:webHidden/>
              </w:rPr>
              <w:instrText xml:space="preserve"> PAGEREF _Toc19016233 \h </w:instrText>
            </w:r>
            <w:r w:rsidR="00000B19">
              <w:rPr>
                <w:noProof/>
                <w:webHidden/>
              </w:rPr>
            </w:r>
            <w:r w:rsidR="00000B19">
              <w:rPr>
                <w:noProof/>
                <w:webHidden/>
              </w:rPr>
              <w:fldChar w:fldCharType="separate"/>
            </w:r>
            <w:r w:rsidR="00000B19">
              <w:rPr>
                <w:noProof/>
                <w:webHidden/>
              </w:rPr>
              <w:t>52</w:t>
            </w:r>
            <w:r w:rsidR="00000B19">
              <w:rPr>
                <w:noProof/>
                <w:webHidden/>
              </w:rPr>
              <w:fldChar w:fldCharType="end"/>
            </w:r>
          </w:hyperlink>
        </w:p>
        <w:p w14:paraId="3E35D865" w14:textId="4336BEFD" w:rsidR="00000B19" w:rsidRDefault="00444B2B">
          <w:pPr>
            <w:pStyle w:val="TOC2"/>
            <w:rPr>
              <w:b w:val="0"/>
              <w:noProof/>
              <w:sz w:val="24"/>
              <w:szCs w:val="24"/>
              <w:lang w:eastAsia="zh-CN"/>
            </w:rPr>
          </w:pPr>
          <w:hyperlink w:anchor="_Toc19016234" w:history="1">
            <w:r w:rsidR="00000B19" w:rsidRPr="00E75873">
              <w:rPr>
                <w:rStyle w:val="Hyperlink"/>
                <w:noProof/>
              </w:rPr>
              <w:t>Acknowledgements</w:t>
            </w:r>
            <w:r w:rsidR="00000B19">
              <w:rPr>
                <w:noProof/>
                <w:webHidden/>
              </w:rPr>
              <w:tab/>
            </w:r>
            <w:r w:rsidR="00000B19">
              <w:rPr>
                <w:noProof/>
                <w:webHidden/>
              </w:rPr>
              <w:fldChar w:fldCharType="begin"/>
            </w:r>
            <w:r w:rsidR="00000B19">
              <w:rPr>
                <w:noProof/>
                <w:webHidden/>
              </w:rPr>
              <w:instrText xml:space="preserve"> PAGEREF _Toc19016234 \h </w:instrText>
            </w:r>
            <w:r w:rsidR="00000B19">
              <w:rPr>
                <w:noProof/>
                <w:webHidden/>
              </w:rPr>
            </w:r>
            <w:r w:rsidR="00000B19">
              <w:rPr>
                <w:noProof/>
                <w:webHidden/>
              </w:rPr>
              <w:fldChar w:fldCharType="separate"/>
            </w:r>
            <w:r w:rsidR="00000B19">
              <w:rPr>
                <w:noProof/>
                <w:webHidden/>
              </w:rPr>
              <w:t>55</w:t>
            </w:r>
            <w:r w:rsidR="00000B19">
              <w:rPr>
                <w:noProof/>
                <w:webHidden/>
              </w:rPr>
              <w:fldChar w:fldCharType="end"/>
            </w:r>
          </w:hyperlink>
        </w:p>
        <w:p w14:paraId="32BB7E1F" w14:textId="357F23CC" w:rsidR="00000B19" w:rsidRDefault="00444B2B">
          <w:pPr>
            <w:pStyle w:val="TOC2"/>
            <w:rPr>
              <w:b w:val="0"/>
              <w:noProof/>
              <w:sz w:val="24"/>
              <w:szCs w:val="24"/>
              <w:lang w:eastAsia="zh-CN"/>
            </w:rPr>
          </w:pPr>
          <w:hyperlink w:anchor="_Toc19016235" w:history="1">
            <w:r w:rsidR="00000B19" w:rsidRPr="00E75873">
              <w:rPr>
                <w:rStyle w:val="Hyperlink"/>
                <w:noProof/>
              </w:rPr>
              <w:t>Supplementary Information</w:t>
            </w:r>
            <w:r w:rsidR="00000B19">
              <w:rPr>
                <w:noProof/>
                <w:webHidden/>
              </w:rPr>
              <w:tab/>
            </w:r>
            <w:r w:rsidR="00000B19">
              <w:rPr>
                <w:noProof/>
                <w:webHidden/>
              </w:rPr>
              <w:fldChar w:fldCharType="begin"/>
            </w:r>
            <w:r w:rsidR="00000B19">
              <w:rPr>
                <w:noProof/>
                <w:webHidden/>
              </w:rPr>
              <w:instrText xml:space="preserve"> PAGEREF _Toc19016235 \h </w:instrText>
            </w:r>
            <w:r w:rsidR="00000B19">
              <w:rPr>
                <w:noProof/>
                <w:webHidden/>
              </w:rPr>
            </w:r>
            <w:r w:rsidR="00000B19">
              <w:rPr>
                <w:noProof/>
                <w:webHidden/>
              </w:rPr>
              <w:fldChar w:fldCharType="separate"/>
            </w:r>
            <w:r w:rsidR="00000B19">
              <w:rPr>
                <w:noProof/>
                <w:webHidden/>
              </w:rPr>
              <w:t>55</w:t>
            </w:r>
            <w:r w:rsidR="00000B19">
              <w:rPr>
                <w:noProof/>
                <w:webHidden/>
              </w:rPr>
              <w:fldChar w:fldCharType="end"/>
            </w:r>
          </w:hyperlink>
        </w:p>
        <w:p w14:paraId="5DE24686" w14:textId="3C6B49D6" w:rsidR="00000B19" w:rsidRDefault="00444B2B">
          <w:pPr>
            <w:pStyle w:val="TOC2"/>
            <w:rPr>
              <w:b w:val="0"/>
              <w:noProof/>
              <w:sz w:val="24"/>
              <w:szCs w:val="24"/>
              <w:lang w:eastAsia="zh-CN"/>
            </w:rPr>
          </w:pPr>
          <w:hyperlink w:anchor="_Toc19016236" w:history="1">
            <w:r w:rsidR="00000B19" w:rsidRPr="00E75873">
              <w:rPr>
                <w:rStyle w:val="Hyperlink"/>
                <w:noProof/>
              </w:rPr>
              <w:t>References</w:t>
            </w:r>
            <w:r w:rsidR="00000B19">
              <w:rPr>
                <w:noProof/>
                <w:webHidden/>
              </w:rPr>
              <w:tab/>
            </w:r>
            <w:r w:rsidR="00000B19">
              <w:rPr>
                <w:noProof/>
                <w:webHidden/>
              </w:rPr>
              <w:fldChar w:fldCharType="begin"/>
            </w:r>
            <w:r w:rsidR="00000B19">
              <w:rPr>
                <w:noProof/>
                <w:webHidden/>
              </w:rPr>
              <w:instrText xml:space="preserve"> PAGEREF _Toc19016236 \h </w:instrText>
            </w:r>
            <w:r w:rsidR="00000B19">
              <w:rPr>
                <w:noProof/>
                <w:webHidden/>
              </w:rPr>
            </w:r>
            <w:r w:rsidR="00000B19">
              <w:rPr>
                <w:noProof/>
                <w:webHidden/>
              </w:rPr>
              <w:fldChar w:fldCharType="separate"/>
            </w:r>
            <w:r w:rsidR="00000B19">
              <w:rPr>
                <w:noProof/>
                <w:webHidden/>
              </w:rPr>
              <w:t>56</w:t>
            </w:r>
            <w:r w:rsidR="00000B19">
              <w:rPr>
                <w:noProof/>
                <w:webHidden/>
              </w:rPr>
              <w:fldChar w:fldCharType="end"/>
            </w:r>
          </w:hyperlink>
        </w:p>
        <w:p w14:paraId="38E98B8E" w14:textId="24695301" w:rsidR="007D2922" w:rsidRPr="002B5168" w:rsidRDefault="007D2922" w:rsidP="00863B14">
          <w:pPr>
            <w:spacing w:line="480" w:lineRule="auto"/>
          </w:pPr>
          <w:r>
            <w:rPr>
              <w:b/>
              <w:bCs/>
              <w:noProof/>
            </w:rPr>
            <w:fldChar w:fldCharType="end"/>
          </w:r>
        </w:p>
      </w:sdtContent>
    </w:sdt>
    <w:p w14:paraId="3E62D98D" w14:textId="77777777" w:rsidR="002B5168" w:rsidRDefault="002B5168" w:rsidP="00863B14">
      <w:pPr>
        <w:spacing w:after="160" w:line="480" w:lineRule="auto"/>
        <w:rPr>
          <w:rFonts w:asciiTheme="majorHAnsi" w:eastAsiaTheme="majorEastAsia" w:hAnsiTheme="majorHAnsi" w:cstheme="majorBidi"/>
          <w:color w:val="2E74B5" w:themeColor="accent1" w:themeShade="BF"/>
          <w:sz w:val="27"/>
          <w:szCs w:val="26"/>
          <w:lang w:val="en-GB" w:eastAsia="en-US"/>
        </w:rPr>
      </w:pPr>
      <w:bookmarkStart w:id="10" w:name="_Toc11935382"/>
      <w:bookmarkStart w:id="11" w:name="_Toc415758569"/>
      <w:bookmarkStart w:id="12" w:name="_Toc5093524"/>
      <w:bookmarkStart w:id="13" w:name="_Toc10458652"/>
      <w:bookmarkStart w:id="14" w:name="_Hlk11933243"/>
      <w:bookmarkStart w:id="15" w:name="_Toc10458653"/>
      <w:r>
        <w:rPr>
          <w:sz w:val="27"/>
          <w:lang w:val="en-GB"/>
        </w:rPr>
        <w:br w:type="page"/>
      </w:r>
    </w:p>
    <w:p w14:paraId="0C8D3A21" w14:textId="4D367CE9" w:rsidR="0094073B" w:rsidRDefault="0094073B" w:rsidP="00863B14">
      <w:pPr>
        <w:pStyle w:val="Heading2"/>
        <w:spacing w:line="480" w:lineRule="auto"/>
        <w:rPr>
          <w:sz w:val="27"/>
          <w:lang w:val="en-GB"/>
        </w:rPr>
      </w:pPr>
      <w:bookmarkStart w:id="16" w:name="_Toc19016224"/>
      <w:r w:rsidRPr="00A53A7D">
        <w:rPr>
          <w:sz w:val="27"/>
          <w:lang w:val="en-GB"/>
        </w:rPr>
        <w:lastRenderedPageBreak/>
        <w:t>List of abbreviations</w:t>
      </w:r>
      <w:bookmarkEnd w:id="10"/>
      <w:bookmarkEnd w:id="16"/>
    </w:p>
    <w:p w14:paraId="20FBB6B8" w14:textId="77777777" w:rsidR="0094073B" w:rsidRPr="00815A0F" w:rsidRDefault="0094073B" w:rsidP="00863B14">
      <w:pPr>
        <w:spacing w:line="480" w:lineRule="auto"/>
        <w:rPr>
          <w:lang w:val="en-GB"/>
        </w:rPr>
      </w:pPr>
      <w:r w:rsidRPr="00815A0F">
        <w:rPr>
          <w:lang w:val="en-GB"/>
        </w:rPr>
        <w:t>BGS</w:t>
      </w:r>
      <w:r w:rsidRPr="00815A0F">
        <w:rPr>
          <w:lang w:val="en-GB"/>
        </w:rPr>
        <w:tab/>
      </w:r>
      <w:r w:rsidRPr="00815A0F">
        <w:rPr>
          <w:lang w:val="en-GB"/>
        </w:rPr>
        <w:tab/>
      </w:r>
      <w:r w:rsidRPr="00815A0F">
        <w:rPr>
          <w:lang w:val="en-GB"/>
        </w:rPr>
        <w:tab/>
        <w:t>British Geological Survey</w:t>
      </w:r>
    </w:p>
    <w:p w14:paraId="739D6331" w14:textId="77777777" w:rsidR="0094073B" w:rsidRPr="007B740A" w:rsidRDefault="0094073B" w:rsidP="00863B14">
      <w:pPr>
        <w:spacing w:line="480" w:lineRule="auto"/>
        <w:rPr>
          <w:lang w:val="fr-FR"/>
        </w:rPr>
      </w:pPr>
      <w:r w:rsidRPr="007B740A">
        <w:rPr>
          <w:lang w:val="fr-FR"/>
        </w:rPr>
        <w:t>BRGM</w:t>
      </w:r>
      <w:r w:rsidRPr="007B740A">
        <w:rPr>
          <w:lang w:val="fr-FR"/>
        </w:rPr>
        <w:tab/>
      </w:r>
      <w:r w:rsidRPr="007B740A">
        <w:rPr>
          <w:lang w:val="fr-FR"/>
        </w:rPr>
        <w:tab/>
      </w:r>
      <w:r w:rsidRPr="007B740A">
        <w:rPr>
          <w:lang w:val="fr-FR"/>
        </w:rPr>
        <w:tab/>
        <w:t>Bureau de Recherches Géologiques et Minières</w:t>
      </w:r>
    </w:p>
    <w:p w14:paraId="77F35166" w14:textId="7139AF94" w:rsidR="0094073B" w:rsidRDefault="0094073B" w:rsidP="00863B14">
      <w:pPr>
        <w:spacing w:line="480" w:lineRule="auto"/>
        <w:rPr>
          <w:lang w:val="en-GB"/>
        </w:rPr>
      </w:pPr>
      <w:r>
        <w:rPr>
          <w:lang w:val="en-GB"/>
        </w:rPr>
        <w:t>CRM</w:t>
      </w:r>
      <w:r>
        <w:rPr>
          <w:lang w:val="en-GB"/>
        </w:rPr>
        <w:tab/>
      </w:r>
      <w:r>
        <w:rPr>
          <w:lang w:val="en-GB"/>
        </w:rPr>
        <w:tab/>
      </w:r>
      <w:r>
        <w:rPr>
          <w:lang w:val="en-GB"/>
        </w:rPr>
        <w:tab/>
        <w:t>Critical Raw Material</w:t>
      </w:r>
      <w:r w:rsidR="00F91A31">
        <w:rPr>
          <w:lang w:val="en-GB"/>
        </w:rPr>
        <w:t>s</w:t>
      </w:r>
    </w:p>
    <w:p w14:paraId="4C86A6F9" w14:textId="77777777" w:rsidR="0094073B" w:rsidRPr="00461423" w:rsidRDefault="0094073B" w:rsidP="00863B14">
      <w:pPr>
        <w:spacing w:line="480" w:lineRule="auto"/>
      </w:pPr>
      <w:r w:rsidRPr="00461423">
        <w:t>EC</w:t>
      </w:r>
      <w:r w:rsidRPr="00461423">
        <w:tab/>
      </w:r>
      <w:r w:rsidRPr="00461423">
        <w:tab/>
      </w:r>
      <w:r w:rsidRPr="00461423">
        <w:tab/>
        <w:t>European Commission</w:t>
      </w:r>
    </w:p>
    <w:p w14:paraId="64C06E1B" w14:textId="6311089D" w:rsidR="0094073B" w:rsidRPr="00461423" w:rsidRDefault="0094073B" w:rsidP="00863B14">
      <w:pPr>
        <w:spacing w:line="480" w:lineRule="auto"/>
      </w:pPr>
      <w:r w:rsidRPr="00461423">
        <w:t>Empa</w:t>
      </w:r>
      <w:r w:rsidRPr="00461423">
        <w:tab/>
      </w:r>
      <w:r w:rsidRPr="00461423">
        <w:tab/>
      </w:r>
      <w:r w:rsidRPr="00461423">
        <w:tab/>
      </w:r>
      <w:r w:rsidR="005D401F" w:rsidRPr="00461423">
        <w:rPr>
          <w:highlight w:val="yellow"/>
        </w:rPr>
        <w:t>Swiss Federal Laboratories for Materials Science and Technology</w:t>
      </w:r>
    </w:p>
    <w:p w14:paraId="454CDEDF" w14:textId="77777777" w:rsidR="0094073B" w:rsidRDefault="0094073B" w:rsidP="00863B14">
      <w:pPr>
        <w:spacing w:line="480" w:lineRule="auto"/>
        <w:rPr>
          <w:lang w:val="en-GB"/>
        </w:rPr>
      </w:pPr>
      <w:r>
        <w:rPr>
          <w:lang w:val="en-GB"/>
        </w:rPr>
        <w:t>EIT</w:t>
      </w:r>
      <w:r>
        <w:rPr>
          <w:lang w:val="en-GB"/>
        </w:rPr>
        <w:tab/>
      </w:r>
      <w:r>
        <w:rPr>
          <w:lang w:val="en-GB"/>
        </w:rPr>
        <w:tab/>
      </w:r>
      <w:r>
        <w:rPr>
          <w:lang w:val="en-GB"/>
        </w:rPr>
        <w:tab/>
      </w:r>
      <w:r>
        <w:t>European Institute of Innovation &amp; Technology</w:t>
      </w:r>
    </w:p>
    <w:p w14:paraId="310EDB6B" w14:textId="77777777" w:rsidR="0094073B" w:rsidRDefault="0094073B" w:rsidP="00863B14">
      <w:pPr>
        <w:spacing w:line="480" w:lineRule="auto"/>
        <w:rPr>
          <w:lang w:val="en-GB"/>
        </w:rPr>
      </w:pPr>
      <w:r>
        <w:rPr>
          <w:lang w:val="en-GB"/>
        </w:rPr>
        <w:t>EU</w:t>
      </w:r>
      <w:r>
        <w:rPr>
          <w:lang w:val="en-GB"/>
        </w:rPr>
        <w:tab/>
      </w:r>
      <w:r>
        <w:rPr>
          <w:lang w:val="en-GB"/>
        </w:rPr>
        <w:tab/>
      </w:r>
      <w:r>
        <w:rPr>
          <w:lang w:val="en-GB"/>
        </w:rPr>
        <w:tab/>
        <w:t>European Union</w:t>
      </w:r>
    </w:p>
    <w:p w14:paraId="22045983" w14:textId="77777777" w:rsidR="0094073B" w:rsidRDefault="0094073B" w:rsidP="00863B14">
      <w:pPr>
        <w:spacing w:line="480" w:lineRule="auto"/>
      </w:pPr>
      <w:r>
        <w:t>GE</w:t>
      </w:r>
      <w:r>
        <w:tab/>
      </w:r>
      <w:r>
        <w:tab/>
      </w:r>
      <w:r>
        <w:tab/>
        <w:t>General Electric</w:t>
      </w:r>
    </w:p>
    <w:p w14:paraId="1BEAAE90" w14:textId="77777777" w:rsidR="0094073B" w:rsidRDefault="0094073B" w:rsidP="00863B14">
      <w:pPr>
        <w:spacing w:line="480" w:lineRule="auto"/>
      </w:pPr>
      <w:r>
        <w:t>HDI</w:t>
      </w:r>
      <w:r>
        <w:tab/>
      </w:r>
      <w:r>
        <w:tab/>
      </w:r>
      <w:r>
        <w:tab/>
        <w:t>Human Development Index</w:t>
      </w:r>
    </w:p>
    <w:p w14:paraId="15379817" w14:textId="77777777" w:rsidR="0094073B" w:rsidRDefault="0094073B" w:rsidP="00863B14">
      <w:pPr>
        <w:spacing w:line="480" w:lineRule="auto"/>
      </w:pPr>
      <w:r>
        <w:t>HHI</w:t>
      </w:r>
      <w:r>
        <w:tab/>
      </w:r>
      <w:r>
        <w:tab/>
      </w:r>
      <w:r>
        <w:tab/>
        <w:t>Herfindahl-Hirschman-Index</w:t>
      </w:r>
    </w:p>
    <w:p w14:paraId="10D272AA" w14:textId="77777777" w:rsidR="0094073B" w:rsidRPr="00652FC0" w:rsidRDefault="0094073B" w:rsidP="00863B14">
      <w:pPr>
        <w:spacing w:line="480" w:lineRule="auto"/>
        <w:rPr>
          <w:lang w:val="fr-FR"/>
        </w:rPr>
      </w:pPr>
      <w:proofErr w:type="spellStart"/>
      <w:r w:rsidRPr="00652FC0">
        <w:rPr>
          <w:lang w:val="fr-FR"/>
        </w:rPr>
        <w:t>iCIRCE</w:t>
      </w:r>
      <w:proofErr w:type="spellEnd"/>
      <w:r w:rsidRPr="00652FC0">
        <w:rPr>
          <w:lang w:val="fr-FR"/>
        </w:rPr>
        <w:t xml:space="preserve"> </w:t>
      </w:r>
      <w:r w:rsidRPr="00652FC0">
        <w:rPr>
          <w:lang w:val="fr-FR"/>
        </w:rPr>
        <w:tab/>
      </w:r>
      <w:r w:rsidRPr="00652FC0">
        <w:rPr>
          <w:lang w:val="fr-FR"/>
        </w:rPr>
        <w:tab/>
      </w:r>
      <w:proofErr w:type="spellStart"/>
      <w:r w:rsidRPr="00652FC0">
        <w:rPr>
          <w:lang w:val="fr-FR"/>
        </w:rPr>
        <w:t>Instituto</w:t>
      </w:r>
      <w:proofErr w:type="spellEnd"/>
      <w:r w:rsidRPr="00652FC0">
        <w:rPr>
          <w:lang w:val="fr-FR"/>
        </w:rPr>
        <w:t xml:space="preserve"> </w:t>
      </w:r>
      <w:proofErr w:type="spellStart"/>
      <w:r w:rsidRPr="00652FC0">
        <w:rPr>
          <w:lang w:val="fr-FR"/>
        </w:rPr>
        <w:t>Universitario</w:t>
      </w:r>
      <w:proofErr w:type="spellEnd"/>
      <w:r w:rsidRPr="00652FC0">
        <w:rPr>
          <w:lang w:val="fr-FR"/>
        </w:rPr>
        <w:t xml:space="preserve"> </w:t>
      </w:r>
      <w:proofErr w:type="spellStart"/>
      <w:r w:rsidRPr="00652FC0">
        <w:rPr>
          <w:lang w:val="fr-FR"/>
        </w:rPr>
        <w:t>Investigación</w:t>
      </w:r>
      <w:proofErr w:type="spellEnd"/>
      <w:r w:rsidRPr="00652FC0">
        <w:rPr>
          <w:lang w:val="fr-FR"/>
        </w:rPr>
        <w:t xml:space="preserve"> CIRCE </w:t>
      </w:r>
      <w:proofErr w:type="spellStart"/>
      <w:r w:rsidRPr="00652FC0">
        <w:rPr>
          <w:lang w:val="fr-FR"/>
        </w:rPr>
        <w:t>Universidad</w:t>
      </w:r>
      <w:proofErr w:type="spellEnd"/>
      <w:r w:rsidRPr="00652FC0">
        <w:rPr>
          <w:lang w:val="fr-FR"/>
        </w:rPr>
        <w:t xml:space="preserve"> Zaragoza</w:t>
      </w:r>
    </w:p>
    <w:p w14:paraId="7485A218" w14:textId="77777777" w:rsidR="0094073B" w:rsidRPr="00815A0F" w:rsidRDefault="0094073B" w:rsidP="00863B14">
      <w:pPr>
        <w:spacing w:line="480" w:lineRule="auto"/>
        <w:rPr>
          <w:lang w:val="fr-FR"/>
        </w:rPr>
      </w:pPr>
      <w:r w:rsidRPr="00815A0F">
        <w:rPr>
          <w:lang w:val="fr-FR"/>
        </w:rPr>
        <w:t>INSEAD</w:t>
      </w:r>
      <w:r w:rsidRPr="00815A0F">
        <w:rPr>
          <w:lang w:val="fr-FR"/>
        </w:rPr>
        <w:tab/>
      </w:r>
      <w:r w:rsidRPr="00815A0F">
        <w:rPr>
          <w:lang w:val="fr-FR"/>
        </w:rPr>
        <w:tab/>
        <w:t>Institut Européen d'Administration des Affaires</w:t>
      </w:r>
    </w:p>
    <w:p w14:paraId="45A877B7" w14:textId="77777777" w:rsidR="0094073B" w:rsidRDefault="0094073B" w:rsidP="00863B14">
      <w:pPr>
        <w:spacing w:line="480" w:lineRule="auto"/>
        <w:rPr>
          <w:lang w:val="en-GB"/>
        </w:rPr>
      </w:pPr>
      <w:r>
        <w:rPr>
          <w:lang w:val="en-GB"/>
        </w:rPr>
        <w:t>IRTC</w:t>
      </w:r>
      <w:r>
        <w:rPr>
          <w:lang w:val="en-GB"/>
        </w:rPr>
        <w:tab/>
      </w:r>
      <w:r>
        <w:rPr>
          <w:lang w:val="en-GB"/>
        </w:rPr>
        <w:tab/>
      </w:r>
      <w:r>
        <w:rPr>
          <w:lang w:val="en-GB"/>
        </w:rPr>
        <w:tab/>
      </w:r>
      <w:r>
        <w:t>International Round Table on Materials Criticality</w:t>
      </w:r>
    </w:p>
    <w:p w14:paraId="6B059134" w14:textId="77777777" w:rsidR="0094073B" w:rsidRDefault="0094073B" w:rsidP="00863B14">
      <w:pPr>
        <w:spacing w:line="480" w:lineRule="auto"/>
      </w:pPr>
      <w:r>
        <w:t>ISO</w:t>
      </w:r>
      <w:r>
        <w:tab/>
      </w:r>
      <w:r>
        <w:tab/>
      </w:r>
      <w:r>
        <w:tab/>
        <w:t>International Organization for Standardization</w:t>
      </w:r>
    </w:p>
    <w:p w14:paraId="4FA05D0B" w14:textId="77777777" w:rsidR="0094073B" w:rsidRDefault="0094073B" w:rsidP="00863B14">
      <w:pPr>
        <w:spacing w:line="480" w:lineRule="auto"/>
        <w:rPr>
          <w:lang w:val="en-GB"/>
        </w:rPr>
      </w:pPr>
      <w:r>
        <w:t>KIRAM/KITECH</w:t>
      </w:r>
      <w:r>
        <w:rPr>
          <w:lang w:val="en-GB"/>
        </w:rPr>
        <w:t xml:space="preserve"> </w:t>
      </w:r>
      <w:r>
        <w:rPr>
          <w:lang w:val="en-GB"/>
        </w:rPr>
        <w:tab/>
      </w:r>
      <w:r w:rsidRPr="00D80E97">
        <w:rPr>
          <w:lang w:val="en-GB"/>
        </w:rPr>
        <w:t xml:space="preserve">Korea Institute </w:t>
      </w:r>
      <w:r>
        <w:rPr>
          <w:lang w:val="en-GB"/>
        </w:rPr>
        <w:t>f</w:t>
      </w:r>
      <w:r w:rsidRPr="00D80E97">
        <w:rPr>
          <w:lang w:val="en-GB"/>
        </w:rPr>
        <w:t>or Rare Metals</w:t>
      </w:r>
      <w:r>
        <w:rPr>
          <w:lang w:val="en-GB"/>
        </w:rPr>
        <w:t>/Korea Institute of Industrial Technology</w:t>
      </w:r>
    </w:p>
    <w:p w14:paraId="561E513A" w14:textId="77777777" w:rsidR="0094073B" w:rsidRDefault="0094073B" w:rsidP="00863B14">
      <w:pPr>
        <w:spacing w:line="480" w:lineRule="auto"/>
        <w:rPr>
          <w:lang w:val="en-GB"/>
        </w:rPr>
      </w:pPr>
      <w:r>
        <w:rPr>
          <w:lang w:val="en-GB"/>
        </w:rPr>
        <w:t>LCA</w:t>
      </w:r>
      <w:r>
        <w:rPr>
          <w:lang w:val="en-GB"/>
        </w:rPr>
        <w:tab/>
      </w:r>
      <w:r>
        <w:rPr>
          <w:lang w:val="en-GB"/>
        </w:rPr>
        <w:tab/>
      </w:r>
      <w:r>
        <w:rPr>
          <w:lang w:val="en-GB"/>
        </w:rPr>
        <w:tab/>
        <w:t>Life Cycle Assessment</w:t>
      </w:r>
    </w:p>
    <w:p w14:paraId="641EFCED" w14:textId="77777777" w:rsidR="0094073B" w:rsidRDefault="0094073B" w:rsidP="00863B14">
      <w:pPr>
        <w:spacing w:line="480" w:lineRule="auto"/>
        <w:rPr>
          <w:lang w:val="en-GB"/>
        </w:rPr>
      </w:pPr>
      <w:r>
        <w:rPr>
          <w:lang w:val="en-GB"/>
        </w:rPr>
        <w:t>NEDO</w:t>
      </w:r>
      <w:r>
        <w:rPr>
          <w:lang w:val="en-GB"/>
        </w:rPr>
        <w:tab/>
      </w:r>
      <w:r>
        <w:rPr>
          <w:lang w:val="en-GB"/>
        </w:rPr>
        <w:tab/>
      </w:r>
      <w:r>
        <w:rPr>
          <w:lang w:val="en-GB"/>
        </w:rPr>
        <w:tab/>
      </w:r>
      <w:r w:rsidRPr="00D80E97">
        <w:rPr>
          <w:lang w:val="en-GB"/>
        </w:rPr>
        <w:t>New Energy and Industrial Technology Development</w:t>
      </w:r>
    </w:p>
    <w:p w14:paraId="13DA0EA8" w14:textId="77777777" w:rsidR="0094073B" w:rsidRDefault="0094073B" w:rsidP="00863B14">
      <w:pPr>
        <w:spacing w:line="480" w:lineRule="auto"/>
        <w:rPr>
          <w:lang w:val="en-GB"/>
        </w:rPr>
      </w:pPr>
      <w:r>
        <w:t>NIES</w:t>
      </w:r>
      <w:r>
        <w:rPr>
          <w:lang w:val="en-GB"/>
        </w:rPr>
        <w:t xml:space="preserve"> </w:t>
      </w:r>
      <w:r>
        <w:rPr>
          <w:lang w:val="en-GB"/>
        </w:rPr>
        <w:tab/>
      </w:r>
      <w:r>
        <w:rPr>
          <w:lang w:val="en-GB"/>
        </w:rPr>
        <w:tab/>
      </w:r>
      <w:r>
        <w:rPr>
          <w:lang w:val="en-GB"/>
        </w:rPr>
        <w:tab/>
      </w:r>
      <w:r w:rsidRPr="00A73697">
        <w:rPr>
          <w:lang w:val="en-GB"/>
        </w:rPr>
        <w:t>National Institute for Environmental Studies</w:t>
      </w:r>
    </w:p>
    <w:p w14:paraId="2F70EE7E" w14:textId="77777777" w:rsidR="0094073B" w:rsidRDefault="0094073B" w:rsidP="00863B14">
      <w:pPr>
        <w:spacing w:line="480" w:lineRule="auto"/>
        <w:rPr>
          <w:lang w:val="en-GB"/>
        </w:rPr>
      </w:pPr>
      <w:r>
        <w:rPr>
          <w:lang w:val="en-GB"/>
        </w:rPr>
        <w:t>NRC</w:t>
      </w:r>
      <w:r>
        <w:rPr>
          <w:lang w:val="en-GB"/>
        </w:rPr>
        <w:tab/>
      </w:r>
      <w:r>
        <w:rPr>
          <w:lang w:val="en-GB"/>
        </w:rPr>
        <w:tab/>
      </w:r>
      <w:r>
        <w:rPr>
          <w:lang w:val="en-GB"/>
        </w:rPr>
        <w:tab/>
      </w:r>
      <w:r w:rsidRPr="00D80E97">
        <w:rPr>
          <w:lang w:val="en-GB"/>
        </w:rPr>
        <w:t>National Research Council</w:t>
      </w:r>
    </w:p>
    <w:p w14:paraId="1A7A18BD" w14:textId="77777777" w:rsidR="0094073B" w:rsidRDefault="0094073B" w:rsidP="00863B14">
      <w:pPr>
        <w:spacing w:line="480" w:lineRule="auto"/>
        <w:rPr>
          <w:lang w:val="en-GB"/>
        </w:rPr>
      </w:pPr>
      <w:r>
        <w:rPr>
          <w:lang w:val="en-GB"/>
        </w:rPr>
        <w:t>NSTC</w:t>
      </w:r>
      <w:r>
        <w:rPr>
          <w:lang w:val="en-GB"/>
        </w:rPr>
        <w:tab/>
      </w:r>
      <w:r>
        <w:rPr>
          <w:lang w:val="en-GB"/>
        </w:rPr>
        <w:tab/>
      </w:r>
      <w:r>
        <w:rPr>
          <w:lang w:val="en-GB"/>
        </w:rPr>
        <w:tab/>
      </w:r>
      <w:r w:rsidRPr="00D80E97">
        <w:rPr>
          <w:lang w:val="en-GB"/>
        </w:rPr>
        <w:t>National Science and Technology Council</w:t>
      </w:r>
    </w:p>
    <w:p w14:paraId="5913D0A4" w14:textId="77777777" w:rsidR="0094073B" w:rsidRDefault="0094073B" w:rsidP="00863B14">
      <w:pPr>
        <w:spacing w:line="480" w:lineRule="auto"/>
        <w:rPr>
          <w:lang w:val="en-GB"/>
        </w:rPr>
      </w:pPr>
      <w:r>
        <w:rPr>
          <w:lang w:val="en-GB"/>
        </w:rPr>
        <w:t>OECD</w:t>
      </w:r>
      <w:r>
        <w:rPr>
          <w:lang w:val="en-GB"/>
        </w:rPr>
        <w:tab/>
      </w:r>
      <w:r>
        <w:rPr>
          <w:lang w:val="en-GB"/>
        </w:rPr>
        <w:tab/>
      </w:r>
      <w:r>
        <w:rPr>
          <w:lang w:val="en-GB"/>
        </w:rPr>
        <w:tab/>
      </w:r>
      <w:r w:rsidRPr="00A73697">
        <w:rPr>
          <w:lang w:val="en-GB"/>
        </w:rPr>
        <w:t>Organisation for Economic Co-operation and Development</w:t>
      </w:r>
    </w:p>
    <w:p w14:paraId="68381671" w14:textId="77777777" w:rsidR="0094073B" w:rsidRDefault="0094073B" w:rsidP="00863B14">
      <w:pPr>
        <w:spacing w:line="480" w:lineRule="auto"/>
        <w:rPr>
          <w:lang w:val="en-GB"/>
        </w:rPr>
      </w:pPr>
      <w:r>
        <w:rPr>
          <w:lang w:val="en-GB"/>
        </w:rPr>
        <w:t>OH</w:t>
      </w:r>
      <w:r>
        <w:rPr>
          <w:lang w:val="en-GB"/>
        </w:rPr>
        <w:tab/>
      </w:r>
      <w:r>
        <w:rPr>
          <w:lang w:val="en-GB"/>
        </w:rPr>
        <w:tab/>
      </w:r>
      <w:r>
        <w:rPr>
          <w:lang w:val="en-GB"/>
        </w:rPr>
        <w:tab/>
      </w:r>
      <w:proofErr w:type="spellStart"/>
      <w:r>
        <w:rPr>
          <w:lang w:val="en-GB"/>
        </w:rPr>
        <w:t>Oakdene</w:t>
      </w:r>
      <w:proofErr w:type="spellEnd"/>
      <w:r>
        <w:rPr>
          <w:lang w:val="en-GB"/>
        </w:rPr>
        <w:t xml:space="preserve"> Hollins</w:t>
      </w:r>
    </w:p>
    <w:p w14:paraId="4AC1D859" w14:textId="77777777" w:rsidR="0094073B" w:rsidRDefault="0094073B" w:rsidP="00863B14">
      <w:pPr>
        <w:spacing w:line="480" w:lineRule="auto"/>
        <w:rPr>
          <w:lang w:val="en-GB"/>
        </w:rPr>
      </w:pPr>
      <w:r>
        <w:rPr>
          <w:lang w:val="en-GB"/>
        </w:rPr>
        <w:lastRenderedPageBreak/>
        <w:t>PGM(s)</w:t>
      </w:r>
      <w:r>
        <w:rPr>
          <w:lang w:val="en-GB"/>
        </w:rPr>
        <w:tab/>
      </w:r>
      <w:r>
        <w:rPr>
          <w:lang w:val="en-GB"/>
        </w:rPr>
        <w:tab/>
        <w:t>Platinum Group Metal(s)</w:t>
      </w:r>
    </w:p>
    <w:p w14:paraId="0995AC5F" w14:textId="77777777" w:rsidR="0094073B" w:rsidRDefault="0094073B" w:rsidP="00863B14">
      <w:pPr>
        <w:spacing w:line="480" w:lineRule="auto"/>
        <w:rPr>
          <w:lang w:val="en-GB"/>
        </w:rPr>
      </w:pPr>
      <w:r>
        <w:rPr>
          <w:lang w:val="en-GB"/>
        </w:rPr>
        <w:t>PPI</w:t>
      </w:r>
      <w:r>
        <w:rPr>
          <w:lang w:val="en-GB"/>
        </w:rPr>
        <w:tab/>
      </w:r>
      <w:r>
        <w:rPr>
          <w:lang w:val="en-GB"/>
        </w:rPr>
        <w:tab/>
      </w:r>
      <w:r>
        <w:rPr>
          <w:lang w:val="en-GB"/>
        </w:rPr>
        <w:tab/>
        <w:t>Policy Perception Index</w:t>
      </w:r>
    </w:p>
    <w:p w14:paraId="4E026A6A" w14:textId="733B8F60" w:rsidR="0094073B" w:rsidRDefault="0094073B" w:rsidP="00863B14">
      <w:pPr>
        <w:spacing w:line="480" w:lineRule="auto"/>
        <w:rPr>
          <w:lang w:val="en-GB"/>
        </w:rPr>
      </w:pPr>
      <w:r>
        <w:rPr>
          <w:lang w:val="en-GB"/>
        </w:rPr>
        <w:t>REE(s)</w:t>
      </w:r>
      <w:r>
        <w:rPr>
          <w:lang w:val="en-GB"/>
        </w:rPr>
        <w:tab/>
      </w:r>
      <w:r>
        <w:rPr>
          <w:lang w:val="en-GB"/>
        </w:rPr>
        <w:tab/>
      </w:r>
      <w:r>
        <w:rPr>
          <w:lang w:val="en-GB"/>
        </w:rPr>
        <w:tab/>
        <w:t xml:space="preserve">Rare </w:t>
      </w:r>
      <w:r w:rsidR="00290E9C">
        <w:rPr>
          <w:lang w:val="en-GB"/>
        </w:rPr>
        <w:t>E</w:t>
      </w:r>
      <w:r>
        <w:rPr>
          <w:lang w:val="en-GB"/>
        </w:rPr>
        <w:t xml:space="preserve">arth </w:t>
      </w:r>
      <w:r w:rsidR="00290E9C">
        <w:rPr>
          <w:lang w:val="en-GB"/>
        </w:rPr>
        <w:t>E</w:t>
      </w:r>
      <w:r>
        <w:rPr>
          <w:lang w:val="en-GB"/>
        </w:rPr>
        <w:t>lement(s)</w:t>
      </w:r>
    </w:p>
    <w:p w14:paraId="4DB93D4C" w14:textId="77777777" w:rsidR="0094073B" w:rsidRDefault="0094073B" w:rsidP="00863B14">
      <w:pPr>
        <w:spacing w:line="480" w:lineRule="auto"/>
        <w:rPr>
          <w:lang w:val="en-GB"/>
        </w:rPr>
      </w:pPr>
      <w:r>
        <w:rPr>
          <w:lang w:val="en-GB"/>
        </w:rPr>
        <w:t>SDU</w:t>
      </w:r>
      <w:r>
        <w:rPr>
          <w:lang w:val="en-GB"/>
        </w:rPr>
        <w:tab/>
      </w:r>
      <w:r>
        <w:rPr>
          <w:lang w:val="en-GB"/>
        </w:rPr>
        <w:tab/>
      </w:r>
      <w:r>
        <w:rPr>
          <w:lang w:val="en-GB"/>
        </w:rPr>
        <w:tab/>
      </w:r>
      <w:r w:rsidRPr="00A73697">
        <w:rPr>
          <w:lang w:val="en-GB"/>
        </w:rPr>
        <w:t>University of Southern Denmark</w:t>
      </w:r>
    </w:p>
    <w:p w14:paraId="56716FD0" w14:textId="77777777" w:rsidR="0094073B" w:rsidRDefault="0094073B" w:rsidP="00863B14">
      <w:pPr>
        <w:spacing w:line="480" w:lineRule="auto"/>
        <w:rPr>
          <w:lang w:val="en-GB"/>
        </w:rPr>
      </w:pPr>
      <w:r>
        <w:rPr>
          <w:lang w:val="en-GB"/>
        </w:rPr>
        <w:t>SI</w:t>
      </w:r>
      <w:r>
        <w:rPr>
          <w:lang w:val="en-GB"/>
        </w:rPr>
        <w:tab/>
      </w:r>
      <w:r>
        <w:rPr>
          <w:lang w:val="en-GB"/>
        </w:rPr>
        <w:tab/>
      </w:r>
      <w:r>
        <w:rPr>
          <w:lang w:val="en-GB"/>
        </w:rPr>
        <w:tab/>
        <w:t>Supplementary Information</w:t>
      </w:r>
    </w:p>
    <w:p w14:paraId="58DB6B48" w14:textId="77777777" w:rsidR="0094073B" w:rsidRDefault="0094073B" w:rsidP="00863B14">
      <w:pPr>
        <w:spacing w:line="480" w:lineRule="auto"/>
        <w:rPr>
          <w:lang w:val="en-GB"/>
        </w:rPr>
      </w:pPr>
      <w:r>
        <w:rPr>
          <w:lang w:val="en-GB"/>
        </w:rPr>
        <w:t>UBA</w:t>
      </w:r>
      <w:r>
        <w:rPr>
          <w:lang w:val="en-GB"/>
        </w:rPr>
        <w:tab/>
      </w:r>
      <w:r>
        <w:rPr>
          <w:lang w:val="en-GB"/>
        </w:rPr>
        <w:tab/>
      </w:r>
      <w:r>
        <w:rPr>
          <w:lang w:val="en-GB"/>
        </w:rPr>
        <w:tab/>
      </w:r>
      <w:proofErr w:type="spellStart"/>
      <w:r w:rsidRPr="00A73697">
        <w:rPr>
          <w:lang w:val="en-GB"/>
        </w:rPr>
        <w:t>Umweltbundesamt</w:t>
      </w:r>
      <w:proofErr w:type="spellEnd"/>
    </w:p>
    <w:p w14:paraId="74AF987F" w14:textId="77777777" w:rsidR="0094073B" w:rsidRDefault="0094073B" w:rsidP="00863B14">
      <w:pPr>
        <w:spacing w:line="480" w:lineRule="auto"/>
        <w:rPr>
          <w:lang w:val="en-GB"/>
        </w:rPr>
      </w:pPr>
      <w:r>
        <w:rPr>
          <w:lang w:val="en-GB"/>
        </w:rPr>
        <w:t>UNDP</w:t>
      </w:r>
      <w:r w:rsidRPr="00815A0F">
        <w:t xml:space="preserve"> </w:t>
      </w:r>
      <w:r>
        <w:tab/>
      </w:r>
      <w:r>
        <w:tab/>
      </w:r>
      <w:r>
        <w:tab/>
      </w:r>
      <w:r w:rsidRPr="00815A0F">
        <w:rPr>
          <w:lang w:val="en-GB"/>
        </w:rPr>
        <w:t>United Nations Development Programme</w:t>
      </w:r>
    </w:p>
    <w:p w14:paraId="0F7A3D32" w14:textId="77777777" w:rsidR="0094073B" w:rsidRDefault="0094073B" w:rsidP="00863B14">
      <w:pPr>
        <w:spacing w:line="480" w:lineRule="auto"/>
        <w:rPr>
          <w:lang w:val="en-GB"/>
        </w:rPr>
      </w:pPr>
      <w:r>
        <w:rPr>
          <w:lang w:val="en-GB"/>
        </w:rPr>
        <w:t>UNEP IRP</w:t>
      </w:r>
      <w:r>
        <w:rPr>
          <w:lang w:val="en-GB"/>
        </w:rPr>
        <w:tab/>
      </w:r>
      <w:r>
        <w:rPr>
          <w:lang w:val="en-GB"/>
        </w:rPr>
        <w:tab/>
      </w:r>
      <w:r w:rsidRPr="00815A0F">
        <w:rPr>
          <w:lang w:val="en-GB"/>
        </w:rPr>
        <w:t>United Nations Environment Programme</w:t>
      </w:r>
      <w:r>
        <w:rPr>
          <w:lang w:val="en-GB"/>
        </w:rPr>
        <w:t xml:space="preserve"> International Resource Panel</w:t>
      </w:r>
    </w:p>
    <w:p w14:paraId="5F8A60C8" w14:textId="77777777" w:rsidR="0094073B" w:rsidRDefault="0094073B" w:rsidP="00863B14">
      <w:pPr>
        <w:spacing w:line="480" w:lineRule="auto"/>
        <w:rPr>
          <w:lang w:val="en-GB"/>
        </w:rPr>
      </w:pPr>
      <w:r>
        <w:rPr>
          <w:lang w:val="en-GB"/>
        </w:rPr>
        <w:t>US DOE</w:t>
      </w:r>
      <w:r>
        <w:rPr>
          <w:lang w:val="en-GB"/>
        </w:rPr>
        <w:tab/>
      </w:r>
      <w:r>
        <w:rPr>
          <w:lang w:val="en-GB"/>
        </w:rPr>
        <w:tab/>
        <w:t>United States Department of Energy</w:t>
      </w:r>
    </w:p>
    <w:p w14:paraId="5AAFCCA5" w14:textId="77777777" w:rsidR="0094073B" w:rsidRPr="00815A0F" w:rsidRDefault="0094073B" w:rsidP="00863B14">
      <w:pPr>
        <w:spacing w:line="480" w:lineRule="auto"/>
        <w:rPr>
          <w:lang w:val="en-GB"/>
        </w:rPr>
      </w:pPr>
      <w:r w:rsidRPr="00815A0F">
        <w:rPr>
          <w:lang w:val="en-GB"/>
        </w:rPr>
        <w:t>USGS</w:t>
      </w:r>
      <w:r w:rsidRPr="00815A0F">
        <w:rPr>
          <w:lang w:val="en-GB"/>
        </w:rPr>
        <w:tab/>
      </w:r>
      <w:r w:rsidRPr="00815A0F">
        <w:rPr>
          <w:lang w:val="en-GB"/>
        </w:rPr>
        <w:tab/>
      </w:r>
      <w:r w:rsidRPr="00815A0F">
        <w:rPr>
          <w:lang w:val="en-GB"/>
        </w:rPr>
        <w:tab/>
        <w:t>United States Geological S</w:t>
      </w:r>
      <w:r>
        <w:rPr>
          <w:lang w:val="en-GB"/>
        </w:rPr>
        <w:t>urvey</w:t>
      </w:r>
    </w:p>
    <w:p w14:paraId="254AB6AD" w14:textId="77777777" w:rsidR="0094073B" w:rsidRPr="00DE4961" w:rsidRDefault="0094073B" w:rsidP="00863B14">
      <w:pPr>
        <w:spacing w:line="480" w:lineRule="auto"/>
        <w:rPr>
          <w:lang w:val="en-GB"/>
        </w:rPr>
      </w:pPr>
      <w:r w:rsidRPr="00DE4961">
        <w:rPr>
          <w:lang w:val="en-GB"/>
        </w:rPr>
        <w:t>VDI</w:t>
      </w:r>
      <w:r w:rsidRPr="00DE4961">
        <w:rPr>
          <w:lang w:val="en-GB"/>
        </w:rPr>
        <w:tab/>
      </w:r>
      <w:r w:rsidRPr="00DE4961">
        <w:rPr>
          <w:lang w:val="en-GB"/>
        </w:rPr>
        <w:tab/>
      </w:r>
      <w:r w:rsidRPr="00DE4961">
        <w:rPr>
          <w:lang w:val="en-GB"/>
        </w:rPr>
        <w:tab/>
        <w:t xml:space="preserve">Verein </w:t>
      </w:r>
      <w:proofErr w:type="spellStart"/>
      <w:r w:rsidRPr="00DE4961">
        <w:rPr>
          <w:lang w:val="en-GB"/>
        </w:rPr>
        <w:t>Deutscher</w:t>
      </w:r>
      <w:proofErr w:type="spellEnd"/>
      <w:r w:rsidRPr="00DE4961">
        <w:rPr>
          <w:lang w:val="en-GB"/>
        </w:rPr>
        <w:t xml:space="preserve"> </w:t>
      </w:r>
      <w:proofErr w:type="spellStart"/>
      <w:r w:rsidRPr="00DE4961">
        <w:rPr>
          <w:lang w:val="en-GB"/>
        </w:rPr>
        <w:t>Ingenieure</w:t>
      </w:r>
      <w:proofErr w:type="spellEnd"/>
      <w:r w:rsidRPr="00DE4961">
        <w:rPr>
          <w:lang w:val="en-GB"/>
        </w:rPr>
        <w:t xml:space="preserve"> </w:t>
      </w:r>
    </w:p>
    <w:p w14:paraId="6EEED7A8" w14:textId="4EF8534E" w:rsidR="00FF5E94" w:rsidRPr="00DE4961" w:rsidRDefault="0094073B" w:rsidP="00863B14">
      <w:pPr>
        <w:spacing w:line="480" w:lineRule="auto"/>
        <w:rPr>
          <w:lang w:val="en-GB"/>
        </w:rPr>
      </w:pPr>
      <w:r>
        <w:rPr>
          <w:lang w:val="en-GB"/>
        </w:rPr>
        <w:t>WGI</w:t>
      </w:r>
      <w:r>
        <w:rPr>
          <w:lang w:val="en-GB"/>
        </w:rPr>
        <w:tab/>
      </w:r>
      <w:r>
        <w:rPr>
          <w:lang w:val="en-GB"/>
        </w:rPr>
        <w:tab/>
      </w:r>
      <w:r>
        <w:rPr>
          <w:lang w:val="en-GB"/>
        </w:rPr>
        <w:tab/>
      </w:r>
      <w:r w:rsidRPr="00815A0F">
        <w:rPr>
          <w:lang w:val="en-GB"/>
        </w:rPr>
        <w:t>Worldwide Governance Indicators</w:t>
      </w:r>
      <w:bookmarkEnd w:id="11"/>
      <w:bookmarkEnd w:id="12"/>
      <w:bookmarkEnd w:id="13"/>
      <w:bookmarkEnd w:id="14"/>
    </w:p>
    <w:p w14:paraId="5EEBD525" w14:textId="32908FF1" w:rsidR="007D2922" w:rsidRDefault="007D2922" w:rsidP="00863B14">
      <w:pPr>
        <w:spacing w:line="480" w:lineRule="auto"/>
        <w:rPr>
          <w:noProof/>
        </w:rPr>
      </w:pPr>
      <w:r w:rsidRPr="00A53A7D">
        <w:rPr>
          <w:b/>
          <w:caps/>
        </w:rPr>
        <w:fldChar w:fldCharType="begin"/>
      </w:r>
      <w:r w:rsidRPr="00A53A7D">
        <w:instrText xml:space="preserve"> TOC \o "1-4" </w:instrText>
      </w:r>
      <w:r w:rsidRPr="00A53A7D">
        <w:rPr>
          <w:b/>
          <w:caps/>
        </w:rPr>
        <w:fldChar w:fldCharType="separate"/>
      </w:r>
    </w:p>
    <w:p w14:paraId="606DF352" w14:textId="77777777" w:rsidR="002B5168" w:rsidRDefault="007D2922" w:rsidP="00933B24">
      <w:pPr>
        <w:spacing w:line="480" w:lineRule="auto"/>
      </w:pPr>
      <w:r w:rsidRPr="00A53A7D">
        <w:fldChar w:fldCharType="end"/>
      </w:r>
    </w:p>
    <w:p w14:paraId="60B75731" w14:textId="77777777" w:rsidR="002B5168" w:rsidRDefault="002B5168" w:rsidP="00863B14">
      <w:pPr>
        <w:spacing w:after="160" w:line="480" w:lineRule="auto"/>
        <w:rPr>
          <w:rFonts w:asciiTheme="majorHAnsi" w:eastAsiaTheme="majorEastAsia" w:hAnsiTheme="majorHAnsi" w:cstheme="majorBidi"/>
          <w:color w:val="2E74B5" w:themeColor="accent1" w:themeShade="BF"/>
          <w:sz w:val="26"/>
          <w:szCs w:val="26"/>
          <w:lang w:eastAsia="en-US"/>
        </w:rPr>
      </w:pPr>
      <w:r>
        <w:br w:type="page"/>
      </w:r>
    </w:p>
    <w:p w14:paraId="7E26F399" w14:textId="751C7B69" w:rsidR="00777DF6" w:rsidRDefault="00326BE0" w:rsidP="00863B14">
      <w:pPr>
        <w:pStyle w:val="Heading2"/>
        <w:spacing w:line="480" w:lineRule="auto"/>
      </w:pPr>
      <w:bookmarkStart w:id="17" w:name="_Toc19016225"/>
      <w:r>
        <w:lastRenderedPageBreak/>
        <w:t>Abstract</w:t>
      </w:r>
      <w:bookmarkEnd w:id="15"/>
      <w:bookmarkEnd w:id="17"/>
    </w:p>
    <w:p w14:paraId="40B5556C" w14:textId="32BE7647" w:rsidR="008E3A17" w:rsidRDefault="00B602C4" w:rsidP="00863B14">
      <w:pPr>
        <w:spacing w:line="480" w:lineRule="auto"/>
        <w:jc w:val="both"/>
      </w:pPr>
      <w:r w:rsidRPr="00E64C5D">
        <w:t>The assessment of</w:t>
      </w:r>
      <w:r w:rsidR="008318EE" w:rsidRPr="00E64C5D">
        <w:t xml:space="preserve"> the</w:t>
      </w:r>
      <w:r w:rsidRPr="00E64C5D">
        <w:t xml:space="preserve"> criticality of raw materials allows the </w:t>
      </w:r>
      <w:r w:rsidR="008318EE" w:rsidRPr="00E64C5D">
        <w:t>identification</w:t>
      </w:r>
      <w:r w:rsidRPr="00E64C5D">
        <w:t xml:space="preserve"> of </w:t>
      </w:r>
      <w:r w:rsidR="00993D75" w:rsidRPr="00E64C5D">
        <w:t xml:space="preserve">the </w:t>
      </w:r>
      <w:r w:rsidR="00827CF9">
        <w:t>likelihood</w:t>
      </w:r>
      <w:r w:rsidR="00827CF9" w:rsidRPr="00E64C5D">
        <w:t xml:space="preserve"> </w:t>
      </w:r>
      <w:r w:rsidR="00993D75" w:rsidRPr="00E64C5D">
        <w:t xml:space="preserve">of a </w:t>
      </w:r>
      <w:r w:rsidR="004936E7" w:rsidRPr="00E64C5D">
        <w:t>supply disruption of a material and the vulnerability of a system</w:t>
      </w:r>
      <w:r w:rsidR="00CD53F6" w:rsidRPr="00E64C5D">
        <w:t xml:space="preserve"> (e.g. a national economy, technology, or company)</w:t>
      </w:r>
      <w:r w:rsidR="004936E7" w:rsidRPr="00E64C5D">
        <w:t xml:space="preserve"> to this disruption.</w:t>
      </w:r>
      <w:r w:rsidR="00BA3BB9" w:rsidRPr="00E64C5D">
        <w:t xml:space="preserve"> Inconclusive outcomes </w:t>
      </w:r>
      <w:r w:rsidR="005012D0" w:rsidRPr="00E64C5D">
        <w:t xml:space="preserve">of </w:t>
      </w:r>
      <w:r w:rsidR="00C6091E" w:rsidRPr="00E64C5D">
        <w:t xml:space="preserve">various studies suggest that </w:t>
      </w:r>
      <w:r w:rsidR="00BA3BB9" w:rsidRPr="00E64C5D">
        <w:t>criticality assessment</w:t>
      </w:r>
      <w:r w:rsidR="005012D0" w:rsidRPr="00E64C5D">
        <w:t>s</w:t>
      </w:r>
      <w:r w:rsidR="00BA3BB9" w:rsidRPr="00E64C5D">
        <w:t xml:space="preserve"> </w:t>
      </w:r>
      <w:r w:rsidR="00F658D5" w:rsidRPr="00E64C5D">
        <w:t xml:space="preserve">would benefit from </w:t>
      </w:r>
      <w:r w:rsidR="00793D32" w:rsidRPr="00E64C5D">
        <w:t>the identification of best practices</w:t>
      </w:r>
      <w:r w:rsidR="0074527A" w:rsidRPr="00E64C5D">
        <w:t xml:space="preserve">. </w:t>
      </w:r>
      <w:r w:rsidR="00827CF9">
        <w:t xml:space="preserve">To </w:t>
      </w:r>
      <w:r w:rsidR="0074527A" w:rsidRPr="00E64C5D">
        <w:t xml:space="preserve">prepare the field for such guidance, this paper aims to clarify the mechanisms that </w:t>
      </w:r>
      <w:r w:rsidR="001D38FA" w:rsidRPr="00E64C5D">
        <w:t xml:space="preserve">affect methodological choices </w:t>
      </w:r>
      <w:r w:rsidR="00A80811" w:rsidRPr="00E64C5D">
        <w:t>which</w:t>
      </w:r>
      <w:r w:rsidR="001D38FA" w:rsidRPr="00E64C5D">
        <w:t xml:space="preserve"> influence </w:t>
      </w:r>
      <w:r w:rsidR="008C54A3" w:rsidRPr="00E64C5D">
        <w:t>the results of a study</w:t>
      </w:r>
      <w:r w:rsidR="001D38FA" w:rsidRPr="00E64C5D">
        <w:t xml:space="preserve">. </w:t>
      </w:r>
      <w:r w:rsidR="00F5753D" w:rsidRPr="00E64C5D">
        <w:t xml:space="preserve">This is achieved via </w:t>
      </w:r>
      <w:r w:rsidR="003F6010" w:rsidRPr="00E64C5D">
        <w:t xml:space="preserve">literature review and </w:t>
      </w:r>
      <w:r w:rsidR="00E85B56" w:rsidRPr="00E64C5D">
        <w:t xml:space="preserve">round table discussions among international experts. </w:t>
      </w:r>
      <w:r w:rsidR="00987FF3" w:rsidRPr="00E64C5D">
        <w:t xml:space="preserve">The paper demonstrates that </w:t>
      </w:r>
      <w:r w:rsidR="00337897" w:rsidRPr="00E64C5D">
        <w:t xml:space="preserve">criticality studies are divergent in the system under study, </w:t>
      </w:r>
      <w:r w:rsidR="008F1AD3" w:rsidRPr="00E64C5D">
        <w:t xml:space="preserve">the </w:t>
      </w:r>
      <w:r w:rsidR="00622F53" w:rsidRPr="00E64C5D">
        <w:t xml:space="preserve">anticipated </w:t>
      </w:r>
      <w:r w:rsidR="008F1AD3" w:rsidRPr="00E64C5D">
        <w:t xml:space="preserve">risk, the </w:t>
      </w:r>
      <w:r w:rsidR="00D3719C">
        <w:t>purpose</w:t>
      </w:r>
      <w:r w:rsidR="00D3719C" w:rsidRPr="00E64C5D">
        <w:t xml:space="preserve"> </w:t>
      </w:r>
      <w:r w:rsidR="008F1AD3" w:rsidRPr="00E64C5D">
        <w:t xml:space="preserve">of the study, </w:t>
      </w:r>
      <w:r w:rsidR="00E34166" w:rsidRPr="00E64C5D">
        <w:t>and material selection</w:t>
      </w:r>
      <w:r w:rsidR="00802C53" w:rsidRPr="00E64C5D">
        <w:t xml:space="preserve">. </w:t>
      </w:r>
      <w:r w:rsidR="003970D8" w:rsidRPr="00E64C5D">
        <w:t xml:space="preserve">These differences in goal and scope </w:t>
      </w:r>
      <w:r w:rsidR="00BB668C" w:rsidRPr="00E64C5D">
        <w:t>naturally</w:t>
      </w:r>
      <w:r w:rsidR="00827CF9">
        <w:t xml:space="preserve"> </w:t>
      </w:r>
      <w:r w:rsidR="003970D8" w:rsidRPr="00E64C5D">
        <w:t xml:space="preserve">result in different choices regarding indicator selection, the </w:t>
      </w:r>
      <w:r w:rsidR="00F65CDA" w:rsidRPr="00E64C5D">
        <w:t xml:space="preserve">required level of aggregation </w:t>
      </w:r>
      <w:r w:rsidR="002B45EF">
        <w:t>as well as</w:t>
      </w:r>
      <w:r w:rsidR="002B45EF" w:rsidRPr="00E64C5D">
        <w:t xml:space="preserve"> </w:t>
      </w:r>
      <w:r w:rsidR="00F65CDA" w:rsidRPr="00E64C5D">
        <w:t>the subsequent choice of aggregation method, and the need for a threshold value</w:t>
      </w:r>
      <w:r w:rsidR="00D3719C">
        <w:t>. However,</w:t>
      </w:r>
      <w:r w:rsidR="00BB668C" w:rsidRPr="00E64C5D">
        <w:t xml:space="preserve"> this li</w:t>
      </w:r>
      <w:r w:rsidR="005C7FD1" w:rsidRPr="00E64C5D">
        <w:t xml:space="preserve">nk is </w:t>
      </w:r>
      <w:r w:rsidR="00D93376" w:rsidRPr="00E64C5D">
        <w:t xml:space="preserve">often </w:t>
      </w:r>
      <w:r w:rsidR="005C7FD1" w:rsidRPr="00E64C5D">
        <w:t xml:space="preserve">weak, </w:t>
      </w:r>
      <w:r w:rsidR="00D3719C">
        <w:t xml:space="preserve">which </w:t>
      </w:r>
      <w:r w:rsidR="004122F0" w:rsidRPr="00E64C5D">
        <w:t>suggest</w:t>
      </w:r>
      <w:r w:rsidR="00D3719C">
        <w:t>s</w:t>
      </w:r>
      <w:r w:rsidR="005C7FD1" w:rsidRPr="00E64C5D">
        <w:t xml:space="preserve"> a lack of understanding of cause-and-effect mechanisms</w:t>
      </w:r>
      <w:r w:rsidR="001B0657" w:rsidRPr="00E64C5D">
        <w:t xml:space="preserve"> </w:t>
      </w:r>
      <w:r w:rsidR="004122F0" w:rsidRPr="00E64C5D">
        <w:t>of</w:t>
      </w:r>
      <w:r w:rsidR="001B0657" w:rsidRPr="00E64C5D">
        <w:t xml:space="preserve"> indicators and </w:t>
      </w:r>
      <w:r w:rsidR="004122F0" w:rsidRPr="00E64C5D">
        <w:t>outcomes</w:t>
      </w:r>
      <w:r w:rsidR="00F65CDA" w:rsidRPr="00E64C5D">
        <w:t xml:space="preserve">. </w:t>
      </w:r>
      <w:r w:rsidR="00ED6F78" w:rsidRPr="00E64C5D">
        <w:t xml:space="preserve">Data availability is a key factor that limits </w:t>
      </w:r>
      <w:r w:rsidR="00827CF9">
        <w:t xml:space="preserve">the </w:t>
      </w:r>
      <w:r w:rsidR="002B45EF">
        <w:t xml:space="preserve">evaluation </w:t>
      </w:r>
      <w:r w:rsidR="00827CF9">
        <w:t>of criticality</w:t>
      </w:r>
      <w:r w:rsidR="00ED6F78" w:rsidRPr="00E64C5D">
        <w:t xml:space="preserve">. Furthermore, </w:t>
      </w:r>
      <w:r w:rsidR="00603DF6" w:rsidRPr="00E64C5D">
        <w:t>data quality</w:t>
      </w:r>
      <w:r w:rsidR="00243EAC">
        <w:t>,</w:t>
      </w:r>
      <w:r w:rsidR="00603DF6" w:rsidRPr="00E64C5D">
        <w:t xml:space="preserve"> including both data uncertainty and data representativeness</w:t>
      </w:r>
      <w:r w:rsidR="00243EAC">
        <w:t xml:space="preserve">, </w:t>
      </w:r>
      <w:r w:rsidR="00603DF6" w:rsidRPr="00E64C5D">
        <w:t>is</w:t>
      </w:r>
      <w:r w:rsidR="00FC50E9" w:rsidRPr="00E64C5D">
        <w:t xml:space="preserve"> rarely addressed in the interpretation and communication of results. </w:t>
      </w:r>
      <w:r w:rsidR="00A142FA" w:rsidRPr="00E64C5D">
        <w:t>C</w:t>
      </w:r>
      <w:r w:rsidR="008E3A17" w:rsidRPr="00E64C5D">
        <w:t>lear guidance in the formulation of goals and scopes</w:t>
      </w:r>
      <w:r w:rsidR="00A142FA" w:rsidRPr="00E64C5D">
        <w:t xml:space="preserve"> of criticality studies</w:t>
      </w:r>
      <w:r w:rsidR="008E3A17" w:rsidRPr="00E64C5D">
        <w:t xml:space="preserve">, the selection of </w:t>
      </w:r>
      <w:r w:rsidR="005C5615" w:rsidRPr="00E64C5D">
        <w:t>adequate</w:t>
      </w:r>
      <w:r w:rsidR="008E3A17" w:rsidRPr="00E64C5D">
        <w:t xml:space="preserve"> indicators and aggregation methods, and the interpretation of the outcomes</w:t>
      </w:r>
      <w:r w:rsidR="00243EAC">
        <w:t>,</w:t>
      </w:r>
      <w:r w:rsidR="00A142FA" w:rsidRPr="00E64C5D">
        <w:t xml:space="preserve"> </w:t>
      </w:r>
      <w:r w:rsidR="00DE4961">
        <w:t xml:space="preserve">are important initial steps </w:t>
      </w:r>
      <w:r w:rsidR="00827CF9">
        <w:t>in improving the quality of criticality assessments.</w:t>
      </w:r>
    </w:p>
    <w:p w14:paraId="248805E8" w14:textId="77777777" w:rsidR="002B5168" w:rsidRPr="00DB6C07" w:rsidRDefault="002B5168" w:rsidP="00863B14">
      <w:pPr>
        <w:spacing w:after="160" w:line="480" w:lineRule="auto"/>
        <w:rPr>
          <w:rFonts w:asciiTheme="majorHAnsi" w:eastAsiaTheme="majorEastAsia" w:hAnsiTheme="majorHAnsi" w:cstheme="majorBidi"/>
          <w:color w:val="2E74B5" w:themeColor="accent1" w:themeShade="BF"/>
          <w:sz w:val="27"/>
          <w:szCs w:val="26"/>
          <w:lang w:eastAsia="en-US"/>
        </w:rPr>
      </w:pPr>
      <w:bookmarkStart w:id="18" w:name="_Toc415758570"/>
      <w:bookmarkStart w:id="19" w:name="_Toc10458654"/>
      <w:r w:rsidRPr="00DB6C07">
        <w:rPr>
          <w:sz w:val="27"/>
        </w:rPr>
        <w:br w:type="page"/>
      </w:r>
    </w:p>
    <w:p w14:paraId="6B89E188" w14:textId="7498C9F1" w:rsidR="00D63609" w:rsidRPr="00A53A7D" w:rsidRDefault="00D63609" w:rsidP="00863B14">
      <w:pPr>
        <w:pStyle w:val="Heading2"/>
        <w:numPr>
          <w:ilvl w:val="0"/>
          <w:numId w:val="2"/>
        </w:numPr>
        <w:spacing w:line="480" w:lineRule="auto"/>
        <w:rPr>
          <w:sz w:val="27"/>
          <w:lang w:val="nl-NL"/>
        </w:rPr>
      </w:pPr>
      <w:bookmarkStart w:id="20" w:name="_Toc19016226"/>
      <w:r w:rsidRPr="00A53A7D">
        <w:rPr>
          <w:sz w:val="27"/>
          <w:lang w:val="nl-NL"/>
        </w:rPr>
        <w:lastRenderedPageBreak/>
        <w:t>Introduction</w:t>
      </w:r>
      <w:bookmarkEnd w:id="18"/>
      <w:bookmarkEnd w:id="19"/>
      <w:bookmarkEnd w:id="20"/>
    </w:p>
    <w:p w14:paraId="72A494BF" w14:textId="5D93F84D" w:rsidR="007E0362" w:rsidRDefault="00EF77CF" w:rsidP="00863B14">
      <w:pPr>
        <w:spacing w:line="480" w:lineRule="auto"/>
        <w:jc w:val="both"/>
      </w:pPr>
      <w:r w:rsidRPr="00306D3E">
        <w:t xml:space="preserve">Raw </w:t>
      </w:r>
      <w:r>
        <w:t>m</w:t>
      </w:r>
      <w:r w:rsidRPr="00306D3E">
        <w:t xml:space="preserve">aterial </w:t>
      </w:r>
      <w:r>
        <w:t>c</w:t>
      </w:r>
      <w:r w:rsidRPr="00306D3E">
        <w:t>riticality is the field of study that evaluates the economic and technical dependency on a certain material</w:t>
      </w:r>
      <w:r>
        <w:t>,</w:t>
      </w:r>
      <w:r w:rsidRPr="00306D3E">
        <w:t xml:space="preserve"> as </w:t>
      </w:r>
      <w:r w:rsidR="007E0362" w:rsidRPr="00306D3E">
        <w:t xml:space="preserve">well as </w:t>
      </w:r>
      <w:r w:rsidR="00BC03F0" w:rsidRPr="00306D3E">
        <w:t xml:space="preserve">the probability of </w:t>
      </w:r>
      <w:r w:rsidR="00FF3898" w:rsidRPr="00306D3E">
        <w:t xml:space="preserve">supply </w:t>
      </w:r>
      <w:r w:rsidR="007E0362" w:rsidRPr="00306D3E">
        <w:t>disruption</w:t>
      </w:r>
      <w:r w:rsidR="00CA1869" w:rsidRPr="00306D3E">
        <w:t>s</w:t>
      </w:r>
      <w:r w:rsidR="00243EAC">
        <w:t>,</w:t>
      </w:r>
      <w:r w:rsidR="00CA1869" w:rsidRPr="00306D3E">
        <w:t xml:space="preserve"> </w:t>
      </w:r>
      <w:r w:rsidR="007E0362" w:rsidRPr="00306D3E">
        <w:t xml:space="preserve">for </w:t>
      </w:r>
      <w:r w:rsidR="00CA1869" w:rsidRPr="00306D3E">
        <w:t xml:space="preserve">a </w:t>
      </w:r>
      <w:r w:rsidR="007E0362" w:rsidRPr="00306D3E">
        <w:t>defined stakeholder</w:t>
      </w:r>
      <w:r w:rsidR="00CA1869" w:rsidRPr="00306D3E">
        <w:t xml:space="preserve"> group</w:t>
      </w:r>
      <w:r w:rsidR="00A3029B" w:rsidRPr="00306D3E">
        <w:t xml:space="preserve"> with</w:t>
      </w:r>
      <w:r w:rsidR="00382FA4" w:rsidRPr="00306D3E">
        <w:t xml:space="preserve">in </w:t>
      </w:r>
      <w:r w:rsidR="007E3217" w:rsidRPr="00306D3E">
        <w:t>a certain time frame</w:t>
      </w:r>
      <w:r w:rsidR="00BF4EB5" w:rsidRPr="00306D3E">
        <w:t>.</w:t>
      </w:r>
      <w:r w:rsidR="00F809B5" w:rsidRPr="00306D3E">
        <w:t xml:space="preserve"> </w:t>
      </w:r>
      <w:r w:rsidR="009542A5" w:rsidRPr="00306D3E">
        <w:t>Criticality assessments</w:t>
      </w:r>
      <w:r w:rsidR="00C60089" w:rsidRPr="00306D3E">
        <w:t xml:space="preserve"> </w:t>
      </w:r>
      <w:r w:rsidR="00EA093A" w:rsidRPr="00306D3E">
        <w:t xml:space="preserve">play an indispensable role for industry and policymakers alike, </w:t>
      </w:r>
      <w:r w:rsidR="002B45EF">
        <w:t>e.g.</w:t>
      </w:r>
      <w:r w:rsidR="00814DFF" w:rsidRPr="00306D3E">
        <w:t xml:space="preserve"> </w:t>
      </w:r>
      <w:r w:rsidR="007E0362" w:rsidRPr="00306D3E">
        <w:t>in material selection</w:t>
      </w:r>
      <w:r w:rsidR="006658BA" w:rsidRPr="00306D3E">
        <w:t xml:space="preserve">, </w:t>
      </w:r>
      <w:r w:rsidR="007E0362" w:rsidRPr="00306D3E">
        <w:t xml:space="preserve">product </w:t>
      </w:r>
      <w:r w:rsidR="006658BA" w:rsidRPr="00306D3E">
        <w:t>and process</w:t>
      </w:r>
      <w:r w:rsidR="006658BA">
        <w:t xml:space="preserve"> </w:t>
      </w:r>
      <w:r w:rsidR="007E0362">
        <w:t>design</w:t>
      </w:r>
      <w:r w:rsidR="00FE615F">
        <w:t xml:space="preserve">, investment decisions, </w:t>
      </w:r>
      <w:r w:rsidR="00137441">
        <w:t xml:space="preserve">trade agreements, </w:t>
      </w:r>
      <w:r w:rsidR="00FE615F">
        <w:t>collaboration strategies, as well as in the priori</w:t>
      </w:r>
      <w:r w:rsidR="00F809B5">
        <w:t>tiz</w:t>
      </w:r>
      <w:r w:rsidR="00FE615F">
        <w:t xml:space="preserve">ation of </w:t>
      </w:r>
      <w:r w:rsidR="007E0362">
        <w:t>research projects</w:t>
      </w:r>
      <w:r w:rsidR="00E90271">
        <w:t xml:space="preserve">, </w:t>
      </w:r>
      <w:r w:rsidR="007E0362">
        <w:t>policy agendas</w:t>
      </w:r>
      <w:r w:rsidR="00E90271">
        <w:t xml:space="preserve">, </w:t>
      </w:r>
      <w:r w:rsidR="00F809B5">
        <w:t>and undertakings towards</w:t>
      </w:r>
      <w:r w:rsidR="00E90271">
        <w:t xml:space="preserve"> increas</w:t>
      </w:r>
      <w:r w:rsidR="00F809B5">
        <w:t>ing</w:t>
      </w:r>
      <w:r w:rsidR="00E90271">
        <w:t xml:space="preserve"> transparency in value chai</w:t>
      </w:r>
      <w:r w:rsidR="00E90271" w:rsidRPr="00567E59">
        <w:t xml:space="preserve">ns </w:t>
      </w:r>
      <w:r w:rsidR="007E0362" w:rsidRPr="00567E59">
        <w:fldChar w:fldCharType="begin" w:fldLock="1"/>
      </w:r>
      <w:r w:rsidR="00D35F6A">
        <w:instrText>ADDIN CSL_CITATION {"citationItems":[{"id":"ITEM-1","itemData":{"DOI":"10.1111/jiec.12305","ISSN":"15309290","abstract":"The \" criticality \" of the various elements used in modern technologies is a topic of increasing interest, with groups from governments, consultancies, and academic institutions developing a variety of methodologies and using them to make assessments. Other groups from similar organizations are studying the methodologies that generate these assessments. Here, we analyze the different types of studies, review issues of methodology, and comment on features of nine different studies published between 2008 and mid-2014. From these studies, we derive lists of problematic, debatable, and desirable aspects of criticality studies. We emphasize that the criticality of an element can vary depending on the target organization and that, because criticality is a dynamic state, it must be periodically re-evaluated. There is substantial value to be derived if a more uniform methodology could be developed. We discuss how a harmonized methodological framework might be achieved and what its benefits could be. Putting into place such a structure for collaborative and publicly available criticality determinations would be very likely to better serve the present and future needs of corporations and governments than is the case at present, where different methodologies generate different results.","author":[{"dropping-particle":"","family":"Graedel","given":"T. E.","non-dropping-particle":"","parse-names":false,"suffix":""},{"dropping-particle":"","family":"Reck","given":"Barbara K.","non-dropping-particle":"","parse-names":false,"suffix":""}],"container-title":"Journal of Industrial Ecology","id":"ITEM-1","issue":"4","issued":{"date-parts":[["2015"]]},"page":"692-699","title":"Six Years of Criticality Assessments: What Have We Learned So Far?","type":"article-journal","volume":"20"},"uris":["http://www.mendeley.com/documents/?uuid=952a94cf-5315-4241-a23a-fce901d0faa1"]},{"id":"ITEM-2","itemData":{"DOI":"10.1680/warm.12.00010","ISSN":"1747-6526","abstract":"The issue of a secure supply of raw materials has regained importance in recent years. A prominent feature of the current discussion has been the identification of 'critical raw materials' and of adequate measures to reduce their 'criticality'. This paper explores the definition, uses and limitations of lists of critical raw materials as a policy tool today and in a historical perspective. It becomes clear that the underlying issues affecting security of supply tend to persist while the identity of the 'critical' raw materials changes due to changing market conditions. The usefulness of shortlists of critical raw materials as a policy instrument therefore depends not only on the degree to which a particular methodology reflects the underlying issues but also on the timeframe chosen for the analysis.","author":[{"dropping-particle":"","family":"Buijs","given":"Bram","non-dropping-particle":"","parse-names":false,"suffix":""},{"dropping-particle":"","family":"Sievers","given":"Henrike","non-dropping-particle":"","parse-names":false,"suffix":""},{"dropping-particle":"","family":"Tercero Espinoza","given":"Luis A.","non-dropping-particle":"","parse-names":false,"suffix":""}],"container-title":"Proceedings of the Institution of Civil Engineers - Waste and Resource Management","id":"ITEM-2","issue":"4","issued":{"date-parts":[["2012"]]},"page":"201-208","title":"Limits to the critical raw materials approach","type":"article-journal","volume":"165"},"uris":["http://www.mendeley.com/documents/?uuid=5a4cf3f2-d07b-4daa-9891-494a76779e08"]}],"mendeley":{"formattedCitation":"(Buijs et al., 2012; Graedel and Reck, 2015)","plainTextFormattedCitation":"(Buijs et al., 2012; Graedel and Reck, 2015)","previouslyFormattedCitation":"(Buijs et al., 2012; Graedel and Reck, 2015)"},"properties":{"noteIndex":0},"schema":"https://github.com/citation-style-language/schema/raw/master/csl-citation.json"}</w:instrText>
      </w:r>
      <w:r w:rsidR="007E0362" w:rsidRPr="00567E59">
        <w:fldChar w:fldCharType="separate"/>
      </w:r>
      <w:r w:rsidR="002B45EF" w:rsidRPr="002B45EF">
        <w:rPr>
          <w:noProof/>
        </w:rPr>
        <w:t>(Buijs et al., 2012; Graedel and Reck, 2015)</w:t>
      </w:r>
      <w:r w:rsidR="007E0362" w:rsidRPr="00567E59">
        <w:fldChar w:fldCharType="end"/>
      </w:r>
      <w:r w:rsidR="007E0362">
        <w:t>.</w:t>
      </w:r>
    </w:p>
    <w:p w14:paraId="48A550DA" w14:textId="77777777" w:rsidR="004D088B" w:rsidRDefault="004D088B" w:rsidP="00863B14">
      <w:pPr>
        <w:spacing w:line="480" w:lineRule="auto"/>
        <w:jc w:val="both"/>
      </w:pPr>
    </w:p>
    <w:p w14:paraId="3AB0CDF9" w14:textId="215477DD" w:rsidR="0000274A" w:rsidRPr="00824A40" w:rsidRDefault="00484861" w:rsidP="00461423">
      <w:pPr>
        <w:spacing w:line="480" w:lineRule="auto"/>
        <w:contextualSpacing/>
        <w:jc w:val="both"/>
      </w:pPr>
      <w:r>
        <w:t>C</w:t>
      </w:r>
      <w:r w:rsidR="007E0362">
        <w:t xml:space="preserve">riticality </w:t>
      </w:r>
      <w:r w:rsidR="00AA1A36">
        <w:t xml:space="preserve">assessments are conducted </w:t>
      </w:r>
      <w:r w:rsidR="0025420B">
        <w:t>at</w:t>
      </w:r>
      <w:r w:rsidR="00AA1A36">
        <w:t xml:space="preserve"> different levels</w:t>
      </w:r>
      <w:r w:rsidR="00F809B5">
        <w:t>:</w:t>
      </w:r>
      <w:r w:rsidR="00AA1A36">
        <w:t xml:space="preserve"> </w:t>
      </w:r>
      <w:r w:rsidR="007E0362">
        <w:t xml:space="preserve">for a specific product </w:t>
      </w:r>
      <w:r w:rsidR="00B60460">
        <w:fldChar w:fldCharType="begin" w:fldLock="1"/>
      </w:r>
      <w:r w:rsidR="00D35F6A">
        <w:instrText>ADDIN CSL_CITATION {"citationItems":[{"id":"ITEM-1","itemData":{"DOI":"10.1007/s11367-015-0917-4","ISBN":"0948-3349, 1614-7502","ISSN":"0948-3349","abstract":"PurposeIntroducing a geopolitical-related supply risk (GeoPolRisk) into the life cycle sustainability assessment (LCSA) framework adds a criticality aspect to the current life cycle assessment (LCA) framework to more meaningfully address direct impacts on Natural Resource AoP. The weakness of resource indicators in LCA has been the topic of discussion within the life cycle community for some time. This paper presents a case study on how to proceed towards the integration of resource criticality assessment into LCA under the LCSA. The paper aims at highlighting the significance of introducing the GeoPolRisk indicator to complement and extend the established environmental LCA impact categories.MethodsA newly developed GeoPolRisk indicator proposed by Gemechu et al., J Ind Ecol (2015) was applied to metals used in the life cycle of an electric vehicle, and the results are compared with an attributional LCA of the same resources. The inventory data is based on the publication by Hawkins et al., J Ind Ecol 17:53–64 (2013), which provides a current, transparent, and detailed life cycle inventory data of a European representative first-generation battery small electric vehicle.Results and discussionFrom the 14 investigated metals, copper, aluminum, and steel are the most dominant elements that pose high environmental impacts. On the other hand, magnesium and neodymium show relatively higher supply risk when geopolitical elements are considered. While, the environmental indicator results all tend to point the same hotspots which arise from the substantial use of resources in the electric vehicle’s life cycle, the GeoPolRisk highlights that there are important elements present in very small amounts but crucial to the overall LCSA. It provides a complementary sustainability dimension that can be added to conventional LCA as an important extension within LCSA.ConclusionsResource challenges in a short-term time perspective can be better addressed by including social and geopolitical factors in addition to the conventional indicators which are based on their geological availability. This is more significant for modern technologies such as electronic devices in which critical resources contribute to important components. The case study advances the use of the GeoPolRisk assessment method but does still face certain limitations that need further elaboration; however, directions for future research are promising.","author":[{"dropping-particle":"","family":"Gemechu","given":"Eskinder D.","non-dropping-particle":"","parse-names":false,"suffix":""},{"dropping-particle":"","family":"Sonnemann","given":"Guido","non-dropping-particle":"","parse-names":false,"suffix":""},{"dropping-particle":"","family":"Young","given":"Steven B.","non-dropping-particle":"","parse-names":false,"suffix":""}],"container-title":"The International Journal of Life Cycle Assessment","id":"ITEM-1","issue":"1","issued":{"date-parts":[["2017"]]},"page":"31-39","publisher":"The International Journal of Life Cycle Assessment","title":"Geopolitical-related supply risk assessment as a complement to environmental impact assessment: the case of electric vehicles","type":"article-journal","volume":"22"},"uris":["http://www.mendeley.com/documents/?uuid=7326980c-fd80-48f0-a4a5-0a36d6f8d608"]},{"id":"ITEM-2","itemData":{"DOI":"10.1007/s11367-017-1418-4","ISBN":"09483349 (ISSN)","ISSN":"16147502","abstract":"Purpose While environmental LCA is relatively well devel-oped, impact assessment methods for the Bnatural resources^ AoP are weak. In particular, resource Bcriticality^ is not ad-dressed in conventional environmental impact assessment methods, though it could be captured within life cycle sustain-ability assessment. In that regard, the present article extends the previously developed geopolitical supply risk (GPSR) method by demonstrating the connection of crit-icality to a functional unit while incorporating measures of material substitutability to reflect the Bvulnerability^ dimen-sion of criticality. Methods The GPSR method developed by Gemechu et al. (J Ind Ecol 20:154–165, 2015a) and subsequently extended by Helbig et al. (J Clean Prod 137:1170–1178, 2016a), and Cimprich et al. (J Clean Prod, 2017) is integrated into an LCIA characterization model. Further, semi-quantitative ma-terial substitutability indicator values based on a study by Graedel et al. (PNAS 112:6295–6300, 2015) are incorporated to represent the vulnerability dimension of criticality. The method is demonstrated with an update of a previously published case study of a European-manufactured electric ve-hicle by Gemechu et al. (Int J Life Cycle Assess 22:31–39, 2015b), along with a new case study of dental X-ray equip-ment. Due to novel aspects of the GPSR method, the latter case involves constructing an unusually comprehensive bill of materials by tracing unit processes to input commodities with identification codes for collecting commodity trade data. Results and discussion Supply risk Bhotspots^ are often asso-ciated with Bminor^ commodities such as neodymium in an electric vehicle and cesium iodide in a dental X-ray system. Though difficult to measure, material substitutability can mit-igate supply risk. Environmental loads of a dental X-ray sys-tem are dominated by production of relatively small special-ized functional components like capacitors and printed circuit boards, which are far more environmentally intensive per unit of mass than common structural and mechanical components. Thus, small components comprised of minor materials can Bpack a punch^ from a supply risk and environmental perspective. Conclusions The GPSR method presented in the present arti-cle brings resource criticality assessment to a product-level while addressing a gap in conventional LCIA methods regard-ing short-run, socioeconomic availability of natural re-sources. Further, the case studies illustrate th…","author":[{"dropping-particle":"","family":"Cimprich","given":"Alexander","non-dropping-particle":"","parse-names":false,"suffix":""},{"dropping-particle":"","family":"Karim","given":"Karim S.","non-dropping-particle":"","parse-names":false,"suffix":""},{"dropping-particle":"","family":"Young","given":"Steven B.","non-dropping-particle":"","parse-names":false,"suffix":""}],"container-title":"International Journal of Life Cycle Assessment","id":"ITEM-2","issued":{"date-parts":[["2017"]]},"page":"1-19","title":"Extending the geopolitical supply risk method: material “substitutability” indicators applied to electric vehicles and dental X-ray equipment","type":"article-journal"},"uris":["http://www.mendeley.com/documents/?uuid=6909c18e-9513-4eab-a016-58cd0d439cc7"]},{"id":"ITEM-3","itemData":{"DOI":"10.1016/j.jclepro.2016.07.077","ISSN":"09596526","abstract":"With increasing demand of abiotic resources also the pollution of natural resources like water and soil has risen in the last decades due to global industrial and technological development. Thus, enhancing resource efficiency is a key goal of national and international strategies. For a comprehensive assessment of all related impacts of resource extraction and use all three sustainability dimensions have to be taken into account: economic, environmental and social aspects. Furthermore, to avoid burden shifting life cycle based methods should be applied. As companies need operational tools and approaches, a comprehensive method has been developed to measure resource efficiency of products, processes and services in the context of sustainable development (ESSENZ). Overall 21 categories are established to measure impacts on the environment, physical and socio-economic availability of the used resources as well as their societal acceptance. For the categories socio-economic availability and societal acceptance new approaches are developed and characterization factors are provided for a portfolio of 36 metals and four fossil raw materials. The introduced approach has been tested on several case studies, demonstrating that it enhances the applicability of resource efficiency to assess product systems significantly by providing an overall framework that can be adopted across sectors, using indicators and methods which are applicable and can be integrated into existing life cycle assessment based schemes.","author":[{"dropping-particle":"","family":"Bach","given":"Vanessa","non-dropping-particle":"","parse-names":false,"suffix":""},{"dropping-particle":"","family":"Berger","given":"Markus","non-dropping-particle":"","parse-names":false,"suffix":""},{"dropping-particle":"","family":"Henßler","given":"Martin","non-dropping-particle":"","parse-names":false,"suffix":""},{"dropping-particle":"","family":"Kirchner","given":"Martin","non-dropping-particle":"","parse-names":false,"suffix":""},{"dropping-particle":"","family":"Leiser","given":"Stefan","non-dropping-particle":"","parse-names":false,"suffix":""},{"dropping-particle":"","family":"Mohr","given":"Lisa","non-dropping-particle":"","parse-names":false,"suffix":""},{"dropping-particle":"","family":"Rother","given":"Elmar","non-dropping-particle":"","parse-names":false,"suffix":""},{"dropping-particle":"","family":"Ruhland","given":"Klaus","non-dropping-particle":"","parse-names":false,"suffix":""},{"dropping-particle":"","family":"Schneider","given":"Laura","non-dropping-particle":"","parse-names":false,"suffix":""},{"dropping-particle":"","family":"Tikana","given":"Ladji","non-dropping-particle":"","parse-names":false,"suffix":""},{"dropping-particle":"","family":"Volkhausen","given":"Wolfgang","non-dropping-particle":"","parse-names":false,"suffix":""},{"dropping-particle":"","family":"Walachowicz","given":"Frank","non-dropping-particle":"","parse-names":false,"suffix":""},{"dropping-particle":"","family":"Finkbeiner","given":"Matthias","non-dropping-particle":"","parse-names":false,"suffix":""}],"container-title":"Journal of Cleaner Production","id":"ITEM-3","issued":{"date-parts":[["2016"]]},"page":"118-130","publisher":"Elsevier Ltd","title":"Integrated method to assess resource efficiency – ESSENZ","type":"article-journal","volume":"137"},"uris":["http://www.mendeley.com/documents/?uuid=75f2c66a-534f-4149-9063-4b8eaf0d6491"]},{"id":"ITEM-4","itemData":{"author":[{"dropping-particle":"","family":"Clifton","given":"Andrew","non-dropping-particle":"","parse-names":false,"suffix":""}],"id":"ITEM-4","issue":"April","issued":{"date-parts":[["2013"]]},"title":"Material Selection : Taking Environmental Business Risks Into Account Material Selection : Taking Environmental Business Risks into Account Dr W . Marsden , Dr J . O ’ Hare , Dr J . Goddin – Granta Design Dr A . Clifton – Rolls-Royce","type":"article-journal"},"uris":["http://www.mendeley.com/documents/?uuid=7328104a-cf84-4088-aa95-db384564e474"]},{"id":"ITEM-5","itemData":{"DOI":"10.1007/s11837-014-1188-4","ISBN":"1047-4838","ISSN":"15431851","abstract":"With no agreed-on definition of critical materials, product and process designers have been unable to systematically address the critical materials issue. Using a comprehensive methodology, we have determined the criticality of 62 metals and metalloids—approximately two-thirds of the periodic table. We illustrate how the analyses were performed, provide an overview of criticality at the global level for all elements, and then present examples of how the criticality information could be used in making material-related choices in product and process design.","author":[{"dropping-particle":"","family":"Graedel","given":"T. E.","non-dropping-particle":"","parse-names":false,"suffix":""},{"dropping-particle":"","family":"Nuss","given":"Philip","non-dropping-particle":"","parse-names":false,"suffix":""}],"container-title":"Jom","id":"ITEM-5","issue":"11","issued":{"date-parts":[["2014"]]},"page":"2360-2366","title":"Employing Considerations of Criticality in Product Design","type":"article-journal","volume":"66"},"uris":["http://www.mendeley.com/documents/?uuid=fe225ae1-9b0e-4687-b558-19b463128996"]}],"mendeley":{"formattedCitation":"(Bach et al., 2016; Cimprich et al., 2017a; Clifton, 2013; Gemechu et al., 2017; Graedel and Nuss, 2014)","plainTextFormattedCitation":"(Bach et al., 2016; Cimprich et al., 2017a; Clifton, 2013; Gemechu et al., 2017; Graedel and Nuss, 2014)","previouslyFormattedCitation":"(Bach et al., 2016; Cimprich et al., 2017a; Clifton, 2013; Gemechu et al., 2017; Graedel and Nuss, 2014)"},"properties":{"noteIndex":0},"schema":"https://github.com/citation-style-language/schema/raw/master/csl-citation.json"}</w:instrText>
      </w:r>
      <w:r w:rsidR="00B60460">
        <w:fldChar w:fldCharType="separate"/>
      </w:r>
      <w:r w:rsidR="002B45EF" w:rsidRPr="002B45EF">
        <w:rPr>
          <w:noProof/>
          <w:color w:val="5B9BD5" w:themeColor="accent1"/>
          <w:lang w:val="nl-NL"/>
        </w:rPr>
        <w:t>(Bach et al., 2016; Cimprich et al., 2017a; Clifton, 2013; Gemechu et al., 2017; Graedel and Nuss, 2014)</w:t>
      </w:r>
      <w:r w:rsidR="00B60460">
        <w:fldChar w:fldCharType="end"/>
      </w:r>
      <w:r w:rsidR="00B60460" w:rsidRPr="00411BC0">
        <w:rPr>
          <w:lang w:val="nl-NL"/>
        </w:rPr>
        <w:t>,</w:t>
      </w:r>
      <w:r w:rsidR="000531F7" w:rsidRPr="003266DB" w:rsidDel="000531F7">
        <w:rPr>
          <w:lang w:val="nl-NL"/>
        </w:rPr>
        <w:t xml:space="preserve"> </w:t>
      </w:r>
      <w:proofErr w:type="spellStart"/>
      <w:r w:rsidR="007E0362" w:rsidRPr="00411BC0">
        <w:rPr>
          <w:lang w:val="nl-NL"/>
        </w:rPr>
        <w:t>technology</w:t>
      </w:r>
      <w:proofErr w:type="spellEnd"/>
      <w:r w:rsidR="007E0362" w:rsidRPr="00411BC0">
        <w:rPr>
          <w:lang w:val="nl-NL"/>
        </w:rPr>
        <w:t xml:space="preserve"> </w:t>
      </w:r>
      <w:r w:rsidR="007E0362">
        <w:fldChar w:fldCharType="begin" w:fldLock="1"/>
      </w:r>
      <w:r w:rsidR="006E33F2">
        <w:rPr>
          <w:lang w:val="nl-NL"/>
        </w:rPr>
        <w:instrText>ADDIN CSL_CITATION {"citationItems":[{"id":"ITEM-1","itemData":{"DOI":"10.2172/1000846","ISBN":"9788578110796","ISSN":"1098-6596","PMID":"25246403","abstract":"This report examines the role of rare earth metals and other materials in the clean energy economy. It was prepared by the U.S. Department of Energy (DOE) based on data collected and research performed during 2010. Its main conclusions include: • Several clean energy technologies—including wind turbines, electric vehicles, photovoltaic cells and fluorescent lighting—use materials at risk of supply disruptions in the short term. Those risks will generally decrease in the medium and long term. • Clean energy technologies currently constitute about 20 percent of global consumption of critical materials. As clean energy technologies are deployed more widely in the decades ahead, their share of global consumption of critical materials will likely grow. • Of the materials analyzed, five rare earth metals (dysprosium, neodymium, terbium, europium and yttrium), as well as indium, are assessed as most critical in the short term. For this purpose, “criticality” is a measure that combines importance to the clean energy economy and risk of supply disruption. • Sound policies and strategic investments can reduce the risk of supply disruptions, especially in the medium and long term. • Data with respect to many of the issues considered in this report are sparse. In the report, DOE describes plans to (i) develop its first integrated research agenda addressing critical materials, building on three technical workshops convened by the Department during November and December 2010; (ii) strengthen its capacity for information-gathering on this topic; and (iii) work closely with international partners, including Japan and Europe, to reduce vulnerability to supply disruptions and address critical material needs. DOE will work with other stakeholders— including interagency colleagues, Congress and the public—to shape policy tools that strengthen the United States’ strategic capabilities. DOE also announces its plan to develop an updated critical materials strategy, based upon additional events and information, by the end of 2011.","author":[{"dropping-particle":"","family":"Bauer","given":"Diana","non-dropping-particle":"","parse-names":false,"suffix":""},{"dropping-particle":"","family":"Diamond","given":"David","non-dropping-particle":"","parse-names":false,"suffix":""},{"dropping-particle":"","family":"Li","given":"Jennifer","non-dropping-particle":"","parse-names":false,"suffix":""},{"dropping-particle":"","family":"Sandalow","given":"David","non-dropping-particle":"","parse-names":false,"suffix":""},{"dropping-particle":"","family":"Telleen","given":"Paul","non-dropping-particle":"","parse-names":false,"suffix":""},{"dropping-particle":"","family":"Wanner","given":"Brent","non-dropping-particle":"","parse-names":false,"suffix":""}],"container-title":"Agenda","id":"ITEM-1","issue":"December","issued":{"date-parts":[["2010"]]},"number-of-pages":"1-166","title":"US Department of Energy: Critical Materials Strategy, December 2010","type":"report"},"uris":["http://www.mendeley.com/documents/?uuid=4f014edf-8575-43ab-a857-a01c02427623"]},{"id":"ITEM-2","itemData":{"DOI":"10.2790/35600","ISBN":"9789279206986","ISSN":"1018-5593","PMID":"25246403","abstract":"Screening des Rohstoffbedarfs unterschiedlicher Energie-Technologien, Identifikation von Bottlenecks","author":[{"dropping-particle":"","family":"Moss","given":"R. L.","non-dropping-particle":"","parse-names":false,"suffix":""},{"dropping-particle":"","family":"Tzimas","given":"E.","non-dropping-particle":"","parse-names":false,"suffix":""},{"dropping-particle":"","family":"Kara","given":"H.","non-dropping-particle":"","parse-names":false,"suffix":""},{"dropping-particle":"","family":"Willis","given":"P.","non-dropping-particle":"","parse-names":false,"suffix":""},{"dropping-particle":"","family":"Kooroshy","given":"J.","non-dropping-particle":"","parse-names":false,"suffix":""}],"container-title":"JRC-scientific and strategic reports, European Commission Joint Research Centre Institute for Energy and Transport","id":"ITEM-2","issued":{"date-parts":[["2011"]]},"number-of-pages":"43005441","title":"Critical Metals in Strategic Energy Technologies","type":"report"},"uris":["http://www.mendeley.com/documents/?uuid=61c6fb44-d828-4ebd-af3c-450909664ea6"]},{"id":"ITEM-3","itemData":{"DOI":"10.1016/j.jclepro.2017.10.122","ISSN":"09596526","abstract":"One possibility for electrification of road transport consists of battery electric vehicles in combination with carbon-free sources of electricity. It is highly likely that lithium-ion batteries will provide the basis for this development. In the present paper, we use a recently developed, semi-quantitative assessment scheme to evaluate the relative supply risks associated with the elements used in the functional materials of six different lithium-ion battery types. Eleven different indicators in four supply risk categories are applied to each element; the weighting of the indicators is determined by external experts within the framework of an Analytic Hierarchy Process. The range of supply risk values on the elemental level is distinctly narrower than in our previous work on photovoltaic materials. The highest values are obtained for lithium and cobalt; the lowest for aluminium and titanium. Copper, iron, nickel, carbon (graphite), manganese and phosphorous form the middle group. We then carry out the assessment of the six battery types, to give comparative supply risks at the technology level. For this purpose the elemental supply risk values are aggregated using four different methods. Due to the small spread at the elemental level the supply risk values in all four aggregation methods also lie in a narrow range. Removing lithium, aluminium and phosphorous from the analysis, which are present in all types of battery, improves the situation. For aggregation with the simple arithmetic mean, an uncertainty analysis shows that only lithium-iron phosphate has a measurably lower supply risk compared to the other battery types. For the “cost-share” aggregation using seven elements, lithium cobalt oxide has a substantially higher supply risk than most other types.","author":[{"dropping-particle":"","family":"Helbig","given":"Christoph","non-dropping-particle":"","parse-names":false,"suffix":""},{"dropping-particle":"","family":"Bradshaw","given":"Alex M.","non-dropping-particle":"","parse-names":false,"suffix":""},{"dropping-particle":"","family":"Wietschel","given":"Lars","non-dropping-particle":"","parse-names":false,"suffix":""},{"dropping-particle":"","family":"Thorenz","given":"Andrea","non-dropping-particle":"","parse-names":false,"suffix":""},{"dropping-particle":"","family":"Tuma","given":"Axel","non-dropping-particle":"","parse-names":false,"suffix":""}],"container-title":"Journal of Cleaner Production","id":"ITEM-3","issued":{"date-parts":[["2018"]]},"page":"274-286","publisher":"Elsevier Ltd","title":"Supply risks associated with lithium-ion battery materials","type":"article-journal","volume":"172"},"uris":["http://www.mendeley.com/documents/?uuid=88f84408-ad58-4686-bf93-a34b5eb2571d"]},{"id":"ITEM-4","itemData":{"DOI":"10.1111/jiec.12488","ISSN":"15309290","abstract":"Emerging economies such as China and India are currently experiencing a &amp;#8220;refrigeration revolution.&amp;#8221; Energy spent for domestic cooling is expected to outreach that for heating worldwide over the course of the twenty&amp;#8208;first century. Magnetic refrigeration is an alternative cooling technology that works without gas&amp;#8208;based refrigerants and has the potential to be significantly more energy efficient. We evaluate to what extent the raw materials needed to produce this kind of technology on a mass&amp;#8208;market scale are critical in terms of demand and supply, thus identifying potential supply bottlenecks that might hinder the breakthrough of this promising technology. We assess the criticality of three promising magnetocaloric materials, that is, Gd(SiGe), La(FeSi), and (MnFe)P), as well as of NdFeB, as the candidate permanent magnet material to drive the cooling cycle. The Gd&amp;#8208;based alloys are disqualified as a mass&amp;#8208;market refrigerant in terms of resource criticality, whereas La&amp;#8208; and Mn&amp;#8208;based alloys are much less problematic. Given the current state of technology and projected resource supply, Nd in NdFeB magnets would experience a significant bottleneck only at a later innovation stage, that is, when magnetic cooling technology would largely dominate the domestic refrigerator and air&amp;#8208;conditioning market.","author":[{"dropping-particle":"","family":"Gauß","given":"Roland","non-dropping-particle":"","parse-names":false,"suffix":""},{"dropping-particle":"","family":"Homm","given":"Gert","non-dropping-particle":"","parse-names":false,"suffix":""},{"dropping-particle":"","family":"Gutfleisch","given":"Oliver","non-dropping-particle":"","parse-names":false,"suffix":""}],"container-title":"Journal of Industrial Ecology","id":"ITEM-4","issue":"5","issued":{"date-parts":[["2017"]]},"page":"1291-1300","title":"The Resource Basis of Magnetic Refrigeration","type":"article-journal","volume":"21"},"uris":["http://www.mendeley.com/documents/?uuid=09e81087-d45f-4630-bbab-20d31b713192"]},{"id":"ITEM-5","itemData":{"DOI":"10.1016/j.jclepro.2015.07.064","ISSN":"09596526","abstract":"The recent debate on potential resource constraints for the broad scale implementation of clean energy technologies in future has led to wider concern across the board. This concern, among others, lies behind growing research in the field of so-called resource criticality. This study is a review of existing resource criticality assessment methodologies. It characterizes and analyses existing methods and identifies aspects of concern for the ability of assessment methods to provide proper guidance for strategy making in the field of energy system development. The validity of the identified concerns is, further, demonstrated by applying a case study of resource criticality assessment of the direct-drive wind turbines technology. Two key concerns are identified. The first is the need for a dynamic perspective on the supply risk dimension. This study reveals that the geological reserve estimates and geographical location of supply change significantly over time, implying that the static supply risk assessment provided by many methods gives misleading guidance. The second concern is the ability of methods to properly account for the vulnerability of the studied system to a supply disruption of the resource in question. Through the case study, the options for resource substitution are elaborated for wind turbines by applying a holistic design approach looking at all levels of design substitutions from the level of materials and components to subassemblies and whole-product concepts. This approach reveals that the dependence of substances like neodymium and dysprosium is not strong, and that they are not essential to the wider implementation of direct-drive wind turbines in general. This technology specific and product design based approach is new, and questions the ability of existing methods to properly address the impact that the risk of supply disruption of a given resource really has on the technological and economic development of a system or technology under study.","author":[{"dropping-particle":"","family":"Habib","given":"Komal","non-dropping-particle":"","parse-names":false,"suffix":""},{"dropping-particle":"","family":"Wenzel","given":"Henrik","non-dropping-particle":"","parse-names":false,"suffix":""}],"container-title":"Journal of Cleaner Production","id":"ITEM-5","issued":{"date-parts":[["2016"]]},"page":"3852-3863","publisher":"Elsevier Ltd","title":"Reviewing resource criticality assessment from a dynamic and technology specific perspective - Using the case of direct-drive wind turbines","type":"article-journal","volume":"112"},"uris":["http://www.mendeley.com/documents/?uuid=e6ac4a02-8390-4c38-94e7-864df53526dd"]},{"id":"ITEM-6","itemData":{"DOI":"10.2790/46338","ISBN":"9789279303906","abstract":"In order to tackle climate change, to increase energy supply security and to foster the sustainability and competitiveness of the European economy, the EU has made the transition to a low-carbon economy a central policy priority. This report builds on the first study conducted by the JRC in 2011 (Critical Metals in Strategic Energy Technologies), where critical metals were identified, which could become a bottleneck to the supply-chain of the low-carbon energy technologies addressed by the Strategic Energy Technology Plan (SET-Plan), namely: wind, solar (both PV and CSP), CCS, nuclear fission, bioenergy and the electricity grid. Fourteen metals were identified to be a cause for concern. After taking into account market and geopolitical parameters, five metals were labelled ‘critical’, namely: tellurium, indium, gallium, neodymi- um and dysprosium. The potential supply chain constraints for these materials were most applicable to the deployment of wind and PV energy technologies. In the follow-up study reported here, other energy and low-carbon technologies are investigated that not only play an important role in the EU's path towards decarbonisation but also may compete for the same metals as identified in the six SET-Plan technologies. Eleven technologies are analysed including fuel cells, electricity storage, electric vehicles and lighting. As in the first report, sixty metals, i.e. metallic elements, metallic minerals and metalloids are considered; only iron, aluminium and radioactive elements (used as fuel in nuclear plants) were specifically excluded. Graphite was also included, reflecting its status as one of the critical raw materials identified by the EU Raw Materials Initiative. Where possible, the study models the implications for materials demand as a result of the scenarios described in the EU Energy Roadmap 2050. Consequently, the results obtained in the first study are updated to reflect the data that has become available in the roadmap. This second study found that eight metals have a high criticality rating and are therefore classified as ‘critical’. These are the six rare earth elements (dysprosium, europium, terbium, yttrium, praseodymium and neodymium), and the two metals gallium and tellurium. Four metals (graphite, rhenium, indium and platinum) are found to have a medium-to-high rating and are classified as 'near critical', suggesting that the market conditions for these metals should be monitored in case the markets for these metal…","author":[{"dropping-particle":"","family":"R.L. Moss","given":"","non-dropping-particle":"","parse-names":false,"suffix":""},{"dropping-particle":"","family":"Tzimas","given":"E.","non-dropping-particle":"","parse-names":false,"suffix":""},{"dropping-particle":"","family":"Willis","given":"P.","non-dropping-particle":"","parse-names":false,"suffix":""},{"dropping-particle":"","family":"Arendorf","given":"J.","non-dropping-particle":"","parse-names":false,"suffix":""},{"dropping-particle":"","family":"Espinoza","given":"L. Tercero","non-dropping-particle":"","parse-names":false,"suffix":""},{"dropping-particle":"","family":"et al.","given":"","non-dropping-particle":"","parse-names":false,"suffix":""}],"id":"ITEM-6","issued":{"date-parts":[["2013"]]},"number-of-pages":"242","publisher-place":"Luxembourg: Publications Office of the European Union","title":"Critical Metals in the Path towards the Decarbonisation of the EU Energy Sector. JRC Scientific &amp; Policy Report, European Commission","type":"report"},"uris":["http://www.mendeley.com/documents/?uuid=5b362f93-13ce-493d-8056-43752c3b6679"]}],"mendeley":{"formattedCitation":"(Bauer et al., 2010; Gauß et al., 2017; Habib and Wenzel, 2016; Helbig et al., 2018; Moss et al., 2011; R.L. Moss et al., 2013)","plainTextFormattedCitation":"(Bauer et al., 2010; Gauß et al., 2017; Habib and Wenzel, 2016; Helbig et al., 2018; Moss et al., 2011; R.L. Moss et al., 2013)","previouslyFormattedCitation":"(Bauer et al., 2010; Gauß et al., 2017; Habib and Wenzel, 2016; Helbig et al., 2018; Moss et al., 2011; R.L. Moss et al., 2013)"},"properties":{"noteIndex":0},"schema":"https://github.com/citation-style-language/schema/raw/master/csl-citation.json"}</w:instrText>
      </w:r>
      <w:r w:rsidR="007E0362">
        <w:fldChar w:fldCharType="separate"/>
      </w:r>
      <w:r w:rsidR="002B45EF" w:rsidRPr="002B45EF">
        <w:rPr>
          <w:noProof/>
          <w:color w:val="5B9BD5" w:themeColor="accent1"/>
          <w:lang w:val="nl-NL"/>
        </w:rPr>
        <w:t>(Bauer et al., 2010; Gauß et al., 2017; Habib and Wenzel, 2016; Helbig et al., 2018; Moss et al., 2011; R.L. Moss et al., 2013)</w:t>
      </w:r>
      <w:r w:rsidR="007E0362">
        <w:fldChar w:fldCharType="end"/>
      </w:r>
      <w:r w:rsidR="007E0362" w:rsidRPr="00B219FB">
        <w:rPr>
          <w:lang w:val="nl-NL"/>
        </w:rPr>
        <w:t xml:space="preserve">, company </w:t>
      </w:r>
      <w:r w:rsidR="007E0362" w:rsidRPr="00DE4961">
        <w:rPr>
          <w:color w:val="5B9BD5" w:themeColor="accent1"/>
        </w:rPr>
        <w:fldChar w:fldCharType="begin" w:fldLock="1"/>
      </w:r>
      <w:r w:rsidR="00D35F6A">
        <w:rPr>
          <w:color w:val="5B9BD5" w:themeColor="accent1"/>
          <w:lang w:val="nl-NL"/>
        </w:rPr>
        <w:instrText>ADDIN CSL_CITATION {"citationItems":[{"id":"ITEM-1","itemData":{"author":[{"dropping-particle":"","family":"Duclos","given":"Steven J","non-dropping-particle":"","parse-names":false,"suffix":""},{"dropping-particle":"","family":"Otto","given":"Jeffrey P","non-dropping-particle":"","parse-names":false,"suffix":""},{"dropping-particle":"","family":"Konitzer","given":"Douglas G","non-dropping-particle":"","parse-names":false,"suffix":""}],"container-title":"Mechanical Engineering","id":"ITEM-1","issue":"September","issued":{"date-parts":[["2010"]]},"page":"36-40","title":"Design in an era of constrained resources","type":"article-journal"},"uris":["http://www.mendeley.com/documents/?uuid=eaa6bef0-977a-4d72-8ec2-ef83e01f6619"]}],"mendeley":{"formattedCitation":"(Duclos et al., 2010)","plainTextFormattedCitation":"(Duclos et al., 2010)","previouslyFormattedCitation":"(Duclos et al., 2010)"},"properties":{"noteIndex":0},"schema":"https://github.com/citation-style-language/schema/raw/master/csl-citation.json"}</w:instrText>
      </w:r>
      <w:r w:rsidR="007E0362" w:rsidRPr="00DE4961">
        <w:rPr>
          <w:color w:val="5B9BD5" w:themeColor="accent1"/>
        </w:rPr>
        <w:fldChar w:fldCharType="separate"/>
      </w:r>
      <w:r w:rsidR="002B45EF" w:rsidRPr="00DE4961">
        <w:rPr>
          <w:noProof/>
          <w:color w:val="5B9BD5" w:themeColor="accent1"/>
          <w:lang w:val="nl-NL"/>
        </w:rPr>
        <w:t>(Duclos et al., 2010)</w:t>
      </w:r>
      <w:r w:rsidR="007E0362" w:rsidRPr="00DE4961">
        <w:rPr>
          <w:color w:val="5B9BD5" w:themeColor="accent1"/>
        </w:rPr>
        <w:fldChar w:fldCharType="end"/>
      </w:r>
      <w:r w:rsidR="007E0362" w:rsidRPr="00B219FB">
        <w:rPr>
          <w:lang w:val="nl-NL"/>
        </w:rPr>
        <w:t xml:space="preserve">, country or </w:t>
      </w:r>
      <w:proofErr w:type="spellStart"/>
      <w:r w:rsidR="007E0362" w:rsidRPr="00B219FB">
        <w:rPr>
          <w:lang w:val="nl-NL"/>
        </w:rPr>
        <w:t>region</w:t>
      </w:r>
      <w:proofErr w:type="spellEnd"/>
      <w:r w:rsidR="007E0362" w:rsidRPr="00B219FB">
        <w:rPr>
          <w:lang w:val="nl-NL"/>
        </w:rPr>
        <w:t xml:space="preserve"> </w:t>
      </w:r>
      <w:r w:rsidR="00FD0C83">
        <w:fldChar w:fldCharType="begin" w:fldLock="1"/>
      </w:r>
      <w:r w:rsidR="00D35F6A">
        <w:rPr>
          <w:lang w:val="nl-NL"/>
        </w:rPr>
        <w:instrText>ADDIN CSL_CITATION {"citationItems":[{"id":"ITEM-1","itemData":{"DOI":"10.2320/matertrans.M2014380","ISSN":"1345-9678","abstract":"Criticality assessment of metals has been developed to analyze a country’s supply risk and vulnerability to supply restriction. This study presents Japan’s criticality of 22 metals during 2012. Whereas a past assessment focused only on minor metals, evaluation targets here included both common and minor metals. In addition, a new analytic method included mineral interest sufficiency as a criticality component. The evaluation framework developed in this study included 13 criticality components within five risk categories: supply risk, price risk, demand risk, recycling restriction, and potential risk. Weighting factors were used to aggregate components into a single score. This framework reflects a recent government announcement about Japan’s resource strategy. High criticality was found for neodymium, dysprosium, and indium due to a recent increase in demand. Niobium also had high criticality due to production concentration in Brazil. There were few differences in the aggregated criticality scores between the other minor metals and common metals. For minor metals, aggregated criticality was mainly increased by production concentration and recycling difficulty. For common metals, aggregated criticality was increased by short depletion time and growth in global mine production. Compared with a previous study, in 2012 the criticality of tungsten and tantalum were lower due to reduced domestic demand. The analytic methods and results presented in this study will be useful in developing Japan’s resource strategy.","author":[{"dropping-particle":"","family":"Hatayama","given":"Hiroki","non-dropping-particle":"","parse-names":false,"suffix":""},{"dropping-particle":"","family":"Tahara","given":"Kiyotaka","non-dropping-particle":"","parse-names":false,"suffix":""}],"container-title":"Materials Transactions","id":"ITEM-1","issue":"2","issued":{"date-parts":[["2015"]]},"page":"229-235","title":"Criticality Assessment of Metals for Japan ' s Resource Strategy","type":"article-journal","volume":"56"},"uris":["http://www.mendeley.com/documents/?uuid=6493d4bd-9ca1-4c25-9292-321a17821921"]},{"id":"ITEM-2","itemData":{"author":[{"dropping-particle":"","family":"KIRAM","given":"","non-dropping-particle":"","parse-names":false,"suffix":""},{"dropping-particle":"","family":"KITECH","given":"","non-dropping-particle":"","parse-names":false,"suffix":""}],"id":"ITEM-2","issued":{"date-parts":[["2014"]]},"title":"The current activity of Korea for the rare metals future","type":"article"},"uris":["http://www.mendeley.com/documents/?uuid=4c22ddf4-f3f5-4715-a506-ce4282941d2a"]},{"id":"ITEM-3","itemData":{"DOI":"10.2873/769526","ISBN":"9789279680519","abstract":"This is a prescriptive document containing the guidelines and the ‘ready-to-apply’ methodology for the EU criticality assessment and the revision of the list of critical raw materials (CRM) for the EU. These synthesised guidelines build on the methodology used to establish the lists of CRM in 2011 (1 ) and 2014 (2 ) and integrate the methodological improvements identified by the European Commission in the project ‘Assessment of the methodology on the list of critical raw materials’, in close consultation with the ad hoc working group ‘Defining critical raw materials’. Additional information regarding the methodology, including justification and discussion, can be found in the background report (3 ) developed by the Directorate General Joint Research Centre (JRC) and in related annexes. These guidelines also contain recommendations on how to reorganise and improve the single fact sheets of the assessed raw materials. (1)","author":[{"dropping-particle":"","family":"European Commission","given":"","non-dropping-particle":"","parse-names":false,"suffix":""}],"id":"ITEM-3","issued":{"date-parts":[["2017"]]},"page":"30","title":"Methodology for establishing the EU list of Critical Raw Materials","type":"article-journal"},"uris":["http://www.mendeley.com/documents/?uuid=73ab7610-15cc-40a5-8297-dca3ef930846"]},{"id":"ITEM-4","itemData":{"ISBN":"9780309112826","author":[{"dropping-particle":"","family":"NRC","given":"","non-dropping-particle":"","parse-names":false,"suffix":""}],"id":"ITEM-4","issued":{"date-parts":[["2008"]]},"title":"Minerals, Critical Minerals, and the U.S. Economy","type":"book"},"uris":["http://www.mendeley.com/documents/?uuid=c497332d-bffb-4542-bab0-356058aaa020"]},{"id":"ITEM-5","itemData":{"DOI":"10.1073/pnas.1500415112","ISBN":"1215421109","ISSN":"0027-8424","PMID":"22393313","abstract":"Imbalances between metal supply and demand, real or anticipated, have inspired the concept of metal criticality. We here characterize the criticality of 62 metals and metalloids in a 3D “criticality space” consisting of supply risk, environmental implications, and vulnerability to supply restriction. Contributing factors that lead to extreme values include high geopolitical concentration of primary production, lack of available suitable substitutes, and political instability. The results show that the limitations for many metals important in emerging electronics (e.g., gallium and selenium) are largely those related to supply risk; those of platinum group metals, gold, and mercury, to environmental implications; and steel alloying elements (e.g., chromium and niobium) as well as elements used in high-temperature alloys (e.g., tungsten and molybdenum), to vulnerability to supply restriction. The metals of most concern tend to be those available largely or entirely as byproducts, used in small quantities for highly specialized applications, and possessing no effective su</w:instrText>
      </w:r>
      <w:r w:rsidR="00D35F6A" w:rsidRPr="00DE4961">
        <w:instrText>bstitutes.","author":[{"dropping-particle":"","family":"Graedel","given":"T. E.","non-dropping-particle":"","parse-names":false,"suffix":""},{"dropping-particle":"","family":"Harper","given":"E. M.","non-dropping-particle":"","parse-names":false,"suffix":""},{"dropping-particle":"","family":"Nassar","given":"N. T.","non-dropping-particle":"","parse-names":false,"suffix":""},{"dropping-particle":"","family":"Nuss","given":"Philip","non-dropping-particle":"","parse-names":false,"suffix":""},{"dropping-particle":"","family":"Reck","given":"Barbara K.","non-dropping-particle":"","parse-names":false,"suffix":""}],"container-title":"Proceedings of the National Academy of Sciences","id":"ITEM-5","issue":"14","issued":{"date-parts":[["2015"]]},"page":"4257-4262","title":"Criticality of metals and metalloids","type":"article-journal","volume":"112"},"uris":["http://www.mendeley.com/documents/?uuid=d89fe5f8-43dc-4b5a-a8c5-6fcf56fe5aa9"]}],"mendeley":{"formattedCitation":"(European Commission, 2017a; Graedel et al., 2015; Hatayama and Tahara, 2015; KIRAM and KITECH, 2014; NRC, 2008)","plainTextFormattedCitation":"(European Commission, 2017a; Graedel et al., 2015; Hatayama and Tahara, 2015; KIRAM and KITECH, 2014; NRC, 2008)","previouslyFormattedCitation":"(European Commission, 2017a; Graedel et al., 2015; Hatayama and Tahara, 2015; KIRAM and KITECH, 2014; NRC, 2008)"},"properties":{"noteIndex":0},"schema":"https://github.com/citation-style-language/schema/raw/master/csl-citation.json"}</w:instrText>
      </w:r>
      <w:r w:rsidR="00FD0C83">
        <w:fldChar w:fldCharType="separate"/>
      </w:r>
      <w:r w:rsidR="002B45EF" w:rsidRPr="002B45EF">
        <w:rPr>
          <w:noProof/>
          <w:color w:val="5B9BD5" w:themeColor="accent1"/>
        </w:rPr>
        <w:t>(European Commission, 2017a; Graedel et al., 2015; Hatayama and Tahara, 2015; KIRAM and KITECH, 2014; NRC, 2008)</w:t>
      </w:r>
      <w:r w:rsidR="00FD0C83">
        <w:fldChar w:fldCharType="end"/>
      </w:r>
      <w:r w:rsidR="00FD0C83">
        <w:t>,</w:t>
      </w:r>
      <w:r w:rsidR="007E0362">
        <w:t xml:space="preserve"> or even at a global level </w:t>
      </w:r>
      <w:r w:rsidR="007E0362">
        <w:fldChar w:fldCharType="begin" w:fldLock="1"/>
      </w:r>
      <w:r w:rsidR="00D35F6A">
        <w:instrText>ADDIN CSL_CITATION {"citationItems":[{"id":"ITEM-1","itemData":{"DOI":"10.1073/pnas.1500415112","ISBN":"1215421109","ISSN":"0027-8424","PMID":"22393313","abstract":"Imbalances between metal supply and demand, real or anticipated, have inspired the concept of metal criticality. We here characterize the criticality of 62 metals and metalloids in a 3D “criticality space” consisting of supply risk, environmental implications, and vulnerability to supply restriction. Contributing factors that lead to extreme values include high geopolitical concentration of primary production, lack of available suitable substitutes, and political instability. The results show that the limitations for many metals important in emerging electronics (e.g., gallium and selenium) are largely those related to supply risk; those of platinum group metals, gold, and mercury, to environmental implications; and steel alloying elements (e.g., chromium and niobium) as well as elements used in high-temperature alloys (e.g., tungsten and molybdenum), to vulnerability to supply restriction. The metals of most concern tend to be those available largely or entirely as byproducts, used in small quantities for highly specialized applications, and possessing no effective substitutes.","author":[{"dropping-particle":"","family":"Graedel","given":"T. E.","non-dropping-particle":"","parse-names":false,"suffix":""},{"dropping-particle":"","family":"Harper","given":"E. M.","non-dropping-particle":"","parse-names":false,"suffix":""},{"dropping-particle":"","family":"Nassar","given":"N. T.","non-dropping-particle":"","parse-names":false,"suffix":""},{"dropping-particle":"","family":"Nuss","given":"Philip","non-dropping-particle":"","parse-names":false,"suffix":""},{"dropping-particle":"","family":"Reck","given":"Barbara K.","non-dropping-particle":"","parse-names":false,"suffix":""}],"container-title":"Proceedings of the National Academy of Sciences","id":"ITEM-1","issue":"14","issued":{"date-parts":[["2015"]]},"page":"4257-4262","title":"Criticality of metals and metalloids","type":"article-journal","volume":"112"},"uris":["http://www.mendeley.com/documents/?uuid=d89fe5f8-43dc-4b5a-a8c5-6fcf56fe5aa9"]},{"id":"ITEM-2","itemData":{"ISBN":"9781906237035","ISSN":"0040-5965","PMID":"1020016","abstract":"The climate of waste management is changing into one of resource recovery. The public awareness of ‘green issues’ means that many companies are including real environmental targets within their corporate social responsibility statements, an approach supported by BERR. End of life and indeed ‘second life’ issues of products such as cars and electronics are now becoming eco-design development criteria. The larger waste handling companies are becoming recycling organisations as opposed to logistic specialists and increasing their portfolio of innovation technologies in everything from thermal recovery unit to advanced material separation plants. It has been demonstrated many times that good design can aid recovery of materials for them to be used again. Good design complemented by effective collection, reuse and recycling of the materials we already have will help ensure their long-term availability. The conclusion of this report not only points out the size of challenge facing us but also the opportunity for UK companies to take a world wide lead to avert a material supply crisis.","author":[{"dropping-particle":"","family":"Morley","given":"Nick","non-dropping-particle":"","parse-names":false,"suffix":""},{"dropping-particle":"","family":"Eatherley","given":"Dan","non-dropping-particle":"","parse-names":false,"suffix":""}],"id":"ITEM-2","issued":{"date-parts":[["2008"]]},"number-of-pages":"288","title":"Material Security - Ensuring Resource Availability for the UK Economy","type":"book"},"uris":["http://www.mendeley.com/documents/?uuid=cf8cd3f3-218f-4bfa-8ff3-51ba9da58247"]}],"mendeley":{"formattedCitation":"(Graedel et al., 2015; Morley and Eatherley, 2008)","plainTextFormattedCitation":"(Graedel et al., 2015; Morley and Eatherley, 2008)","previouslyFormattedCitation":"(Graedel et al., 2015; Morley and Eatherley, 2008)"},"properties":{"noteIndex":0},"schema":"https://github.com/citation-style-language/schema/raw/master/csl-citation.json"}</w:instrText>
      </w:r>
      <w:r w:rsidR="007E0362">
        <w:fldChar w:fldCharType="separate"/>
      </w:r>
      <w:r w:rsidR="002B45EF" w:rsidRPr="002B45EF">
        <w:rPr>
          <w:noProof/>
          <w:color w:val="5B9BD5" w:themeColor="accent1"/>
        </w:rPr>
        <w:t>(Graedel et al., 2015; Morley and Eatherley, 2008)</w:t>
      </w:r>
      <w:r w:rsidR="007E0362">
        <w:fldChar w:fldCharType="end"/>
      </w:r>
      <w:r w:rsidR="007E0362">
        <w:t xml:space="preserve">. </w:t>
      </w:r>
      <w:r w:rsidR="00633FAA">
        <w:t xml:space="preserve">The </w:t>
      </w:r>
      <w:r w:rsidR="00CA5730">
        <w:t>criticality of a</w:t>
      </w:r>
      <w:r w:rsidR="00633FAA">
        <w:t xml:space="preserve"> raw material then </w:t>
      </w:r>
      <w:r w:rsidR="00A01476">
        <w:t>can</w:t>
      </w:r>
      <w:r w:rsidR="00800ABE">
        <w:t xml:space="preserve"> be considered i</w:t>
      </w:r>
      <w:r w:rsidR="007E0362">
        <w:t>n the short term (</w:t>
      </w:r>
      <w:r w:rsidR="002F0465">
        <w:t>e.g.</w:t>
      </w:r>
      <w:r w:rsidR="007E0362">
        <w:t xml:space="preserve"> a few years) or </w:t>
      </w:r>
      <w:r w:rsidR="002F0465">
        <w:t>i</w:t>
      </w:r>
      <w:r w:rsidR="007E0362">
        <w:t xml:space="preserve">n the long term (a few decades) </w:t>
      </w:r>
      <w:r w:rsidR="007E0362">
        <w:fldChar w:fldCharType="begin" w:fldLock="1"/>
      </w:r>
      <w:r w:rsidR="00D35F6A">
        <w:instrText>ADDIN CSL_CITATION {"citationItems":[{"id":"ITEM-1","itemData":{"DOI":"10.1016/j.resourpol.2015.01.002","ISSN":"03014207","abstract":"As part of efforts to position the United States as a leader in clean energy technology production, the U. S. Department of Energy (DOE) issued two Critical Materials Strategy reports, which assessed 16 materials on the basis of their importance to clean energy development and their supply risk (DOE, 2010, 2011). To understand the implications for clean energy of disruptions in supplies of critical materials, it is important to understand supply chain dynamics from mining to final product production. As a case study of critical material supply chains, we focus on the supply of two rare earth metals, neodymium (Nd) and dysprosium (Dy), for permanent magnets used in wind turbines, electric vehicles and other applications. We introduce GCMat, a dynamic agent-based model that includes interacting agents at five supply chain stages consisting of mining, metal refining, magnet production, final product production and demand. Agents throughout the supply chain make pricing, production and inventory management decisions. Deposit developers choose which deposits to develop based on market conditions and detailed data on 57 rare earth deposits. Wind turbine and electric vehicle producers choose from a set of possible production technologies that require different amounts of rare earths. We ran the model under a baseline scenario and four alternative scenarios with different demand and production technology inputs. Model results from 2010 to 2013 fit well with historical data. Projections through 2025 show a number of possible future price, demand, and supply trajectories. For each scenario, we highlight reasons for turning points under market conditions, for differences between Nd and Dy markets, and for differences between scenarios. Because GCMat can model causal dynamics and provide fine-grain representation of agents and their decisions, it provides explanations for turning points under market conditions that are not otherwise available from other modeling approaches. Our baseline projections show very different behaviors for Nd and Dy prices. Nd prices continue to drop and remain low even at the end of our simulation period as new capacity comes online and leads to a market in which production capacity outpaces demand. Dy price movements, on the other hand, change directions several times with several key turning points related to inventory behaviors of particular agents in the supply chain and asymmetric supply and demand trends. Scenario analyses show the …","author":[{"dropping-particle":"","family":"Riddle","given":"Matthew","non-dropping-particle":"","parse-names":false,"suffix":""},{"dropping-particle":"","family":"Macal","given":"Charles M.","non-dropping-particle":"","parse-names":false,"suffix":""},{"dropping-particle":"","family":"Conzelmann","given":"Guenter","non-dropping-particle":"","parse-names":false,"suffix":""},{"dropping-particle":"","family":"Combs","given":"Todd E.","non-dropping-particle":"","parse-names":false,"suffix":""},{"dropping-particle":"","family":"Bauer","given":"Diana","non-dropping-particle":"","parse-names":false,"suffix":""},{"dropping-particle":"","family":"Fields","given":"Fletcher","non-dropping-particle":"","parse-names":false,"suffix":""}],"container-title":"Resources Policy","id":"ITEM-1","issued":{"date-parts":[["2015"]]},"page":"307-321","publisher":"Elsevier","title":"Global critical materials markets: An agent-based modeling approach","type":"article-journal","volume":"45"},"uris":["http://www.mendeley.com/documents/?uuid=016cf76a-dd0f-4fad-bbce-24f0f6f6b90e"]},{"id":"ITEM-2","itemData":{"DOI":"10.2172/1000846","ISBN":"9788578110796","ISSN":"1098-6596","PMID":"25246403","abstract":"This report examines the role of rare earth metals and other materials in the clean energy economy. It was prepared by the U.S. Department of Energy (DOE) based on data collected and research performed during 2010. Its main conclusions include: • Several clean energy technologies—including wind turbines, electric vehicles, photovoltaic cells and fluorescent lighting—use materials at risk of supply disruptions in the short term. Those risks will generally decrease in the medium and long term. • Clean energy technologies currently constitute about 20 percent of global consumption of critical materials. As clean energy technologies are deployed more widely in the decades ahead, their share of global consumption of critical materials will likely grow. • Of the materials analyzed, five rare earth metals (dysprosium, neodymium, terbium, europium and yttrium), as well as indium, are assessed as most critical in the short term. For this purpose, “criticality” is a measure that combines importance to the clean energy economy and risk of supply disruption. • Sound policies and strategic investments can reduce the risk of supply disruptions, especially in the medium and long term. • Data with respect to many of the issues considered in this report are sparse. In the report, DOE describes plans to (i) develop its first integrated research agenda addressing critical materials, building on three technical workshops convened by the Department during November and December 2010; (ii) strengthen its capacity for information-gathering on this topic; and (iii) work closely with international partners, including Japan and Europe, to reduce vulnerability to supply disruptions and address critical material needs. DOE will work with other stakeholders— including interagency colleagues, Congress and the public—to shape policy tools that strengthen the United States’ strategic capabilities. DOE also announces its plan to develop an updated critical materials strategy, based upon additional events and information, by the end of 2011.","author":[{"dropping-particle":"","family":"Bauer","given":"Diana","non-dropping-particle":"","parse-names":false,"suffix":""},{"dropping-particle":"","family":"Diamond","given":"David","non-dropping-particle":"","parse-names":false,"suffix":""},{"dropping-particle":"","family":"Li","given":"Jennifer","non-dropping-particle":"","parse-names":false,"suffix":""},{"dropping-particle":"","family":"Sandalow","given":"David","non-dropping-particle":"","parse-names":false,"suffix":""},{"dropping-particle":"","family":"Telleen","given":"Paul","non-dropping-particle":"","parse-names":false,"suffix":""},{"dropping-particle":"","family":"Wanner","given":"Brent","non-dropping-particle":"","parse-names":false,"suffix":""}],"container-title":"Agenda","id":"ITEM-2","issue":"December","issued":{"date-parts":[["2010"]]},"number-of-pages":"1-166","title":"US Department of Energy: Critical Materials Strategy, December 2010","type":"report"},"uris":["http://www.mendeley.com/documents/?uuid=4f014edf-8575-43ab-a857-a01c02427623"]},{"id":"ITEM-3","itemData":{"DOI":"10.1021/es200563g","ISBN":"0013-936X","ISSN":"0013936X","PMID":"21834560","abstract":"The criticality of nonfuel minerals is an emerging research subject that captures both the supply risks and the vulnerability of a system to a potential supply disruption. The significance of material criticality for the mass deployment of sustainable and other key technologies is currently obscured by diverse, often immature, and still evolving methodologies. This review explores why principal studies agree or disagree in designating the criticality of certain nonfuel minerals. We survey the literature and analyze several well documented studies in depth, demonstrating that the platinum group metals (e.g., essential for catalytic reduction of air pollutants), and the rare earth elements (e.g., essential for efficient electricity generation in wind turbines) are frequently singled out as critical, albeit by differing criteria. We also discuss the impacts of methodological choices on the designation of raw materials as critical. The treatment of substitutability, time horizons, and the aggregation level of criticality indicators are shown to be significant in this regard. We determine several important issues that have thus far been largely disregarded, especially the justification of methodological components, and policy responses to criticality designation.","author":[{"dropping-particle":"","family":"Erdmann","given":"Lorenz","non-dropping-particle":"","parse-names":false,"suffix":""},{"dropping-particle":"","family":"Graedel","given":"Thomas E.","non-dropping-particle":"","parse-names":false,"suffix":""}],"container-title":"Environmental Science and Technology","id":"ITEM-3","issue":"18","issued":{"date-parts":[["2011"]]},"page":"7620-7630","title":"Criticality of non-fuel minerals: A review of major approaches and analyses","type":"article-journal","volume":"45"},"uris":["http://www.mendeley.com/documents/?uuid=ea49267d-627e-45b6-b5e1-18597454bf2d"]},{"id":"ITEM-4","itemData":{"DOI":"10.1680/warm.12.00010","ISSN":"1747-6526","abstract":"The issue of a secure supply of raw materials has regained importance in recent years. A prominent feature of the current discussion has been the identification of 'critical raw materials' and of adequate measures to reduce their 'criticality'. This paper explores the definition, uses and limitations of lists of critical raw materials as a policy tool today and in a historical perspective. It becomes clear that the underlying issues affecting security of supply tend to persist while the identity of the 'critical' raw materials changes due to changing market conditions. The usefulness of shortlists of critical raw materials as a policy instrument therefore depends not only on the degree to which a particular methodology reflects the underlying issues but also on the timeframe chosen for the analysis.","author":[{"dropping-particle":"","family":"Buijs","given":"Bram","non-dropping-particle":"","parse-names":false,"suffix":""},{"dropping-particle":"","family":"Sievers","given":"Henrike","non-dropping-particle":"","parse-names":false,"suffix":""},{"dropping-particle":"","family":"Tercero Espinoza","given":"Luis A.","non-dropping-particle":"","parse-names":false,"suffix":""}],"container-title":"Proceedings of the Institution of Civil Engineers - Waste and Resource Management","id":"ITEM-4","issue":"4","issued":{"date-parts":[["2012"]]},"page":"201-208","title":"Limits to the critical raw materials approach","type":"article-journal","volume":"165"},"uris":["http://www.mendeley.co</w:instrText>
      </w:r>
      <w:r w:rsidR="00D35F6A" w:rsidRPr="00DE4961">
        <w:rPr>
          <w:lang w:val="nl-NL"/>
        </w:rPr>
        <w:instrText>m/documents/?uuid=5a4cf3f2-d07b-4daa-9891-494a76779e08"]},{"id":"ITEM-5","itemData":{"ISBN":"0360-7275","ISSN":"03607275","abstract":"Earlier this summer, the EU released results of an updated analysis that includes more raw materials and updated data. It is available at: http://ec. europa. eu/enterprise/policies/raw-materials/critical/index_en. htm. US Dept. of Energy. The DOE performed an assessment ...","author":[{"dropping-particle":"","family":"Ku","given":"Anthony Y.","non-dropping-particle":"","parse-names":false,"suffix":""},{"dropping-particle":"","family":"Hung","given":"Stephen","non-dropping-particle":"","parse-names":false,"suffix":""}],"container-title":"Chemical Engineering Progress","id":"ITEM-5","issue":"9","issued":{"date-parts":[["2014"]]},"page":"28-35","title":"Manage raw material supply risks","type":"article-journal","volume":"110"},"uris":["http://www.mendeley.com/documents/?uuid=90f13d6d-b7b4-4203-bc82-45017a130b5c"]}],"mendeley":{"formattedCitation":"(Bauer et al., 2010; Buijs et al., 2012; Erdmann and Graedel, 2011; Ku and Hung, 2014; Riddle et al., 2015)","plainTextFormattedCitation":"(Bauer et al., 2010; Buijs et al., 2012; Erdmann and Graedel, 2011; Ku and Hung, 2014; Riddle et al., 2015)","previouslyFormattedCitation":"(Bauer et al., 2010; Buijs et al., 2012; Erdmann and Graedel, 2011; Ku and Hung, 2014; Riddle et al., 2015)"},"properties":{"noteIndex":0},"schema":"https://github.com/citation-style-language/schema/raw/master/csl-citation.json"}</w:instrText>
      </w:r>
      <w:r w:rsidR="007E0362">
        <w:fldChar w:fldCharType="separate"/>
      </w:r>
      <w:r w:rsidR="002B45EF" w:rsidRPr="002B45EF">
        <w:rPr>
          <w:noProof/>
          <w:color w:val="5B9BD5" w:themeColor="accent1"/>
          <w:lang w:val="nl-NL"/>
        </w:rPr>
        <w:t>(Bauer et al., 2010; Buijs et al., 2012; Erdmann and Graedel, 2011; Ku and Hung, 2014; Riddle et al., 2015)</w:t>
      </w:r>
      <w:r w:rsidR="007E0362">
        <w:fldChar w:fldCharType="end"/>
      </w:r>
      <w:r w:rsidR="007E0362" w:rsidRPr="002B7D9B">
        <w:rPr>
          <w:lang w:val="nl-NL"/>
        </w:rPr>
        <w:t xml:space="preserve">. </w:t>
      </w:r>
      <w:r w:rsidR="004D088B">
        <w:t xml:space="preserve">Criticality methods use </w:t>
      </w:r>
      <w:r w:rsidR="007E0362">
        <w:t>a broad selection of indicators</w:t>
      </w:r>
      <w:r w:rsidR="004D088B">
        <w:t xml:space="preserve"> </w:t>
      </w:r>
      <w:r w:rsidR="006414D7">
        <w:t xml:space="preserve">to describe </w:t>
      </w:r>
      <w:r w:rsidR="000D0304">
        <w:t xml:space="preserve">various </w:t>
      </w:r>
      <w:r w:rsidR="000954BE">
        <w:t xml:space="preserve">factors </w:t>
      </w:r>
      <w:r w:rsidR="006B2859">
        <w:t xml:space="preserve">including </w:t>
      </w:r>
      <w:r w:rsidR="007E0362">
        <w:t>geological, technological, geopolitical, social</w:t>
      </w:r>
      <w:r w:rsidR="006B2859">
        <w:t>,</w:t>
      </w:r>
      <w:r w:rsidR="007E0362">
        <w:t xml:space="preserve"> and environmental </w:t>
      </w:r>
      <w:r w:rsidR="000954BE">
        <w:t xml:space="preserve">factors </w:t>
      </w:r>
      <w:r w:rsidR="007E0362" w:rsidRPr="00DE4961">
        <w:rPr>
          <w:color w:val="5B9BD5" w:themeColor="accent1"/>
        </w:rPr>
        <w:fldChar w:fldCharType="begin" w:fldLock="1"/>
      </w:r>
      <w:r w:rsidR="00EA759B">
        <w:rPr>
          <w:color w:val="5B9BD5" w:themeColor="accent1"/>
        </w:rPr>
        <w:instrText>ADDIN CSL_CITATION {"citationItems":[{"id":"ITEM-1","itemData":{"DOI":"10.1016/j.resourpol.2013.06.003","ISBN":"0301-4207","ISSN":"03014207","abstract":"Some strategic raw materials do have an extremely unsecure supply situation. Several working groups around the world have made criticality assessments for metallic raw materials to analyze the driving impact factors for this instability. However, the influences on raw material availability are manifold and therefore criticality assessment methods are very heterogeneous. Here we give an overview about the differences and similarities of supply risk evaluation in 15 criticality assessment methods. We take the example of Indium, which has been rated in 60% of these criticality studies, and show which data base is used for supply risk evaluation. Our results show a lack of consensus about which indicators give reliable information for raw material supply risk and how these indicators should be aggregated. We anticipate our essay to be a starting point for more justified indicator selection and weighting in criticality assessments. © 2013 Elsevier Ltd.","author":[{"dropping-particle":"","family":"Achzet","given":"Benjamin","non-dropping-particle":"","parse-names":false,"suffix":""},{"dropping-particle":"","family":"Helbig","given":"Christoph","non-dropping-particle":"","parse-names":false,"suffix":""}],"container-title":"Resources Policy","id":"ITEM-1","issue":"4","issued":{"date-parts":[["2013"]]},"page":"435-447","publisher":"Elsevier","title":"How to evaluate raw material supply risks-an overview","type":"article-journal","volume":"38"},"uris":["http://www.mendeley.com/documents/?uuid=a1d30f5b-28e2-486a-b33f-561bd8cec6af"]},{"id":"ITEM-2","itemData":{"DOI":"10.1016/j.jclepro.2017.12.162","ISSN":"09596526","abstract":"Since manufacturers are the main drivers in the selection of the materials used in their products, they have a special responsibility for investigating the accompanying sustainability aspects. The recently increased attention they pay to these issues is motivated not only by a sense of social responsibility, but also by pressure from customers and competitors. In particular, the three dimensions of sustainability – based on the triple bottom line of economic, environmental and social criteria – are of growing importance for sustainable supply chain management. Raw materials and their supply chains are often at the focus of attention, since manufacturers may need to diversify them for their products. Appropriate assessment models then become essential. Although raw material assessments and raw material-focused decision support schemes have recently been applied more often in the corporate context, several aspects such as indicator selection, weighting or social assessment are rarely considered. As a result, a comprehensive, sustainability-oriented raw material assessment and decision support scheme in the corporate context is not available in the scientific literature. In the design of such a scheme, four questions arise: First, how should a corporate-oriented raw material assessment model be structured? Second, how can all three sustainability dimensions be taken into account? Third, how can the application of raw material assessments in a corporate-oriented decision-making process increase the sustainability level of a company? And fourth, does a methodically structured raw material assessment model have advantages over existing models? To answer these questions, we have developed a model which takes into account state-of-the-art sustainability assessments as well as recent developments in the field of criticality analysis, life cycle impact assessment (LCIA) and social life cycle assessment (SLCA). With partners from both academia and industry we identify relevant quantitative indicators for structuring the assessment model and for calculating corresponding indicator weightings, using the analytic hierarchy process (AHP). To demonstrate the applicability of the assessment model for decision support and its benefits for companies in identifying potential hotspots in raw material supply chains, we present a case study that includes decision support for selecting capacitor technologies. A sensitivity analysis demonstrates the robustness of the assessment…","author":[{"dropping-particle":"","family":"Kolotzek","given":"Christoph","non-dropping-particle":"","parse-names":false,"suffix":""},{"dropping-particle":"","family":"Helbig","given":"Christoph","non-dropping-particle":"","parse-names":false,"suffix":""},{"dropping-particle":"","family":"Thorenz","given":"Andrea","non-dropping-particle":"","parse-names":false,"suffix":""},{"dropping-particle":"","family":"Reller","given":"Armin","non-dropping-particle":"","parse-names":false,"suffix":""},{"dropping-particle":"","family":"Tuma","given":"Axel","non-dropping-particle":"","parse-names":false,"suffix":""}],"container-title":"Journal of Cleaner Production","id":"ITEM-2","issued":{"date-parts":[["2018"]]},"page":"566-580","publisher":"Elsevier Ltd","title":"A company-oriented model for the assessment of raw material supply risks, environmental impact and social implications","type":"article-journal","volume":"176"},"uris":["http://www.mendeley.com/documents/?uuid=48f69ea7-179f-4f88-8016-7892a0fd9265"]},{"id":"ITEM-3","itemData":{"DOI":"10.1016/j.jclepro.2015.07.064","ISSN":"09596526","abstract":"The recent debate on potential resource constraints for the broad scale implementation of clean energy technologies in future has led to wider concern across the board. This concern, among others, lies behind growing research in the field of so-called resource criticality. This study is a review of existing resource criticality assessment methodologies. It characterizes and analyses existing methods and identifies aspects of concern for the ability of assessment methods to provide proper guidance for strategy making in the field of energy system development. The validity of the identified concerns is, further, demonstrated by applying a case study of resource criticality assessment of the direct-drive wind turbines technology. Two key concerns are identified. The first is the need for a dynamic perspective on the supply risk dimension. This study reveals that the geological reserve estimates and geographical location of supply change significantly over time, implying that the static supply risk assessment provided by many methods gives misleading guidance. The second concern is the ability of methods to properly account for the vulnerability of the studied system to a supply disruption of the resource in question. Through the case study, the options for resource substitution are elaborated for wind turbines by applying a holistic design approach looking at all levels of design substitutions from the level of materials and components to subassemblies and whole-product concepts. This approach reveals that the dependence of substances like neodymium and dysprosium is not strong, and that they are not essential to the wider implementation of direct-drive wind turbines in general. This technology specific and product design based approach is new, and questions the ability of existing methods to properly address the impact that the risk of supply disruption of a given resource really has on the technological and economic development of a system or technology under study.","author":[{"dropping-particle":"","family":"Habib","given":"Komal","non-dropping-particle":"","parse-names":false,"suffix":""},{"dropping-particle":"","family":"Wenzel","given":"Henrik","non-dropping-particle":"","parse-names":false,"suffix":""}],"container-title":"Journal of Cleaner Production","id":"ITEM-3","issued":{"date-parts":[["2016"]]},"page":"3852-3863","publisher":"Elsevier Ltd","title":"Reviewing resource criticality assessment from a dynamic and technology specific perspective - Using the case of direct-drive wind turbines","type":"article-journal","volume":"112"},"uris":["http://www.mendeley.com/documents/?uuid=e6ac4a02-8390-4c38-94e7-864df53526dd"]},{"id":"ITEM-4","itemData":{"DOI":"10.1021/es200563g","ISBN":"0013-936X","ISSN":"0013936X","PMID":"21834560","abstract":"The criticality of nonfuel minerals is an emerging research subject that captures both the supply risks and the vulnerability of a system to a potential supply disruption. The significance of material criticality for the mass deployment of sustainable and other key technologies is currently obscured by diverse, often immature, and still evolving methodologies. This review explores why principal studies agree or disagree in designating the criticality of certain nonfuel minerals. We survey the literature and analyze several well documented studies in depth, demonstrating that the platinum group metals (e.g., essential for catalytic reduction of air pollutants), and the rare earth elements (e.g., essential for efficient electricity generation in wind turbines) are frequently singled out as critical, albeit by differing criteria. We also discuss the impacts of methodological choices on the designation of raw materials as critical. The treatment of substitutability, time horizons, and the aggregation level of criticality indicators are shown to be significant in this regard. We determine several important issues that have thus far been largely disregarded, especially the justification of methodological components, and policy responses to criticality designation.","author":[{"dropping-particle":"","family":"Erdmann","given":"Lorenz","non-dropping-particle":"","parse-names":false,"suffix":""},{"dropping-particle":"","family":"Graedel","given":"Thomas E.","non-dropping-particle":"","parse-names":false,"suffix":""}],"container-title":"Environmental Science and Technology","id":"ITEM-4","issue":"18","issued":{"date-parts":[["2011"]]},"page":"7620-7630","title":"Criticality of non-fuel minerals: A review of major approaches and analyses","type":"article-journal","volume":"45"},"uris":["http://www.mendeley.com/documents/?uuid=ea49267d-627e-45b6-b5e1-18597454bf2d"]},{"id":"ITEM-5","itemData":{"DOI":"10.1016/j.resourpol.2016.09.008","ISBN":"0301-4207","ISSN":"03014207","abstract":"This paper brings a discussion on the current state-of-the-art in criticality assessment in an international context. It analyzes the status of resource criticality concepts and their calculation methods. The current practice often exhibits a common two-axis assessment framework but the way the two axes are further operationalized shows heterogeneous approaches. Apart from the two-axis as key element of criticality assessment, the scope of the materials, the role of substitution, the delineation of the supply chain and data, and indicator selection are addressed as key elements. The abovementioned criticality assessment practice is approached in function of the upcoming international debate on criticality. The paper tackles the role of criticality assessment in the context of the sustainability assessment toolbox and it proposes a clear distinction between criticality assessment and resilience to criticality. The insights offered in the paper may feed the international discussion in the identification of elements that may be harmonized and elements that may be better left open in function of the particular application.","auth</w:instrText>
      </w:r>
      <w:r w:rsidR="00EA759B" w:rsidRPr="00DB6C07">
        <w:rPr>
          <w:color w:val="5B9BD5" w:themeColor="accent1"/>
          <w:lang w:val="de-CH"/>
        </w:rPr>
        <w:instrText>or":[{"dropping-particle":"","family":"Dewulf","given":"Jo","non-dropping-particle":"","parse-names":false,"suffix":""},{"dropping-particle":"","family":"Blengini","given":"Gian Andrea","non-dropping-particle":"","parse-names":false,"suffix":""},{"dropping-particle":"","family":"Pennington","given":"David","non-dropping-particle":"","parse-names":false,"suffix":""},{"dropping-particle":"","family":"Nuss","given":"Philip","non-dropping-particle":"","parse-names":false,"suffix":""},{"dropping-particle":"","family":"Nassar","given":"Nedal T.","non-dropping-particle":"","parse-names":false,"suffix":""}],"container-title":"Resources Policy","id":"ITEM-5","issue":"October","issued":{"date-parts":[["2016"]]},"page":"169-176","title":"Criticality on the international scene: Quo vadis?","type":"article-journal","volume":"50"},"uris":["http://www.mendeley.com/documents/?uuid=e1e71eb6-6609-4abd-bd00-bd3915e1c3f5"]}],"mendeley":{"formattedCitation":"(Achzet and Helbig, 2013; Dewulf et al., 2016; Erdmann and Graedel, 2011; Habib and Wenzel, 2016; Kolotzek et al., 2018)","plainTextFormattedCitation":"(Achzet and Helbig, 2013; Dewulf et al., 2016; Erdmann and Graedel, 2011; Habib and Wenzel, 2016; Kolotzek et al., 2018)","previouslyFormattedCitation":"(Achzet and Helbig, 2013; Dewulf et al., 2016; Erdmann and Graedel, 2011; Habib and Wenzel, 2016; Kolotzek et al., 2018)"},"properties":{"noteIndex":0},"schema":"https://github.com/citation-style-language/schema/raw/master/csl-citation.json"}</w:instrText>
      </w:r>
      <w:r w:rsidR="007E0362" w:rsidRPr="00DE4961">
        <w:rPr>
          <w:color w:val="5B9BD5" w:themeColor="accent1"/>
        </w:rPr>
        <w:fldChar w:fldCharType="separate"/>
      </w:r>
      <w:r w:rsidR="005653A5" w:rsidRPr="005653A5">
        <w:rPr>
          <w:noProof/>
          <w:color w:val="5B9BD5" w:themeColor="accent1"/>
          <w:lang w:val="nl-NL"/>
        </w:rPr>
        <w:t>(Achzet and Helbig, 2013; Dewulf et al., 2016; Erdmann and Graedel, 2011; Habib and Wenzel, 2016; Kolotzek et al., 2018)</w:t>
      </w:r>
      <w:r w:rsidR="007E0362" w:rsidRPr="00DE4961">
        <w:rPr>
          <w:color w:val="5B9BD5" w:themeColor="accent1"/>
        </w:rPr>
        <w:fldChar w:fldCharType="end"/>
      </w:r>
      <w:r w:rsidR="007E0362" w:rsidRPr="000A1E08">
        <w:rPr>
          <w:lang w:val="nl-NL"/>
        </w:rPr>
        <w:t xml:space="preserve">. </w:t>
      </w:r>
      <w:r w:rsidR="00CB4878" w:rsidRPr="008458D0">
        <w:rPr>
          <w:lang w:val="en-GB"/>
        </w:rPr>
        <w:t xml:space="preserve">Due </w:t>
      </w:r>
      <w:r w:rsidR="00CB4878">
        <w:rPr>
          <w:lang w:val="en-GB"/>
        </w:rPr>
        <w:t>to the diverse perspectives and motivation</w:t>
      </w:r>
      <w:r w:rsidR="008C7A59">
        <w:rPr>
          <w:lang w:val="en-GB"/>
        </w:rPr>
        <w:t>s</w:t>
      </w:r>
      <w:r w:rsidR="00CB4878">
        <w:rPr>
          <w:lang w:val="en-GB"/>
        </w:rPr>
        <w:t xml:space="preserve"> to </w:t>
      </w:r>
      <w:r w:rsidR="00C7358C">
        <w:rPr>
          <w:lang w:val="en-GB"/>
        </w:rPr>
        <w:t>carry out</w:t>
      </w:r>
      <w:r w:rsidR="00CB4878">
        <w:rPr>
          <w:lang w:val="en-GB"/>
        </w:rPr>
        <w:t xml:space="preserve"> </w:t>
      </w:r>
      <w:r w:rsidR="00D35F6A">
        <w:rPr>
          <w:lang w:val="en-GB"/>
        </w:rPr>
        <w:t>such studies</w:t>
      </w:r>
      <w:r w:rsidR="00CB4878">
        <w:rPr>
          <w:lang w:val="en-GB"/>
        </w:rPr>
        <w:t xml:space="preserve">, there are </w:t>
      </w:r>
      <w:r w:rsidR="007E0362">
        <w:t xml:space="preserve">considerable variations in the identification </w:t>
      </w:r>
      <w:r w:rsidR="00C32911">
        <w:t>process</w:t>
      </w:r>
      <w:r w:rsidR="001D76AD">
        <w:t>es</w:t>
      </w:r>
      <w:r w:rsidR="00C32911">
        <w:t xml:space="preserve"> </w:t>
      </w:r>
      <w:r w:rsidR="007E0362">
        <w:t xml:space="preserve">of critical </w:t>
      </w:r>
      <w:r w:rsidR="00D35F6A">
        <w:t xml:space="preserve">raw </w:t>
      </w:r>
      <w:r w:rsidR="00942854">
        <w:t>materials</w:t>
      </w:r>
      <w:r w:rsidR="001D76AD">
        <w:t xml:space="preserve"> </w:t>
      </w:r>
      <w:r w:rsidR="00D35F6A">
        <w:t xml:space="preserve">(CRM) </w:t>
      </w:r>
      <w:r w:rsidR="001D76AD">
        <w:t>and their outcomes, as assessed by</w:t>
      </w:r>
      <w:r w:rsidR="007E0362">
        <w:t xml:space="preserve"> </w:t>
      </w:r>
      <w:r w:rsidR="007E0362">
        <w:fldChar w:fldCharType="begin" w:fldLock="1"/>
      </w:r>
      <w:r w:rsidR="00D35F6A">
        <w:instrText xml:space="preserve">ADDIN CSL_CITATION {"citationItems":[{"id":"ITEM-1","itemData":{"DOI":"10.1021/es200563g","ISBN":"0013-936X","ISSN":"0013936X","PMID":"21834560","abstract":"The criticality of nonfuel minerals is an emerging research subject that captures both the supply risks and the vulnerability of a system to a potential supply disruption. The significance of material criticality for the mass deployment of sustainable and other key technologies is currently obscured by diverse, often immature, and still evolving methodologies. This review explores why principal studies agree or disagree in designating the criticality of certain nonfuel minerals. We survey the literature and analyze several well documented studies in depth, demonstrating that the platinum group metals (e.g., essential for catalytic reduction of air pollutants), and the rare earth elements (e.g., essential for efficient electricity generation in wind turbines) are frequently singled out as critical, albeit by differing criteria. We also discuss the impacts of methodological choices on the designation of raw materials as critical. The treatment of substitutability, time horizons, and the aggregation level of criticality indicators are shown to be significant in this regard. We determine several important issues that have thus far been largely disregarded, especially the justification of methodological components, and policy responses to criticality designation.","author":[{"dropping-particle":"","family":"Erdmann","given":"Lorenz","non-dropping-particle":"","parse-names":false,"suffix":""},{"dropping-particle":"","family":"Graedel","given":"Thomas E.","non-dropping-particle":"","parse-names":false,"suffix":""}],"container-title":"Environmental Science and Technology","id":"ITEM-1","issue":"18","issued":{"date-parts":[["2011"]]},"page":"7620-7630","title":"Criticality of non-fuel minerals: A review of major approaches and analyses","type":"article-journal","volume":"45"},"uris":["http://www.mendeley.com/documents/?uuid=ea49267d-627e-45b6-b5e1-18597454bf2d"]},{"id":"ITEM-2","itemData":{"DOI":"10.1016/j.resourpol.2016.09.008","ISBN":"0301-4207","ISSN":"03014207","abstract":"This paper brings a discussion on the current state-of-the-art in criticality assessment in an international context. It analyzes the status of resource criticality concepts and their calculation methods. The current practice often exhibits a common two-axis assessment framework but the way the two axes are further operationalized shows heterogeneous approaches. Apart from the two-axis as key element of criticality assessment, the scope of the materials, the role of substitution, the delineation of the supply chain and data, and indicator selection are addressed as key elements. The abovementioned criticality assessment practice is approached in function of the upcoming international debate on criticality. The paper tackles the role of criticality assessment in the context of the sustainability assessment toolbox and it proposes a clear distinction between criticality assessment and resilience to criticality. The insights offered in the paper may feed the international discussion in the identification of elements that may be harmonized and elements that may be better left open in function of the particular application.","author":[{"dropping-particle":"","family":"Dewulf","given":"Jo","non-dropping-particle":"","parse-names":false,"suffix":""},{"dropping-particle":"","family":"Blengini","given":"Gian Andrea","non-dropping-particle":"","parse-names":false,"suffix":""},{"dropping-particle":"","family":"Pennington","given":"David","non-dropping-particle":"","parse-names":false,"suffix":""},{"dropping-particle":"","family":"Nuss","given":"Philip","non-dropping-particle":"","parse-names":false,"suffix":""},{"dropping-particle":"","family":"Nassar","given":"Nedal T.","non-dropping-particle":"","parse-names":false,"suffix":""}],"container-title":"Resources Policy","id":"ITEM-2","issue":"October","issued":{"date-parts":[["2016"]]},"page":"169-176","title":"Criticality on the international scene: Quo vadis?","type":"article-journal","volume":"50"},"uris":["http://www.mendeley.com/documents/?uuid=e1e71eb6-6609-4abd-bd00-bd3915e1c3f5"]},{"id":"ITEM-3","itemData":{"DOI":"10.1111/jiec.12305","ISSN":"15309290","abstract":"The \" criticality \" of the various elements used in modern technologies is a topic of increasing interest, with groups from governments, consultancies, and academic institutions developing a variety of methodologies and using them to make assessments. Other groups from similar organizations are studying the methodologies that generate these assessments. Here, we analyze the different types of studies, review issues of methodology, and comment on features of nine different studies published between 2008 and mid-2014. From these studies, we derive lists of problematic, debatable, and desirable aspects of criticality studies. We emphasize that the criticality of an element can vary depending on the target organization and that, because criticality is a dynamic state, it must be periodically re-evaluated. There is substantial value to be derived if a more uniform methodology could be developed. We discuss how </w:instrText>
      </w:r>
      <w:r w:rsidR="00D35F6A" w:rsidRPr="00DE4961">
        <w:rPr>
          <w:lang w:val="nl-NL"/>
        </w:rPr>
        <w:instrText>a harmonized methodological framework might be achieved and what its benefits could be. Putting into place such a structure for collaborative and publicly available criticality determinations would be very likely to better serve the present and future needs of corporations and governments than is the case at present, where different methodologies generate different results.","author":[{"dropping-particle":"","family":"Graedel","given":"T. E.","non-dropping-particle":"","parse-names":false,"suffix":""},{"dropping-particle":"","family":"Reck","given":"Barbara K.","non-dropping-particle":"","parse-names":false,"suffix":""}],"container-title":"Journal of Industrial Ecology","id":"ITEM-3","issue":"4","issued":{"date-parts":[["2015"]]},"page":"692-699","title":"Six Years of Criticality Assessments: What Have We Learned So Far?","type":"article-journal","volume":"20"},"uris":["http://www.mendeley.com/documents/?uuid=952a94cf-5315-4241-a23a-fce901d0faa1"]}],"mendeley":{"formattedCitation":"(Dewulf et al., 2016; Erdmann and Graedel, 2011; Graedel and Reck, 2015)","manualFormatting":"e.g. Erdmann and Graedel (2011), Graedel and Reck (2015), Dewulf et al. (2016","plainTextFormattedCitation":"(Dewulf et al., 2016; Erdmann and Graedel, 2011; Graedel and Reck, 2015)","previouslyFormattedCitation":"(Dewulf et al., 2016; Erdmann and Graedel, 2011; Graedel and Reck, 2015)"},"properties":{"noteIndex":0},"schema":"https://github.com/citation-style-language/schema/raw/master/csl-citation.json"}</w:instrText>
      </w:r>
      <w:r w:rsidR="007E0362">
        <w:fldChar w:fldCharType="separate"/>
      </w:r>
      <w:r w:rsidR="00EB5935" w:rsidRPr="00F90F81">
        <w:rPr>
          <w:noProof/>
          <w:lang w:val="nl-NL"/>
        </w:rPr>
        <w:t xml:space="preserve">e.g. </w:t>
      </w:r>
      <w:r w:rsidR="00E53118" w:rsidRPr="00F90F81">
        <w:rPr>
          <w:noProof/>
          <w:lang w:val="nl-NL"/>
        </w:rPr>
        <w:t xml:space="preserve">Erdmann and Graedel </w:t>
      </w:r>
      <w:r w:rsidR="00A41A45" w:rsidRPr="00F90F81">
        <w:rPr>
          <w:noProof/>
          <w:lang w:val="nl-NL"/>
        </w:rPr>
        <w:t>(</w:t>
      </w:r>
      <w:r w:rsidR="00E53118" w:rsidRPr="00F90F81">
        <w:rPr>
          <w:noProof/>
          <w:lang w:val="nl-NL"/>
        </w:rPr>
        <w:t>2011</w:t>
      </w:r>
      <w:r w:rsidR="00A41A45" w:rsidRPr="00F90F81">
        <w:rPr>
          <w:noProof/>
          <w:lang w:val="nl-NL"/>
        </w:rPr>
        <w:t>),</w:t>
      </w:r>
      <w:r w:rsidR="00E53118" w:rsidRPr="00F90F81">
        <w:rPr>
          <w:noProof/>
          <w:lang w:val="nl-NL"/>
        </w:rPr>
        <w:t xml:space="preserve"> Graedel </w:t>
      </w:r>
      <w:r w:rsidR="00E53118" w:rsidRPr="00F90F81">
        <w:rPr>
          <w:noProof/>
          <w:lang w:val="nl-NL"/>
        </w:rPr>
        <w:lastRenderedPageBreak/>
        <w:t xml:space="preserve">and Reck </w:t>
      </w:r>
      <w:r w:rsidR="00A41A45" w:rsidRPr="00F90F81">
        <w:rPr>
          <w:noProof/>
          <w:lang w:val="nl-NL"/>
        </w:rPr>
        <w:t>(</w:t>
      </w:r>
      <w:r w:rsidR="00E53118" w:rsidRPr="00F90F81">
        <w:rPr>
          <w:noProof/>
          <w:lang w:val="nl-NL"/>
        </w:rPr>
        <w:t>2015</w:t>
      </w:r>
      <w:r w:rsidR="00A41A45" w:rsidRPr="00F90F81">
        <w:rPr>
          <w:noProof/>
          <w:lang w:val="nl-NL"/>
        </w:rPr>
        <w:t>),</w:t>
      </w:r>
      <w:r w:rsidR="00E53118" w:rsidRPr="00F90F81">
        <w:rPr>
          <w:noProof/>
          <w:lang w:val="nl-NL"/>
        </w:rPr>
        <w:t xml:space="preserve"> Dewulf et al</w:t>
      </w:r>
      <w:r w:rsidR="00A41A45" w:rsidRPr="00F90F81">
        <w:rPr>
          <w:noProof/>
          <w:lang w:val="nl-NL"/>
        </w:rPr>
        <w:t>.</w:t>
      </w:r>
      <w:r w:rsidR="00E53118" w:rsidRPr="00F90F81">
        <w:rPr>
          <w:noProof/>
          <w:lang w:val="nl-NL"/>
        </w:rPr>
        <w:t xml:space="preserve"> </w:t>
      </w:r>
      <w:r w:rsidR="00A41A45">
        <w:rPr>
          <w:noProof/>
        </w:rPr>
        <w:t>(</w:t>
      </w:r>
      <w:r w:rsidR="00E53118" w:rsidRPr="00E53118">
        <w:rPr>
          <w:noProof/>
        </w:rPr>
        <w:t>2016</w:t>
      </w:r>
      <w:r w:rsidR="007E0362">
        <w:fldChar w:fldCharType="end"/>
      </w:r>
      <w:r w:rsidR="00A41A45">
        <w:t>)</w:t>
      </w:r>
      <w:r w:rsidR="001D76AD">
        <w:t xml:space="preserve"> </w:t>
      </w:r>
      <w:r w:rsidR="001D76AD" w:rsidRPr="00DC1CC5">
        <w:t>and illustrated</w:t>
      </w:r>
      <w:r w:rsidR="00DC1CC5" w:rsidRPr="00DC1CC5">
        <w:t xml:space="preserve"> in</w:t>
      </w:r>
      <w:r w:rsidR="00DC1CC5">
        <w:t xml:space="preserve"> </w:t>
      </w:r>
      <w:r w:rsidR="00DC1CC5">
        <w:rPr>
          <w:highlight w:val="yellow"/>
        </w:rPr>
        <w:fldChar w:fldCharType="begin"/>
      </w:r>
      <w:r w:rsidR="00DC1CC5">
        <w:instrText xml:space="preserve"> REF _Ref4494126 \h </w:instrText>
      </w:r>
      <w:r w:rsidR="00C80243">
        <w:rPr>
          <w:highlight w:val="yellow"/>
        </w:rPr>
        <w:instrText xml:space="preserve"> \* MERGEFORMAT </w:instrText>
      </w:r>
      <w:r w:rsidR="00DC1CC5">
        <w:rPr>
          <w:highlight w:val="yellow"/>
        </w:rPr>
      </w:r>
      <w:r w:rsidR="00DC1CC5">
        <w:rPr>
          <w:highlight w:val="yellow"/>
        </w:rPr>
        <w:fldChar w:fldCharType="separate"/>
      </w:r>
      <w:r w:rsidR="009F2906">
        <w:t xml:space="preserve">Figure </w:t>
      </w:r>
      <w:r w:rsidR="009F2906">
        <w:rPr>
          <w:noProof/>
        </w:rPr>
        <w:t>1</w:t>
      </w:r>
      <w:r w:rsidR="00DC1CC5">
        <w:rPr>
          <w:highlight w:val="yellow"/>
        </w:rPr>
        <w:fldChar w:fldCharType="end"/>
      </w:r>
      <w:r w:rsidR="007E0362">
        <w:t xml:space="preserve">. </w:t>
      </w:r>
      <w:r w:rsidR="00D35F6A">
        <w:t>O</w:t>
      </w:r>
      <w:r w:rsidR="004709FA">
        <w:t xml:space="preserve">ne can say that </w:t>
      </w:r>
      <w:r w:rsidR="007E0362">
        <w:rPr>
          <w:i/>
        </w:rPr>
        <w:t>“</w:t>
      </w:r>
      <w:r w:rsidR="002C1A15">
        <w:rPr>
          <w:i/>
        </w:rPr>
        <w:t>C</w:t>
      </w:r>
      <w:r w:rsidR="007E0362">
        <w:rPr>
          <w:i/>
        </w:rPr>
        <w:t xml:space="preserve">riticality is </w:t>
      </w:r>
      <w:r w:rsidR="007E0362" w:rsidRPr="007B63A8">
        <w:rPr>
          <w:i/>
        </w:rPr>
        <w:t xml:space="preserve">in the eye of the beholder” </w:t>
      </w:r>
      <w:r w:rsidR="007E0362" w:rsidRPr="007B63A8">
        <w:rPr>
          <w:i/>
        </w:rPr>
        <w:fldChar w:fldCharType="begin" w:fldLock="1"/>
      </w:r>
      <w:r w:rsidR="00D35F6A">
        <w:rPr>
          <w:i/>
        </w:rPr>
        <w:instrText>ADDIN CSL_CITATION {"citationItems":[{"id":"ITEM-1","itemData":{"DOI":"10.1038/nchem.1116","ISSN":"17554330","PMID":"21860456","abstract":"The spectre of insecure supplies of some mineral raw materials could hinder the development and deployment of new technology. This Commentary discusses and analyses the reasons behind the potential insecurity, how markets are responding, and what roles government should play.","author":[{"dropping-particle":"","family":"Eggert","given":"Roderick G.","non-dropping-particle":"","parse-names":false,"suffix":""}],"container-title":"Nature Chemistry","id":"ITEM-1","issue":"9","issued":{"date-parts":[["2011"]]},"page":"688-691","publisher":"Nature Publishing Group","title":"Minerals go critical","type":"article-journal","volume":"3"},"uris":["http://www.mendeley.com/documents/?uuid=b53adbdc-59b7-41d9-85ea-848d613059f9"]}],"mendeley":{"formattedCitation":"(Eggert, 2011)","plainTextFormattedCitation":"(Eggert, 2011)","previouslyFormattedCitation":"(Eggert, 2011)"},"properties":{"noteIndex":0},"schema":"https://github.com/citation-style-language/schema/raw/master/csl-citation.json"}</w:instrText>
      </w:r>
      <w:r w:rsidR="007E0362" w:rsidRPr="007B63A8">
        <w:rPr>
          <w:i/>
        </w:rPr>
        <w:fldChar w:fldCharType="separate"/>
      </w:r>
      <w:r w:rsidR="002B45EF" w:rsidRPr="002B45EF">
        <w:rPr>
          <w:noProof/>
        </w:rPr>
        <w:t>(Eggert, 2011)</w:t>
      </w:r>
      <w:r w:rsidR="007E0362" w:rsidRPr="007B63A8">
        <w:rPr>
          <w:i/>
        </w:rPr>
        <w:fldChar w:fldCharType="end"/>
      </w:r>
      <w:r w:rsidR="004A021F">
        <w:t>;</w:t>
      </w:r>
      <w:r w:rsidR="007E0362" w:rsidRPr="007B63A8">
        <w:t xml:space="preserve"> </w:t>
      </w:r>
      <w:r w:rsidR="00017856" w:rsidRPr="007B63A8">
        <w:t xml:space="preserve">that is, there is no </w:t>
      </w:r>
      <w:r w:rsidR="00243EAC">
        <w:t xml:space="preserve">generic </w:t>
      </w:r>
      <w:r w:rsidR="00017856" w:rsidRPr="007B63A8">
        <w:t xml:space="preserve">standard approach to </w:t>
      </w:r>
      <w:r w:rsidR="007B63A8">
        <w:t>conduct</w:t>
      </w:r>
      <w:r w:rsidR="00017856" w:rsidRPr="007B63A8">
        <w:t xml:space="preserve"> a criticality assessment</w:t>
      </w:r>
      <w:r w:rsidR="00947221" w:rsidRPr="007B63A8">
        <w:t>.</w:t>
      </w:r>
      <w:r w:rsidR="0027102A">
        <w:t xml:space="preserve"> </w:t>
      </w:r>
    </w:p>
    <w:p w14:paraId="5B2F6F3C" w14:textId="77777777" w:rsidR="00FB1942" w:rsidRDefault="00FB1942" w:rsidP="00863B14">
      <w:pPr>
        <w:spacing w:line="480" w:lineRule="auto"/>
        <w:jc w:val="both"/>
      </w:pPr>
    </w:p>
    <w:p w14:paraId="725EE3A1" w14:textId="77A02DCD" w:rsidR="007E0362" w:rsidRDefault="0045091F" w:rsidP="00863B14">
      <w:pPr>
        <w:spacing w:line="480" w:lineRule="auto"/>
        <w:contextualSpacing/>
        <w:jc w:val="both"/>
      </w:pPr>
      <w:r>
        <w:t xml:space="preserve">The diversity of </w:t>
      </w:r>
      <w:r w:rsidR="003B2D13">
        <w:t>raw material</w:t>
      </w:r>
      <w:r>
        <w:t xml:space="preserve"> criticality assessmen</w:t>
      </w:r>
      <w:r w:rsidR="00A11521">
        <w:t>ts</w:t>
      </w:r>
      <w:r w:rsidR="004A0CC5">
        <w:t xml:space="preserve">, the use of different indicators, </w:t>
      </w:r>
      <w:r>
        <w:t>and the complexity of the underlying data</w:t>
      </w:r>
      <w:r w:rsidR="00243EAC">
        <w:t xml:space="preserve"> usually</w:t>
      </w:r>
      <w:r w:rsidR="00E3579C" w:rsidRPr="00E3579C" w:rsidDel="00D778C9">
        <w:t xml:space="preserve"> </w:t>
      </w:r>
      <w:r w:rsidR="00E3579C">
        <w:t xml:space="preserve">makes a comparison of </w:t>
      </w:r>
      <w:r w:rsidR="00243EAC">
        <w:t xml:space="preserve">the </w:t>
      </w:r>
      <w:r w:rsidR="00E3579C">
        <w:t>results generated by different studies difficult, if not impossible. Authors in the field have pointed out that there is a need to identify</w:t>
      </w:r>
      <w:r>
        <w:t xml:space="preserve"> </w:t>
      </w:r>
      <w:r w:rsidR="00B75DEF">
        <w:t xml:space="preserve">criticality assessment factors </w:t>
      </w:r>
      <w:r w:rsidR="00D35F6A">
        <w:t xml:space="preserve">and indicators </w:t>
      </w:r>
      <w:r w:rsidR="00B75DEF">
        <w:t>that</w:t>
      </w:r>
      <w:r w:rsidR="00243EAC">
        <w:t xml:space="preserve"> provide an improved </w:t>
      </w:r>
      <w:r w:rsidR="00B75DEF">
        <w:t>estimat</w:t>
      </w:r>
      <w:r w:rsidR="00D35F6A">
        <w:t>ion o</w:t>
      </w:r>
      <w:r w:rsidR="00497462">
        <w:t>f</w:t>
      </w:r>
      <w:r w:rsidR="00D35F6A">
        <w:t xml:space="preserve"> the</w:t>
      </w:r>
      <w:r w:rsidR="00B75DEF">
        <w:t xml:space="preserve"> degree of criticality, </w:t>
      </w:r>
      <w:r w:rsidR="00D35F6A">
        <w:t xml:space="preserve">as well as </w:t>
      </w:r>
      <w:r w:rsidR="00B75DEF">
        <w:t xml:space="preserve">suitable data sources for </w:t>
      </w:r>
      <w:r w:rsidR="00D35F6A">
        <w:t>this purpose</w:t>
      </w:r>
      <w:r w:rsidR="00B75DEF">
        <w:t xml:space="preserve"> </w:t>
      </w:r>
      <w:r w:rsidR="00B75DEF">
        <w:fldChar w:fldCharType="begin" w:fldLock="1"/>
      </w:r>
      <w:r w:rsidR="00CF0E53">
        <w:instrText>ADDIN CSL_CITATION {"citationItems":[{"id":"ITEM-1","itemData":{"ISBN":"UKERC/WP/TPA/2013/002","abstract":"Policy makers and industry are increasingly concerned over the availability of certain materials key to the manufacture of low carbon technologies. The literature addressing this topic includes reports termed ‘criticality assessment’ that aim to quantify the relative criticality of a range of materials. In this study we examine the methodologies underpinning these criticality assessments, and attempt to normalise and compare their results. This process identified a list of 10 metals or metal groups for which average normalised scores are presented, along with maximum and minimum scores to indicate the range of uncertainty. We find that criticality assessment methodologies diverge significantly, making comparison difficult. This leads to apparently wide uncertainty in results. We also find that in order to achieve comparability within studies, authors typically rely on simple metrics for which data is available for all metals considered. This leads to some compromises which affect results. Finally we suggest that, given these uncertainties and methodological difficulties, criticality assessments are best used to highlight materials or technologies of particular interest, which should then be further examined in isolation, to improve insight and accuracy.","author":[{"dropping-particle":"","family":"Speirs","given":"Jamie","non-dropping-particle":"","parse-names":false,"suffix":""},{"dropping-particle":"","family":"Houari","given":"Yassine","non-dropping-particle":"","parse-names":false,"suffix":""},{"dropping-particle":"","family":"Gross","given":"Robert","non-dropping-particle":"","parse-names":false,"suffix":""}],"container-title":"UK Energy Research Centre","id":"ITEM-1","issue":"February","issued":{"date-parts":[["2013"]]},"page":"30","title":"Materials Availability : Comparison of material criticality studies - methodologies and results Working Paper III","type":"article-journal"},"uris":["http://www.mendeley.com/documents/?uuid=18b1c2f7-93b5-46d2-b9b9-5971252a9b64"]},{"id":"ITEM-2","itemData":{"DOI":"10.1111/jiec.12305","ISSN":"15309290","abstract":"The \" criticality \" of the various elements used in modern technologies is a topic of increasing interest, with groups from governments, consultancies, and academic institutions developing a variety of methodologies and using them to make assessments. Other groups from similar organizations are studying the methodologies that generate these assessments. Here, we analyze the different types of studies, review issues of methodology, and comment on features of nine different studies published between 2008 and mid-2014. From these studies, we derive lists of problematic, debatable, and desirable aspects of criticality studies. We emphasize that the criticality of an element can vary depending on the target organization and that, because criticality is a dynamic state, it must be periodically re-evaluated. There is substantial value to be derived if a more uniform methodology could be developed. We discuss how a harmonized methodological framework might be achieved and what its benefits could be. Putting into place such a structure for collaborative and publicly available criticality determinations would be very likely to better serve the present and future needs of corporations and governments than is the case at present, where different methodologies generate different results.","author":[{"dropping-particle":"","family":"Graedel","given":"T. E.","non-dropping-particle":"","parse-names":false,"suffix":""},{"dropping-particle":"","family":"Reck","given":"Barbara K.","non-dropping-particle":"","parse-names":false,"suffix":""}],"container-title":"Journal of Industrial Ecology","id":"ITEM-2","issue":"4","issued":{"date-parts":[["2015"]]},"page":"692-699","title":"Six Years of Criticality Assessments: What Have We Learned So Far?","type":"article-journal","volume":"20"},"uris":["http://www.mendeley.com/documents/?uuid=952a94cf-5315-4241-a23a-fce901d0faa1"]}],"mendeley":{"formattedCitation":"(Graedel and Reck, 2015; Speirs et al., 2013)","plainTextFormattedCitation":"(Graedel and Reck, 2015; Speirs et al., 2013)","previouslyFormattedCitation":"(Graedel and Reck, 2015; Speirs et al., 2013)"},"properties":{"noteIndex":0},"schema":"https://github.com/citation-style-language/schema/raw/master/csl-citation.json"}</w:instrText>
      </w:r>
      <w:r w:rsidR="00B75DEF">
        <w:fldChar w:fldCharType="separate"/>
      </w:r>
      <w:r w:rsidR="00C80243" w:rsidRPr="00C80243">
        <w:rPr>
          <w:noProof/>
        </w:rPr>
        <w:t>(Graedel and Reck, 2015; Speirs et al., 2013)</w:t>
      </w:r>
      <w:r w:rsidR="00B75DEF">
        <w:fldChar w:fldCharType="end"/>
      </w:r>
      <w:r w:rsidR="00B75DEF">
        <w:t xml:space="preserve">. </w:t>
      </w:r>
      <w:r w:rsidR="00243EAC">
        <w:t xml:space="preserve">Despite these gaps, </w:t>
      </w:r>
      <w:r w:rsidR="007E0362">
        <w:t xml:space="preserve">an international forum dedicated to the harmonization of the development of criticality methods </w:t>
      </w:r>
      <w:r w:rsidR="00C80243">
        <w:t>was</w:t>
      </w:r>
      <w:r w:rsidR="007E0362">
        <w:t xml:space="preserve"> missing </w:t>
      </w:r>
      <w:r w:rsidR="007E0362">
        <w:fldChar w:fldCharType="begin" w:fldLock="1"/>
      </w:r>
      <w:r w:rsidR="00D35F6A">
        <w:instrText>ADDIN CSL_CITATION {"citationItems":[{"id":"ITEM-1","itemData":{"DOI":"10.1016/j.resourpol.2016.09.008","ISBN":"0301-4207","ISSN":"03014207","abstract":"This paper brings a discussion on the current state-of-the-art in criticality assessment in an international context. It analyzes the status of resource criticality concepts and their calculation methods. The current practice often exhibits a common two-axis assessment framework but the way the two axes are further operationalized shows heterogeneous approaches. Apart from the two-axis as key element of criticality assessment, the scope of the materials, the role of substitution, the delineation of the supply chain and data, and indicator selection are addressed as key elements. The abovementioned criticality assessment practice is approached in function of the upcoming international debate on criticality. The paper tackles the role of criticality assessment in the context of the sustainability assessment toolbox and it proposes a clear distinction between criticality assessment and resilience to criticality. The insights offered in the paper may feed the international discussion in the identification of elements that may be harmonized and elements that may be better left open in function of the particular application.","author":[{"dropping-particle":"","family":"Dewulf","given":"Jo","non-dropping-particle":"","parse-names":false,"suffix":""},{"dropping-particle":"","family":"Blengini","given":"Gian Andrea","non-dropping-particle":"","parse-names":false,"suffix":""},{"dropping-particle":"","family":"Pennington","given":"David","non-dropping-particle":"","parse-names":false,"suffix":""},{"dropping-particle":"","family":"Nuss","given":"Philip","non-dropping-particle":"","parse-names":false,"suffix":""},{"dropping-particle":"","family":"Nassar","given":"Nedal T.","non-dropping-particle":"","parse-names":false,"suffix":""}],"container-title":"Resources Policy","id":"ITEM-1","issue":"October","issued":{"date-parts":[["2016"]]},"page":"169-176","title":"Criticality on the international scene: Quo vadis?","type":"article-journal","volume":"50"},"uris":["http://www.mendeley.com/documents/?uuid=e1e71eb6-6609-4abd-bd00-bd3915e1c3f5"]}],"mendeley":{"formattedCitation":"(Dewulf et al., 2016)","plainTextFormattedCitation":"(Dewulf et al., 2016)","previouslyFormattedCitation":"(Dewulf et al., 2016)"},"properties":{"noteIndex":0},"schema":"https://github.com/citation-style-language/schema/raw/master/csl-citation.json"}</w:instrText>
      </w:r>
      <w:r w:rsidR="007E0362">
        <w:fldChar w:fldCharType="separate"/>
      </w:r>
      <w:r w:rsidR="002B45EF" w:rsidRPr="002B45EF">
        <w:rPr>
          <w:noProof/>
        </w:rPr>
        <w:t>(Dewulf et al., 2016)</w:t>
      </w:r>
      <w:r w:rsidR="007E0362">
        <w:fldChar w:fldCharType="end"/>
      </w:r>
      <w:r w:rsidR="007E0362">
        <w:t xml:space="preserve">. </w:t>
      </w:r>
      <w:r w:rsidR="00243EAC">
        <w:t xml:space="preserve">To begin to address these challenges, </w:t>
      </w:r>
      <w:r w:rsidR="007E0362">
        <w:t xml:space="preserve">the EIT </w:t>
      </w:r>
      <w:r w:rsidR="0078308A">
        <w:t xml:space="preserve">(European Institute of Innovation &amp; Technology) </w:t>
      </w:r>
      <w:r w:rsidR="007E0362">
        <w:t>Raw</w:t>
      </w:r>
      <w:r w:rsidR="00E24CD7">
        <w:t xml:space="preserve"> </w:t>
      </w:r>
      <w:r w:rsidR="007E0362">
        <w:t xml:space="preserve">Materials project IRTC </w:t>
      </w:r>
      <w:r w:rsidR="00243EAC">
        <w:t>(</w:t>
      </w:r>
      <w:r w:rsidR="008F375C">
        <w:t>“International Round Table on Materials Criticality”</w:t>
      </w:r>
      <w:r w:rsidR="00243EAC">
        <w:t xml:space="preserve">) was established, </w:t>
      </w:r>
      <w:r w:rsidR="007E0362">
        <w:t xml:space="preserve">bringing </w:t>
      </w:r>
      <w:r w:rsidR="00243EAC">
        <w:t xml:space="preserve">together </w:t>
      </w:r>
      <w:r w:rsidR="007E0362">
        <w:t xml:space="preserve">international experts in </w:t>
      </w:r>
      <w:r w:rsidR="002457C3">
        <w:t>r</w:t>
      </w:r>
      <w:r w:rsidR="007E0362">
        <w:t xml:space="preserve">ound </w:t>
      </w:r>
      <w:r w:rsidR="002457C3">
        <w:t>table</w:t>
      </w:r>
      <w:r w:rsidR="007E0362">
        <w:t xml:space="preserve"> dialogues</w:t>
      </w:r>
      <w:r w:rsidR="00243EAC">
        <w:t xml:space="preserve"> to tackle the</w:t>
      </w:r>
      <w:r w:rsidR="007E0362">
        <w:t xml:space="preserve"> questions surrounding methodology, application</w:t>
      </w:r>
      <w:r w:rsidR="00527D52">
        <w:t>,</w:t>
      </w:r>
      <w:r w:rsidR="007E0362">
        <w:t xml:space="preserve"> and future development of </w:t>
      </w:r>
      <w:r w:rsidR="003B2D13">
        <w:t>raw material</w:t>
      </w:r>
      <w:r w:rsidR="007E0362">
        <w:t xml:space="preserve"> </w:t>
      </w:r>
      <w:r w:rsidR="0019196B" w:rsidRPr="00DC095E">
        <w:t>criticality</w:t>
      </w:r>
      <w:r w:rsidR="0019196B">
        <w:t xml:space="preserve"> </w:t>
      </w:r>
      <w:r w:rsidR="002F2169">
        <w:t>assessments</w:t>
      </w:r>
      <w:r w:rsidR="007E0362">
        <w:t xml:space="preserve">. </w:t>
      </w:r>
      <w:r w:rsidR="004D088B">
        <w:t>In</w:t>
      </w:r>
      <w:r w:rsidR="007E0362">
        <w:t xml:space="preserve"> the result</w:t>
      </w:r>
      <w:r w:rsidR="009401FB">
        <w:t>ing</w:t>
      </w:r>
      <w:r w:rsidR="007E0362">
        <w:t xml:space="preserve"> publications</w:t>
      </w:r>
      <w:r w:rsidR="00243EAC">
        <w:t>,</w:t>
      </w:r>
      <w:r w:rsidR="007E0362">
        <w:t xml:space="preserve"> of which th</w:t>
      </w:r>
      <w:r w:rsidR="00243EAC">
        <w:t>is</w:t>
      </w:r>
      <w:r w:rsidR="007E0362">
        <w:t xml:space="preserve"> paper is the first of an ongoing series</w:t>
      </w:r>
      <w:r w:rsidR="00243EAC">
        <w:t>,</w:t>
      </w:r>
      <w:r w:rsidR="007E0362">
        <w:t xml:space="preserve"> the IRTC Consortium integrate</w:t>
      </w:r>
      <w:r w:rsidR="000F563F">
        <w:t>s</w:t>
      </w:r>
      <w:r w:rsidR="007E0362">
        <w:t xml:space="preserve"> </w:t>
      </w:r>
      <w:r w:rsidR="00243EAC">
        <w:t xml:space="preserve">the </w:t>
      </w:r>
      <w:r w:rsidR="007E0362">
        <w:t xml:space="preserve">views from a variety of stakeholders </w:t>
      </w:r>
      <w:r w:rsidR="00F534A4">
        <w:t>worldwide</w:t>
      </w:r>
      <w:r w:rsidR="007E0362">
        <w:t xml:space="preserve">. </w:t>
      </w:r>
    </w:p>
    <w:p w14:paraId="31CBAF6D" w14:textId="36F090FB" w:rsidR="00093D7E" w:rsidRDefault="00A52D16" w:rsidP="00863B14">
      <w:pPr>
        <w:spacing w:before="240" w:line="480" w:lineRule="auto"/>
        <w:jc w:val="both"/>
      </w:pPr>
      <w:r>
        <w:t xml:space="preserve">While previous review papers have mostly focused on </w:t>
      </w:r>
      <w:r w:rsidR="00157CB5">
        <w:t>highlighting the</w:t>
      </w:r>
      <w:r>
        <w:t xml:space="preserve"> differences </w:t>
      </w:r>
      <w:r w:rsidR="006E599F">
        <w:t>between criticality studies</w:t>
      </w:r>
      <w:r w:rsidR="000F685E">
        <w:t xml:space="preserve"> </w:t>
      </w:r>
      <w:r w:rsidR="000F685E">
        <w:fldChar w:fldCharType="begin" w:fldLock="1"/>
      </w:r>
      <w:r w:rsidR="00D35F6A">
        <w:instrText>ADDIN CSL_CITATION {"citationItems":[{"id":"ITEM-1","itemData":{"DOI":"10.1021/es200563g","ISBN":"0013-936X","ISSN":"0013936X","PMID":"21834560","abstract":"The criticality of nonfuel minerals is an emerging research subject that captures both the supply risks and the vulnerability of a system to a potential supply disruption. The significance of material criticality for the mass deployment of sustainable and other key technologies is currently obscured by diverse, often immature, and still evolving methodologies. This review explores why principal studies agree or disagree in designating the criticality of certain nonfuel minerals. We survey the literature and analyze several well documented studies in depth, demonstrating that the platinum group metals (e.g., essential for catalytic reduction of air pollutants), and the rare earth elements (e.g., essential for efficient electricity generation in wind turbines) are frequently singled out as critical, albeit by differing criteria. We also discuss the impacts of methodological choices on the designation of raw materials as critical. The treatment of substitutability, time horizons, and the aggregation level of criticality indicators are shown to be significant in this regard. We determine several important issues that have thus far been largely disregarded, especially the justification of methodological components, and policy responses to criticality designation.","author":[{"dropping-particle":"","family":"Erdmann","given":"Lorenz","non-dropping-particle":"","parse-names":false,"suffix":""},{"dropping-particle":"","family":"Graedel","given":"Thomas E.","non-dropping-particle":"","parse-names":false,"suffix":""}],"container-title":"Environmental Science and Technology","id":"ITEM-1","issue":"18","issued":{"date-parts":[["2011"]]},"page":"7620-7630","title":"Criticality of non-fuel minerals: A review of major approaches and analyses","type":"article-journal","volume":"45"},"uris":["http://www.mendeley.com/documents/?uuid=ea49267d-627e-45b6-b5e1-18597454bf2d"]},{"id":"ITEM-2","itemData":{"DOI":"10.1016/j.resourpol.2016.02.003","ISSN":"03014207","abstract":"Companies, economies and technologies are vulnerable to supply disruptions or price peaks of specific raw materials. Multiple research groups worldwide have proposed methodologies for determining the criticality of raw materials, including assessments on the vulnerability to supply restrictions. These raw material vulnerability assessments use manifold indicators but are not consistent concerning their selection, calculation, interpretation and weighting. Their indicators estimate a raw material's economic importance or its significance for a strategic goal, or they inform regarding the impact of supply disruptions. Here, we provide an overview of 18 vulnerability assessments in 16 recent criticality studies. Our results reveal 18 different vulnerability indicators, among which a set of six indicators is frequently used and therefore might be recommended for decision makers. The range of possible vulnerability assessment results is exemplified by evaluations of the transition metal copper and the rare earth neodymium. Our overview can serve as a starting point for future raw material criticality assessments concerning the selection of vulnerability indicators and appropriate calculation and weighting methods.","author":[{"dropping-particle":"","family":"Helbig","given":"Christoph","non-dropping-particle":"","parse-names":false,"suffix":""},{"dropping-particle":"","family":"Wietschel","given":"Lars","non-dropping-particle":"","parse-names":false,"suffix":""},{"dropping-particle":"","family":"Thorenz","given":"Andrea","non-dropping-particle":"","parse-names":false,"suffix":""},{"dropping-particle":"","family":"Tuma","given":"Axel","non-dropping-particle":"","parse-names":false,"suffix":""}],"container-title":"Resources Policy","id":"ITEM-2","issued":{"date-parts":[["2016"]]},"page":"13-24","publisher":"Elsevier","title":"How to evaluate raw material vulnerability - An overview","type":"article-journal","volume":"48"},"uris":["http://www.mendeley.com/documents/?uuid=f6ce294d-68c4-4a7b-81c5-2b5b423ba813"]},{"id":"ITEM-3","itemData":{"DOI":"10.1016/j.resourpol.2013.06.003","ISBN":"0301-4207","ISSN":"03014207","abstract":"Some strategic raw materials do have an extremely unsecure supply situation. Several working groups around the world have made criticality assessments for metallic raw materials to analyze the driving impact factors for this instability. However, the influences on raw material availability are manifold and therefore criticality assessment methods are very heterogeneous. Here we give an overview about the differences and similarities of supply risk evaluation in 15 criticality assessment methods. We take the example of Indium, which has been rated in 60% of these criticality studies, and show which data base is used for supply risk evaluation. Our results show a lack of consensus about which indicators give reliable information for raw material supply risk and how these indicators should be aggregated. We anticipate our essay to be a starting point for more justified indicator selection and weighting in criticality assessments. © 2013 Elsevier Ltd.","author":[{"dropping-particle":"","family":"Achzet","given":"Benjamin","non-dropping-particle":"","parse-names":false,"suffix":""},{"dropping-particle":"","family":"Helbig","given":"Christoph","non-dropping-particle":"","parse-names":false,"suffix":""}],"container-title":"Resources Policy","id":"ITEM-3","issue":"4","issued":{"date-parts":[["2013"]]},"page":"435-447","publisher":"Elsevier","title":"How to evaluate raw material supply risks-an overview","type":"article-journal","volume":"38"},"uris":["http://www.mendeley.com/documents/?uuid=a1d30f5b-28e2-486a-b33f-561bd8cec6af"]}],"mendeley":{"formattedCitation":"(Achzet and Helbig, 2013; Erdmann and Graedel, 2011; Helbig et al., 2016c)","plainTextFormattedCitation":"(Achzet and Helbig, 2013; Erdmann and Graedel, 2011; Helbig et al., 2016c)","previouslyFormattedCitation":"(Achzet and Helbig, 2013; Erdmann and Graedel, 2011; Helbig et al., 2016c)"},"properties":{"noteIndex":0},"schema":"https://github.com/citation-style-language/schema/raw/master/csl-citation.json"}</w:instrText>
      </w:r>
      <w:r w:rsidR="000F685E">
        <w:fldChar w:fldCharType="separate"/>
      </w:r>
      <w:r w:rsidR="002B45EF" w:rsidRPr="002B45EF">
        <w:rPr>
          <w:noProof/>
        </w:rPr>
        <w:t>(Achzet and Helbig, 2013; Erdmann and Graedel, 2011; Helbig et al., 2016c)</w:t>
      </w:r>
      <w:r w:rsidR="000F685E">
        <w:fldChar w:fldCharType="end"/>
      </w:r>
      <w:r w:rsidR="006E599F">
        <w:t xml:space="preserve">, this paper aims to clarify </w:t>
      </w:r>
      <w:r w:rsidR="00157CB5">
        <w:t xml:space="preserve">the underlying reasons of </w:t>
      </w:r>
      <w:r w:rsidR="00157CB5" w:rsidRPr="00A56F67">
        <w:rPr>
          <w:i/>
        </w:rPr>
        <w:t>why</w:t>
      </w:r>
      <w:r w:rsidR="00157CB5">
        <w:t xml:space="preserve"> criticality method developers </w:t>
      </w:r>
      <w:r w:rsidR="00157CB5" w:rsidRPr="00226F1A">
        <w:t xml:space="preserve">have made different choices that </w:t>
      </w:r>
      <w:r w:rsidR="00243EAC">
        <w:t>ha</w:t>
      </w:r>
      <w:r w:rsidR="00DE4961">
        <w:t>ve</w:t>
      </w:r>
      <w:r w:rsidR="00243EAC">
        <w:t xml:space="preserve"> </w:t>
      </w:r>
      <w:r w:rsidR="00157CB5" w:rsidRPr="00226F1A">
        <w:t>resulted in</w:t>
      </w:r>
      <w:r w:rsidR="00243EAC">
        <w:t xml:space="preserve"> the</w:t>
      </w:r>
      <w:r w:rsidR="00157CB5" w:rsidRPr="00226F1A">
        <w:t xml:space="preserve"> different methodologies.</w:t>
      </w:r>
      <w:r w:rsidR="00A56F67" w:rsidRPr="00226F1A">
        <w:t xml:space="preserve"> It focuses especially on how different assessments are framed (goal, scope) and then on the assessment method</w:t>
      </w:r>
      <w:r w:rsidR="00497462">
        <w:t>s</w:t>
      </w:r>
      <w:r w:rsidR="00A56F67" w:rsidRPr="00226F1A">
        <w:t xml:space="preserve"> </w:t>
      </w:r>
      <w:r w:rsidR="00497462">
        <w:t>themselves</w:t>
      </w:r>
      <w:r w:rsidR="00497462" w:rsidRPr="00226F1A">
        <w:t xml:space="preserve"> </w:t>
      </w:r>
      <w:r w:rsidR="00A56F67" w:rsidRPr="00226F1A">
        <w:t>(indicators, aggregation, presentation).</w:t>
      </w:r>
      <w:r w:rsidR="005B1D52" w:rsidRPr="00226F1A">
        <w:t xml:space="preserve"> </w:t>
      </w:r>
      <w:r w:rsidR="00B7744B" w:rsidRPr="00226F1A">
        <w:t>Th</w:t>
      </w:r>
      <w:r w:rsidR="00E215DF" w:rsidRPr="00226F1A">
        <w:t>is</w:t>
      </w:r>
      <w:r w:rsidR="00B7744B" w:rsidRPr="00226F1A">
        <w:t xml:space="preserve"> analysis will form the basis</w:t>
      </w:r>
      <w:r w:rsidR="00B7744B">
        <w:t xml:space="preserve"> to structure </w:t>
      </w:r>
      <w:r w:rsidR="007E0362">
        <w:t xml:space="preserve">the current </w:t>
      </w:r>
      <w:r w:rsidR="007E0362">
        <w:lastRenderedPageBreak/>
        <w:t xml:space="preserve">discussions around the methodological aspects of criticality assessments </w:t>
      </w:r>
      <w:r w:rsidR="00586F2B">
        <w:t xml:space="preserve">via </w:t>
      </w:r>
      <w:r w:rsidR="007E0362">
        <w:t>a</w:t>
      </w:r>
      <w:r w:rsidR="00586F2B">
        <w:t>n international</w:t>
      </w:r>
      <w:r w:rsidR="007E0362">
        <w:t xml:space="preserve"> collaborative effort</w:t>
      </w:r>
      <w:r w:rsidR="007E0362" w:rsidRPr="5F3D6197">
        <w:t xml:space="preserve">. </w:t>
      </w:r>
      <w:r w:rsidR="00E77AD3">
        <w:t>U</w:t>
      </w:r>
      <w:r w:rsidR="007E0362">
        <w:t>nderstanding the status quo</w:t>
      </w:r>
      <w:r w:rsidR="00290E9C">
        <w:t>,</w:t>
      </w:r>
      <w:r w:rsidR="007E0362">
        <w:t xml:space="preserve"> and the direction</w:t>
      </w:r>
      <w:r w:rsidR="003465DB">
        <w:t>s</w:t>
      </w:r>
      <w:r w:rsidR="007E0362">
        <w:t xml:space="preserve"> in which criticality assessment and the debate surrounding it </w:t>
      </w:r>
      <w:r w:rsidR="00586F2B">
        <w:t>is moving, is</w:t>
      </w:r>
      <w:r w:rsidR="00126B51">
        <w:t xml:space="preserve"> vital </w:t>
      </w:r>
      <w:r w:rsidR="0030197D">
        <w:t>for</w:t>
      </w:r>
      <w:r w:rsidR="00126B51">
        <w:t xml:space="preserve"> </w:t>
      </w:r>
      <w:r w:rsidR="00586F2B">
        <w:t xml:space="preserve">identifying the </w:t>
      </w:r>
      <w:r w:rsidR="007E0362">
        <w:t xml:space="preserve">future needs </w:t>
      </w:r>
      <w:r w:rsidR="0030197D">
        <w:t>of</w:t>
      </w:r>
      <w:r w:rsidR="00126B51">
        <w:t xml:space="preserve"> </w:t>
      </w:r>
      <w:r w:rsidR="007E0362">
        <w:t>different stakeholders</w:t>
      </w:r>
      <w:r w:rsidR="0030197D">
        <w:t xml:space="preserve"> </w:t>
      </w:r>
      <w:r w:rsidR="00314EBC">
        <w:t>and for</w:t>
      </w:r>
      <w:r w:rsidR="0030197D">
        <w:t xml:space="preserve"> defining</w:t>
      </w:r>
      <w:r w:rsidR="00586F2B">
        <w:t xml:space="preserve"> the</w:t>
      </w:r>
      <w:r w:rsidR="0030197D">
        <w:t xml:space="preserve"> next steps on a global level.</w:t>
      </w:r>
    </w:p>
    <w:p w14:paraId="5DDB02A0" w14:textId="1B6F7B2E" w:rsidR="00093D7E" w:rsidRDefault="00093D7E" w:rsidP="00863B14">
      <w:pPr>
        <w:spacing w:line="480" w:lineRule="auto"/>
      </w:pPr>
      <w:r>
        <w:br w:type="page"/>
      </w:r>
    </w:p>
    <w:p w14:paraId="7EFCCA84" w14:textId="307E0146" w:rsidR="007E0362" w:rsidRDefault="00CD7AE4" w:rsidP="00863B14">
      <w:pPr>
        <w:spacing w:before="240" w:line="480" w:lineRule="auto"/>
      </w:pPr>
      <w:r>
        <w:rPr>
          <w:noProof/>
        </w:rPr>
        <w:lastRenderedPageBreak/>
        <w:drawing>
          <wp:anchor distT="0" distB="0" distL="114300" distR="114300" simplePos="0" relativeHeight="251657728" behindDoc="0" locked="0" layoutInCell="1" allowOverlap="1" wp14:anchorId="4F15F574" wp14:editId="33075442">
            <wp:simplePos x="0" y="0"/>
            <wp:positionH relativeFrom="column">
              <wp:posOffset>2967355</wp:posOffset>
            </wp:positionH>
            <wp:positionV relativeFrom="page">
              <wp:posOffset>1209040</wp:posOffset>
            </wp:positionV>
            <wp:extent cx="3818255" cy="8322310"/>
            <wp:effectExtent l="0" t="0" r="10795" b="2540"/>
            <wp:wrapSquare wrapText="bothSides"/>
            <wp:docPr id="3" name="Chart 3">
              <a:extLst xmlns:a="http://schemas.openxmlformats.org/drawingml/2006/main">
                <a:ext uri="{FF2B5EF4-FFF2-40B4-BE49-F238E27FC236}">
                  <a16:creationId xmlns:a16="http://schemas.microsoft.com/office/drawing/2014/main" id="{4BE01BD5-D85C-42F9-B7ED-5BF019C6D5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6704" behindDoc="0" locked="0" layoutInCell="1" allowOverlap="1" wp14:anchorId="6F689B4B" wp14:editId="70AEB29B">
            <wp:simplePos x="0" y="0"/>
            <wp:positionH relativeFrom="column">
              <wp:posOffset>-756920</wp:posOffset>
            </wp:positionH>
            <wp:positionV relativeFrom="page">
              <wp:posOffset>1200150</wp:posOffset>
            </wp:positionV>
            <wp:extent cx="4029710" cy="8331200"/>
            <wp:effectExtent l="0" t="0" r="8890" b="12700"/>
            <wp:wrapSquare wrapText="bothSides"/>
            <wp:docPr id="2" name="Chart 2">
              <a:extLst xmlns:a="http://schemas.openxmlformats.org/drawingml/2006/main">
                <a:ext uri="{FF2B5EF4-FFF2-40B4-BE49-F238E27FC236}">
                  <a16:creationId xmlns:a16="http://schemas.microsoft.com/office/drawing/2014/main" id="{2A95A716-E60F-4875-8A24-AF39A7E556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Pr>
          <w:noProof/>
          <w:lang w:val="de-DE" w:eastAsia="de-DE"/>
        </w:rPr>
        <mc:AlternateContent>
          <mc:Choice Requires="wps">
            <w:drawing>
              <wp:anchor distT="0" distB="0" distL="114300" distR="114300" simplePos="0" relativeHeight="251655680" behindDoc="0" locked="0" layoutInCell="1" allowOverlap="1" wp14:anchorId="45BB0742" wp14:editId="757CB3DE">
                <wp:simplePos x="0" y="0"/>
                <wp:positionH relativeFrom="column">
                  <wp:posOffset>-680720</wp:posOffset>
                </wp:positionH>
                <wp:positionV relativeFrom="page">
                  <wp:posOffset>142875</wp:posOffset>
                </wp:positionV>
                <wp:extent cx="7368540" cy="1117600"/>
                <wp:effectExtent l="0" t="0" r="3810" b="6350"/>
                <wp:wrapNone/>
                <wp:docPr id="11" name="Text Box 11"/>
                <wp:cNvGraphicFramePr/>
                <a:graphic xmlns:a="http://schemas.openxmlformats.org/drawingml/2006/main">
                  <a:graphicData uri="http://schemas.microsoft.com/office/word/2010/wordprocessingShape">
                    <wps:wsp>
                      <wps:cNvSpPr txBox="1"/>
                      <wps:spPr>
                        <a:xfrm>
                          <a:off x="0" y="0"/>
                          <a:ext cx="7368540" cy="1117600"/>
                        </a:xfrm>
                        <a:prstGeom prst="rect">
                          <a:avLst/>
                        </a:prstGeom>
                        <a:solidFill>
                          <a:prstClr val="white"/>
                        </a:solidFill>
                        <a:ln>
                          <a:noFill/>
                        </a:ln>
                      </wps:spPr>
                      <wps:txbx>
                        <w:txbxContent>
                          <w:p w14:paraId="3600A62B" w14:textId="63BE1E77" w:rsidR="00461423" w:rsidRDefault="00461423" w:rsidP="00093D7E">
                            <w:pPr>
                              <w:pStyle w:val="Caption"/>
                            </w:pPr>
                            <w:bookmarkStart w:id="21" w:name="_Ref4494126"/>
                            <w:r>
                              <w:t xml:space="preserve">Figure </w:t>
                            </w:r>
                            <w:r>
                              <w:rPr>
                                <w:i w:val="0"/>
                                <w:iCs w:val="0"/>
                                <w:noProof/>
                              </w:rPr>
                              <w:fldChar w:fldCharType="begin"/>
                            </w:r>
                            <w:r>
                              <w:rPr>
                                <w:noProof/>
                              </w:rPr>
                              <w:instrText xml:space="preserve"> SEQ Figure \* ARABIC </w:instrText>
                            </w:r>
                            <w:r>
                              <w:rPr>
                                <w:i w:val="0"/>
                                <w:iCs w:val="0"/>
                                <w:noProof/>
                              </w:rPr>
                              <w:fldChar w:fldCharType="separate"/>
                            </w:r>
                            <w:r>
                              <w:rPr>
                                <w:noProof/>
                              </w:rPr>
                              <w:t>1</w:t>
                            </w:r>
                            <w:r>
                              <w:rPr>
                                <w:i w:val="0"/>
                                <w:iCs w:val="0"/>
                                <w:noProof/>
                              </w:rPr>
                              <w:fldChar w:fldCharType="end"/>
                            </w:r>
                            <w:bookmarkEnd w:id="21"/>
                            <w:r>
                              <w:t xml:space="preserve"> Frequency of appearance in criticality assessments and criticality determination (high, medium, or low) of materials. Included methods (see </w:t>
                            </w:r>
                            <w:r>
                              <w:rPr>
                                <w:i w:val="0"/>
                                <w:iCs w:val="0"/>
                              </w:rPr>
                              <w:fldChar w:fldCharType="begin"/>
                            </w:r>
                            <w:r>
                              <w:instrText xml:space="preserve"> REF _Ref8405448 \h </w:instrText>
                            </w:r>
                            <w:r>
                              <w:rPr>
                                <w:i w:val="0"/>
                                <w:iCs w:val="0"/>
                              </w:rPr>
                            </w:r>
                            <w:r>
                              <w:rPr>
                                <w:i w:val="0"/>
                                <w:iCs w:val="0"/>
                              </w:rPr>
                              <w:fldChar w:fldCharType="separate"/>
                            </w:r>
                            <w:r w:rsidRPr="00AE56AD">
                              <w:rPr>
                                <w:i w:val="0"/>
                                <w:iCs w:val="0"/>
                              </w:rPr>
                              <w:t xml:space="preserve">Table </w:t>
                            </w:r>
                            <w:r w:rsidRPr="00AE56AD">
                              <w:rPr>
                                <w:i w:val="0"/>
                                <w:iCs w:val="0"/>
                                <w:noProof/>
                              </w:rPr>
                              <w:t>1</w:t>
                            </w:r>
                            <w:r>
                              <w:rPr>
                                <w:i w:val="0"/>
                                <w:iCs w:val="0"/>
                              </w:rPr>
                              <w:fldChar w:fldCharType="end"/>
                            </w:r>
                            <w:r>
                              <w:t xml:space="preserve">): NRC, Yale (global and country risk, only the supply risk axis), NSTC (2016 and 2018), EU (2011, 2014, and 2017), Helbig (2016 and 2018), Augsburg, KIRAM/KITECH, NEDO, BRGM, Werner, General Electric, iCIRCE, NIES, GeoPolRisk, SCARCE, Oakdene Hollins, Thomason, Rosenau-Tornow, Öko-Institut, Roelich, SDU, China, BGS (2011, 2012, and 2015), OECD, US DOE (both short term and medium term for 2010 and 2011), Moss (2011 and 2013). Excluded methods are BIRD, VDI and UBA (no results), Granta Design, ESSENZ and EBP/Empa (unaggregated results and/or company-specific), Angerer (no materials identified as critical). Multi-stage analyses and multiple forms of the same material are merged (only bottleneck is included), to avoid double counting of appearances. See SI-B for details on material inclusion and evaluation of methods. </w:t>
                            </w:r>
                          </w:p>
                          <w:p w14:paraId="2BA2AE8B" w14:textId="29CE873B" w:rsidR="00461423" w:rsidRPr="00723316" w:rsidRDefault="00461423">
                            <w:pPr>
                              <w:rPr>
                                <w:highlight w:val="yellow"/>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BB0742" id="_x0000_t202" coordsize="21600,21600" o:spt="202" path="m,l,21600r21600,l21600,xe">
                <v:stroke joinstyle="miter"/>
                <v:path gradientshapeok="t" o:connecttype="rect"/>
              </v:shapetype>
              <v:shape id="Text Box 11" o:spid="_x0000_s1026" type="#_x0000_t202" style="position:absolute;margin-left:-53.6pt;margin-top:11.25pt;width:580.2pt;height:8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0jMAIAAGMEAAAOAAAAZHJzL2Uyb0RvYy54bWysVMFu2zAMvQ/YPwi6L066LS2COEWWIsOA&#10;oi2QDD0rshwLkEVNUmJnX78nO067bqdhF5kiKYrvPcrz27Y27Kh80GRzPhmNOVNWUqHtPufft+sP&#10;N5yFKGwhDFmV85MK/Hbx/t28cTN1RRWZQnmGIjbMGpfzKkY3y7IgK1WLMCKnLIIl+VpEbP0+K7xo&#10;UL022dV4PM0a8oXzJFUI8N71Qb7o6pelkvGxLIOKzOQcvcVu9d26S2u2mIvZ3gtXaXluQ/xDF7XQ&#10;FpdeSt2JKNjB6z9K1Vp6ClTGkaQ6o7LUUnUYgGYyfoNmUwmnOiwgJ7gLTeH/lZUPxyfPdAHtJpxZ&#10;UUOjrWoj+0Itgwv8NC7MkLZxSIwt/Mgd/AHOBLstfZ2+AMQQB9OnC7upmoTz+uP05vMnhCRik8nk&#10;ejru+M9ejjsf4ldFNUtGzj3k61gVx/sQ0QpSh5R0WyCji7U2Jm1SYGU8OwpI3VQ6qtQkTvyWZWzK&#10;tZRO9eHkyRLGHkuyYrtrz8B3VJyA21M/OcHJtcZF9yLEJ+ExKsCD8Y+PWEpDTc7pbHFWkf/5N3/K&#10;h4KIctZg9HIefhyEV5yZbxbapjkdDD8Yu8Gwh3pFgAi50E1n4oCPZjBLT/UzXsUy3YKQsBJ35TwO&#10;5ir2DwCvSqrlskvCNDoR7+3GyVR6IHTbPgvvznJEKPlAw1CK2RtV+tye3uUhUqk7yRKhPYtnnjHJ&#10;nS7nV5eeyut9l/Xyb1j8AgAA//8DAFBLAwQUAAYACAAAACEA0DcNp+EAAAAMAQAADwAAAGRycy9k&#10;b3ducmV2LnhtbEyPPW/CMBCG90r9D9ZV6lKBjatQCHFQC+1GByhiNvE1iRqfo9gh4d/XTO12H4/e&#10;ey5bj7ZhF+x87UjBbCqAIRXO1FQqOH59TBbAfNBkdOMIFVzRwzq/v8t0atxAe7wcQsliCPlUK6hC&#10;aFPOfVGh1X7qWqS4+3ad1SG2XclNp4cYbhsuhZhzq2uKFyrd4qbC4ufQWwXzbdcPe9o8bY/vO/3Z&#10;lvL0dj0p9fgwvq6ABRzDHww3/agOeXQ6u56MZ42CyUy8yMgqkDIBdiNE8hwn51gtFwnwPOP/n8h/&#10;AQAA//8DAFBLAQItABQABgAIAAAAIQC2gziS/gAAAOEBAAATAAAAAAAAAAAAAAAAAAAAAABbQ29u&#10;dGVudF9UeXBlc10ueG1sUEsBAi0AFAAGAAgAAAAhADj9If/WAAAAlAEAAAsAAAAAAAAAAAAAAAAA&#10;LwEAAF9yZWxzLy5yZWxzUEsBAi0AFAAGAAgAAAAhAFf4bSMwAgAAYwQAAA4AAAAAAAAAAAAAAAAA&#10;LgIAAGRycy9lMm9Eb2MueG1sUEsBAi0AFAAGAAgAAAAhANA3DafhAAAADAEAAA8AAAAAAAAAAAAA&#10;AAAAigQAAGRycy9kb3ducmV2LnhtbFBLBQYAAAAABAAEAPMAAACYBQAAAAA=&#10;" stroked="f">
                <v:textbox inset="0,0,0,0">
                  <w:txbxContent>
                    <w:p w14:paraId="3600A62B" w14:textId="63BE1E77" w:rsidR="00461423" w:rsidRDefault="00461423" w:rsidP="00093D7E">
                      <w:pPr>
                        <w:pStyle w:val="Caption"/>
                      </w:pPr>
                      <w:bookmarkStart w:id="22" w:name="_Ref4494126"/>
                      <w:r>
                        <w:t xml:space="preserve">Figure </w:t>
                      </w:r>
                      <w:r>
                        <w:rPr>
                          <w:i w:val="0"/>
                          <w:iCs w:val="0"/>
                          <w:noProof/>
                        </w:rPr>
                        <w:fldChar w:fldCharType="begin"/>
                      </w:r>
                      <w:r>
                        <w:rPr>
                          <w:noProof/>
                        </w:rPr>
                        <w:instrText xml:space="preserve"> SEQ Figure \* ARABIC </w:instrText>
                      </w:r>
                      <w:r>
                        <w:rPr>
                          <w:i w:val="0"/>
                          <w:iCs w:val="0"/>
                          <w:noProof/>
                        </w:rPr>
                        <w:fldChar w:fldCharType="separate"/>
                      </w:r>
                      <w:r>
                        <w:rPr>
                          <w:noProof/>
                        </w:rPr>
                        <w:t>1</w:t>
                      </w:r>
                      <w:r>
                        <w:rPr>
                          <w:i w:val="0"/>
                          <w:iCs w:val="0"/>
                          <w:noProof/>
                        </w:rPr>
                        <w:fldChar w:fldCharType="end"/>
                      </w:r>
                      <w:bookmarkEnd w:id="22"/>
                      <w:r>
                        <w:t xml:space="preserve"> Frequency of appearance in criticality assessments and criticality determination (high, medium, or low) of materials. Included methods (see </w:t>
                      </w:r>
                      <w:r>
                        <w:rPr>
                          <w:i w:val="0"/>
                          <w:iCs w:val="0"/>
                        </w:rPr>
                        <w:fldChar w:fldCharType="begin"/>
                      </w:r>
                      <w:r>
                        <w:instrText xml:space="preserve"> REF _Ref8405448 \h </w:instrText>
                      </w:r>
                      <w:r>
                        <w:rPr>
                          <w:i w:val="0"/>
                          <w:iCs w:val="0"/>
                        </w:rPr>
                      </w:r>
                      <w:r>
                        <w:rPr>
                          <w:i w:val="0"/>
                          <w:iCs w:val="0"/>
                        </w:rPr>
                        <w:fldChar w:fldCharType="separate"/>
                      </w:r>
                      <w:r w:rsidRPr="00AE56AD">
                        <w:rPr>
                          <w:i w:val="0"/>
                          <w:iCs w:val="0"/>
                        </w:rPr>
                        <w:t xml:space="preserve">Table </w:t>
                      </w:r>
                      <w:r w:rsidRPr="00AE56AD">
                        <w:rPr>
                          <w:i w:val="0"/>
                          <w:iCs w:val="0"/>
                          <w:noProof/>
                        </w:rPr>
                        <w:t>1</w:t>
                      </w:r>
                      <w:r>
                        <w:rPr>
                          <w:i w:val="0"/>
                          <w:iCs w:val="0"/>
                        </w:rPr>
                        <w:fldChar w:fldCharType="end"/>
                      </w:r>
                      <w:r>
                        <w:t xml:space="preserve">): NRC, Yale (global and country risk, only the supply risk axis), NSTC (2016 and 2018), EU (2011, 2014, and 2017), </w:t>
                      </w:r>
                      <w:proofErr w:type="spellStart"/>
                      <w:r>
                        <w:t>Helbig</w:t>
                      </w:r>
                      <w:proofErr w:type="spellEnd"/>
                      <w:r>
                        <w:t xml:space="preserve"> (2016 and 2018), Augsburg, KIRAM/KITECH, NEDO, BRGM, Werner, General Electric, </w:t>
                      </w:r>
                      <w:proofErr w:type="spellStart"/>
                      <w:r>
                        <w:t>iCIRCE</w:t>
                      </w:r>
                      <w:proofErr w:type="spellEnd"/>
                      <w:r>
                        <w:t xml:space="preserve">, NIES, </w:t>
                      </w:r>
                      <w:proofErr w:type="spellStart"/>
                      <w:r>
                        <w:t>GeoPolRisk</w:t>
                      </w:r>
                      <w:proofErr w:type="spellEnd"/>
                      <w:r>
                        <w:t xml:space="preserve">, SCARCE, </w:t>
                      </w:r>
                      <w:proofErr w:type="spellStart"/>
                      <w:r>
                        <w:t>Oakdene</w:t>
                      </w:r>
                      <w:proofErr w:type="spellEnd"/>
                      <w:r>
                        <w:t xml:space="preserve"> Hollins, Thomason, Rosenau-</w:t>
                      </w:r>
                      <w:proofErr w:type="spellStart"/>
                      <w:r>
                        <w:t>Tornow</w:t>
                      </w:r>
                      <w:proofErr w:type="spellEnd"/>
                      <w:r>
                        <w:t xml:space="preserve">, </w:t>
                      </w:r>
                      <w:proofErr w:type="spellStart"/>
                      <w:r>
                        <w:t>Öko-Institut</w:t>
                      </w:r>
                      <w:proofErr w:type="spellEnd"/>
                      <w:r>
                        <w:t xml:space="preserve">, </w:t>
                      </w:r>
                      <w:proofErr w:type="spellStart"/>
                      <w:r>
                        <w:t>Roelich</w:t>
                      </w:r>
                      <w:proofErr w:type="spellEnd"/>
                      <w:r>
                        <w:t xml:space="preserve">, SDU, China, BGS (2011, 2012, and 2015), OECD, US DOE (both short term and medium term for 2010 and 2011), Moss (2011 and 2013). Excluded methods are BIRD, VDI and UBA (no results), </w:t>
                      </w:r>
                      <w:proofErr w:type="spellStart"/>
                      <w:r>
                        <w:t>Granta</w:t>
                      </w:r>
                      <w:proofErr w:type="spellEnd"/>
                      <w:r>
                        <w:t xml:space="preserve"> Design, ESSENZ and EBP/</w:t>
                      </w:r>
                      <w:proofErr w:type="spellStart"/>
                      <w:r>
                        <w:t>Empa</w:t>
                      </w:r>
                      <w:proofErr w:type="spellEnd"/>
                      <w:r>
                        <w:t xml:space="preserve"> (unaggregated results and/or company-specific), </w:t>
                      </w:r>
                      <w:proofErr w:type="spellStart"/>
                      <w:r>
                        <w:t>Angerer</w:t>
                      </w:r>
                      <w:proofErr w:type="spellEnd"/>
                      <w:r>
                        <w:t xml:space="preserve"> (no materials identified as critical). Multi-stage analyses and multiple forms of the same material are merged (only bottleneck is included), to avoid double counting of appearances. See SI-B for details on material inclusion and evaluation of methods. </w:t>
                      </w:r>
                    </w:p>
                    <w:p w14:paraId="2BA2AE8B" w14:textId="29CE873B" w:rsidR="00461423" w:rsidRPr="00723316" w:rsidRDefault="00461423">
                      <w:pPr>
                        <w:rPr>
                          <w:highlight w:val="yellow"/>
                        </w:rPr>
                      </w:pPr>
                    </w:p>
                  </w:txbxContent>
                </v:textbox>
                <w10:wrap anchory="page"/>
              </v:shape>
            </w:pict>
          </mc:Fallback>
        </mc:AlternateContent>
      </w:r>
    </w:p>
    <w:p w14:paraId="33F50D96" w14:textId="29C1B0DE" w:rsidR="00D71C7B" w:rsidRPr="00157CB5" w:rsidRDefault="00D71C7B" w:rsidP="00863B14">
      <w:pPr>
        <w:pStyle w:val="Heading2"/>
        <w:numPr>
          <w:ilvl w:val="0"/>
          <w:numId w:val="2"/>
        </w:numPr>
        <w:spacing w:line="480" w:lineRule="auto"/>
      </w:pPr>
      <w:bookmarkStart w:id="22" w:name="_Toc415758571"/>
      <w:bookmarkStart w:id="23" w:name="_Toc10458655"/>
      <w:bookmarkStart w:id="24" w:name="_Toc19016227"/>
      <w:r w:rsidRPr="00157CB5">
        <w:lastRenderedPageBreak/>
        <w:t>Methods</w:t>
      </w:r>
      <w:bookmarkEnd w:id="22"/>
      <w:bookmarkEnd w:id="23"/>
      <w:bookmarkEnd w:id="24"/>
      <w:r w:rsidR="00BE0CF1" w:rsidRPr="00157CB5">
        <w:t xml:space="preserve"> </w:t>
      </w:r>
    </w:p>
    <w:p w14:paraId="653FF110" w14:textId="396BA982" w:rsidR="001E20ED" w:rsidRDefault="00503EC3" w:rsidP="00863B14">
      <w:pPr>
        <w:spacing w:line="480" w:lineRule="auto"/>
        <w:jc w:val="both"/>
      </w:pPr>
      <w:r w:rsidRPr="00910DBC">
        <w:t xml:space="preserve">The following approach has been applied to identify the </w:t>
      </w:r>
      <w:r w:rsidR="00E31413" w:rsidRPr="00910DBC">
        <w:t xml:space="preserve">underlying </w:t>
      </w:r>
      <w:r w:rsidR="00C80243">
        <w:t>relationships between</w:t>
      </w:r>
      <w:r w:rsidR="00E31413" w:rsidRPr="00910DBC">
        <w:t xml:space="preserve"> stakeholder perspectives, methodological choices, and the outcomes of criticality assessments</w:t>
      </w:r>
      <w:r w:rsidR="00461C77" w:rsidRPr="00910DBC">
        <w:t xml:space="preserve">: </w:t>
      </w:r>
      <w:r w:rsidR="00586F2B">
        <w:t>firstly</w:t>
      </w:r>
      <w:r w:rsidR="00E05772" w:rsidRPr="00910DBC">
        <w:t>, a</w:t>
      </w:r>
      <w:r w:rsidR="007E0362" w:rsidRPr="00910DBC">
        <w:t xml:space="preserve"> comprehensive overview of the available literature on criticality </w:t>
      </w:r>
      <w:r w:rsidR="001F13FA" w:rsidRPr="00910DBC">
        <w:t xml:space="preserve">has been </w:t>
      </w:r>
      <w:r w:rsidR="00586F2B">
        <w:t>conducted</w:t>
      </w:r>
      <w:r w:rsidR="00586F2B" w:rsidRPr="00910DBC">
        <w:t xml:space="preserve"> </w:t>
      </w:r>
      <w:r w:rsidR="007E0362" w:rsidRPr="00910DBC">
        <w:t xml:space="preserve">in the form of a </w:t>
      </w:r>
      <w:r w:rsidR="00020F17" w:rsidRPr="00910DBC">
        <w:t>“</w:t>
      </w:r>
      <w:r w:rsidR="007E0362" w:rsidRPr="00910DBC">
        <w:t xml:space="preserve">Criticality </w:t>
      </w:r>
      <w:r w:rsidR="00EC5BB8" w:rsidRPr="00910DBC">
        <w:t>Library</w:t>
      </w:r>
      <w:r w:rsidR="00020F17" w:rsidRPr="00910DBC">
        <w:t>”</w:t>
      </w:r>
      <w:r w:rsidR="00EC5BB8" w:rsidRPr="00910DBC">
        <w:t xml:space="preserve"> </w:t>
      </w:r>
      <w:r w:rsidR="007E0362" w:rsidRPr="00910DBC">
        <w:t>(see Supplementary Information</w:t>
      </w:r>
      <w:r w:rsidR="00377952">
        <w:t xml:space="preserve"> A</w:t>
      </w:r>
      <w:r w:rsidR="007E0362" w:rsidRPr="00910DBC">
        <w:t xml:space="preserve"> (SI</w:t>
      </w:r>
      <w:r w:rsidR="00664BF2">
        <w:t>-A</w:t>
      </w:r>
      <w:r w:rsidR="007E0362" w:rsidRPr="00910DBC">
        <w:t xml:space="preserve">)). </w:t>
      </w:r>
      <w:r w:rsidR="00432242" w:rsidRPr="00910DBC">
        <w:t>Thereafter, m</w:t>
      </w:r>
      <w:r w:rsidR="00B34712" w:rsidRPr="00910DBC">
        <w:t xml:space="preserve">ethods have been selected for review based on the aim </w:t>
      </w:r>
      <w:r w:rsidR="00137441">
        <w:t>of providing</w:t>
      </w:r>
      <w:r w:rsidR="00B34712" w:rsidRPr="00910DBC">
        <w:t xml:space="preserve"> a broad overview of early and more recent method development</w:t>
      </w:r>
      <w:r w:rsidR="00586F2B">
        <w:t>s</w:t>
      </w:r>
      <w:r w:rsidR="00B34712" w:rsidRPr="00910DBC">
        <w:t xml:space="preserve">, broad geographical coverage, and the inclusion of diverse scopes and stakeholders. </w:t>
      </w:r>
      <w:r w:rsidR="007E0362" w:rsidRPr="00910DBC">
        <w:t xml:space="preserve">Following the approach of previous review studies </w:t>
      </w:r>
      <w:r w:rsidR="007E0362" w:rsidRPr="00910DBC">
        <w:fldChar w:fldCharType="begin" w:fldLock="1"/>
      </w:r>
      <w:r w:rsidR="006E33F2">
        <w:instrText>ADDIN CSL_CITATION {"citationItems":[{"id":"ITEM-1","itemData":{"DOI":"10.1021/es200563g","ISBN":"0013-936X","ISSN":"0013936X","PMID":"21834560","abstract":"The criticality of nonfuel minerals is an emerging research subject that captures both the supply risks and the vulnerability of a system to a potential supply disruption. The significance of material criticality for the mass deployment of sustainable and other key technologies is currently obscured by diverse, often immature, and still evolving methodologies. This review explores why principal studies agree or disagree in designating the criticality of certain nonfuel minerals. We survey the literature and analyze several well documented studies in depth, demonstrating that the platinum group metals (e.g., essential for catalytic reduction of air pollutants), and the rare earth elements (e.g., essential for efficient electricity generation in wind turbines) are frequently singled out as critical, albeit by differing criteria. We also discuss the impacts of methodological choices on the designation of raw materials as critical. The treatment of substitutability, time horizons, and the aggregation level of criticality indicators are shown to be significant in this regard. We determine several important issues that have thus far been largely disregarded, especially the justification of methodological components, and policy responses to criticality designation.","author":[{"dropping-particle":"","family":"Erdmann","given":"Lorenz","non-dropping-particle":"","parse-names":false,"suffix":""},{"dropping-particle":"","family":"Graedel","given":"Thomas E.","non-dropping-particle":"","parse-names":false,"suffix":""}],"container-title":"Environmental Science and Technology","id":"ITEM-1","issue":"18","issued":{"date-parts":[["2011"]]},"page":"7620-7630","title":"Criticality of non-fuel minerals: A review of major approaches and analyses","type":"article-journal","volume":"45"},"uris":["http://www.mendeley.com/documents/?uuid=ea49267d-627e-45b6-b5e1-18597454bf2d"]},{"id":"ITEM-2","itemData":{"DOI":"10.1016/j.resourpol.2013.06.003","ISBN":"0301-4207","ISSN":"03014207","abstract":"Some strategic raw materials do have an extremely unsecure supply situation. Several working groups around the world have made criticality assessments for metallic raw materials to analyze the driving impact factors for this instability. However, the influences on raw material availability are manifold and therefore criticality assessment methods are very heterogeneous. Here we give an overview about the differences and similarities of supply risk evaluation in 15 criticality assessment methods. We take the example of Indium, which has been rated in 60% of these criticality studies, and show which data base is used for supply risk evaluation. Our results show a lack of consensus about which indicators give reliable information for raw material supply risk and how these indicators should be aggregated. We anticipate our essay to be a starting point for more justified indicator selection and weighting in criticality assessments. © 2013 Elsevier Ltd.","author":[{"dropping-particle":"","family":"Achzet","given":"Benjamin","non-dropping-particle":"","parse-names":false,"suffix":""},{"dropping-particle":"","family":"Helbig","given":"Christoph","non-dropping-particle":"","parse-names":false,"suffix":""}],"container-title":"Resources Policy","id":"ITEM-2","issue":"4","issued":{"date-parts":[["2013"]]},"page":"435-447","publisher":"Elsevier","title":"How to evaluate raw material supply risks-an overview","type":"article-journal","volume":"38"},"uris":["http://www.mendeley.com/documents/?uuid=a1d30f5b-28e2-486a-b33f-561bd8cec6af"]},{"id":"ITEM-3","itemData":{"DOI":"10.1111/jiec.12305","ISSN":"15309290","abstract":"The \" criticality \" of the various elements used in modern technologies is a topic of increasing interest, with groups from governments, consultancies, and academic institutions developing a variety of methodologies and using them to make assessments. Other groups from similar organizations are studying the methodologies that generate these assessments. Here, we analyze the different types of studies, review issues of methodology, and comment on features of nine different studies published between 2008 and mid-2014. From these studies, we derive lists of problematic, debatable, and desirable aspects of criticality studies. We emphasize that the criticality of an element can vary depending on the target organization and that, because criticality is a dynamic state, it must be periodically re-evaluated. There is substantial value to be derived if a more uniform methodology could be developed. We discuss how a harmonized methodological framework might be achieved and what its benefits could be. Putting into place such a structure for collaborative and publicly available criticality determinations would be very likely to better serve the present and future needs of corporations and governments than is the case at present, where different methodologies generate different results.","author":[{"dropping-particle":"","family":"Graedel","given":"T. E.","non-dropping-particle":"","parse-names":false,"suffix":""},{"dropping-particle":"","family":"Reck","given":"Barbara K.","non-dropping-particle":"","parse-names":false,"suffix":""}],"container-title":"Journal of Industrial Ecology","id":"ITEM-3","issue":"4","issued":{"date-parts":[["2015"]]},"page":"692-699","title":"Six Years of Criticality Assessments: What Have We Learned So Far?","type":"article-journal","volume":"20"},"uris":["http://www.mendeley.com/documents/?uuid=952a94cf-5315-4241-a23a-fce901d0faa1"]},{"id":"ITEM-4","itemData":{"DOI":"10.1016/j.jclepro.2015.07.064","ISSN":"09596526","abstract":"The recent debate on potential resource constraints for the broad scale implementation of clean energy technologies in future has led to wider concern across the board. This concern, among others, lies behind growing research in the field of so-called resource criticality. This study is a review of existing resource criticality assessment methodologies. It characterizes and analyses existing methods and identifies aspects of concern for the ability of assessment methods to provide proper guidance for strategy making in the field of energy system development. The validity of the identified concerns is, further, demonstrated by applying a case study of resource criticality assessment of the direct-drive wind turbines technology. Two key concerns are identified. The first is the need for a dynamic perspective on the supply risk dimension. This study reveals that the geological reserve estimates and geographical location of supply change significantly over time, implying that the static supply risk assessment provided by many methods gives misleading guidance. The second concern is the ability of methods to properly account for the vulnerability of the studied system to a supply disruption of the resource in question. Through the case study, the options for resource substitution are elaborated for wind turbines by applying a holistic design approach looking at all levels of design substitutions from the level of materials and components to subassemblies and whole-product concepts. This approach reveals that the dependence of substances like neodymium and dysprosium is not strong, and that they are not essential to the wider implementation of direct-drive wind turbines in general. This technology specific and product design based approach is new, and questions the ability of existing methods to properly address the impact that the risk of supply disruption of a given resource really has on the technological and economic development of a system or technology under study.","author":[{"dropping-particle":"","family":"Habib","given":"Komal","non-dropping-particle":"","parse-names":false,"suffix":""},{"dropping-particle":"","family":"Wenzel","given":"Henrik","non-dropping-particle":"","parse-names":false,"suffix":""}],"container-title":"Journal of Cleaner Production","id":"ITEM-4","issued":{"date-parts":[["2016"]]},"page":"3852-3863","publisher":"Elsevier Ltd","title":"Reviewing resource criticality assessment from a dynamic and technology specific perspective - Using the case of direct-drive wind turbines","type":"article-journal","volume":"112"},"uris":["http://www.mendeley.com/documents/?uuid=e6ac4a02-8390-4c38-94e7-864df53526dd"]}],"mendeley":{"formattedCitation":"(Achzet and Helbig, 2013; Erdmann and Graedel, 2011; Graedel and Reck, 2015; Habib and Wenzel, 2016)","plainTextFormattedCitation":"(Achzet and Helbig, 2013; Erdmann and Graedel, 2011; Graedel and Reck, 2015; Habib and Wenzel, 2016)","previouslyFormattedCitation":"(Achzet and Helbig, 2013; Erdmann and Graedel, 2011; Graedel and Reck, 2015; Habib and Wenzel, 2016)"},"properties":{"noteIndex":0},"schema":"https://github.com/citation-style-language/schema/raw/master/csl-citation.json"}</w:instrText>
      </w:r>
      <w:r w:rsidR="007E0362" w:rsidRPr="00910DBC">
        <w:fldChar w:fldCharType="separate"/>
      </w:r>
      <w:r w:rsidR="002B45EF" w:rsidRPr="002B45EF">
        <w:rPr>
          <w:noProof/>
        </w:rPr>
        <w:t>(Achzet and Helbig, 2013; Erdmann and Graedel, 2011; Graedel and Reck, 2015; Habib and Wenzel, 2016)</w:t>
      </w:r>
      <w:r w:rsidR="007E0362" w:rsidRPr="00910DBC">
        <w:fldChar w:fldCharType="end"/>
      </w:r>
      <w:r w:rsidR="007E0362" w:rsidRPr="00910DBC">
        <w:t xml:space="preserve">, </w:t>
      </w:r>
      <w:r w:rsidR="00C80243">
        <w:t>aspects</w:t>
      </w:r>
      <w:r w:rsidR="00C80243" w:rsidRPr="00910DBC">
        <w:t xml:space="preserve"> </w:t>
      </w:r>
      <w:r w:rsidR="007E0362" w:rsidRPr="00910DBC">
        <w:t>of the goal and scope and methodological</w:t>
      </w:r>
      <w:r w:rsidR="007E0362">
        <w:t xml:space="preserve"> choices </w:t>
      </w:r>
      <w:r w:rsidR="004B2BAD">
        <w:t>were</w:t>
      </w:r>
      <w:r w:rsidR="007E0362">
        <w:t xml:space="preserve"> collected and summarized </w:t>
      </w:r>
      <w:r w:rsidR="0077252A">
        <w:t>in a “Goal and Scope table”</w:t>
      </w:r>
      <w:r w:rsidR="00C80243">
        <w:t xml:space="preserve"> (SI-B)</w:t>
      </w:r>
      <w:r w:rsidR="00A9000A">
        <w:t xml:space="preserve">. </w:t>
      </w:r>
      <w:r w:rsidR="006256C0">
        <w:t>This table has</w:t>
      </w:r>
      <w:r w:rsidR="00137441">
        <w:t>,</w:t>
      </w:r>
      <w:r w:rsidR="006256C0">
        <w:t xml:space="preserve"> </w:t>
      </w:r>
      <w:r w:rsidR="00631AE9">
        <w:t xml:space="preserve">as </w:t>
      </w:r>
      <w:r w:rsidR="00137441">
        <w:t xml:space="preserve">far </w:t>
      </w:r>
      <w:r w:rsidR="00631AE9">
        <w:t>as possible</w:t>
      </w:r>
      <w:r w:rsidR="00137441">
        <w:t>,</w:t>
      </w:r>
      <w:r w:rsidR="00631AE9">
        <w:t xml:space="preserve"> been filled in and</w:t>
      </w:r>
      <w:r w:rsidR="00EE5CB1">
        <w:t xml:space="preserve">/or </w:t>
      </w:r>
      <w:r w:rsidR="00631AE9">
        <w:t>reviewed by the method developers</w:t>
      </w:r>
      <w:r w:rsidR="00586F2B">
        <w:t xml:space="preserve"> themselves</w:t>
      </w:r>
      <w:r w:rsidR="00631AE9">
        <w:t xml:space="preserve">. </w:t>
      </w:r>
      <w:r w:rsidR="001E20ED">
        <w:t xml:space="preserve">This is </w:t>
      </w:r>
      <w:r w:rsidR="00586F2B">
        <w:t>one of the</w:t>
      </w:r>
      <w:r w:rsidR="001E20ED">
        <w:t xml:space="preserve"> unique feature</w:t>
      </w:r>
      <w:r w:rsidR="00586F2B">
        <w:t>s</w:t>
      </w:r>
      <w:r w:rsidR="001E20ED">
        <w:t xml:space="preserve"> of the IRTC project: instead of one group discussing </w:t>
      </w:r>
      <w:r w:rsidR="00586F2B">
        <w:t>other</w:t>
      </w:r>
      <w:r w:rsidR="004D088B">
        <w:t>’</w:t>
      </w:r>
      <w:r w:rsidR="00586F2B">
        <w:t>s</w:t>
      </w:r>
      <w:r w:rsidR="001E20ED">
        <w:t xml:space="preserve"> work, the method developers themselves c</w:t>
      </w:r>
      <w:r w:rsidR="00586F2B">
        <w:t>a</w:t>
      </w:r>
      <w:r w:rsidR="001E20ED">
        <w:t xml:space="preserve">me to the table. </w:t>
      </w:r>
      <w:r w:rsidR="00586F2B">
        <w:t>IRTC</w:t>
      </w:r>
      <w:r w:rsidR="00B62FE1">
        <w:t xml:space="preserve"> contact</w:t>
      </w:r>
      <w:r w:rsidR="00586F2B">
        <w:t>ed</w:t>
      </w:r>
      <w:r w:rsidR="00B62FE1">
        <w:t xml:space="preserve"> as many method developers as possible in order to also integrate approaches that </w:t>
      </w:r>
      <w:r w:rsidR="00586F2B">
        <w:t xml:space="preserve">have </w:t>
      </w:r>
      <w:r w:rsidR="00B62FE1">
        <w:t xml:space="preserve">not </w:t>
      </w:r>
      <w:r w:rsidR="00586F2B">
        <w:t xml:space="preserve">been </w:t>
      </w:r>
      <w:r w:rsidR="00B62FE1">
        <w:t>discussed and reviewed in the literature before.</w:t>
      </w:r>
      <w:r w:rsidR="00B62FE1" w:rsidRPr="00E7237E">
        <w:rPr>
          <w:rStyle w:val="FootnoteReference"/>
        </w:rPr>
        <w:footnoteReference w:id="2"/>
      </w:r>
      <w:r w:rsidR="00B62FE1">
        <w:t xml:space="preserve"> </w:t>
      </w:r>
      <w:r w:rsidR="001E20ED">
        <w:t xml:space="preserve"> </w:t>
      </w:r>
      <w:r w:rsidR="006E42A4" w:rsidRPr="00461423">
        <w:rPr>
          <w:highlight w:val="yellow"/>
        </w:rPr>
        <w:t>Method de</w:t>
      </w:r>
      <w:r w:rsidR="00516A2F" w:rsidRPr="00461423">
        <w:rPr>
          <w:highlight w:val="yellow"/>
        </w:rPr>
        <w:t xml:space="preserve">velopers were contacted based </w:t>
      </w:r>
      <w:r w:rsidR="006E42A4" w:rsidRPr="00461423">
        <w:rPr>
          <w:highlight w:val="yellow"/>
        </w:rPr>
        <w:t xml:space="preserve">on </w:t>
      </w:r>
      <w:r w:rsidR="004F3780" w:rsidRPr="00461423">
        <w:rPr>
          <w:highlight w:val="yellow"/>
        </w:rPr>
        <w:t xml:space="preserve">references in the scientific literature, and on </w:t>
      </w:r>
      <w:r w:rsidR="006E42A4" w:rsidRPr="00461423">
        <w:rPr>
          <w:highlight w:val="yellow"/>
        </w:rPr>
        <w:t xml:space="preserve">the consortium representatives’ identification of relevant studies and authors in their country or field of work. The project consortium itself was formed by </w:t>
      </w:r>
      <w:r w:rsidR="00D40C5B" w:rsidRPr="00461423">
        <w:rPr>
          <w:highlight w:val="yellow"/>
        </w:rPr>
        <w:t>the</w:t>
      </w:r>
      <w:r w:rsidR="006E42A4" w:rsidRPr="00461423">
        <w:rPr>
          <w:highlight w:val="yellow"/>
        </w:rPr>
        <w:t xml:space="preserve"> authors of relevant criticality studies as identified by the scientific literature (in particular </w:t>
      </w:r>
      <w:proofErr w:type="spellStart"/>
      <w:r w:rsidR="006E42A4" w:rsidRPr="00461423">
        <w:rPr>
          <w:highlight w:val="yellow"/>
        </w:rPr>
        <w:t>Graedel</w:t>
      </w:r>
      <w:proofErr w:type="spellEnd"/>
      <w:r w:rsidR="006E42A4" w:rsidRPr="00461423">
        <w:rPr>
          <w:highlight w:val="yellow"/>
        </w:rPr>
        <w:t xml:space="preserve"> and </w:t>
      </w:r>
      <w:proofErr w:type="spellStart"/>
      <w:r w:rsidR="006E42A4" w:rsidRPr="00461423">
        <w:rPr>
          <w:highlight w:val="yellow"/>
        </w:rPr>
        <w:t>Reck</w:t>
      </w:r>
      <w:proofErr w:type="spellEnd"/>
      <w:r w:rsidR="006E42A4" w:rsidRPr="00461423">
        <w:rPr>
          <w:highlight w:val="yellow"/>
        </w:rPr>
        <w:t>, 2016)</w:t>
      </w:r>
      <w:r w:rsidR="00D40C5B" w:rsidRPr="00461423">
        <w:rPr>
          <w:highlight w:val="yellow"/>
        </w:rPr>
        <w:t>; f</w:t>
      </w:r>
      <w:r w:rsidR="006E42A4" w:rsidRPr="00461423">
        <w:rPr>
          <w:highlight w:val="yellow"/>
        </w:rPr>
        <w:t>urther members were included by recommendations of the members of th</w:t>
      </w:r>
      <w:r w:rsidR="00D40C5B" w:rsidRPr="00461423">
        <w:rPr>
          <w:highlight w:val="yellow"/>
        </w:rPr>
        <w:t>is</w:t>
      </w:r>
      <w:r w:rsidR="006E42A4" w:rsidRPr="00461423">
        <w:rPr>
          <w:highlight w:val="yellow"/>
        </w:rPr>
        <w:t xml:space="preserve"> initial core group. Advisory Board members representing relevant stakeholders </w:t>
      </w:r>
      <w:r w:rsidR="006E42A4" w:rsidRPr="00461423">
        <w:rPr>
          <w:highlight w:val="yellow"/>
        </w:rPr>
        <w:lastRenderedPageBreak/>
        <w:t xml:space="preserve">such as </w:t>
      </w:r>
      <w:r w:rsidR="00D40C5B" w:rsidRPr="00461423">
        <w:rPr>
          <w:highlight w:val="yellow"/>
        </w:rPr>
        <w:t xml:space="preserve">industry representatives and policy-makers </w:t>
      </w:r>
      <w:r w:rsidR="006E42A4" w:rsidRPr="00461423">
        <w:rPr>
          <w:highlight w:val="yellow"/>
        </w:rPr>
        <w:t xml:space="preserve">were </w:t>
      </w:r>
      <w:r w:rsidR="00D40C5B" w:rsidRPr="00461423">
        <w:rPr>
          <w:highlight w:val="yellow"/>
        </w:rPr>
        <w:t>added</w:t>
      </w:r>
      <w:r w:rsidR="006E42A4" w:rsidRPr="00461423">
        <w:rPr>
          <w:highlight w:val="yellow"/>
        </w:rPr>
        <w:t xml:space="preserve"> based on </w:t>
      </w:r>
      <w:r w:rsidR="00D40C5B" w:rsidRPr="00461423">
        <w:rPr>
          <w:highlight w:val="yellow"/>
        </w:rPr>
        <w:t>recommendations from the consortium and under consideration of country and stakeholder balance.</w:t>
      </w:r>
    </w:p>
    <w:p w14:paraId="69759CDA" w14:textId="4F21E74C" w:rsidR="00E813AC" w:rsidRDefault="0077252A" w:rsidP="00863B14">
      <w:pPr>
        <w:spacing w:line="480" w:lineRule="auto"/>
        <w:jc w:val="both"/>
      </w:pPr>
      <w:r>
        <w:t>From th</w:t>
      </w:r>
      <w:r w:rsidR="00140BFC">
        <w:t>e</w:t>
      </w:r>
      <w:r>
        <w:t xml:space="preserve"> “Goal and Scope table”, </w:t>
      </w:r>
      <w:r w:rsidR="007509BB" w:rsidRPr="00226F1A">
        <w:t xml:space="preserve">key differences </w:t>
      </w:r>
      <w:r w:rsidR="00586F2B">
        <w:t xml:space="preserve">were identified </w:t>
      </w:r>
      <w:r w:rsidR="00165DAD" w:rsidRPr="00226F1A">
        <w:t>between the assessment methods</w:t>
      </w:r>
      <w:r w:rsidRPr="00226F1A">
        <w:t xml:space="preserve">: </w:t>
      </w:r>
      <w:r w:rsidR="00586F2B">
        <w:t xml:space="preserve">this was done </w:t>
      </w:r>
      <w:r w:rsidRPr="00226F1A">
        <w:t>first by assessing the system under study (e.g. national</w:t>
      </w:r>
      <w:r>
        <w:t xml:space="preserve"> economy, company, </w:t>
      </w:r>
      <w:r w:rsidR="00905A64">
        <w:t xml:space="preserve">product, </w:t>
      </w:r>
      <w:r>
        <w:t>etc</w:t>
      </w:r>
      <w:r w:rsidR="0030197D">
        <w:t>.</w:t>
      </w:r>
      <w:r>
        <w:t xml:space="preserve">), and the </w:t>
      </w:r>
      <w:r w:rsidR="00165AD5">
        <w:t xml:space="preserve">related spatial boundaries and the </w:t>
      </w:r>
      <w:r>
        <w:t xml:space="preserve">time horizon. </w:t>
      </w:r>
      <w:r w:rsidR="004D088B">
        <w:t>Furthermore</w:t>
      </w:r>
      <w:r>
        <w:t xml:space="preserve">, </w:t>
      </w:r>
      <w:r w:rsidR="00586F2B">
        <w:t>IRTC narrowed</w:t>
      </w:r>
      <w:r>
        <w:t xml:space="preserve"> into the details of the study on the level of criticality dimensions</w:t>
      </w:r>
      <w:r w:rsidR="000954BE">
        <w:t xml:space="preserve"> (e.g. the probability of a supply disruption and the vulnerability to such a disruption)</w:t>
      </w:r>
      <w:r>
        <w:t>, factors</w:t>
      </w:r>
      <w:r w:rsidR="000954BE">
        <w:t xml:space="preserve"> (e.g. economic, geological, political, or environmental)</w:t>
      </w:r>
      <w:r>
        <w:t>, indicators</w:t>
      </w:r>
      <w:r w:rsidR="000954BE">
        <w:t xml:space="preserve"> (e.g. the country concentration of supply, depletion time, etc.)</w:t>
      </w:r>
      <w:r>
        <w:t>, and data sources</w:t>
      </w:r>
      <w:r w:rsidR="004D088B">
        <w:t xml:space="preserve"> used</w:t>
      </w:r>
      <w:r>
        <w:t xml:space="preserve">. </w:t>
      </w:r>
      <w:r w:rsidR="00586F2B">
        <w:t xml:space="preserve">The team </w:t>
      </w:r>
      <w:r w:rsidR="00D16FF7">
        <w:t>assess</w:t>
      </w:r>
      <w:r w:rsidR="00A32C56">
        <w:t>ed</w:t>
      </w:r>
      <w:r w:rsidR="00D16FF7">
        <w:t xml:space="preserve"> how the applied approaches assure</w:t>
      </w:r>
      <w:r w:rsidR="00A32C56">
        <w:t xml:space="preserve">d the use of reliable input data for the assessment and which role experts played in this. </w:t>
      </w:r>
      <w:r w:rsidR="008F117D">
        <w:t xml:space="preserve">Other methodological choices, such as aggregation methods and threshold values </w:t>
      </w:r>
      <w:r w:rsidR="00706789">
        <w:t xml:space="preserve">were also </w:t>
      </w:r>
      <w:r w:rsidR="00D928E7">
        <w:t>discussed</w:t>
      </w:r>
      <w:r w:rsidR="008F117D">
        <w:t>. Furthermore, the boundary conditions of the studies</w:t>
      </w:r>
      <w:r w:rsidR="00586F2B">
        <w:t xml:space="preserve"> were noted, </w:t>
      </w:r>
      <w:r w:rsidR="00D928E7">
        <w:t xml:space="preserve">such as the intended audience and the foreseen applications of the results, </w:t>
      </w:r>
      <w:r w:rsidR="00586F2B">
        <w:t>which may</w:t>
      </w:r>
      <w:r w:rsidR="008F117D">
        <w:t xml:space="preserve"> justify certain methodological choices</w:t>
      </w:r>
      <w:r w:rsidR="00D928E7">
        <w:t>.</w:t>
      </w:r>
      <w:r w:rsidR="008F117D">
        <w:t xml:space="preserve"> </w:t>
      </w:r>
    </w:p>
    <w:p w14:paraId="69CAA279" w14:textId="14564BBE" w:rsidR="008F117D" w:rsidRDefault="008F117D" w:rsidP="00863B14">
      <w:pPr>
        <w:spacing w:line="480" w:lineRule="auto"/>
        <w:jc w:val="both"/>
      </w:pPr>
      <w:r w:rsidDel="008C32D0">
        <w:t>In line with the observation</w:t>
      </w:r>
      <w:r w:rsidR="0030197D">
        <w:t>s</w:t>
      </w:r>
      <w:r w:rsidDel="008C32D0">
        <w:t xml:space="preserve"> of </w:t>
      </w:r>
      <w:r w:rsidR="00AF04B3" w:rsidDel="008C32D0">
        <w:fldChar w:fldCharType="begin" w:fldLock="1"/>
      </w:r>
      <w:r w:rsidR="00D35F6A">
        <w:instrText>ADDIN CSL_CITATION {"citationItems":[{"id":"ITEM-1","itemData":{"DOI":"10.1021/es200563g","ISBN":"0013-936X","ISSN":"0013936X","PMID":"21834560","abstract":"The criticality of nonfuel minerals is an emerging research subject that captures both the supply risks and the vulnerability of a system to a potential supply disruption. The significance of material criticality for the mass deployment of sustainable and other key technologies is currently obscured by diverse, often immature, and still evolving methodologies. This review explores why principal studies agree or disagree in designating the criticality of certain nonfuel minerals. We survey the literature and analyze several well documented studies in depth, demonstrating that the platinum group metals (e.g., essential for catalytic reduction of air pollutants), and the rare earth elements (e.g., essential for efficient electricity generation in wind turbines) are frequently singled out as critical, albeit by differing criteria. We also discuss the impacts of methodological choices on the designation of raw materials as critical. The treatment of substitutability, time horizons, and the aggregation level of criticality indicators are shown to be significant in this regard. We determine several important issues that have thus far been largely disregarded, especially the justification of methodological components, and policy responses to criticality designation.","author":[{"dropping-particle":"","family":"Erdmann","given":"Lorenz","non-dropping-particle":"","parse-names":false,"suffix":""},{"dropping-particle":"","family":"Graedel","given":"Thomas E.","non-dropping-particle":"","parse-names":false,"suffix":""}],"container-title":"Environmental Science and Technology","id":"ITEM-1","issue":"18","issued":{"date-parts":[["2011"]]},"page":"7620-7630","title":"Criticality of non-fuel minerals: A review of major approaches and analyses","type":"article-journal","volume":"45"},"uris":["http://www.mendeley.com/documents/?uuid=ea49267d-627e-45b6-b5e1-18597454bf2d"]}],"mendeley":{"formattedCitation":"(Erdmann and Graedel, 2011)","manualFormatting":"Erdmann and Graedel (2011)","plainTextFormattedCitation":"(Erdmann and Graedel, 2011)","previouslyFormattedCitation":"(Erdmann and Graedel, 2011)"},"properties":{"noteIndex":0},"schema":"https://github.com/citation-style-language/schema/raw/master/csl-citation.json"}</w:instrText>
      </w:r>
      <w:r w:rsidR="00AF04B3" w:rsidDel="008C32D0">
        <w:fldChar w:fldCharType="separate"/>
      </w:r>
      <w:r w:rsidR="00AF04B3" w:rsidRPr="00827D49">
        <w:rPr>
          <w:noProof/>
        </w:rPr>
        <w:t xml:space="preserve">Erdmann and Graedel </w:t>
      </w:r>
      <w:r w:rsidR="006451F6">
        <w:rPr>
          <w:noProof/>
        </w:rPr>
        <w:t>(</w:t>
      </w:r>
      <w:r w:rsidR="00AF04B3" w:rsidRPr="00827D49">
        <w:rPr>
          <w:noProof/>
        </w:rPr>
        <w:t>2011)</w:t>
      </w:r>
      <w:r w:rsidR="00AF04B3" w:rsidDel="008C32D0">
        <w:fldChar w:fldCharType="end"/>
      </w:r>
      <w:r w:rsidDel="008C32D0">
        <w:t xml:space="preserve">, several aspects of the goal and scope are </w:t>
      </w:r>
      <w:r w:rsidR="00586F2B">
        <w:t xml:space="preserve">often </w:t>
      </w:r>
      <w:r w:rsidDel="008C32D0">
        <w:t>not explicitly mentioned in the</w:t>
      </w:r>
      <w:r>
        <w:t xml:space="preserve"> evaluated</w:t>
      </w:r>
      <w:r w:rsidDel="008C32D0">
        <w:t xml:space="preserve"> studies, such as the time horizon, material selection criteria, and the intended use of the results. Furthermore, </w:t>
      </w:r>
      <w:r w:rsidR="0030197D">
        <w:t xml:space="preserve">as </w:t>
      </w:r>
      <w:r w:rsidDel="008C32D0">
        <w:fldChar w:fldCharType="begin" w:fldLock="1"/>
      </w:r>
      <w:r w:rsidR="00D35F6A">
        <w:instrText>ADDIN CSL_CITATION {"citationItems":[{"id":"ITEM-1","itemData":{"DOI":"10.1021/es200563g","ISBN":"0013-936X","ISSN":"0013936X","PMID":"21834560","abstract":"The criticality of nonfuel minerals is an emerging research subject that captures both the supply risks and the vulnerability of a system to a potential supply disruption. The significance of material criticality for the mass deployment of sustainable and other key technologies is currently obscured by diverse, often immature, and still evolving methodologies. This review explores why principal studies agree or disagree in designating the criticality of certain nonfuel minerals. We survey the literature and analyze several well documented studies in depth, demonstrating that the platinum group metals (e.g., essential for catalytic reduction of air pollutants), and the rare earth elements (e.g., essential for efficient electricity generation in wind turbines) are frequently singled out as critical, albeit by differing criteria. We also discuss the impacts of methodological choices on the designation of raw materials as critical. The treatment of substitutability, time horizons, and the aggregation level of criticality indicators are shown to be significant in this regard. We determine several important issues that have thus far been largely disregarded, especially the justification of methodological components, and policy responses to criticality designation.","author":[{"dropping-particle":"","family":"Erdmann","given":"Lorenz","non-dropping-particle":"","parse-names":false,"suffix":""},{"dropping-particle":"","family":"Graedel","given":"Thomas E.","non-dropping-particle":"","parse-names":false,"suffix":""}],"container-title":"Environmental Science and Technology","id":"ITEM-1","issue":"18","issued":{"date-parts":[["2011"]]},"page":"7620-7630","title":"Criticality of non-fuel minerals: A review of major approaches and analyses","type":"article-journal","volume":"45"},"uris":["http://www.mendeley.com/documents/?uuid=ea49267d-627e-45b6-b5e1-18597454bf2d"]},{"id":"ITEM-2","itemData":{"DOI":"10.1680/warm.12.00002","ISSN":"1747-6526","abstract":"This paper provides recommendations for assessing the criticality of materials (metals and non-fuel minerals), including the need for context-dependent assessment methods, providing a framework for conducting criticality assessments. Materials criticality captures concerns over the accessibility of materials, as the product of assessing a material’s ‘supply risk’ and the impact of a supply restriction. Through a review of selected studies, problems with criticality assessments are discussed, highlighting how these become particularly important when the results of assessments are used in decision making. Considering how the results of criticality assessments are used in decision making highlights how criticality exhibits some of the characteristics of a ‘complex context’. Building on predefined attributes of effective decision support in complex contexts, recommendations are made on how these problems can be addressed to better assess criticality in the future. These also include building on metric-based assessment methods by developing scenarios of future material supply and demand.","author":[{"dropping-particle":"","family":"Lloyd","given":"Stafford","non-dropping-particle":"","parse-names":false,"suffix":""},{"dropping-particle":"","family":"Lee","given":"Jacquetta","non-dropping-particle":"","parse-names":false,"suffix":""},{"dropping-particle":"","family":"Clifton","given":"Andrew","non-dropping-particle":"","parse-names":false,"suffix":""},{"dropping-particle":"","family":"Elghali","given":"Lucia","non-dropping-particle":"","parse-names":false,"suffix":""},{"dropping-particle":"","family":"France","given":"Chris","non-dropping-particle":"","parse-names":false,"suffix":""}],"container-title":"Proceedings of the Institution of Civil Engineers - Waste and Resource Management","id":"ITEM-2","issue":"4","issued":{"date-parts":[["2012"]]},"page":"191-200","title":"Recommendations for assessing materials criticality","type":"article-journal","volume":"165"},"uris":["http://www.mendeley.com/documents/?uuid=71b56f95-4db1-4ec2-bf83-aee110959317"]},{"id":"ITEM-3","itemData":{"DOI":"10.1016/j.resourpol.2013.06.003","ISBN":"0301-4207","ISSN":"03014207","abstract":"Some strategic raw materials do have an extremely unsecure supply situation. Several working groups around the world have made criticality assessments for metallic raw materials to analyze the driving impact factors for this instability. However, the influences on raw material availability are manifold and therefore criticality assessment methods are very heterogeneous. Here we give an overview about the differences and similarities of supply risk evaluation in 15 criticality assessment methods. We take the example of Indium, which has been rated in 60% of these criticality studies, and show which data base is used for supply risk evaluation. Our results show a lack of consensus about which indicators give reliable information for raw material supply risk and how these indicators should be aggregated. We anticipate our essay to be a starting point for more justified indicator selection and weighting in criticality assessments. © 2013 Elsevier Ltd.","author":[{"dropping-particle":"","family":"Achzet","given":"Benjamin","non-dropping-particle":"","parse-names":false,"suffix":""},{"dropping-particle":"","family":"Helbig","given":"Christoph","non-dropping-particle":"","parse-names":false,"suffix":""}],"container-title":"Resources Policy","id":"ITEM-3","issue":"4","issued":{"date-parts":[["2013"]]},"page":"435-447","publisher":"Elsevier","title":"How to evaluate raw material supply risks-an overview","type":"article-journal","volume":"38"},"uris":["http://www.mendeley.com/documents/?uuid=a1d30f5b-28e2-486a-b33f-561bd8cec6af"]}],"mendeley":{"formattedCitation":"(Achzet and Helbig, 2013; Erdmann and Graedel, 2011; Lloyd et al., 2012)","manualFormatting":"Achzet and Helbig (2013), Erdmann and Graedel (2011), and Lloyd et al. (2012)","plainTextFormattedCitation":"(Achzet and Helbig, 2013; Erdmann and Graedel, 2011; Lloyd et al., 2012)","previouslyFormattedCitation":"(Achzet and Helbig, 2013; Erdmann and Graedel, 2011; Lloyd et al., 2012)"},"properties":{"noteIndex":0},"schema":"https://github.com/citation-style-language/schema/raw/master/csl-citation.json"}</w:instrText>
      </w:r>
      <w:r w:rsidDel="008C32D0">
        <w:fldChar w:fldCharType="separate"/>
      </w:r>
      <w:r w:rsidR="00F147C6" w:rsidRPr="00F147C6">
        <w:rPr>
          <w:noProof/>
        </w:rPr>
        <w:t xml:space="preserve">Achzet and Helbig </w:t>
      </w:r>
      <w:r w:rsidR="00905F21">
        <w:rPr>
          <w:noProof/>
        </w:rPr>
        <w:t>(</w:t>
      </w:r>
      <w:r w:rsidR="00F147C6" w:rsidRPr="00F147C6">
        <w:rPr>
          <w:noProof/>
        </w:rPr>
        <w:t>2013</w:t>
      </w:r>
      <w:r w:rsidR="00905F21">
        <w:rPr>
          <w:noProof/>
        </w:rPr>
        <w:t>),</w:t>
      </w:r>
      <w:r w:rsidR="00F147C6" w:rsidRPr="00F147C6">
        <w:rPr>
          <w:noProof/>
        </w:rPr>
        <w:t xml:space="preserve"> Erdmann and Graedel </w:t>
      </w:r>
      <w:r w:rsidR="00905F21">
        <w:rPr>
          <w:noProof/>
        </w:rPr>
        <w:t>(</w:t>
      </w:r>
      <w:r w:rsidR="00F147C6" w:rsidRPr="00F147C6">
        <w:rPr>
          <w:noProof/>
        </w:rPr>
        <w:t>2011</w:t>
      </w:r>
      <w:r w:rsidR="00905F21">
        <w:rPr>
          <w:noProof/>
        </w:rPr>
        <w:t>),</w:t>
      </w:r>
      <w:r w:rsidR="00F147C6" w:rsidRPr="00F147C6">
        <w:rPr>
          <w:noProof/>
        </w:rPr>
        <w:t xml:space="preserve"> </w:t>
      </w:r>
      <w:r w:rsidR="00905F21">
        <w:rPr>
          <w:noProof/>
        </w:rPr>
        <w:t xml:space="preserve">and </w:t>
      </w:r>
      <w:r w:rsidR="00F147C6" w:rsidRPr="00F147C6">
        <w:rPr>
          <w:noProof/>
        </w:rPr>
        <w:t>Lloyd et al.</w:t>
      </w:r>
      <w:r w:rsidR="00905F21">
        <w:rPr>
          <w:noProof/>
        </w:rPr>
        <w:t xml:space="preserve"> (</w:t>
      </w:r>
      <w:r w:rsidR="00F147C6" w:rsidRPr="00F147C6">
        <w:rPr>
          <w:noProof/>
        </w:rPr>
        <w:t>2012)</w:t>
      </w:r>
      <w:r w:rsidDel="008C32D0">
        <w:fldChar w:fldCharType="end"/>
      </w:r>
      <w:r w:rsidDel="008C32D0">
        <w:t xml:space="preserve"> </w:t>
      </w:r>
      <w:r w:rsidR="0030197D">
        <w:t xml:space="preserve">point out, several </w:t>
      </w:r>
      <w:r w:rsidR="00AD32DE">
        <w:t>studies</w:t>
      </w:r>
      <w:r w:rsidR="00AD32DE" w:rsidDel="008C32D0">
        <w:t xml:space="preserve"> </w:t>
      </w:r>
      <w:r w:rsidRPr="00226F1A" w:rsidDel="008C32D0">
        <w:t xml:space="preserve">lack </w:t>
      </w:r>
      <w:r w:rsidR="0030197D" w:rsidRPr="00226F1A">
        <w:t>an explicit</w:t>
      </w:r>
      <w:r w:rsidRPr="00226F1A" w:rsidDel="008C32D0">
        <w:t xml:space="preserve"> justification of choices.</w:t>
      </w:r>
      <w:r w:rsidR="00E32476" w:rsidRPr="00226F1A">
        <w:t xml:space="preserve"> </w:t>
      </w:r>
      <w:r w:rsidR="0030197D" w:rsidRPr="00226F1A">
        <w:t>Through</w:t>
      </w:r>
      <w:r w:rsidR="0030197D" w:rsidRPr="00226F1A" w:rsidDel="008C32D0">
        <w:t xml:space="preserve"> </w:t>
      </w:r>
      <w:r w:rsidRPr="00226F1A" w:rsidDel="008C32D0">
        <w:t xml:space="preserve">discussions with </w:t>
      </w:r>
      <w:r w:rsidRPr="00226F1A">
        <w:t xml:space="preserve">IRTC </w:t>
      </w:r>
      <w:r w:rsidRPr="00226F1A" w:rsidDel="008C32D0">
        <w:t xml:space="preserve">experts </w:t>
      </w:r>
      <w:r w:rsidR="008F375C" w:rsidRPr="00226F1A">
        <w:t>during</w:t>
      </w:r>
      <w:r w:rsidRPr="00226F1A" w:rsidDel="008C32D0">
        <w:t xml:space="preserve"> the </w:t>
      </w:r>
      <w:r w:rsidR="00B62FE1" w:rsidRPr="00226F1A">
        <w:t xml:space="preserve">first IRTC </w:t>
      </w:r>
      <w:r w:rsidRPr="00226F1A" w:rsidDel="008C32D0">
        <w:t xml:space="preserve">Round Table </w:t>
      </w:r>
      <w:r w:rsidR="00B62FE1" w:rsidRPr="00226F1A">
        <w:t xml:space="preserve">in Vancouver </w:t>
      </w:r>
      <w:r w:rsidRPr="00226F1A" w:rsidDel="008C32D0">
        <w:t>(a summary is provided in SI</w:t>
      </w:r>
      <w:r w:rsidR="00664BF2">
        <w:t>-C</w:t>
      </w:r>
      <w:r w:rsidRPr="00226F1A" w:rsidDel="008C32D0">
        <w:t>)</w:t>
      </w:r>
      <w:r w:rsidR="0030197D" w:rsidRPr="00226F1A">
        <w:t xml:space="preserve">, the underlying </w:t>
      </w:r>
      <w:r w:rsidRPr="00226F1A" w:rsidDel="008C32D0">
        <w:t>motivation of choices in these studies</w:t>
      </w:r>
      <w:r w:rsidR="0030197D" w:rsidRPr="00226F1A">
        <w:t xml:space="preserve"> have been clarified in more detail</w:t>
      </w:r>
      <w:r w:rsidRPr="00226F1A" w:rsidDel="008C32D0">
        <w:t xml:space="preserve">, </w:t>
      </w:r>
      <w:r w:rsidR="0028134E" w:rsidRPr="00226F1A" w:rsidDel="008C32D0">
        <w:t xml:space="preserve">in order </w:t>
      </w:r>
      <w:r w:rsidR="0028134E" w:rsidRPr="00226F1A">
        <w:t xml:space="preserve">to </w:t>
      </w:r>
      <w:r w:rsidR="0028134E" w:rsidRPr="00226F1A" w:rsidDel="008C32D0">
        <w:t xml:space="preserve">be able to </w:t>
      </w:r>
      <w:r w:rsidR="00241492" w:rsidRPr="00226F1A">
        <w:t xml:space="preserve">understand both explicit and implicit </w:t>
      </w:r>
      <w:r w:rsidR="00795CBC" w:rsidRPr="00226F1A">
        <w:t>factors that affect the outcome of a criticality study</w:t>
      </w:r>
      <w:r w:rsidR="0028134E" w:rsidRPr="00226F1A" w:rsidDel="008C32D0">
        <w:t xml:space="preserve">. </w:t>
      </w:r>
      <w:r w:rsidR="005E6CDA" w:rsidRPr="00226F1A">
        <w:t>As th</w:t>
      </w:r>
      <w:r w:rsidR="00586F2B">
        <w:t>is</w:t>
      </w:r>
      <w:r w:rsidR="005E6CDA" w:rsidRPr="00226F1A">
        <w:t xml:space="preserve"> paper has been developed by </w:t>
      </w:r>
      <w:r w:rsidR="00F211D2" w:rsidRPr="00226F1A">
        <w:t>many</w:t>
      </w:r>
      <w:r w:rsidR="005E6CDA" w:rsidRPr="00226F1A">
        <w:t xml:space="preserve"> co-authors, a</w:t>
      </w:r>
      <w:r w:rsidR="00272E5B" w:rsidRPr="00226F1A">
        <w:t xml:space="preserve"> more detailed explanation on the establishment of the paper is provided in </w:t>
      </w:r>
      <w:r w:rsidR="00377952">
        <w:t xml:space="preserve">Section S1 of </w:t>
      </w:r>
      <w:r w:rsidR="00272E5B" w:rsidRPr="00226F1A">
        <w:t>SI</w:t>
      </w:r>
      <w:r w:rsidR="00377952">
        <w:t>-D</w:t>
      </w:r>
      <w:r w:rsidR="00272E5B" w:rsidRPr="00226F1A">
        <w:t xml:space="preserve">. </w:t>
      </w:r>
    </w:p>
    <w:p w14:paraId="7014D264" w14:textId="77777777" w:rsidR="00377952" w:rsidRPr="00226F1A" w:rsidRDefault="00377952" w:rsidP="00863B14">
      <w:pPr>
        <w:spacing w:line="480" w:lineRule="auto"/>
        <w:rPr>
          <w:lang w:val="en-GB"/>
        </w:rPr>
      </w:pPr>
    </w:p>
    <w:p w14:paraId="0A6E138E" w14:textId="76F109D8" w:rsidR="008C1012" w:rsidRPr="00226F1A" w:rsidRDefault="008C1012" w:rsidP="00863B14">
      <w:pPr>
        <w:pStyle w:val="Heading2"/>
        <w:numPr>
          <w:ilvl w:val="0"/>
          <w:numId w:val="2"/>
        </w:numPr>
        <w:spacing w:line="480" w:lineRule="auto"/>
      </w:pPr>
      <w:bookmarkStart w:id="25" w:name="_Toc415758572"/>
      <w:bookmarkStart w:id="26" w:name="_Toc10458656"/>
      <w:bookmarkStart w:id="27" w:name="_Toc19016228"/>
      <w:r w:rsidRPr="00226F1A">
        <w:lastRenderedPageBreak/>
        <w:t>Results and Discussion</w:t>
      </w:r>
      <w:bookmarkEnd w:id="25"/>
      <w:bookmarkEnd w:id="26"/>
      <w:bookmarkEnd w:id="27"/>
    </w:p>
    <w:p w14:paraId="74E98D94" w14:textId="68002F3D" w:rsidR="005D401F" w:rsidRDefault="00D928E7" w:rsidP="005D401F">
      <w:pPr>
        <w:spacing w:line="480" w:lineRule="auto"/>
        <w:jc w:val="both"/>
      </w:pPr>
      <w:r>
        <w:t>T</w:t>
      </w:r>
      <w:r w:rsidR="00D46E96">
        <w:t xml:space="preserve">he main </w:t>
      </w:r>
      <w:r>
        <w:t xml:space="preserve">mechanisms that were identified via the literature review which </w:t>
      </w:r>
      <w:r w:rsidR="00D46E96">
        <w:t>influence</w:t>
      </w:r>
      <w:r w:rsidR="006636D2">
        <w:t xml:space="preserve"> the outcomes of criticality assessments</w:t>
      </w:r>
      <w:r>
        <w:t xml:space="preserve"> are</w:t>
      </w:r>
      <w:r w:rsidR="008132C5">
        <w:t xml:space="preserve"> schematically </w:t>
      </w:r>
      <w:r w:rsidR="008132C5" w:rsidRPr="00226F1A">
        <w:t xml:space="preserve">represented by </w:t>
      </w:r>
      <w:r w:rsidR="00BC1147" w:rsidRPr="00226F1A">
        <w:fldChar w:fldCharType="begin"/>
      </w:r>
      <w:r w:rsidR="00BC1147" w:rsidRPr="00226F1A">
        <w:instrText xml:space="preserve"> REF _Ref4489029 \h </w:instrText>
      </w:r>
      <w:r w:rsidR="00226F1A">
        <w:instrText xml:space="preserve"> \* MERGEFORMAT </w:instrText>
      </w:r>
      <w:r w:rsidR="00BC1147" w:rsidRPr="00226F1A">
        <w:fldChar w:fldCharType="separate"/>
      </w:r>
      <w:r w:rsidR="009F2906" w:rsidRPr="00226F1A">
        <w:t xml:space="preserve">Figure </w:t>
      </w:r>
      <w:r w:rsidR="009F2906" w:rsidRPr="00226F1A">
        <w:rPr>
          <w:noProof/>
        </w:rPr>
        <w:t>2</w:t>
      </w:r>
      <w:r w:rsidR="00BC1147" w:rsidRPr="00226F1A">
        <w:fldChar w:fldCharType="end"/>
      </w:r>
      <w:r w:rsidR="009F6954" w:rsidRPr="00226F1A">
        <w:t xml:space="preserve">. </w:t>
      </w:r>
      <w:r w:rsidR="00E32281">
        <w:t>The</w:t>
      </w:r>
      <w:r>
        <w:t>se mechanisms</w:t>
      </w:r>
      <w:r w:rsidR="00E32281">
        <w:t xml:space="preserve"> are presented in line with </w:t>
      </w:r>
      <w:r w:rsidR="00806593">
        <w:t>the methodological framework for Life Cycle Assessment</w:t>
      </w:r>
      <w:r w:rsidR="00A73697">
        <w:t xml:space="preserve"> (LCA)</w:t>
      </w:r>
      <w:r w:rsidR="00806593">
        <w:t xml:space="preserve">, as standardized in </w:t>
      </w:r>
      <w:r w:rsidR="00E32281">
        <w:t>ISO 14040</w:t>
      </w:r>
      <w:r w:rsidR="00BD458B">
        <w:t xml:space="preserve"> </w:t>
      </w:r>
      <w:r w:rsidR="00BD458B">
        <w:fldChar w:fldCharType="begin" w:fldLock="1"/>
      </w:r>
      <w:r w:rsidR="00D35F6A">
        <w:instrText>ADDIN CSL_CITATION {"citationItems":[{"id":"ITEM-1","itemData":{"author":[{"dropping-particle":"","family":"ISO","given":"","non-dropping-particle":"","parse-names":false,"suffix":""}],"id":"ITEM-1","issued":{"date-parts":[["2006"]]},"publisher-place":"The International Organization for Standardization (ISO), Geneva, Switzerland","title":"ISO 14040: Environmental management - Life cycle assessment - Principles and framework","type":"report","volume":"2006"},"uris":["http://www.mendeley.com/documents/?uuid=42022d46-f36b-4a72-a12c-8f840724b3b0"]}],"mendeley":{"formattedCitation":"(ISO, 2006)","plainTextFormattedCitation":"(ISO, 2006)","previouslyFormattedCitation":"(ISO, 2006)"},"properties":{"noteIndex":0},"schema":"https://github.com/citation-style-language/schema/raw/master/csl-citation.json"}</w:instrText>
      </w:r>
      <w:r w:rsidR="00BD458B">
        <w:fldChar w:fldCharType="separate"/>
      </w:r>
      <w:r w:rsidR="002B45EF" w:rsidRPr="002B45EF">
        <w:rPr>
          <w:noProof/>
        </w:rPr>
        <w:t>(ISO, 2006)</w:t>
      </w:r>
      <w:r w:rsidR="00BD458B">
        <w:fldChar w:fldCharType="end"/>
      </w:r>
      <w:r w:rsidR="00E32281">
        <w:t xml:space="preserve">, which </w:t>
      </w:r>
      <w:r w:rsidR="00A26E60">
        <w:t>enables the use of</w:t>
      </w:r>
      <w:r w:rsidR="00BB77F5">
        <w:t xml:space="preserve"> the scheme as a </w:t>
      </w:r>
      <w:r w:rsidR="00AD32DE">
        <w:t>methodology development and</w:t>
      </w:r>
      <w:r w:rsidR="00BB77F5">
        <w:t xml:space="preserve"> evaluation tool</w:t>
      </w:r>
      <w:r w:rsidR="00E32281">
        <w:t>.</w:t>
      </w:r>
      <w:r w:rsidR="002D549A">
        <w:t xml:space="preserve"> </w:t>
      </w:r>
      <w:r w:rsidR="00FD5C21" w:rsidRPr="00226F1A">
        <w:fldChar w:fldCharType="begin"/>
      </w:r>
      <w:r w:rsidR="00FD5C21" w:rsidRPr="00226F1A">
        <w:instrText xml:space="preserve"> REF _Ref4489029 \h </w:instrText>
      </w:r>
      <w:r w:rsidR="00226F1A">
        <w:instrText xml:space="preserve"> \* MERGEFORMAT </w:instrText>
      </w:r>
      <w:r w:rsidR="00FD5C21" w:rsidRPr="00226F1A">
        <w:fldChar w:fldCharType="separate"/>
      </w:r>
      <w:r w:rsidR="009F2906" w:rsidRPr="00226F1A">
        <w:t xml:space="preserve">Figure </w:t>
      </w:r>
      <w:r w:rsidR="009F2906" w:rsidRPr="00226F1A">
        <w:rPr>
          <w:noProof/>
        </w:rPr>
        <w:t>2</w:t>
      </w:r>
      <w:r w:rsidR="00FD5C21" w:rsidRPr="00226F1A">
        <w:fldChar w:fldCharType="end"/>
      </w:r>
      <w:r w:rsidR="00FD5C21" w:rsidRPr="00226F1A">
        <w:t xml:space="preserve"> shows that </w:t>
      </w:r>
      <w:r w:rsidR="0061654C" w:rsidRPr="00226F1A">
        <w:t xml:space="preserve">the goal and scope of a study both directly and indirectly influence the results of the assessment. </w:t>
      </w:r>
      <w:r w:rsidR="00BD458B" w:rsidRPr="00461423">
        <w:rPr>
          <w:highlight w:val="yellow"/>
        </w:rPr>
        <w:t xml:space="preserve">The goal and scope influences </w:t>
      </w:r>
      <w:r w:rsidRPr="00461423">
        <w:rPr>
          <w:highlight w:val="yellow"/>
        </w:rPr>
        <w:t>indicator selection</w:t>
      </w:r>
      <w:r w:rsidR="00D73633" w:rsidRPr="00461423">
        <w:rPr>
          <w:highlight w:val="yellow"/>
        </w:rPr>
        <w:t xml:space="preserve">. </w:t>
      </w:r>
      <w:r w:rsidRPr="00461423">
        <w:rPr>
          <w:highlight w:val="yellow"/>
        </w:rPr>
        <w:t>Indicator selection is affected by d</w:t>
      </w:r>
      <w:r w:rsidR="00BD458B" w:rsidRPr="00461423">
        <w:rPr>
          <w:highlight w:val="yellow"/>
        </w:rPr>
        <w:t>ata availability</w:t>
      </w:r>
      <w:r w:rsidRPr="00461423">
        <w:rPr>
          <w:highlight w:val="yellow"/>
        </w:rPr>
        <w:t xml:space="preserve">, which </w:t>
      </w:r>
      <w:r w:rsidR="00D73633" w:rsidRPr="00461423">
        <w:rPr>
          <w:highlight w:val="yellow"/>
        </w:rPr>
        <w:t xml:space="preserve">can </w:t>
      </w:r>
      <w:r w:rsidRPr="00461423">
        <w:rPr>
          <w:highlight w:val="yellow"/>
        </w:rPr>
        <w:t>influence the material coverage of the assessment</w:t>
      </w:r>
      <w:r w:rsidR="00D73633" w:rsidRPr="00461423">
        <w:rPr>
          <w:highlight w:val="yellow"/>
        </w:rPr>
        <w:t>, and thus again the goal and scope.</w:t>
      </w:r>
      <w:r w:rsidR="00BD458B">
        <w:t xml:space="preserve"> </w:t>
      </w:r>
      <w:r>
        <w:t xml:space="preserve">The availability and the quality of data finally influences indicator scoring. </w:t>
      </w:r>
      <w:r w:rsidR="00BD458B">
        <w:t xml:space="preserve">In most studies, indicator scores are aggregated to </w:t>
      </w:r>
      <w:r w:rsidR="00FF01D3">
        <w:t xml:space="preserve">enable the identification </w:t>
      </w:r>
      <w:r w:rsidR="00BD458B">
        <w:t xml:space="preserve">of a material as critical or not. The aggregation method that is used is not determined by the indicator scoring, but instead by a choice or logic reasoning of the practitioner – represented by the goal and scope. </w:t>
      </w:r>
      <w:r w:rsidR="00A26E60">
        <w:t>Finally, the way in which the practitioner aims to communicate his or her results is</w:t>
      </w:r>
      <w:r w:rsidR="00FF01D3">
        <w:t xml:space="preserve"> solely determined</w:t>
      </w:r>
      <w:r w:rsidR="00A26E60">
        <w:t xml:space="preserve"> by the </w:t>
      </w:r>
      <w:r w:rsidR="002D4A97">
        <w:t>objectives</w:t>
      </w:r>
      <w:r w:rsidR="00A26E60">
        <w:t xml:space="preserve"> of the assessment itself. </w:t>
      </w:r>
    </w:p>
    <w:p w14:paraId="181390DE" w14:textId="0FF8F4D2" w:rsidR="00A14551" w:rsidRDefault="00000B19" w:rsidP="00863B14">
      <w:pPr>
        <w:spacing w:line="480" w:lineRule="auto"/>
        <w:jc w:val="both"/>
      </w:pPr>
      <w:r>
        <w:t xml:space="preserve">Therefore, the combined factors of goal and scope definition, indicator </w:t>
      </w:r>
      <w:r w:rsidR="00850A2E">
        <w:t>evaluation</w:t>
      </w:r>
      <w:r>
        <w:t xml:space="preserve">, and the chosen aggregation method lead to the classification of a material as “critical” or “non-critical”. </w:t>
      </w:r>
      <w:r w:rsidRPr="00226F1A">
        <w:t>The</w:t>
      </w:r>
      <w:r>
        <w:t>se</w:t>
      </w:r>
      <w:r w:rsidRPr="00226F1A">
        <w:t xml:space="preserve"> mechanisms are further explained</w:t>
      </w:r>
      <w:r>
        <w:t xml:space="preserve"> below.</w:t>
      </w:r>
    </w:p>
    <w:p w14:paraId="1743465D" w14:textId="2C43B08E" w:rsidR="00C7487F" w:rsidRDefault="00C7487F" w:rsidP="00C7487F">
      <w:r>
        <w:fldChar w:fldCharType="begin"/>
      </w:r>
      <w:r>
        <w:instrText xml:space="preserve"> INCLUDEPICTURE "cid:4DEB694E-019D-4E7E-883F-DFACFC386835@home" \* MERGEFORMATINET </w:instrText>
      </w:r>
      <w:r>
        <w:fldChar w:fldCharType="separate"/>
      </w:r>
      <w:r>
        <w:rPr>
          <w:noProof/>
        </w:rPr>
        <mc:AlternateContent>
          <mc:Choice Requires="wps">
            <w:drawing>
              <wp:inline distT="0" distB="0" distL="0" distR="0" wp14:anchorId="01A0F77E" wp14:editId="00071F2D">
                <wp:extent cx="307975" cy="307975"/>
                <wp:effectExtent l="0" t="0" r="0" b="0"/>
                <wp:docPr id="8" name="Rectangle 8" descr="Figure 2 v.3.pd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8CA524" id="Rectangle 8" o:spid="_x0000_s1026" alt="Figure 2 v.3.pdf"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A86+wEAAN0DAAAOAAAAZHJzL2Uyb0RvYy54bWysU9tuEzEQfUfiHyy/k92kKaGrbKqqVRBS&#10;gYrCBzi+7FrseszYySZ8PWNvElJ4Q7xYc7HPnDkzXt7u+47tNAYLrubTScmZdhKUdU3Nv31dv3nH&#10;WYjCKdGB0zU/6MBvV69fLQdf6Rm00CmNjEBcqAZf8zZGXxVFkK3uRZiA146SBrAXkVxsCoViIPS+&#10;K2Zl+bYYAJVHkDoEij6MSb7K+MZoGT8bE3RkXc2JW8wn5nOTzmK1FFWDwrdWHmmIf2DRC+uo6Bnq&#10;QUTBtmj/guqtRAhg4kRCX4AxVurcA3UzLf/o5rkVXudeSJzgzzKF/wcrP+2ekFlVcxqUEz2N6AuJ&#10;JlzTaUYhpYMkuda22aJmM7abXE28Mkm3wYeKnj/7J0ydB/8I8ntgDu5beq7vgicg2gnCPYUQYWi1&#10;UNTANEEULzCSEwiNbYaPoIiJ2EbIqu4N9qkG6cX2eXiH8/D0PjJJwatycbO45kxS6minCqI6PfYY&#10;4nsNPUtGzZHYZXCxewxxvHq6kmo5WNuuo7ioOvciQJgpksknvqMUG1AH4o4w7hj9CTJawJ+cDbRf&#10;NQ8/tgI1Z90HR/3fTOfztJDZmV8vZuTgZWZzmRFOElTNI2ejeR/HJd56tE2bZR453pFmxuZ+kp4j&#10;qyNZ2qGsyHHf05Je+vnW71+5+gUAAP//AwBQSwMEFAAGAAgAAAAhAPJdrh3ZAAAAAwEAAA8AAABk&#10;cnMvZG93bnJldi54bWxMj0FLw0AQhe+C/2EZwYvYjaJSYjZFCmIRoTTVnqfZMQlmZ9PsNon/3lEP&#10;epnH8Ib3vskWk2vVQH1oPBu4miWgiEtvG64MvG4fL+egQkS22HomA58UYJGfnmSYWj/yhoYiVkpC&#10;OKRooI6xS7UOZU0Ow8x3xOK9+95hlLWvtO1xlHDX6uskudMOG5aGGjta1lR+FEdnYCzXw2778qTX&#10;F7uV58PqsCzeno05P5se7kFFmuLfMXzjCzrkwrT3R7ZBtQbkkfgzxbuZ34La/6rOM/2fPf8CAAD/&#10;/wMAUEsBAi0AFAAGAAgAAAAhALaDOJL+AAAA4QEAABMAAAAAAAAAAAAAAAAAAAAAAFtDb250ZW50&#10;X1R5cGVzXS54bWxQSwECLQAUAAYACAAAACEAOP0h/9YAAACUAQAACwAAAAAAAAAAAAAAAAAvAQAA&#10;X3JlbHMvLnJlbHNQSwECLQAUAAYACAAAACEAyBwPOvsBAADdAwAADgAAAAAAAAAAAAAAAAAuAgAA&#10;ZHJzL2Uyb0RvYy54bWxQSwECLQAUAAYACAAAACEA8l2uHdkAAAADAQAADwAAAAAAAAAAAAAAAABV&#10;BAAAZHJzL2Rvd25yZXYueG1sUEsFBgAAAAAEAAQA8wAAAFsFAAAAAA==&#10;" filled="f" stroked="f">
                <o:lock v:ext="edit" aspectratio="t"/>
                <w10:anchorlock/>
              </v:rect>
            </w:pict>
          </mc:Fallback>
        </mc:AlternateContent>
      </w:r>
      <w:r>
        <w:fldChar w:fldCharType="end"/>
      </w:r>
    </w:p>
    <w:p w14:paraId="22F66F32" w14:textId="1FB8D669" w:rsidR="00F136C3" w:rsidRDefault="00C7487F" w:rsidP="00461423">
      <w:r w:rsidRPr="00B40528">
        <w:rPr>
          <w:noProof/>
        </w:rPr>
        <w:lastRenderedPageBreak/>
        <w:t xml:space="preserve"> </w:t>
      </w:r>
      <w:r>
        <w:fldChar w:fldCharType="begin"/>
      </w:r>
      <w:r>
        <w:instrText xml:space="preserve"> INCLUDEPICTURE "cid:4DEB694E-019D-4E7E-883F-DFACFC386835@home" \* MERGEFORMATINET </w:instrText>
      </w:r>
      <w:r>
        <w:fldChar w:fldCharType="separate"/>
      </w:r>
      <w:r>
        <w:rPr>
          <w:noProof/>
        </w:rPr>
        <mc:AlternateContent>
          <mc:Choice Requires="wps">
            <w:drawing>
              <wp:inline distT="0" distB="0" distL="0" distR="0" wp14:anchorId="245BBE99" wp14:editId="3551B34E">
                <wp:extent cx="307975" cy="307975"/>
                <wp:effectExtent l="0" t="0" r="0" b="0"/>
                <wp:docPr id="9" name="Rectangle 9" descr="Figure 2 v.3.pd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A0580E" id="Rectangle 9" o:spid="_x0000_s1026" alt="Figure 2 v.3.pdf"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gyB/AEAAN0DAAAOAAAAZHJzL2Uyb0RvYy54bWysU9tuEzEQfUfiHyy/k03SlJBVNlXVKgip&#10;QEXLBzi+7FrseszYySZ8PWNvElL6hnixPDP2mTPHx8ubfdeyncZgwVV8Mhpzpp0EZV1d8e/P63cf&#10;OAtROCVacLriBx34zertm2XvSz2FBlqlkRGIC2XvK97E6MuiCLLRnQgj8NpR0QB2IlKIdaFQ9ITe&#10;tcV0PH5f9IDKI0gdAmXvhyJfZXxjtIxfjQk6srbixC3mFfO6SWuxWoqyRuEbK480xD+w6IR11PQM&#10;dS+iYFu0r6A6KxECmDiS0BVgjJU6z0DTTMZ/TfPUCK/zLCRO8GeZwv+DlV92j8isqviCMyc6eqJv&#10;JJpwdasZpZQOkuRa23qLmk3ZbnQ18sok3XofSrr+5B8xTR78A8gfgTm4a+i6vg2egMgThHtKIULf&#10;aKFogEmCKF5gpCAQGtv0n0ERE7GNkFXdG+xSD9KL7fPjHc6Pp/eRSUpejeeL+TVnkkrHfeogytNl&#10;jyF+1NCxtKk4ErsMLnYPIQ5HT0dSLwdr27aUF2XrXiQIM2Uy+cR3kGID6kDcEQaP0Z+gTQP4i7Oe&#10;/FXx8HMrUHPWfnI0/2IymyVD5mB2PZ9SgJeVzWVFOElQFY+cDdu7OJh469HWTZZ54HhLmhmb50l6&#10;DqyOZMlDWZGj35NJL+N86s+vXP0GAAD//wMAUEsDBBQABgAIAAAAIQDyXa4d2QAAAAMBAAAPAAAA&#10;ZHJzL2Rvd25yZXYueG1sTI9BS8NAEIXvgv9hGcGL2I2iUmI2RQpiEaE01Z6n2TEJZmfT7DaJ/95R&#10;D3qZx/CG977JFpNr1UB9aDwbuJoloIhLbxuuDLxuHy/noEJEtth6JgOfFGCRn55kmFo/8oaGIlZK&#10;QjikaKCOsUu1DmVNDsPMd8TivfveYZS1r7TtcZRw1+rrJLnTDhuWhho7WtZUfhRHZ2As18Nu+/Kk&#10;1xe7lefD6rAs3p6NOT+bHu5BRZri3zF84ws65MK090e2QbUG5JH4M8W7md+C2v+qzjP9nz3/AgAA&#10;//8DAFBLAQItABQABgAIAAAAIQC2gziS/gAAAOEBAAATAAAAAAAAAAAAAAAAAAAAAABbQ29udGVu&#10;dF9UeXBlc10ueG1sUEsBAi0AFAAGAAgAAAAhADj9If/WAAAAlAEAAAsAAAAAAAAAAAAAAAAALwEA&#10;AF9yZWxzLy5yZWxzUEsBAi0AFAAGAAgAAAAhACBSDIH8AQAA3QMAAA4AAAAAAAAAAAAAAAAALgIA&#10;AGRycy9lMm9Eb2MueG1sUEsBAi0AFAAGAAgAAAAhAPJdrh3ZAAAAAwEAAA8AAAAAAAAAAAAAAAAA&#10;VgQAAGRycy9kb3ducmV2LnhtbFBLBQYAAAAABAAEAPMAAABcBQAAAAA=&#10;" filled="f" stroked="f">
                <o:lock v:ext="edit" aspectratio="t"/>
                <w10:anchorlock/>
              </v:rect>
            </w:pict>
          </mc:Fallback>
        </mc:AlternateContent>
      </w:r>
      <w:r>
        <w:fldChar w:fldCharType="end"/>
      </w:r>
      <w:r w:rsidR="00553E56">
        <w:rPr>
          <w:noProof/>
        </w:rPr>
        <w:drawing>
          <wp:inline distT="0" distB="0" distL="0" distR="0" wp14:anchorId="541D03CD" wp14:editId="5D525C0B">
            <wp:extent cx="5481440" cy="6926967"/>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2 v.3.pdf"/>
                    <pic:cNvPicPr/>
                  </pic:nvPicPr>
                  <pic:blipFill>
                    <a:blip r:embed="rId11"/>
                    <a:stretch>
                      <a:fillRect/>
                    </a:stretch>
                  </pic:blipFill>
                  <pic:spPr>
                    <a:xfrm>
                      <a:off x="0" y="0"/>
                      <a:ext cx="5481440" cy="6926967"/>
                    </a:xfrm>
                    <a:prstGeom prst="rect">
                      <a:avLst/>
                    </a:prstGeom>
                  </pic:spPr>
                </pic:pic>
              </a:graphicData>
            </a:graphic>
          </wp:inline>
        </w:drawing>
      </w:r>
    </w:p>
    <w:p w14:paraId="6EAD89DE" w14:textId="3FEB9B13" w:rsidR="00F136C3" w:rsidRDefault="00F136C3" w:rsidP="00863B14">
      <w:pPr>
        <w:pStyle w:val="Caption"/>
        <w:spacing w:line="480" w:lineRule="auto"/>
        <w:sectPr w:rsidR="00F136C3" w:rsidSect="00863B14">
          <w:footerReference w:type="even" r:id="rId12"/>
          <w:footerReference w:type="default" r:id="rId13"/>
          <w:type w:val="continuous"/>
          <w:pgSz w:w="12240" w:h="15840"/>
          <w:pgMar w:top="1417" w:right="1417" w:bottom="1417" w:left="1417" w:header="708" w:footer="708" w:gutter="0"/>
          <w:lnNumType w:countBy="1" w:restart="continuous"/>
          <w:cols w:space="708"/>
          <w:docGrid w:linePitch="360"/>
        </w:sectPr>
      </w:pPr>
      <w:bookmarkStart w:id="28" w:name="_Ref4489029"/>
      <w:r w:rsidRPr="00B4107A">
        <w:rPr>
          <w:highlight w:val="yellow"/>
        </w:rPr>
        <w:t xml:space="preserve">Figure </w:t>
      </w:r>
      <w:r w:rsidR="00444B2B" w:rsidRPr="00B4107A">
        <w:rPr>
          <w:highlight w:val="yellow"/>
        </w:rPr>
        <w:fldChar w:fldCharType="begin"/>
      </w:r>
      <w:r w:rsidR="00444B2B" w:rsidRPr="00B4107A">
        <w:rPr>
          <w:highlight w:val="yellow"/>
        </w:rPr>
        <w:instrText xml:space="preserve"> SEQ Figure \* ARABIC </w:instrText>
      </w:r>
      <w:r w:rsidR="00444B2B" w:rsidRPr="00B4107A">
        <w:rPr>
          <w:highlight w:val="yellow"/>
        </w:rPr>
        <w:fldChar w:fldCharType="separate"/>
      </w:r>
      <w:r w:rsidRPr="00B4107A">
        <w:rPr>
          <w:noProof/>
          <w:highlight w:val="yellow"/>
        </w:rPr>
        <w:t>2</w:t>
      </w:r>
      <w:r w:rsidR="00444B2B" w:rsidRPr="00B4107A">
        <w:rPr>
          <w:noProof/>
          <w:highlight w:val="yellow"/>
        </w:rPr>
        <w:fldChar w:fldCharType="end"/>
      </w:r>
      <w:bookmarkEnd w:id="28"/>
      <w:r w:rsidRPr="00B4107A">
        <w:rPr>
          <w:highlight w:val="yellow"/>
        </w:rPr>
        <w:t xml:space="preserve"> How the goal and scope influences wh</w:t>
      </w:r>
      <w:r w:rsidR="00950DDA" w:rsidRPr="00B4107A">
        <w:rPr>
          <w:highlight w:val="yellow"/>
        </w:rPr>
        <w:t>ich</w:t>
      </w:r>
      <w:r w:rsidRPr="00B4107A">
        <w:rPr>
          <w:highlight w:val="yellow"/>
        </w:rPr>
        <w:t xml:space="preserve"> </w:t>
      </w:r>
      <w:r w:rsidR="00FF01D3" w:rsidRPr="00B4107A">
        <w:rPr>
          <w:highlight w:val="yellow"/>
        </w:rPr>
        <w:t xml:space="preserve">materials are </w:t>
      </w:r>
      <w:r w:rsidRPr="00B4107A">
        <w:rPr>
          <w:highlight w:val="yellow"/>
        </w:rPr>
        <w:t>critical</w:t>
      </w:r>
      <w:r w:rsidR="00497462" w:rsidRPr="00B4107A">
        <w:rPr>
          <w:highlight w:val="yellow"/>
        </w:rPr>
        <w:t>.</w:t>
      </w:r>
      <w:r w:rsidR="00D65D03">
        <w:t xml:space="preserve"> </w:t>
      </w:r>
    </w:p>
    <w:p w14:paraId="58550653" w14:textId="66AFE831" w:rsidR="0094073B" w:rsidRDefault="0094073B" w:rsidP="00863B14">
      <w:pPr>
        <w:pStyle w:val="Caption"/>
        <w:spacing w:line="480" w:lineRule="auto"/>
      </w:pPr>
      <w:r>
        <w:lastRenderedPageBreak/>
        <w:t xml:space="preserve">Table </w:t>
      </w:r>
      <w:bookmarkStart w:id="29" w:name="_Ref11935609"/>
      <w:r>
        <w:fldChar w:fldCharType="begin"/>
      </w:r>
      <w:r>
        <w:instrText xml:space="preserve"> SEQ Table \* ARABIC </w:instrText>
      </w:r>
      <w:r>
        <w:fldChar w:fldCharType="separate"/>
      </w:r>
      <w:r>
        <w:rPr>
          <w:noProof/>
        </w:rPr>
        <w:t>1</w:t>
      </w:r>
      <w:r>
        <w:fldChar w:fldCharType="end"/>
      </w:r>
      <w:bookmarkEnd w:id="29"/>
      <w:r w:rsidRPr="0094073B">
        <w:t xml:space="preserve"> </w:t>
      </w:r>
      <w:r w:rsidRPr="00B31204">
        <w:t xml:space="preserve">Goals and scopes of reviewed criticality assessment methods </w:t>
      </w:r>
      <w:r>
        <w:t>(detailed information available in SI-B)</w:t>
      </w:r>
    </w:p>
    <w:tbl>
      <w:tblPr>
        <w:tblStyle w:val="TableGrid"/>
        <w:tblW w:w="15027" w:type="dxa"/>
        <w:tblLayout w:type="fixed"/>
        <w:tblLook w:val="04A0" w:firstRow="1" w:lastRow="0" w:firstColumn="1" w:lastColumn="0" w:noHBand="0" w:noVBand="1"/>
      </w:tblPr>
      <w:tblGrid>
        <w:gridCol w:w="1967"/>
        <w:gridCol w:w="570"/>
        <w:gridCol w:w="1318"/>
        <w:gridCol w:w="1631"/>
        <w:gridCol w:w="1021"/>
        <w:gridCol w:w="4548"/>
        <w:gridCol w:w="3972"/>
      </w:tblGrid>
      <w:tr w:rsidR="00C80243" w:rsidRPr="002E3AC2" w14:paraId="1A4040F3" w14:textId="77777777" w:rsidTr="00C80243">
        <w:trPr>
          <w:trHeight w:val="91"/>
          <w:tblHeader/>
        </w:trPr>
        <w:tc>
          <w:tcPr>
            <w:tcW w:w="1967" w:type="dxa"/>
            <w:shd w:val="clear" w:color="auto" w:fill="D9D9D9" w:themeFill="background1" w:themeFillShade="D9"/>
            <w:noWrap/>
            <w:hideMark/>
          </w:tcPr>
          <w:p w14:paraId="24DAC718" w14:textId="77777777" w:rsidR="00C80243" w:rsidRPr="00F136C3" w:rsidRDefault="00C80243" w:rsidP="00863B14">
            <w:pPr>
              <w:spacing w:line="480" w:lineRule="auto"/>
              <w:rPr>
                <w:rFonts w:asciiTheme="majorHAnsi" w:hAnsiTheme="majorHAnsi"/>
                <w:b/>
                <w:bCs/>
                <w:sz w:val="16"/>
                <w:szCs w:val="16"/>
              </w:rPr>
            </w:pPr>
            <w:bookmarkStart w:id="30" w:name="_Hlk12536056"/>
            <w:r w:rsidRPr="00F136C3">
              <w:rPr>
                <w:rFonts w:asciiTheme="majorHAnsi" w:hAnsiTheme="majorHAnsi"/>
                <w:b/>
                <w:bCs/>
                <w:sz w:val="16"/>
                <w:szCs w:val="16"/>
              </w:rPr>
              <w:t>Method</w:t>
            </w:r>
          </w:p>
        </w:tc>
        <w:tc>
          <w:tcPr>
            <w:tcW w:w="570" w:type="dxa"/>
            <w:shd w:val="clear" w:color="auto" w:fill="D9D9D9" w:themeFill="background1" w:themeFillShade="D9"/>
          </w:tcPr>
          <w:p w14:paraId="6F3E0B96" w14:textId="271E3869" w:rsidR="00C80243" w:rsidRPr="00F136C3" w:rsidRDefault="00C80243" w:rsidP="00863B14">
            <w:pPr>
              <w:spacing w:line="480" w:lineRule="auto"/>
              <w:rPr>
                <w:rFonts w:asciiTheme="majorHAnsi" w:hAnsiTheme="majorHAnsi"/>
                <w:b/>
                <w:bCs/>
                <w:sz w:val="16"/>
                <w:szCs w:val="16"/>
              </w:rPr>
            </w:pPr>
            <w:r>
              <w:rPr>
                <w:rFonts w:asciiTheme="majorHAnsi" w:hAnsiTheme="majorHAnsi"/>
                <w:b/>
                <w:bCs/>
                <w:sz w:val="16"/>
                <w:szCs w:val="16"/>
              </w:rPr>
              <w:t>Year</w:t>
            </w:r>
          </w:p>
        </w:tc>
        <w:tc>
          <w:tcPr>
            <w:tcW w:w="1318" w:type="dxa"/>
            <w:shd w:val="clear" w:color="auto" w:fill="D9D9D9" w:themeFill="background1" w:themeFillShade="D9"/>
            <w:noWrap/>
            <w:hideMark/>
          </w:tcPr>
          <w:p w14:paraId="4E236F58" w14:textId="0ED07C52" w:rsidR="00C80243" w:rsidRPr="00F136C3" w:rsidRDefault="00C80243" w:rsidP="00863B14">
            <w:pPr>
              <w:spacing w:line="480" w:lineRule="auto"/>
              <w:rPr>
                <w:rFonts w:asciiTheme="majorHAnsi" w:hAnsiTheme="majorHAnsi"/>
                <w:b/>
                <w:bCs/>
                <w:sz w:val="16"/>
                <w:szCs w:val="16"/>
              </w:rPr>
            </w:pPr>
            <w:r w:rsidRPr="00F136C3">
              <w:rPr>
                <w:rFonts w:asciiTheme="majorHAnsi" w:hAnsiTheme="majorHAnsi"/>
                <w:b/>
                <w:bCs/>
                <w:sz w:val="16"/>
                <w:szCs w:val="16"/>
              </w:rPr>
              <w:t>What is at risk?</w:t>
            </w:r>
          </w:p>
        </w:tc>
        <w:tc>
          <w:tcPr>
            <w:tcW w:w="1631" w:type="dxa"/>
            <w:shd w:val="clear" w:color="auto" w:fill="D9D9D9" w:themeFill="background1" w:themeFillShade="D9"/>
            <w:noWrap/>
            <w:hideMark/>
          </w:tcPr>
          <w:p w14:paraId="407372FD" w14:textId="717B4E2D" w:rsidR="00C80243" w:rsidRPr="00F136C3" w:rsidRDefault="00C80243" w:rsidP="00863B14">
            <w:pPr>
              <w:spacing w:line="480" w:lineRule="auto"/>
              <w:rPr>
                <w:rFonts w:asciiTheme="majorHAnsi" w:hAnsiTheme="majorHAnsi"/>
                <w:b/>
                <w:bCs/>
                <w:sz w:val="16"/>
                <w:szCs w:val="16"/>
              </w:rPr>
            </w:pPr>
            <w:r w:rsidRPr="00F136C3">
              <w:rPr>
                <w:rFonts w:asciiTheme="majorHAnsi" w:hAnsiTheme="majorHAnsi"/>
                <w:b/>
                <w:bCs/>
                <w:sz w:val="16"/>
                <w:szCs w:val="16"/>
              </w:rPr>
              <w:t>Geographical scope of the system at risk</w:t>
            </w:r>
          </w:p>
        </w:tc>
        <w:tc>
          <w:tcPr>
            <w:tcW w:w="1021" w:type="dxa"/>
            <w:shd w:val="clear" w:color="auto" w:fill="D9D9D9" w:themeFill="background1" w:themeFillShade="D9"/>
            <w:noWrap/>
            <w:hideMark/>
          </w:tcPr>
          <w:p w14:paraId="280F1C98" w14:textId="77777777" w:rsidR="00C80243" w:rsidRPr="00F136C3" w:rsidRDefault="00C80243" w:rsidP="00863B14">
            <w:pPr>
              <w:spacing w:line="480" w:lineRule="auto"/>
              <w:rPr>
                <w:rFonts w:asciiTheme="majorHAnsi" w:hAnsiTheme="majorHAnsi"/>
                <w:b/>
                <w:bCs/>
                <w:sz w:val="16"/>
                <w:szCs w:val="16"/>
              </w:rPr>
            </w:pPr>
            <w:r w:rsidRPr="00F136C3">
              <w:rPr>
                <w:rFonts w:asciiTheme="majorHAnsi" w:hAnsiTheme="majorHAnsi"/>
                <w:b/>
                <w:bCs/>
                <w:sz w:val="16"/>
                <w:szCs w:val="16"/>
              </w:rPr>
              <w:t>Time horizon</w:t>
            </w:r>
          </w:p>
        </w:tc>
        <w:tc>
          <w:tcPr>
            <w:tcW w:w="4548" w:type="dxa"/>
            <w:shd w:val="clear" w:color="auto" w:fill="D9D9D9" w:themeFill="background1" w:themeFillShade="D9"/>
            <w:noWrap/>
            <w:hideMark/>
          </w:tcPr>
          <w:p w14:paraId="66C8AE09" w14:textId="77777777" w:rsidR="00C80243" w:rsidRPr="00F136C3" w:rsidRDefault="00C80243" w:rsidP="00863B14">
            <w:pPr>
              <w:spacing w:line="480" w:lineRule="auto"/>
              <w:rPr>
                <w:rFonts w:asciiTheme="majorHAnsi" w:hAnsiTheme="majorHAnsi"/>
                <w:b/>
                <w:bCs/>
                <w:sz w:val="16"/>
                <w:szCs w:val="16"/>
              </w:rPr>
            </w:pPr>
            <w:r w:rsidRPr="00F136C3">
              <w:rPr>
                <w:rFonts w:asciiTheme="majorHAnsi" w:hAnsiTheme="majorHAnsi"/>
                <w:b/>
                <w:bCs/>
                <w:sz w:val="16"/>
                <w:szCs w:val="16"/>
              </w:rPr>
              <w:t>Anticipated risk</w:t>
            </w:r>
          </w:p>
        </w:tc>
        <w:tc>
          <w:tcPr>
            <w:tcW w:w="3972" w:type="dxa"/>
            <w:shd w:val="clear" w:color="auto" w:fill="D9D9D9" w:themeFill="background1" w:themeFillShade="D9"/>
            <w:noWrap/>
            <w:hideMark/>
          </w:tcPr>
          <w:p w14:paraId="3C3361EB" w14:textId="77777777" w:rsidR="00C80243" w:rsidRPr="00F136C3" w:rsidRDefault="00C80243" w:rsidP="00863B14">
            <w:pPr>
              <w:spacing w:line="480" w:lineRule="auto"/>
              <w:rPr>
                <w:rFonts w:asciiTheme="majorHAnsi" w:hAnsiTheme="majorHAnsi"/>
                <w:b/>
                <w:bCs/>
                <w:sz w:val="16"/>
                <w:szCs w:val="16"/>
              </w:rPr>
            </w:pPr>
            <w:r w:rsidRPr="00F136C3">
              <w:rPr>
                <w:rFonts w:asciiTheme="majorHAnsi" w:hAnsiTheme="majorHAnsi"/>
                <w:b/>
                <w:bCs/>
                <w:sz w:val="16"/>
                <w:szCs w:val="16"/>
              </w:rPr>
              <w:t>Objective</w:t>
            </w:r>
          </w:p>
        </w:tc>
      </w:tr>
      <w:tr w:rsidR="00C80243" w:rsidRPr="002E3AC2" w14:paraId="6DCE34E5" w14:textId="77777777" w:rsidTr="00C80243">
        <w:trPr>
          <w:trHeight w:val="91"/>
        </w:trPr>
        <w:tc>
          <w:tcPr>
            <w:tcW w:w="1967" w:type="dxa"/>
          </w:tcPr>
          <w:p w14:paraId="2E08762E" w14:textId="20F4C72C" w:rsidR="00C80243" w:rsidRPr="00F136C3" w:rsidRDefault="00C80243" w:rsidP="00863B14">
            <w:pPr>
              <w:spacing w:line="480" w:lineRule="auto"/>
              <w:rPr>
                <w:rFonts w:asciiTheme="majorHAnsi" w:hAnsiTheme="majorHAnsi"/>
                <w:sz w:val="16"/>
                <w:szCs w:val="16"/>
              </w:rPr>
            </w:pPr>
            <w:proofErr w:type="spellStart"/>
            <w:r>
              <w:rPr>
                <w:rFonts w:ascii="Calibri" w:hAnsi="Calibri"/>
                <w:color w:val="000000"/>
                <w:sz w:val="16"/>
                <w:szCs w:val="16"/>
              </w:rPr>
              <w:t>Oakdene</w:t>
            </w:r>
            <w:proofErr w:type="spellEnd"/>
            <w:r>
              <w:rPr>
                <w:rFonts w:ascii="Calibri" w:hAnsi="Calibri"/>
                <w:color w:val="000000"/>
                <w:sz w:val="16"/>
                <w:szCs w:val="16"/>
              </w:rPr>
              <w:t xml:space="preserve"> Hollins (</w:t>
            </w:r>
            <w:r w:rsidRPr="00F136C3">
              <w:rPr>
                <w:rFonts w:ascii="Calibri" w:hAnsi="Calibri"/>
                <w:color w:val="000000"/>
                <w:sz w:val="16"/>
                <w:szCs w:val="16"/>
              </w:rPr>
              <w:t>OH</w:t>
            </w:r>
            <w:r>
              <w:rPr>
                <w:rFonts w:ascii="Calibri" w:hAnsi="Calibri"/>
                <w:color w:val="000000"/>
                <w:sz w:val="16"/>
                <w:szCs w:val="16"/>
              </w:rPr>
              <w:t>)</w:t>
            </w:r>
            <w:r w:rsidRPr="00F136C3">
              <w:rPr>
                <w:rFonts w:ascii="Calibri" w:hAnsi="Calibri"/>
                <w:color w:val="000000"/>
                <w:sz w:val="16"/>
                <w:szCs w:val="16"/>
              </w:rPr>
              <w:t xml:space="preserve"> </w:t>
            </w:r>
            <w:r w:rsidRPr="00F136C3">
              <w:rPr>
                <w:rFonts w:ascii="Calibri" w:hAnsi="Calibri"/>
                <w:color w:val="000000"/>
                <w:sz w:val="16"/>
                <w:szCs w:val="16"/>
              </w:rPr>
              <w:fldChar w:fldCharType="begin" w:fldLock="1"/>
            </w:r>
            <w:r>
              <w:rPr>
                <w:rFonts w:ascii="Calibri" w:hAnsi="Calibri"/>
                <w:color w:val="000000"/>
                <w:sz w:val="16"/>
                <w:szCs w:val="16"/>
              </w:rPr>
              <w:instrText>ADDIN CSL_CITATION {"citationItems":[{"id":"ITEM-1","itemData":{"ISBN":"9781906237035","ISSN":"0040-5965","PMID":"1020016","abstract":"The climate of waste management is changing into one of resource recovery. The public awareness of ‘green issues’ means that many companies are including real environmental targets within their corporate social responsibility statements, an approach supported by BERR. End of life and indeed ‘second life’ issues of products such as cars and electronics are now becoming eco-design development criteria. The larger waste handling companies are becoming recycling organisations as opposed to logistic specialists and increasing their portfolio of innovation technologies in everything from thermal recovery unit to advanced material separation plants. It has been demonstrated many times that good design can aid recovery of materials for them to be used again. Good design complemented by effective collection, reuse and recycling of the materials we already have will help ensure their long-term availability. The conclusion of this report not only points out the size of challenge facing us but also the opportunity for UK companies to take a world wide lead to avert a material supply crisis.","author":[{"dropping-particle":"","family":"Morley","given":"Nick","non-dropping-particle":"","parse-names":false,"suffix":""},{"dropping-particle":"","family":"Eatherley","given":"Dan","non-dropping-particle":"","parse-names":false,"suffix":""}],"id":"ITEM-1","issued":{"date-parts":[["2008"]]},"number-of-pages":"288","title":"Material Security - Ensuring Resource Availability for the UK Economy","type":"book"},"uris":["http://www.mendeley.com/documents/?uuid=cf8cd3f3-218f-4bfa-8ff3-51ba9da58247"]}],"mendeley":{"formattedCitation":"(Morley and Eatherley, 2008)","plainTextFormattedCitation":"(Morley and Eatherley, 2008)","previouslyFormattedCitation":"(Morley and Eatherley, 2008)"},"properties":{"noteIndex":0},"schema":"https://github.com/citation-style-language/schema/raw/master/csl-citation.json"}</w:instrText>
            </w:r>
            <w:r w:rsidRPr="00F136C3">
              <w:rPr>
                <w:rFonts w:ascii="Calibri" w:hAnsi="Calibri"/>
                <w:color w:val="000000"/>
                <w:sz w:val="16"/>
                <w:szCs w:val="16"/>
              </w:rPr>
              <w:fldChar w:fldCharType="separate"/>
            </w:r>
            <w:r w:rsidRPr="002B45EF">
              <w:rPr>
                <w:rFonts w:ascii="Calibri" w:hAnsi="Calibri"/>
                <w:noProof/>
                <w:color w:val="000000"/>
                <w:sz w:val="16"/>
                <w:szCs w:val="16"/>
              </w:rPr>
              <w:t>(Morley and Eatherley, 2008)</w:t>
            </w:r>
            <w:r w:rsidRPr="00F136C3">
              <w:rPr>
                <w:rFonts w:ascii="Calibri" w:hAnsi="Calibri"/>
                <w:color w:val="000000"/>
                <w:sz w:val="16"/>
                <w:szCs w:val="16"/>
              </w:rPr>
              <w:fldChar w:fldCharType="end"/>
            </w:r>
          </w:p>
        </w:tc>
        <w:tc>
          <w:tcPr>
            <w:tcW w:w="570" w:type="dxa"/>
          </w:tcPr>
          <w:p w14:paraId="12A3D9F4" w14:textId="3D20C65F" w:rsidR="00C80243" w:rsidRPr="00A43E79" w:rsidRDefault="00C80243" w:rsidP="00863B14">
            <w:pPr>
              <w:spacing w:line="480" w:lineRule="auto"/>
              <w:rPr>
                <w:rFonts w:ascii="Calibri" w:hAnsi="Calibri"/>
                <w:color w:val="000000"/>
                <w:sz w:val="16"/>
                <w:szCs w:val="16"/>
              </w:rPr>
            </w:pPr>
            <w:r w:rsidRPr="00AE56AD">
              <w:rPr>
                <w:rFonts w:ascii="Calibri" w:hAnsi="Calibri"/>
                <w:color w:val="000000"/>
                <w:sz w:val="16"/>
                <w:szCs w:val="16"/>
              </w:rPr>
              <w:t>2008</w:t>
            </w:r>
          </w:p>
        </w:tc>
        <w:tc>
          <w:tcPr>
            <w:tcW w:w="1318" w:type="dxa"/>
          </w:tcPr>
          <w:p w14:paraId="4D477EC4" w14:textId="3A4F635E"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Economy</w:t>
            </w:r>
          </w:p>
        </w:tc>
        <w:tc>
          <w:tcPr>
            <w:tcW w:w="1631" w:type="dxa"/>
          </w:tcPr>
          <w:p w14:paraId="4AD6FA79" w14:textId="793D93A1"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UK</w:t>
            </w:r>
          </w:p>
        </w:tc>
        <w:tc>
          <w:tcPr>
            <w:tcW w:w="1021" w:type="dxa"/>
          </w:tcPr>
          <w:p w14:paraId="3453C28F" w14:textId="4A5592EE"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Few decades</w:t>
            </w:r>
          </w:p>
        </w:tc>
        <w:tc>
          <w:tcPr>
            <w:tcW w:w="4548" w:type="dxa"/>
          </w:tcPr>
          <w:p w14:paraId="0C5BB02F" w14:textId="4EAE3E68" w:rsidR="00C80243" w:rsidRPr="00F136C3" w:rsidRDefault="00C80243" w:rsidP="00863B14">
            <w:pPr>
              <w:spacing w:line="480" w:lineRule="auto"/>
              <w:rPr>
                <w:rFonts w:asciiTheme="majorHAnsi" w:hAnsiTheme="majorHAnsi"/>
                <w:sz w:val="16"/>
                <w:szCs w:val="16"/>
              </w:rPr>
            </w:pPr>
            <w:r>
              <w:rPr>
                <w:rFonts w:ascii="Calibri" w:hAnsi="Calibri"/>
                <w:color w:val="000000"/>
                <w:sz w:val="16"/>
                <w:szCs w:val="16"/>
              </w:rPr>
              <w:t>Insecure material supply, due to high price increases, shortages of supply, resource nationalism, a high concentration of supplying companies, or high environmental impacts can negatively impact economic sectors.</w:t>
            </w:r>
          </w:p>
        </w:tc>
        <w:tc>
          <w:tcPr>
            <w:tcW w:w="3972" w:type="dxa"/>
          </w:tcPr>
          <w:p w14:paraId="1504A22C" w14:textId="5078BF56"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 </w:t>
            </w:r>
            <w:r>
              <w:rPr>
                <w:rFonts w:ascii="Calibri" w:hAnsi="Calibri"/>
                <w:color w:val="000000"/>
                <w:sz w:val="16"/>
                <w:szCs w:val="16"/>
              </w:rPr>
              <w:t>Inform policy makers, innovation support bodies and business on the need for resource efficiency strategies.</w:t>
            </w:r>
          </w:p>
        </w:tc>
      </w:tr>
      <w:tr w:rsidR="00C80243" w:rsidRPr="002E3AC2" w14:paraId="077AF8F9" w14:textId="77777777" w:rsidTr="00C80243">
        <w:trPr>
          <w:trHeight w:val="251"/>
        </w:trPr>
        <w:tc>
          <w:tcPr>
            <w:tcW w:w="1967" w:type="dxa"/>
          </w:tcPr>
          <w:p w14:paraId="1AD016E7" w14:textId="2B496F5F"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 xml:space="preserve">NRC </w:t>
            </w:r>
            <w:r w:rsidRPr="00F136C3">
              <w:rPr>
                <w:rFonts w:ascii="Calibri" w:hAnsi="Calibri"/>
                <w:color w:val="000000"/>
                <w:sz w:val="16"/>
                <w:szCs w:val="16"/>
              </w:rPr>
              <w:fldChar w:fldCharType="begin" w:fldLock="1"/>
            </w:r>
            <w:r>
              <w:rPr>
                <w:rFonts w:ascii="Calibri" w:hAnsi="Calibri"/>
                <w:color w:val="000000"/>
                <w:sz w:val="16"/>
                <w:szCs w:val="16"/>
              </w:rPr>
              <w:instrText>ADDIN CSL_CITATION {"citationItems":[{"id":"ITEM-1","itemData":{"ISBN":"9780309112826","author":[{"dropping-particle":"","family":"NRC","given":"","non-dropping-particle":"","parse-names":false,"suffix":""}],"id":"ITEM-1","issued":{"date-parts":[["2008"]]},"title":"Minerals, Critical Minerals, and the U.S. Economy","type":"book"},"uris":["http://www.mendeley.com/documents/?uuid=c497332d-bffb-4542-bab0-356058aaa020"]}],"mendeley":{"formattedCitation":"(NRC, 2008)","plainTextFormattedCitation":"(NRC, 2008)","previouslyFormattedCitation":"(NRC, 2008)"},"properties":{"noteIndex":0},"schema":"https://github.com/citation-style-language/schema/raw/master/csl-citation.json"}</w:instrText>
            </w:r>
            <w:r w:rsidRPr="00F136C3">
              <w:rPr>
                <w:rFonts w:ascii="Calibri" w:hAnsi="Calibri"/>
                <w:color w:val="000000"/>
                <w:sz w:val="16"/>
                <w:szCs w:val="16"/>
              </w:rPr>
              <w:fldChar w:fldCharType="separate"/>
            </w:r>
            <w:r w:rsidRPr="002B45EF">
              <w:rPr>
                <w:rFonts w:ascii="Calibri" w:hAnsi="Calibri"/>
                <w:noProof/>
                <w:color w:val="000000"/>
                <w:sz w:val="16"/>
                <w:szCs w:val="16"/>
              </w:rPr>
              <w:t>(NRC, 2008)</w:t>
            </w:r>
            <w:r w:rsidRPr="00F136C3">
              <w:rPr>
                <w:rFonts w:ascii="Calibri" w:hAnsi="Calibri"/>
                <w:color w:val="000000"/>
                <w:sz w:val="16"/>
                <w:szCs w:val="16"/>
              </w:rPr>
              <w:fldChar w:fldCharType="end"/>
            </w:r>
          </w:p>
        </w:tc>
        <w:tc>
          <w:tcPr>
            <w:tcW w:w="570" w:type="dxa"/>
          </w:tcPr>
          <w:p w14:paraId="4DF4B98B" w14:textId="2D66F990" w:rsidR="00C80243" w:rsidRPr="00A43E79" w:rsidRDefault="00C80243" w:rsidP="00863B14">
            <w:pPr>
              <w:spacing w:line="480" w:lineRule="auto"/>
              <w:rPr>
                <w:rFonts w:ascii="Calibri" w:hAnsi="Calibri"/>
                <w:color w:val="000000"/>
                <w:sz w:val="16"/>
                <w:szCs w:val="16"/>
              </w:rPr>
            </w:pPr>
            <w:r w:rsidRPr="00AE56AD">
              <w:rPr>
                <w:rFonts w:ascii="Calibri" w:hAnsi="Calibri"/>
                <w:color w:val="000000"/>
                <w:sz w:val="16"/>
                <w:szCs w:val="16"/>
              </w:rPr>
              <w:t>2008</w:t>
            </w:r>
          </w:p>
        </w:tc>
        <w:tc>
          <w:tcPr>
            <w:tcW w:w="1318" w:type="dxa"/>
          </w:tcPr>
          <w:p w14:paraId="1822B0AD" w14:textId="32ED2016"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Domestic economy</w:t>
            </w:r>
          </w:p>
        </w:tc>
        <w:tc>
          <w:tcPr>
            <w:tcW w:w="1631" w:type="dxa"/>
          </w:tcPr>
          <w:p w14:paraId="05E0AC0D" w14:textId="1C0A9B35"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USA</w:t>
            </w:r>
          </w:p>
        </w:tc>
        <w:tc>
          <w:tcPr>
            <w:tcW w:w="1021" w:type="dxa"/>
          </w:tcPr>
          <w:p w14:paraId="173521FA" w14:textId="5DF0F29B"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&lt; 10 years</w:t>
            </w:r>
          </w:p>
        </w:tc>
        <w:tc>
          <w:tcPr>
            <w:tcW w:w="4548" w:type="dxa"/>
          </w:tcPr>
          <w:p w14:paraId="6C653096" w14:textId="7F98008B"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Physical unavailability of materials, high and/or volatile material prices, disruptions to economic activity</w:t>
            </w:r>
          </w:p>
        </w:tc>
        <w:tc>
          <w:tcPr>
            <w:tcW w:w="3972" w:type="dxa"/>
          </w:tcPr>
          <w:p w14:paraId="5712CE23" w14:textId="3C31DD7B"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Establish a general conceptual framework for evaluating material criticality, which specific users can customize to their own situations</w:t>
            </w:r>
          </w:p>
        </w:tc>
      </w:tr>
      <w:tr w:rsidR="00C80243" w:rsidRPr="002E3AC2" w14:paraId="29E43467" w14:textId="77777777" w:rsidTr="00C80243">
        <w:trPr>
          <w:trHeight w:val="432"/>
        </w:trPr>
        <w:tc>
          <w:tcPr>
            <w:tcW w:w="1967" w:type="dxa"/>
          </w:tcPr>
          <w:p w14:paraId="13AE28C0" w14:textId="2065011A" w:rsidR="00C80243" w:rsidRPr="00BB28E5" w:rsidRDefault="00C80243" w:rsidP="00863B14">
            <w:pPr>
              <w:spacing w:line="480" w:lineRule="auto"/>
              <w:rPr>
                <w:rFonts w:asciiTheme="majorHAnsi" w:hAnsiTheme="majorHAnsi"/>
                <w:sz w:val="16"/>
                <w:szCs w:val="16"/>
                <w:lang w:val="fr-FR"/>
              </w:rPr>
            </w:pPr>
            <w:r w:rsidRPr="00BB28E5">
              <w:rPr>
                <w:rFonts w:ascii="Calibri" w:hAnsi="Calibri"/>
                <w:color w:val="000000"/>
                <w:sz w:val="16"/>
                <w:szCs w:val="16"/>
                <w:lang w:val="fr-FR"/>
              </w:rPr>
              <w:t>General El</w:t>
            </w:r>
            <w:r>
              <w:rPr>
                <w:rFonts w:ascii="Calibri" w:hAnsi="Calibri"/>
                <w:color w:val="000000"/>
                <w:sz w:val="16"/>
                <w:szCs w:val="16"/>
                <w:lang w:val="fr-FR"/>
              </w:rPr>
              <w:t>ectric (</w:t>
            </w:r>
            <w:r w:rsidRPr="00BB28E5">
              <w:rPr>
                <w:rFonts w:ascii="Calibri" w:hAnsi="Calibri"/>
                <w:color w:val="000000"/>
                <w:sz w:val="16"/>
                <w:szCs w:val="16"/>
                <w:lang w:val="fr-FR"/>
              </w:rPr>
              <w:t>GE</w:t>
            </w:r>
            <w:r>
              <w:rPr>
                <w:rFonts w:ascii="Calibri" w:hAnsi="Calibri"/>
                <w:color w:val="000000"/>
                <w:sz w:val="16"/>
                <w:szCs w:val="16"/>
                <w:lang w:val="fr-FR"/>
              </w:rPr>
              <w:t>)</w:t>
            </w:r>
            <w:r w:rsidRPr="00BB28E5">
              <w:rPr>
                <w:rFonts w:ascii="Calibri" w:hAnsi="Calibri"/>
                <w:color w:val="000000"/>
                <w:sz w:val="16"/>
                <w:szCs w:val="16"/>
                <w:lang w:val="fr-FR"/>
              </w:rPr>
              <w:t xml:space="preserve"> </w:t>
            </w:r>
            <w:r w:rsidRPr="00F136C3">
              <w:rPr>
                <w:rFonts w:ascii="Calibri" w:hAnsi="Calibri"/>
                <w:color w:val="000000"/>
                <w:sz w:val="16"/>
                <w:szCs w:val="16"/>
              </w:rPr>
              <w:fldChar w:fldCharType="begin" w:fldLock="1"/>
            </w:r>
            <w:r>
              <w:rPr>
                <w:rFonts w:ascii="Calibri" w:hAnsi="Calibri"/>
                <w:color w:val="000000"/>
                <w:sz w:val="16"/>
                <w:szCs w:val="16"/>
                <w:lang w:val="fr-FR"/>
              </w:rPr>
              <w:instrText>ADDIN CSL_CITATION {"citationItems":[{"id":"ITEM-1","itemData":{"author":[{"dropping-particle":"","family":"Duclos","given":"Steven J","non-dropping-particle":"","parse-names":false,"suffix":""},{"dropping-particle":"","family":"Otto","given":"Jeffrey P","non-dropping-particle":"","parse-names":false,"suffix":""},{"dropping-particle":"","family":"Konitzer","given":"Douglas G","non-dropping-particle":"","parse-names":false,"suffix":""}],"container-title":"Mechanical Engineering","id":"ITEM-1","issue":"September","issued":{"date-parts":[["2010"]]},"page":"36-40","title":"Design in an era of constrained resources","type":"article-journal"},"uris":["http://www.mendeley.com/documents/?uuid=602ede93-98a7-44af-a7ed-96185e05f12f"]}],"mendeley":{"formattedCitation":"(Duclos et al., 2010)","plainTextFormattedCitation":"(Duclos et al., 2010)","previouslyFormattedCitation":"(Duclos et al., 2010)"},"properties":{"noteIndex":0},"schema":"https://github.com/citation-style-language/schema/raw/master/csl-citation.json"}</w:instrText>
            </w:r>
            <w:r w:rsidRPr="00F136C3">
              <w:rPr>
                <w:rFonts w:ascii="Calibri" w:hAnsi="Calibri"/>
                <w:color w:val="000000"/>
                <w:sz w:val="16"/>
                <w:szCs w:val="16"/>
              </w:rPr>
              <w:fldChar w:fldCharType="separate"/>
            </w:r>
            <w:r w:rsidRPr="002B45EF">
              <w:rPr>
                <w:rFonts w:ascii="Calibri" w:hAnsi="Calibri"/>
                <w:noProof/>
                <w:color w:val="000000"/>
                <w:sz w:val="16"/>
                <w:szCs w:val="16"/>
                <w:lang w:val="fr-FR"/>
              </w:rPr>
              <w:t>(Duclos et al., 2010)</w:t>
            </w:r>
            <w:r w:rsidRPr="00F136C3">
              <w:rPr>
                <w:rFonts w:ascii="Calibri" w:hAnsi="Calibri"/>
                <w:color w:val="000000"/>
                <w:sz w:val="16"/>
                <w:szCs w:val="16"/>
              </w:rPr>
              <w:fldChar w:fldCharType="end"/>
            </w:r>
          </w:p>
        </w:tc>
        <w:tc>
          <w:tcPr>
            <w:tcW w:w="570" w:type="dxa"/>
          </w:tcPr>
          <w:p w14:paraId="5EE14C0B" w14:textId="6280D4FD" w:rsidR="00C80243" w:rsidRPr="00A43E79" w:rsidRDefault="00C80243" w:rsidP="00863B14">
            <w:pPr>
              <w:spacing w:line="480" w:lineRule="auto"/>
              <w:rPr>
                <w:rFonts w:ascii="Calibri" w:hAnsi="Calibri"/>
                <w:color w:val="000000"/>
                <w:sz w:val="16"/>
                <w:szCs w:val="16"/>
              </w:rPr>
            </w:pPr>
            <w:r w:rsidRPr="00AE56AD">
              <w:rPr>
                <w:rFonts w:ascii="Calibri" w:hAnsi="Calibri"/>
                <w:color w:val="000000"/>
                <w:sz w:val="16"/>
                <w:szCs w:val="16"/>
              </w:rPr>
              <w:t>2008</w:t>
            </w:r>
          </w:p>
        </w:tc>
        <w:tc>
          <w:tcPr>
            <w:tcW w:w="1318" w:type="dxa"/>
          </w:tcPr>
          <w:p w14:paraId="7F81A9D3" w14:textId="407EE343"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Company operations</w:t>
            </w:r>
          </w:p>
        </w:tc>
        <w:tc>
          <w:tcPr>
            <w:tcW w:w="1631" w:type="dxa"/>
          </w:tcPr>
          <w:p w14:paraId="2C5D11F1" w14:textId="0B13D550"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Global</w:t>
            </w:r>
          </w:p>
        </w:tc>
        <w:tc>
          <w:tcPr>
            <w:tcW w:w="1021" w:type="dxa"/>
          </w:tcPr>
          <w:p w14:paraId="098621FF" w14:textId="12EB2399"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Not explicit</w:t>
            </w:r>
          </w:p>
        </w:tc>
        <w:tc>
          <w:tcPr>
            <w:tcW w:w="4548" w:type="dxa"/>
          </w:tcPr>
          <w:p w14:paraId="79D2E623" w14:textId="0D9CF2B4" w:rsidR="00C80243" w:rsidRPr="00F136C3" w:rsidRDefault="00C80243" w:rsidP="00863B14">
            <w:pPr>
              <w:spacing w:line="480" w:lineRule="auto"/>
              <w:rPr>
                <w:rFonts w:asciiTheme="majorHAnsi" w:hAnsiTheme="majorHAnsi"/>
                <w:sz w:val="16"/>
                <w:szCs w:val="16"/>
              </w:rPr>
            </w:pPr>
            <w:r>
              <w:rPr>
                <w:rFonts w:ascii="Calibri" w:hAnsi="Calibri"/>
                <w:color w:val="000000"/>
                <w:sz w:val="16"/>
                <w:szCs w:val="16"/>
              </w:rPr>
              <w:t>Increased economic growth, increased reliance on raw materials and sustainability challenges affects the company’s supply chain.</w:t>
            </w:r>
          </w:p>
        </w:tc>
        <w:tc>
          <w:tcPr>
            <w:tcW w:w="3972" w:type="dxa"/>
          </w:tcPr>
          <w:p w14:paraId="171C0B24" w14:textId="600A8EAC"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Identify exposure to supply risks and guide selection of appropriate mitigation actions</w:t>
            </w:r>
          </w:p>
        </w:tc>
      </w:tr>
      <w:tr w:rsidR="00C80243" w:rsidRPr="002E3AC2" w14:paraId="49A2A80B" w14:textId="77777777" w:rsidTr="00C80243">
        <w:trPr>
          <w:trHeight w:val="504"/>
        </w:trPr>
        <w:tc>
          <w:tcPr>
            <w:tcW w:w="1967" w:type="dxa"/>
          </w:tcPr>
          <w:p w14:paraId="32BB2278" w14:textId="27BF3D94"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Rosenau-</w:t>
            </w:r>
            <w:proofErr w:type="spellStart"/>
            <w:r w:rsidRPr="00F136C3">
              <w:rPr>
                <w:rFonts w:ascii="Calibri" w:hAnsi="Calibri"/>
                <w:color w:val="000000"/>
                <w:sz w:val="16"/>
                <w:szCs w:val="16"/>
              </w:rPr>
              <w:t>Tornow</w:t>
            </w:r>
            <w:proofErr w:type="spellEnd"/>
            <w:r w:rsidRPr="00F136C3">
              <w:rPr>
                <w:rFonts w:ascii="Calibri" w:hAnsi="Calibri"/>
                <w:color w:val="000000"/>
                <w:sz w:val="16"/>
                <w:szCs w:val="16"/>
              </w:rPr>
              <w:t xml:space="preserve"> </w:t>
            </w:r>
            <w:r w:rsidRPr="00F136C3">
              <w:rPr>
                <w:rFonts w:ascii="Calibri" w:hAnsi="Calibri"/>
                <w:color w:val="000000"/>
                <w:sz w:val="16"/>
                <w:szCs w:val="16"/>
              </w:rPr>
              <w:fldChar w:fldCharType="begin" w:fldLock="1"/>
            </w:r>
            <w:r>
              <w:rPr>
                <w:rFonts w:ascii="Calibri" w:hAnsi="Calibri"/>
                <w:color w:val="000000"/>
                <w:sz w:val="16"/>
                <w:szCs w:val="16"/>
              </w:rPr>
              <w:instrText>ADDIN CSL_CITATION {"citationItems":[{"id":"ITEM-1","itemData":{"DOI":"10.1016/j.resourpol.2009.07.001","ISBN":"0301-4207","ISSN":"03014207","abstract":"This paper develops a method for identifying and assessing long-term supply risks for mineral raw materials. The method is based on a combined evaluation of past and future supply and demand trends. By analysing raw material boom and bust cycles over the past 50 years, we have quantified indicators and defined benchmarks for identifying critical market situations. By applying the method, risks for supply shortage may be identified at an early stage. In addition, a numerical evaluation model has been developed for better comparison between various mineral raw materials. Compared to other assessment methods this method uses specific benchmarks for each raw material to better assess supply risks. The method is embedded within a systematic and comprehensive analytical approach. Based on this model, companies can make better informed decisions for their market assessment and may use suitable risk mitigation instruments to counteract problematic developments. Understanding future supply conditions is especially useful when selecting new technologies for products which require an intensive use of raw materials. As an example, the method is applied to the copper market as of 2006. It is important to emphasise that nobody can foresee the future of raw material prices. But we may aim to better understand the weaknesses of these markets which may lead to future supply shortages thus influencing price. © 2009 Elsevier Ltd. All rights reserved.","author":[{"dropping-particle":"","family":"Rosenau-Tornow","given":"Dirk","non-dropping-particle":"","parse-names":false,"suffix":""},{"dropping-particle":"","family":"Buchholz","given":"Peter","non-dropping-particle":"","parse-names":false,"suffix":""},{"dropping-particle":"","family":"Riemann","given":"Axel","non-dropping-particle":"","parse-names":false,"suffix":""},{"dropping-particle":"","family":"Wagner","given":"Markus","non-dropping-particle":"","parse-names":false,"suffix":""}],"container-title":"Resources Policy","id":"ITEM-1","issue":"4","issued":{"date-parts":[["2009"]]},"page":"161-175","publisher":"Elsevier","title":"Assessing the long-term supply risks for mineral raw materials-a combined evaluation of past and future trends","type":"article-journal","volume":"34"},"uris":["http://www.mendeley.com/documents/?uuid=f2fcd178-db1f-4f22-b08e-844d0285a86a"]}],"mendeley":{"formattedCitation":"(Rosenau-Tornow et al., 2009)","plainTextFormattedCitation":"(Rosenau-Tornow et al., 2009)","previouslyFormattedCitation":"(Rosenau-Tornow et al., 2009)"},"properties":{"noteIndex":0},"schema":"https://github.com/citation-style-language/schema/raw/master/csl-citation.json"}</w:instrText>
            </w:r>
            <w:r w:rsidRPr="00F136C3">
              <w:rPr>
                <w:rFonts w:ascii="Calibri" w:hAnsi="Calibri"/>
                <w:color w:val="000000"/>
                <w:sz w:val="16"/>
                <w:szCs w:val="16"/>
              </w:rPr>
              <w:fldChar w:fldCharType="separate"/>
            </w:r>
            <w:r w:rsidRPr="002B45EF">
              <w:rPr>
                <w:rFonts w:ascii="Calibri" w:hAnsi="Calibri"/>
                <w:noProof/>
                <w:color w:val="000000"/>
                <w:sz w:val="16"/>
                <w:szCs w:val="16"/>
              </w:rPr>
              <w:t>(Rosenau-Tornow et al., 2009)</w:t>
            </w:r>
            <w:r w:rsidRPr="00F136C3">
              <w:rPr>
                <w:rFonts w:ascii="Calibri" w:hAnsi="Calibri"/>
                <w:color w:val="000000"/>
                <w:sz w:val="16"/>
                <w:szCs w:val="16"/>
              </w:rPr>
              <w:fldChar w:fldCharType="end"/>
            </w:r>
          </w:p>
        </w:tc>
        <w:tc>
          <w:tcPr>
            <w:tcW w:w="570" w:type="dxa"/>
          </w:tcPr>
          <w:p w14:paraId="1ED88C14" w14:textId="0377D949" w:rsidR="00C80243" w:rsidRPr="00A43E79" w:rsidRDefault="00C80243" w:rsidP="00863B14">
            <w:pPr>
              <w:spacing w:line="480" w:lineRule="auto"/>
              <w:rPr>
                <w:rFonts w:ascii="Calibri" w:hAnsi="Calibri"/>
                <w:color w:val="000000"/>
                <w:sz w:val="16"/>
                <w:szCs w:val="16"/>
              </w:rPr>
            </w:pPr>
            <w:r w:rsidRPr="00AE56AD">
              <w:rPr>
                <w:rFonts w:ascii="Calibri" w:hAnsi="Calibri"/>
                <w:color w:val="000000"/>
                <w:sz w:val="16"/>
                <w:szCs w:val="16"/>
              </w:rPr>
              <w:t>2009</w:t>
            </w:r>
          </w:p>
        </w:tc>
        <w:tc>
          <w:tcPr>
            <w:tcW w:w="1318" w:type="dxa"/>
          </w:tcPr>
          <w:p w14:paraId="61D73F70" w14:textId="042F1F83"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Not specified</w:t>
            </w:r>
          </w:p>
        </w:tc>
        <w:tc>
          <w:tcPr>
            <w:tcW w:w="1631" w:type="dxa"/>
          </w:tcPr>
          <w:p w14:paraId="19A990B2" w14:textId="1FED8638"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Not specified</w:t>
            </w:r>
          </w:p>
        </w:tc>
        <w:tc>
          <w:tcPr>
            <w:tcW w:w="1021" w:type="dxa"/>
          </w:tcPr>
          <w:p w14:paraId="1920AA73" w14:textId="7642C3F1"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5-15 years</w:t>
            </w:r>
          </w:p>
        </w:tc>
        <w:tc>
          <w:tcPr>
            <w:tcW w:w="4548" w:type="dxa"/>
          </w:tcPr>
          <w:p w14:paraId="1537B095" w14:textId="59178B7A" w:rsidR="00C80243" w:rsidRPr="00F136C3" w:rsidRDefault="00C80243" w:rsidP="00863B14">
            <w:pPr>
              <w:spacing w:line="480" w:lineRule="auto"/>
              <w:rPr>
                <w:rFonts w:asciiTheme="majorHAnsi" w:hAnsiTheme="majorHAnsi"/>
                <w:sz w:val="16"/>
                <w:szCs w:val="16"/>
              </w:rPr>
            </w:pPr>
            <w:r>
              <w:rPr>
                <w:rFonts w:ascii="Calibri" w:hAnsi="Calibri"/>
                <w:color w:val="000000"/>
                <w:sz w:val="16"/>
                <w:szCs w:val="16"/>
              </w:rPr>
              <w:t>Potential supply shortages due to demand growth and supply from politically instable countries.</w:t>
            </w:r>
          </w:p>
        </w:tc>
        <w:tc>
          <w:tcPr>
            <w:tcW w:w="3972" w:type="dxa"/>
          </w:tcPr>
          <w:p w14:paraId="4070FCE5" w14:textId="10105845"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Improve decision-making in companies in their selection of new technologies, anticipate critical market situations, implement mitigation measures</w:t>
            </w:r>
          </w:p>
        </w:tc>
      </w:tr>
      <w:tr w:rsidR="00863B14" w:rsidRPr="002E3AC2" w14:paraId="1F924579" w14:textId="77777777" w:rsidTr="00C80243">
        <w:trPr>
          <w:trHeight w:val="233"/>
        </w:trPr>
        <w:tc>
          <w:tcPr>
            <w:tcW w:w="1967" w:type="dxa"/>
          </w:tcPr>
          <w:p w14:paraId="00159973" w14:textId="2108F799" w:rsidR="00863B14" w:rsidRPr="00AE56AD" w:rsidRDefault="00863B14" w:rsidP="00863B14">
            <w:pPr>
              <w:spacing w:line="480" w:lineRule="auto"/>
              <w:rPr>
                <w:rFonts w:asciiTheme="majorHAnsi" w:hAnsiTheme="majorHAnsi"/>
                <w:sz w:val="16"/>
                <w:szCs w:val="16"/>
                <w:lang w:val="nl-NL"/>
              </w:rPr>
            </w:pPr>
            <w:r w:rsidRPr="00AE56AD">
              <w:rPr>
                <w:rFonts w:ascii="Calibri" w:hAnsi="Calibri"/>
                <w:color w:val="000000"/>
                <w:sz w:val="16"/>
                <w:szCs w:val="16"/>
                <w:lang w:val="nl-NL"/>
              </w:rPr>
              <w:t xml:space="preserve">NEDO </w:t>
            </w:r>
            <w:r w:rsidRPr="00F136C3">
              <w:rPr>
                <w:rFonts w:ascii="Calibri" w:hAnsi="Calibri"/>
                <w:color w:val="000000"/>
                <w:sz w:val="16"/>
                <w:szCs w:val="16"/>
              </w:rPr>
              <w:fldChar w:fldCharType="begin" w:fldLock="1"/>
            </w:r>
            <w:r>
              <w:rPr>
                <w:rFonts w:ascii="Calibri" w:hAnsi="Calibri"/>
                <w:color w:val="000000"/>
                <w:sz w:val="16"/>
                <w:szCs w:val="16"/>
                <w:lang w:val="nl-NL"/>
              </w:rPr>
              <w:instrText>ADDIN CSL_CITATION {"citationItems":[{"id":"ITEM-1","itemData":{"author":[{"dropping-particle":"","family":"NEDO","given":"","non-dropping-particle":"","parse-names":false,"suffix":""}],"id":"ITEM-1","issued":{"date-parts":[["2009"]]},"publisher-place":"Tokyo","title":"Trend Report of Development in Materials for Substitution of Scarce Metals","type":"report"},"uris":["http://www.mendeley.com/documents/?uuid=1334a262-12b0-40ae-a5aa-132e2a1597f0"]},{"id":"ITEM-2","itemData":{"DOI":"10.2320/matertrans.M2014380","ISSN":"1345-9678","abstract":"Criticality assessment of metals has been developed to analyze a country’s supply risk and vulnerability to supply restriction. This study presents Japan’s criticality of 22 metals during 2012. Whereas a past assessment focused only on minor metals, evaluation targets here included both common and minor metals. In addition, a new analytic method included mineral interest sufficiency as a criticality component. The evaluation framework developed in this study included 13 criticality components within five risk categories: supply risk, price risk, demand risk, recycling restriction, and potential risk. Weighting factors were used to aggregate components into a single score. This framework reflects a recent government announcement about Japan’s resource strategy. High criticality was found for neodymium, dysprosium, and indium due to a recent increase in demand. Niobium also had high criticality due to production concentration in Brazil. There were few differences in the aggregated criticality scores between the other minor metals and common metals. For minor metals, aggregated criticality was mainly increased by production concentration and recycling difficulty. For common metals, aggregated criticality was increased by short depletion time and growth in global mine production. Compared with a previous study, in 2012 the criticality of tungsten and tantalum were lower due to reduced domestic demand. The analytic methods and results presented in this study will be useful in developing Japan’s resource strategy.","author":[{"dropping-particle":"","family":"Hatayama","given":"Hiroki","non-dropping-particle":"","parse-names":false,"suffix":""},{"dropping-particle":"","family":"Tahara","given":"Kiyotaka","non-dropping-particle":"","parse-names":false,"suffix":""}],"container-title":"Materials Transactions","id":"ITEM-2","issue":"2","issued":{"date-parts":[["2015"]]},"page":"229-235","title":"Criticality Assessment of Metals for Japan ' s Resource Strategy","type":"article-journal","volume":"56"},"uris":["http://www.mendeley.com/documents/?uuid=6493d4bd-9ca1-4c25-9292-321a17821921"]}],"mendeley":{"formattedCitation":"(Hatayama and Tahara, 2015; NEDO, 2009)","plainTextFormattedCitation":"(Hatayama and Tahara, 2015; NEDO, 2009)","previouslyFormattedCitation":"(Hatayama and Tahara, 2015; NEDO, 2009)"},"properties":{"noteIndex":0},"schema":"https://github.com/citation-style-language/schema/raw/master/csl-citation.json"}</w:instrText>
            </w:r>
            <w:r w:rsidRPr="00F136C3">
              <w:rPr>
                <w:rFonts w:ascii="Calibri" w:hAnsi="Calibri"/>
                <w:color w:val="000000"/>
                <w:sz w:val="16"/>
                <w:szCs w:val="16"/>
              </w:rPr>
              <w:fldChar w:fldCharType="separate"/>
            </w:r>
            <w:r w:rsidRPr="002B45EF">
              <w:rPr>
                <w:rFonts w:ascii="Calibri" w:hAnsi="Calibri"/>
                <w:noProof/>
                <w:color w:val="000000"/>
                <w:sz w:val="16"/>
                <w:szCs w:val="16"/>
                <w:lang w:val="nl-NL"/>
              </w:rPr>
              <w:t>(Hatayama and Tahara, 2015; NEDO, 2009)</w:t>
            </w:r>
            <w:r w:rsidRPr="00F136C3">
              <w:rPr>
                <w:rFonts w:ascii="Calibri" w:hAnsi="Calibri"/>
                <w:color w:val="000000"/>
                <w:sz w:val="16"/>
                <w:szCs w:val="16"/>
              </w:rPr>
              <w:fldChar w:fldCharType="end"/>
            </w:r>
          </w:p>
        </w:tc>
        <w:tc>
          <w:tcPr>
            <w:tcW w:w="570" w:type="dxa"/>
          </w:tcPr>
          <w:p w14:paraId="53D550B7" w14:textId="27D78429" w:rsidR="00863B14" w:rsidRPr="00A43E79" w:rsidRDefault="00863B14" w:rsidP="00863B14">
            <w:pPr>
              <w:spacing w:line="480" w:lineRule="auto"/>
              <w:rPr>
                <w:rFonts w:ascii="Calibri" w:hAnsi="Calibri"/>
                <w:color w:val="000000"/>
                <w:sz w:val="16"/>
                <w:szCs w:val="16"/>
              </w:rPr>
            </w:pPr>
            <w:r w:rsidRPr="00AE56AD">
              <w:rPr>
                <w:rFonts w:ascii="Calibri" w:hAnsi="Calibri"/>
                <w:color w:val="000000"/>
                <w:sz w:val="16"/>
                <w:szCs w:val="16"/>
              </w:rPr>
              <w:t>2009</w:t>
            </w:r>
          </w:p>
        </w:tc>
        <w:tc>
          <w:tcPr>
            <w:tcW w:w="1318" w:type="dxa"/>
          </w:tcPr>
          <w:p w14:paraId="0D526635" w14:textId="7482AA89" w:rsidR="00863B14" w:rsidRPr="00F136C3" w:rsidRDefault="00863B14" w:rsidP="00863B14">
            <w:pPr>
              <w:spacing w:line="480" w:lineRule="auto"/>
              <w:rPr>
                <w:rFonts w:asciiTheme="majorHAnsi" w:hAnsiTheme="majorHAnsi"/>
                <w:sz w:val="16"/>
                <w:szCs w:val="16"/>
              </w:rPr>
            </w:pPr>
            <w:r w:rsidRPr="00F136C3">
              <w:rPr>
                <w:rFonts w:ascii="Calibri" w:hAnsi="Calibri"/>
                <w:color w:val="000000"/>
                <w:sz w:val="16"/>
                <w:szCs w:val="16"/>
              </w:rPr>
              <w:t>Economy</w:t>
            </w:r>
          </w:p>
        </w:tc>
        <w:tc>
          <w:tcPr>
            <w:tcW w:w="1631" w:type="dxa"/>
          </w:tcPr>
          <w:p w14:paraId="2D27C011" w14:textId="08C581DB" w:rsidR="00863B14" w:rsidRPr="00863B14" w:rsidRDefault="00863B14" w:rsidP="00863B14">
            <w:pPr>
              <w:spacing w:line="480" w:lineRule="auto"/>
              <w:rPr>
                <w:rFonts w:asciiTheme="majorHAnsi" w:hAnsiTheme="majorHAnsi"/>
                <w:sz w:val="16"/>
                <w:szCs w:val="16"/>
              </w:rPr>
            </w:pPr>
            <w:r w:rsidRPr="00863B14">
              <w:rPr>
                <w:rFonts w:ascii="Calibri" w:hAnsi="Calibri"/>
                <w:color w:val="000000"/>
                <w:sz w:val="16"/>
                <w:szCs w:val="16"/>
              </w:rPr>
              <w:t>Japan</w:t>
            </w:r>
          </w:p>
        </w:tc>
        <w:tc>
          <w:tcPr>
            <w:tcW w:w="1021" w:type="dxa"/>
          </w:tcPr>
          <w:p w14:paraId="69002A95" w14:textId="219D46DC" w:rsidR="00863B14" w:rsidRPr="00C76C95" w:rsidRDefault="00863B14" w:rsidP="00863B14">
            <w:pPr>
              <w:spacing w:line="480" w:lineRule="auto"/>
              <w:rPr>
                <w:rFonts w:asciiTheme="majorHAnsi" w:hAnsiTheme="majorHAnsi"/>
                <w:sz w:val="16"/>
                <w:szCs w:val="16"/>
              </w:rPr>
            </w:pPr>
            <w:r w:rsidRPr="00C76C95">
              <w:rPr>
                <w:rFonts w:ascii="Calibri" w:hAnsi="Calibri"/>
                <w:color w:val="000000"/>
                <w:sz w:val="16"/>
                <w:szCs w:val="16"/>
                <w:lang w:eastAsia="ja-JP"/>
              </w:rPr>
              <w:t xml:space="preserve">Short term </w:t>
            </w:r>
          </w:p>
        </w:tc>
        <w:tc>
          <w:tcPr>
            <w:tcW w:w="4548" w:type="dxa"/>
          </w:tcPr>
          <w:p w14:paraId="466E913C" w14:textId="003BCD54" w:rsidR="00863B14" w:rsidRPr="00C76C95" w:rsidRDefault="00863B14" w:rsidP="00863B14">
            <w:pPr>
              <w:spacing w:line="480" w:lineRule="auto"/>
              <w:rPr>
                <w:rFonts w:asciiTheme="majorHAnsi" w:hAnsiTheme="majorHAnsi"/>
                <w:sz w:val="16"/>
                <w:szCs w:val="16"/>
              </w:rPr>
            </w:pPr>
            <w:r w:rsidRPr="00C76C95">
              <w:rPr>
                <w:rFonts w:ascii="Calibri" w:hAnsi="Calibri"/>
                <w:color w:val="000000"/>
                <w:sz w:val="16"/>
                <w:szCs w:val="16"/>
              </w:rPr>
              <w:t xml:space="preserve">Supply, price and demand risk, recycling restrictions on 39 minor metals, and their potential risks </w:t>
            </w:r>
            <w:r>
              <w:rPr>
                <w:rFonts w:ascii="Calibri" w:hAnsi="Calibri"/>
                <w:color w:val="000000"/>
                <w:sz w:val="16"/>
                <w:szCs w:val="16"/>
              </w:rPr>
              <w:t>related to</w:t>
            </w:r>
            <w:r w:rsidRPr="00C76C95">
              <w:rPr>
                <w:rFonts w:ascii="Calibri" w:hAnsi="Calibri"/>
                <w:color w:val="000000"/>
                <w:sz w:val="16"/>
                <w:szCs w:val="16"/>
              </w:rPr>
              <w:t xml:space="preserve"> environmental aspects </w:t>
            </w:r>
          </w:p>
        </w:tc>
        <w:tc>
          <w:tcPr>
            <w:tcW w:w="3972" w:type="dxa"/>
          </w:tcPr>
          <w:p w14:paraId="4F5C360C" w14:textId="5E17053D" w:rsidR="00863B14" w:rsidRPr="00F136C3" w:rsidRDefault="00863B14" w:rsidP="00863B14">
            <w:pPr>
              <w:spacing w:line="480" w:lineRule="auto"/>
              <w:rPr>
                <w:rFonts w:asciiTheme="majorHAnsi" w:hAnsiTheme="majorHAnsi"/>
                <w:sz w:val="16"/>
                <w:szCs w:val="16"/>
              </w:rPr>
            </w:pPr>
            <w:r w:rsidRPr="00F136C3">
              <w:rPr>
                <w:rFonts w:ascii="Calibri" w:hAnsi="Calibri"/>
                <w:color w:val="000000"/>
                <w:sz w:val="16"/>
                <w:szCs w:val="16"/>
              </w:rPr>
              <w:t>Identify need for the development of substitutes</w:t>
            </w:r>
          </w:p>
        </w:tc>
      </w:tr>
      <w:tr w:rsidR="00C80243" w:rsidRPr="002E3AC2" w14:paraId="42117DA9" w14:textId="77777777" w:rsidTr="00C80243">
        <w:trPr>
          <w:trHeight w:val="91"/>
        </w:trPr>
        <w:tc>
          <w:tcPr>
            <w:tcW w:w="1967" w:type="dxa"/>
          </w:tcPr>
          <w:p w14:paraId="49800800" w14:textId="774EA7FA" w:rsidR="00C80243" w:rsidRPr="00BB28E5" w:rsidRDefault="00C80243" w:rsidP="00863B14">
            <w:pPr>
              <w:spacing w:line="480" w:lineRule="auto"/>
              <w:rPr>
                <w:rFonts w:asciiTheme="majorHAnsi" w:hAnsiTheme="majorHAnsi"/>
                <w:sz w:val="16"/>
                <w:szCs w:val="16"/>
                <w:lang w:val="fr-FR"/>
              </w:rPr>
            </w:pPr>
            <w:proofErr w:type="spellStart"/>
            <w:r>
              <w:rPr>
                <w:rFonts w:ascii="Calibri" w:hAnsi="Calibri"/>
                <w:color w:val="000000"/>
                <w:sz w:val="16"/>
                <w:szCs w:val="16"/>
                <w:lang w:val="fr-FR"/>
              </w:rPr>
              <w:t>Ö</w:t>
            </w:r>
            <w:r w:rsidRPr="00BB28E5">
              <w:rPr>
                <w:rFonts w:ascii="Calibri" w:hAnsi="Calibri"/>
                <w:color w:val="000000"/>
                <w:sz w:val="16"/>
                <w:szCs w:val="16"/>
                <w:lang w:val="fr-FR"/>
              </w:rPr>
              <w:t>ko</w:t>
            </w:r>
            <w:proofErr w:type="spellEnd"/>
            <w:r w:rsidRPr="00BB28E5">
              <w:rPr>
                <w:rFonts w:ascii="Calibri" w:hAnsi="Calibri"/>
                <w:color w:val="000000"/>
                <w:sz w:val="16"/>
                <w:szCs w:val="16"/>
                <w:lang w:val="fr-FR"/>
              </w:rPr>
              <w:t>-</w:t>
            </w:r>
            <w:r w:rsidR="00497462">
              <w:rPr>
                <w:rFonts w:ascii="Calibri" w:hAnsi="Calibri"/>
                <w:color w:val="000000"/>
                <w:sz w:val="16"/>
                <w:szCs w:val="16"/>
                <w:lang w:val="fr-FR"/>
              </w:rPr>
              <w:t>I</w:t>
            </w:r>
            <w:r w:rsidRPr="00BB28E5">
              <w:rPr>
                <w:rFonts w:ascii="Calibri" w:hAnsi="Calibri"/>
                <w:color w:val="000000"/>
                <w:sz w:val="16"/>
                <w:szCs w:val="16"/>
                <w:lang w:val="fr-FR"/>
              </w:rPr>
              <w:t xml:space="preserve">nstitut </w:t>
            </w:r>
            <w:r w:rsidRPr="00F136C3">
              <w:rPr>
                <w:rFonts w:ascii="Calibri" w:hAnsi="Calibri"/>
                <w:color w:val="000000"/>
                <w:sz w:val="16"/>
                <w:szCs w:val="16"/>
              </w:rPr>
              <w:fldChar w:fldCharType="begin" w:fldLock="1"/>
            </w:r>
            <w:r>
              <w:rPr>
                <w:rFonts w:ascii="Calibri" w:hAnsi="Calibri"/>
                <w:color w:val="000000"/>
                <w:sz w:val="16"/>
                <w:szCs w:val="16"/>
                <w:lang w:val="fr-FR"/>
              </w:rPr>
              <w:instrText>ADDIN CSL_CITATION {"citationItems":[{"id":"ITEM-1","itemData":{"ISBN":"4444444444444","ISSN":"4444444444444","abstract":"The focus of this study lies on future sustainable technologies (FST), such as renewable energies and energy efficient technologies, which will make use of indium (In), germanium (Ge), tantalum (Ta), PGM [platinum group metals, such as ruthenium (Ru), platinum (Pt) and palladium (Pd)], tellurium (Te), cobalt (Co), lithium (Li), gallium (Ga) and RE (rare earths). These are also classified as ‘green minor metals’, which are the basis for cleaner technology innovation. Other interesting metals like titanium or magnesium (used for light weight applications) are not addressed by this study but should be also an issue for further UNEP investigations and activities in the future.","author":[{"dropping-particle":"","family":"Buchert","given":"Matthias","non-dropping-particle":"","parse-names":false,"suffix":""},{"dropping-particle":"","family":"Schüler","given":"Doris","non-dropping-particle":"","parse-names":false,"suffix":""},{"dropping-particle":"","family":"Bleher","given":"Daniel","non-dropping-particle":"","parse-names":false,"suffix":""}],"container-title":"UNEP","id":"ITEM-1","issued":{"date-parts":[["2009"]]},"number-of-pages":"107","title":"Critical Metals for Future Sustainable Technologies and their Recycling Potential","type":"report"},"uris":["http://www.mendeley.com/documents/?uuid=e2764928-ca62-4fff-a548-3d3232d089e9"]}],"mendeley":{"formattedCitation":"(Buchert et al., 2009)","plainTextFormattedCitation":"(Buchert et al., 2009)","previouslyFormattedCitation":"(Buchert et al., 2009)"},"properties":{"noteIndex":0},"schema":"https://github.com/citation-style-language/schema/raw/master/csl-citation.json"}</w:instrText>
            </w:r>
            <w:r w:rsidRPr="00F136C3">
              <w:rPr>
                <w:rFonts w:ascii="Calibri" w:hAnsi="Calibri"/>
                <w:color w:val="000000"/>
                <w:sz w:val="16"/>
                <w:szCs w:val="16"/>
              </w:rPr>
              <w:fldChar w:fldCharType="separate"/>
            </w:r>
            <w:r w:rsidRPr="002B45EF">
              <w:rPr>
                <w:rFonts w:ascii="Calibri" w:hAnsi="Calibri"/>
                <w:noProof/>
                <w:color w:val="000000"/>
                <w:sz w:val="16"/>
                <w:szCs w:val="16"/>
                <w:lang w:val="fr-FR"/>
              </w:rPr>
              <w:t>(Buchert et al., 2009)</w:t>
            </w:r>
            <w:r w:rsidRPr="00F136C3">
              <w:rPr>
                <w:rFonts w:ascii="Calibri" w:hAnsi="Calibri"/>
                <w:color w:val="000000"/>
                <w:sz w:val="16"/>
                <w:szCs w:val="16"/>
              </w:rPr>
              <w:fldChar w:fldCharType="end"/>
            </w:r>
          </w:p>
        </w:tc>
        <w:tc>
          <w:tcPr>
            <w:tcW w:w="570" w:type="dxa"/>
          </w:tcPr>
          <w:p w14:paraId="72739068" w14:textId="11F5ED0B" w:rsidR="00C80243" w:rsidRPr="00A43E79" w:rsidRDefault="00C80243" w:rsidP="00863B14">
            <w:pPr>
              <w:spacing w:line="480" w:lineRule="auto"/>
              <w:rPr>
                <w:rFonts w:ascii="Calibri" w:hAnsi="Calibri"/>
                <w:color w:val="000000"/>
                <w:sz w:val="16"/>
                <w:szCs w:val="16"/>
              </w:rPr>
            </w:pPr>
            <w:r w:rsidRPr="00AE56AD">
              <w:rPr>
                <w:rFonts w:ascii="Calibri" w:hAnsi="Calibri"/>
                <w:color w:val="000000"/>
                <w:sz w:val="16"/>
                <w:szCs w:val="16"/>
              </w:rPr>
              <w:t>2009</w:t>
            </w:r>
          </w:p>
        </w:tc>
        <w:tc>
          <w:tcPr>
            <w:tcW w:w="1318" w:type="dxa"/>
          </w:tcPr>
          <w:p w14:paraId="0B6ABC0C" w14:textId="39865B91"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Sustainable energy technologies</w:t>
            </w:r>
          </w:p>
        </w:tc>
        <w:tc>
          <w:tcPr>
            <w:tcW w:w="1631" w:type="dxa"/>
          </w:tcPr>
          <w:p w14:paraId="18BCCE9C" w14:textId="420C6232"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Global</w:t>
            </w:r>
          </w:p>
        </w:tc>
        <w:tc>
          <w:tcPr>
            <w:tcW w:w="1021" w:type="dxa"/>
          </w:tcPr>
          <w:p w14:paraId="1E4EFDA2" w14:textId="701FE171"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NA</w:t>
            </w:r>
          </w:p>
        </w:tc>
        <w:tc>
          <w:tcPr>
            <w:tcW w:w="4548" w:type="dxa"/>
          </w:tcPr>
          <w:p w14:paraId="5764E3DA" w14:textId="12189E9F"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Combined demand growth, supply risks, and recycling restrictions result in a limited availability of materials that are needed in sustainable technologies</w:t>
            </w:r>
          </w:p>
        </w:tc>
        <w:tc>
          <w:tcPr>
            <w:tcW w:w="3972" w:type="dxa"/>
          </w:tcPr>
          <w:p w14:paraId="3378F310" w14:textId="3430DB83" w:rsidR="00C80243" w:rsidRPr="00F136C3" w:rsidRDefault="00C80243" w:rsidP="00863B14">
            <w:pPr>
              <w:spacing w:line="480" w:lineRule="auto"/>
              <w:rPr>
                <w:rFonts w:asciiTheme="majorHAnsi" w:hAnsiTheme="majorHAnsi"/>
                <w:sz w:val="16"/>
                <w:szCs w:val="16"/>
              </w:rPr>
            </w:pPr>
            <w:proofErr w:type="spellStart"/>
            <w:r w:rsidRPr="00F136C3">
              <w:rPr>
                <w:rFonts w:ascii="Calibri" w:hAnsi="Calibri"/>
                <w:color w:val="000000"/>
                <w:sz w:val="16"/>
                <w:szCs w:val="16"/>
              </w:rPr>
              <w:t>Analyse</w:t>
            </w:r>
            <w:proofErr w:type="spellEnd"/>
            <w:r w:rsidRPr="00F136C3">
              <w:rPr>
                <w:rFonts w:ascii="Calibri" w:hAnsi="Calibri"/>
                <w:color w:val="000000"/>
                <w:sz w:val="16"/>
                <w:szCs w:val="16"/>
              </w:rPr>
              <w:t xml:space="preserve"> the availability and recycling potential of critical metals and identify framework conditions that enhance their recycling</w:t>
            </w:r>
          </w:p>
        </w:tc>
      </w:tr>
      <w:tr w:rsidR="00C80243" w:rsidRPr="002E3AC2" w14:paraId="7F05632A" w14:textId="77777777" w:rsidTr="00C80243">
        <w:trPr>
          <w:trHeight w:val="109"/>
        </w:trPr>
        <w:tc>
          <w:tcPr>
            <w:tcW w:w="1967" w:type="dxa"/>
          </w:tcPr>
          <w:p w14:paraId="340E95DC" w14:textId="26913206" w:rsidR="00C80243" w:rsidRPr="00F136C3" w:rsidRDefault="00C80243" w:rsidP="00863B14">
            <w:pPr>
              <w:spacing w:line="480" w:lineRule="auto"/>
              <w:rPr>
                <w:rFonts w:asciiTheme="majorHAnsi" w:hAnsiTheme="majorHAnsi"/>
                <w:sz w:val="16"/>
                <w:szCs w:val="16"/>
              </w:rPr>
            </w:pPr>
            <w:proofErr w:type="spellStart"/>
            <w:r w:rsidRPr="00F136C3">
              <w:rPr>
                <w:rFonts w:ascii="Calibri" w:hAnsi="Calibri"/>
                <w:color w:val="000000"/>
                <w:sz w:val="16"/>
                <w:szCs w:val="16"/>
              </w:rPr>
              <w:t>Angerer</w:t>
            </w:r>
            <w:proofErr w:type="spellEnd"/>
            <w:r w:rsidRPr="00F136C3">
              <w:rPr>
                <w:rFonts w:ascii="Calibri" w:hAnsi="Calibri"/>
                <w:color w:val="000000"/>
                <w:sz w:val="16"/>
                <w:szCs w:val="16"/>
              </w:rPr>
              <w:t xml:space="preserve"> </w:t>
            </w:r>
            <w:r w:rsidRPr="00F136C3">
              <w:rPr>
                <w:rFonts w:ascii="Calibri" w:hAnsi="Calibri"/>
                <w:color w:val="000000"/>
                <w:sz w:val="16"/>
                <w:szCs w:val="16"/>
              </w:rPr>
              <w:fldChar w:fldCharType="begin" w:fldLock="1"/>
            </w:r>
            <w:r>
              <w:rPr>
                <w:rFonts w:ascii="Calibri" w:hAnsi="Calibri"/>
                <w:color w:val="000000"/>
                <w:sz w:val="16"/>
                <w:szCs w:val="16"/>
              </w:rPr>
              <w:instrText>ADDIN CSL_CITATION {"citationItems":[{"id":"ITEM-1","itemData":{"ISBN":"9783816779575","author":[{"dropping-particle":"","family":"Angerer","given":"Gerhard","non-dropping-particle":"","parse-names":false,"suffix":""},{"dropping-particle":"","family":"Marscheider-Weidemann","given":"Frank","non-dropping-particle":"","parse-names":false,"suffix":""},{"dropping-particle":"","family":"Lüllmann","given":"Arne","non-dropping-particle":"","parse-names":false,"suffix":""},{"dropping-particle":"","family":"Scharp","given":"Michael","non-dropping-particle":"","parse-names":false,"suffix":""},{"dropping-particle":"","family":"Handke","given":"Volker","non-dropping-particle":"","parse-names":false,"suffix":""},{"dropping-particle":"","family":"Marwede","given":"Max","non-dropping-particle":"","parse-names":false,"suffix":""}],"id":"ITEM-1","issue":"February","issued":{"date-parts":[["2009"]]},"page":"1-15","title":"Raw materials for emerging technologies","type":"article-journal"},"uris":["http://www.mendeley.com/documents/?uuid=206a82f4-0661-43c0-8cb1-6037cf34fdfb"]}],"mendeley":{"formattedCitation":"(Angerer et al., 2009)","plainTextFormattedCitation":"(Angerer et al., 2009)","previouslyFormattedCitation":"(Angerer et al., 2009)"},"properties":{"noteIndex":0},"schema":"https://github.com/citation-style-language/schema/raw/master/csl-citation.json"}</w:instrText>
            </w:r>
            <w:r w:rsidRPr="00F136C3">
              <w:rPr>
                <w:rFonts w:ascii="Calibri" w:hAnsi="Calibri"/>
                <w:color w:val="000000"/>
                <w:sz w:val="16"/>
                <w:szCs w:val="16"/>
              </w:rPr>
              <w:fldChar w:fldCharType="separate"/>
            </w:r>
            <w:r w:rsidRPr="002B45EF">
              <w:rPr>
                <w:rFonts w:ascii="Calibri" w:hAnsi="Calibri"/>
                <w:noProof/>
                <w:color w:val="000000"/>
                <w:sz w:val="16"/>
                <w:szCs w:val="16"/>
              </w:rPr>
              <w:t>(Angerer et al., 2009)</w:t>
            </w:r>
            <w:r w:rsidRPr="00F136C3">
              <w:rPr>
                <w:rFonts w:ascii="Calibri" w:hAnsi="Calibri"/>
                <w:color w:val="000000"/>
                <w:sz w:val="16"/>
                <w:szCs w:val="16"/>
              </w:rPr>
              <w:fldChar w:fldCharType="end"/>
            </w:r>
          </w:p>
        </w:tc>
        <w:tc>
          <w:tcPr>
            <w:tcW w:w="570" w:type="dxa"/>
          </w:tcPr>
          <w:p w14:paraId="4DB0E978" w14:textId="229371CD" w:rsidR="00C80243" w:rsidRPr="00A43E79" w:rsidRDefault="00C80243" w:rsidP="00863B14">
            <w:pPr>
              <w:spacing w:line="480" w:lineRule="auto"/>
              <w:rPr>
                <w:rFonts w:ascii="Calibri" w:hAnsi="Calibri"/>
                <w:color w:val="000000"/>
                <w:sz w:val="16"/>
                <w:szCs w:val="16"/>
              </w:rPr>
            </w:pPr>
            <w:r w:rsidRPr="00AE56AD">
              <w:rPr>
                <w:rFonts w:ascii="Calibri" w:hAnsi="Calibri"/>
                <w:color w:val="000000"/>
                <w:sz w:val="16"/>
                <w:szCs w:val="16"/>
              </w:rPr>
              <w:t>2009</w:t>
            </w:r>
          </w:p>
        </w:tc>
        <w:tc>
          <w:tcPr>
            <w:tcW w:w="1318" w:type="dxa"/>
          </w:tcPr>
          <w:p w14:paraId="1596BC88" w14:textId="5677D19A"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Emerging technologies</w:t>
            </w:r>
          </w:p>
        </w:tc>
        <w:tc>
          <w:tcPr>
            <w:tcW w:w="1631" w:type="dxa"/>
          </w:tcPr>
          <w:p w14:paraId="52CB79C2" w14:textId="615A49CF"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Germany</w:t>
            </w:r>
          </w:p>
        </w:tc>
        <w:tc>
          <w:tcPr>
            <w:tcW w:w="1021" w:type="dxa"/>
          </w:tcPr>
          <w:p w14:paraId="630AE4D6" w14:textId="5FCE6F93"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2030</w:t>
            </w:r>
          </w:p>
        </w:tc>
        <w:tc>
          <w:tcPr>
            <w:tcW w:w="4548" w:type="dxa"/>
          </w:tcPr>
          <w:p w14:paraId="33F9CC05" w14:textId="0D9B5164"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High volatility of prices of raw materials, of which costs contribute largely to manufacturing costs, and high environmental impacts of extraction contribute to unsustainable material use</w:t>
            </w:r>
          </w:p>
        </w:tc>
        <w:tc>
          <w:tcPr>
            <w:tcW w:w="3972" w:type="dxa"/>
          </w:tcPr>
          <w:p w14:paraId="6230A3B6" w14:textId="51620F13"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Inform market actors about potential peaks in demand</w:t>
            </w:r>
          </w:p>
        </w:tc>
      </w:tr>
      <w:tr w:rsidR="00C80243" w:rsidRPr="002E3AC2" w14:paraId="073DC121" w14:textId="77777777" w:rsidTr="00C80243">
        <w:trPr>
          <w:trHeight w:val="109"/>
        </w:trPr>
        <w:tc>
          <w:tcPr>
            <w:tcW w:w="1967" w:type="dxa"/>
          </w:tcPr>
          <w:p w14:paraId="0CBA5199" w14:textId="732385C5"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lastRenderedPageBreak/>
              <w:t xml:space="preserve">USDOE </w:t>
            </w:r>
            <w:r w:rsidRPr="00F136C3">
              <w:rPr>
                <w:rFonts w:ascii="Calibri" w:hAnsi="Calibri"/>
                <w:color w:val="000000"/>
                <w:sz w:val="16"/>
                <w:szCs w:val="16"/>
              </w:rPr>
              <w:fldChar w:fldCharType="begin" w:fldLock="1"/>
            </w:r>
            <w:r>
              <w:rPr>
                <w:rFonts w:ascii="Calibri" w:hAnsi="Calibri"/>
                <w:color w:val="000000"/>
                <w:sz w:val="16"/>
                <w:szCs w:val="16"/>
              </w:rPr>
              <w:instrText>ADDIN CSL_CITATION {"citationItems":[{"id":"ITEM-1","itemData":{"DOI":"10.2172/1000846","ISBN":"9788578110796","ISSN":"1098-6596","PMID":"25246403","abstract":"This report examines the role of rare earth metals and other materials in the clean energy economy. It was prepared by the U.S. Department of Energy (DOE) based on data collected and research performed during 2010. Its main conclusions include: • Several clean energy technologies—including wind turbines, electric vehicles, photovoltaic cells and fluorescent lighting—use materials at risk of supply disruptions in the short term. Those risks will generally decrease in the medium and long term. • Clean energy technologies currently constitute about 20 percent of global consumption of critical materials. As clean energy technologies are deployed more widely in the decades ahead, their share of global consumption of critical materials will likely grow. • Of the materials analyzed, five rare earth metals (dysprosium, neodymium, terbium, europium and yttrium), as well as indium, are assessed as most critical in the short term. For this purpose, “criticality” is a measure that combines importance to the clean energy economy and risk of supply disruption. • Sound policies and strategic investments can reduce the risk of supply disruptions, especially in the medium and long term. • Data with respect to many of the issues considered in this report are sparse. In the report, DOE describes plans to (i) develop its first integrated research agenda addressing critical materials, building on three technical workshops convened by the Department during November and December 2010; (ii) strengthen its capacity for information-gathering on this topic; and (iii) work closely with international partners, including Japan and Europe, to reduce vulnerability to supply disruptions and address critical material needs. DOE will work with other stakeholders— including interagency colleagues, Congress and the public—to shape policy tools that strengthen the United States’ strategic capabilities. DOE also announces its plan to develop an updated critical materials strategy, based upon additional events and information, by the end of 2011.","author":[{"dropping-particle":"","family":"Bauer","given":"Diana","non-dropping-particle":"","parse-names":false,"suffix":""},{"dropping-particle":"","family":"Diamond","given":"David","non-dropping-particle":"","parse-names":false,"suffix":""},{"dropping-particle":"","family":"Li","given":"Jennifer","non-dropping-particle":"","parse-names":false,"suffix":""},{"dropping-particle":"","family":"Sandalow","given":"David","non-dropping-particle":"","parse-names":false,"suffix":""},{"dropping-particle":"","family":"Telleen","given":"Paul","non-dropping-particle":"","parse-names":false,"suffix":""},{"dropping-particle":"","family":"Wanner","given":"Brent","non-dropping-particle":"","parse-names":false,"suffix":""}],"container-title":"Agenda","id":"ITEM-1","issue":"December","issued":{"date-parts":[["2010"]]},"number-of-pages":"1-166","title":"US Department of Energy: Critical Materials Strategy, December 2010","type":"report"},"uris":["http://www.mendeley.com/documents/?uuid=4f014edf-8575-43ab-a857-a01c02427623"]}],"mendeley":{"formattedCitation":"(Bauer et al., 2010)","plainTextFormattedCitation":"(Bauer et al., 2010)","previouslyFormattedCitation":"(Bauer et al., 2010)"},"properties":{"noteIndex":0},"schema":"https://github.com/citation-style-language/schema/raw/master/csl-citation.json"}</w:instrText>
            </w:r>
            <w:r w:rsidRPr="00F136C3">
              <w:rPr>
                <w:rFonts w:ascii="Calibri" w:hAnsi="Calibri"/>
                <w:color w:val="000000"/>
                <w:sz w:val="16"/>
                <w:szCs w:val="16"/>
              </w:rPr>
              <w:fldChar w:fldCharType="separate"/>
            </w:r>
            <w:r w:rsidRPr="002B45EF">
              <w:rPr>
                <w:rFonts w:ascii="Calibri" w:hAnsi="Calibri"/>
                <w:noProof/>
                <w:color w:val="000000"/>
                <w:sz w:val="16"/>
                <w:szCs w:val="16"/>
              </w:rPr>
              <w:t>(Bauer et al., 2010)</w:t>
            </w:r>
            <w:r w:rsidRPr="00F136C3">
              <w:rPr>
                <w:rFonts w:ascii="Calibri" w:hAnsi="Calibri"/>
                <w:color w:val="000000"/>
                <w:sz w:val="16"/>
                <w:szCs w:val="16"/>
              </w:rPr>
              <w:fldChar w:fldCharType="end"/>
            </w:r>
          </w:p>
        </w:tc>
        <w:tc>
          <w:tcPr>
            <w:tcW w:w="570" w:type="dxa"/>
          </w:tcPr>
          <w:p w14:paraId="7E16CC42" w14:textId="0D817ECC" w:rsidR="00C80243" w:rsidRPr="00A43E79" w:rsidRDefault="00C80243" w:rsidP="00863B14">
            <w:pPr>
              <w:spacing w:line="480" w:lineRule="auto"/>
              <w:rPr>
                <w:rFonts w:ascii="Calibri" w:hAnsi="Calibri"/>
                <w:color w:val="000000"/>
                <w:sz w:val="16"/>
                <w:szCs w:val="16"/>
              </w:rPr>
            </w:pPr>
            <w:r w:rsidRPr="00AE56AD">
              <w:rPr>
                <w:rFonts w:ascii="Calibri" w:hAnsi="Calibri"/>
                <w:color w:val="000000"/>
                <w:sz w:val="16"/>
                <w:szCs w:val="16"/>
              </w:rPr>
              <w:t>2010</w:t>
            </w:r>
          </w:p>
        </w:tc>
        <w:tc>
          <w:tcPr>
            <w:tcW w:w="1318" w:type="dxa"/>
          </w:tcPr>
          <w:p w14:paraId="3EC0474F" w14:textId="16F98959"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Deployment of renewable/efficient energy technologies</w:t>
            </w:r>
          </w:p>
        </w:tc>
        <w:tc>
          <w:tcPr>
            <w:tcW w:w="1631" w:type="dxa"/>
          </w:tcPr>
          <w:p w14:paraId="717C6AC0" w14:textId="373629DB"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Global</w:t>
            </w:r>
          </w:p>
        </w:tc>
        <w:tc>
          <w:tcPr>
            <w:tcW w:w="1021" w:type="dxa"/>
          </w:tcPr>
          <w:p w14:paraId="4D184BC6" w14:textId="33F08502"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0-5 years and 5-15 years</w:t>
            </w:r>
          </w:p>
        </w:tc>
        <w:tc>
          <w:tcPr>
            <w:tcW w:w="4548" w:type="dxa"/>
          </w:tcPr>
          <w:p w14:paraId="381FC6DE" w14:textId="2D2B7E63"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Disruptions of supply in the short term of materials that are important for clean energy technologies</w:t>
            </w:r>
          </w:p>
        </w:tc>
        <w:tc>
          <w:tcPr>
            <w:tcW w:w="3972" w:type="dxa"/>
          </w:tcPr>
          <w:p w14:paraId="12BA117E" w14:textId="39E9279E"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Assess risks and opportunities, inform the public dialogue, and identify possible program and policy directions</w:t>
            </w:r>
          </w:p>
        </w:tc>
      </w:tr>
      <w:tr w:rsidR="00C80243" w:rsidRPr="002E3AC2" w14:paraId="6E0806B9" w14:textId="77777777" w:rsidTr="00C80243">
        <w:trPr>
          <w:trHeight w:val="482"/>
        </w:trPr>
        <w:tc>
          <w:tcPr>
            <w:tcW w:w="1967" w:type="dxa"/>
          </w:tcPr>
          <w:p w14:paraId="6726C4DC" w14:textId="5F9ED442"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 xml:space="preserve">Thomason </w:t>
            </w:r>
            <w:r w:rsidRPr="00F136C3">
              <w:rPr>
                <w:rFonts w:ascii="Calibri" w:hAnsi="Calibri"/>
                <w:color w:val="000000"/>
                <w:sz w:val="16"/>
                <w:szCs w:val="16"/>
              </w:rPr>
              <w:fldChar w:fldCharType="begin" w:fldLock="1"/>
            </w:r>
            <w:r>
              <w:rPr>
                <w:rFonts w:ascii="Calibri" w:hAnsi="Calibri"/>
                <w:color w:val="000000"/>
                <w:sz w:val="16"/>
                <w:szCs w:val="16"/>
              </w:rPr>
              <w:instrText>ADDIN CSL_CITATION {"citationItems":[{"id":"ITEM-1","itemData":{"author":[{"dropping-particle":"","family":"Thomason","given":"James S.","non-dropping-particle":"","parse-names":false,"suffix":""},{"dropping-particle":"","family":"Atwell, Robert","given":"J.","non-dropping-particle":"","parse-names":false,"suffix":""},{"dropping-particle":"","family":"Bajraktari","given":"Ylli","non-dropping-particle":"","parse-names":false,"suffix":""},{"dropping-particle":"","family":"Bell","given":"James P.","non-dropping-particle":"","parse-names":false,"suffix":""},{"dropping-particle":"","family":"Barnett","given":"D. Sean","non-dropping-particle":"","parse-names":false,"suffix":""},{"dropping-particle":"","family":"Karvonides","given":"Nicholas S.J.","non-dropping-particle":"","parse-names":false,"suffix":""},{"dropping-particle":"","family":"Niles","given":"Michael F.","non-dropping-particle":"","parse-names":false,"suffix":""},{"dropping-particle":"","family":"Schwartz","given":"Eleanor L.","non-dropping-particle":"","parse-names":false,"suffix":""}],"container-title":"IDA: Institute for Defense Analyses","id":"ITEM-1","issue":"May","issued":{"date-parts":[["2010"]]},"title":"From National Defense Stockpile (NDS) to Strategic Materials Security Program (SMSP): Evidence and Analytic Support","type":"article-journal","volume":"I"},"uris":["http://www.mendeley.com/documents/?uuid=8badcd14-f86f-4873-b650-00073cdda20b"]}],"mendeley":{"formattedCitation":"(Thomason et al., 2010)","plainTextFormattedCitation":"(Thomason et al., 2010)","previouslyFormattedCitation":"(Thomason et al., 2010)"},"properties":{"noteIndex":0},"schema":"https://github.com/citation-style-language/schema/raw/master/csl-citation.json"}</w:instrText>
            </w:r>
            <w:r w:rsidRPr="00F136C3">
              <w:rPr>
                <w:rFonts w:ascii="Calibri" w:hAnsi="Calibri"/>
                <w:color w:val="000000"/>
                <w:sz w:val="16"/>
                <w:szCs w:val="16"/>
              </w:rPr>
              <w:fldChar w:fldCharType="separate"/>
            </w:r>
            <w:r w:rsidRPr="002B45EF">
              <w:rPr>
                <w:rFonts w:ascii="Calibri" w:hAnsi="Calibri"/>
                <w:noProof/>
                <w:color w:val="000000"/>
                <w:sz w:val="16"/>
                <w:szCs w:val="16"/>
              </w:rPr>
              <w:t>(Thomason et al., 2010)</w:t>
            </w:r>
            <w:r w:rsidRPr="00F136C3">
              <w:rPr>
                <w:rFonts w:ascii="Calibri" w:hAnsi="Calibri"/>
                <w:color w:val="000000"/>
                <w:sz w:val="16"/>
                <w:szCs w:val="16"/>
              </w:rPr>
              <w:fldChar w:fldCharType="end"/>
            </w:r>
          </w:p>
        </w:tc>
        <w:tc>
          <w:tcPr>
            <w:tcW w:w="570" w:type="dxa"/>
          </w:tcPr>
          <w:p w14:paraId="5E82B01E" w14:textId="3BEA09DD" w:rsidR="00C80243" w:rsidRPr="00A43E79" w:rsidRDefault="00C80243" w:rsidP="00863B14">
            <w:pPr>
              <w:spacing w:line="480" w:lineRule="auto"/>
              <w:rPr>
                <w:rFonts w:ascii="Calibri" w:hAnsi="Calibri"/>
                <w:color w:val="000000"/>
                <w:sz w:val="16"/>
                <w:szCs w:val="16"/>
              </w:rPr>
            </w:pPr>
            <w:r w:rsidRPr="00AE56AD">
              <w:rPr>
                <w:rFonts w:ascii="Calibri" w:hAnsi="Calibri"/>
                <w:color w:val="000000"/>
                <w:sz w:val="16"/>
                <w:szCs w:val="16"/>
              </w:rPr>
              <w:t>2010</w:t>
            </w:r>
          </w:p>
        </w:tc>
        <w:tc>
          <w:tcPr>
            <w:tcW w:w="1318" w:type="dxa"/>
          </w:tcPr>
          <w:p w14:paraId="236B53D0" w14:textId="4BA6F145"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Defense</w:t>
            </w:r>
          </w:p>
        </w:tc>
        <w:tc>
          <w:tcPr>
            <w:tcW w:w="1631" w:type="dxa"/>
          </w:tcPr>
          <w:p w14:paraId="677B0669" w14:textId="2BB8D1A8"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USA</w:t>
            </w:r>
          </w:p>
        </w:tc>
        <w:tc>
          <w:tcPr>
            <w:tcW w:w="1021" w:type="dxa"/>
          </w:tcPr>
          <w:p w14:paraId="75B1DEA8" w14:textId="6C4FEABA"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3 years</w:t>
            </w:r>
          </w:p>
        </w:tc>
        <w:tc>
          <w:tcPr>
            <w:tcW w:w="4548" w:type="dxa"/>
          </w:tcPr>
          <w:p w14:paraId="43B7BE2E" w14:textId="50ECD376"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Potential supply shortfalls in case of war</w:t>
            </w:r>
          </w:p>
        </w:tc>
        <w:tc>
          <w:tcPr>
            <w:tcW w:w="3972" w:type="dxa"/>
          </w:tcPr>
          <w:p w14:paraId="729C3772" w14:textId="40A19876"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Identify needs for stockpiling of materials for the defense sector</w:t>
            </w:r>
          </w:p>
        </w:tc>
      </w:tr>
      <w:tr w:rsidR="00C80243" w:rsidRPr="002E3AC2" w14:paraId="734D65CA" w14:textId="77777777" w:rsidTr="00C80243">
        <w:trPr>
          <w:trHeight w:val="233"/>
        </w:trPr>
        <w:tc>
          <w:tcPr>
            <w:tcW w:w="1967" w:type="dxa"/>
          </w:tcPr>
          <w:p w14:paraId="44F6E037" w14:textId="4D337BB0"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 xml:space="preserve">USDOE </w:t>
            </w:r>
            <w:r w:rsidRPr="00F136C3">
              <w:rPr>
                <w:rFonts w:ascii="Calibri" w:hAnsi="Calibri"/>
                <w:color w:val="000000"/>
                <w:sz w:val="16"/>
                <w:szCs w:val="16"/>
              </w:rPr>
              <w:fldChar w:fldCharType="begin" w:fldLock="1"/>
            </w:r>
            <w:r>
              <w:rPr>
                <w:rFonts w:ascii="Calibri" w:hAnsi="Calibri"/>
                <w:color w:val="000000"/>
                <w:sz w:val="16"/>
                <w:szCs w:val="16"/>
              </w:rPr>
              <w:instrText>ADDIN CSL_CITATION {"citationItems":[{"id":"ITEM-1","itemData":{"ISBN":"6505210679","author":[{"dropping-particle":"","family":"U.S. Department of Energy","given":"","non-dropping-particle":"","parse-names":false,"suffix":""}],"id":"ITEM-1","issued":{"date-parts":[["2011"]]},"title":"Critical materials strategy","type":"report"},"uris":["http://www.mendeley.com/documents/?uuid=cdcf9ac9-3f79-4c0f-9af9-42fcef3b01b4"]}],"mendeley":{"formattedCitation":"(U.S. Department of Energy, 2011)","plainTextFormattedCitation":"(U.S. Department of Energy, 2011)","previouslyFormattedCitation":"(U.S. Department of Energy, 2011)"},"properties":{"noteIndex":0},"schema":"https://github.com/citation-style-language/schema/raw/master/csl-citation.json"}</w:instrText>
            </w:r>
            <w:r w:rsidRPr="00F136C3">
              <w:rPr>
                <w:rFonts w:ascii="Calibri" w:hAnsi="Calibri"/>
                <w:color w:val="000000"/>
                <w:sz w:val="16"/>
                <w:szCs w:val="16"/>
              </w:rPr>
              <w:fldChar w:fldCharType="separate"/>
            </w:r>
            <w:r w:rsidRPr="002B45EF">
              <w:rPr>
                <w:rFonts w:ascii="Calibri" w:hAnsi="Calibri"/>
                <w:noProof/>
                <w:color w:val="000000"/>
                <w:sz w:val="16"/>
                <w:szCs w:val="16"/>
              </w:rPr>
              <w:t>(U.S. Department of Energy, 2011)</w:t>
            </w:r>
            <w:r w:rsidRPr="00F136C3">
              <w:rPr>
                <w:rFonts w:ascii="Calibri" w:hAnsi="Calibri"/>
                <w:color w:val="000000"/>
                <w:sz w:val="16"/>
                <w:szCs w:val="16"/>
              </w:rPr>
              <w:fldChar w:fldCharType="end"/>
            </w:r>
          </w:p>
        </w:tc>
        <w:tc>
          <w:tcPr>
            <w:tcW w:w="570" w:type="dxa"/>
          </w:tcPr>
          <w:p w14:paraId="062BD427" w14:textId="1C892E24" w:rsidR="00C80243" w:rsidRPr="00A43E79" w:rsidRDefault="00C80243" w:rsidP="00863B14">
            <w:pPr>
              <w:spacing w:line="480" w:lineRule="auto"/>
              <w:rPr>
                <w:rFonts w:ascii="Calibri" w:hAnsi="Calibri"/>
                <w:color w:val="000000"/>
                <w:sz w:val="16"/>
                <w:szCs w:val="16"/>
              </w:rPr>
            </w:pPr>
            <w:r w:rsidRPr="00AE56AD">
              <w:rPr>
                <w:rFonts w:ascii="Calibri" w:hAnsi="Calibri"/>
                <w:color w:val="000000"/>
                <w:sz w:val="16"/>
                <w:szCs w:val="16"/>
              </w:rPr>
              <w:t>2011</w:t>
            </w:r>
          </w:p>
        </w:tc>
        <w:tc>
          <w:tcPr>
            <w:tcW w:w="1318" w:type="dxa"/>
          </w:tcPr>
          <w:p w14:paraId="1E7AEDAF" w14:textId="56AB56BF"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Deployment of renewable/efficient energy technologies</w:t>
            </w:r>
          </w:p>
        </w:tc>
        <w:tc>
          <w:tcPr>
            <w:tcW w:w="1631" w:type="dxa"/>
          </w:tcPr>
          <w:p w14:paraId="6CFD1F13" w14:textId="3A4E9BDE"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Global</w:t>
            </w:r>
          </w:p>
        </w:tc>
        <w:tc>
          <w:tcPr>
            <w:tcW w:w="1021" w:type="dxa"/>
          </w:tcPr>
          <w:p w14:paraId="459E0733" w14:textId="74BE762D"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0-5 years and 5-15 years</w:t>
            </w:r>
          </w:p>
        </w:tc>
        <w:tc>
          <w:tcPr>
            <w:tcW w:w="4548" w:type="dxa"/>
          </w:tcPr>
          <w:p w14:paraId="5A870D90" w14:textId="49C89714"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Disruptions of supply in the short term of materials that are important for clean energy technologies</w:t>
            </w:r>
          </w:p>
        </w:tc>
        <w:tc>
          <w:tcPr>
            <w:tcW w:w="3972" w:type="dxa"/>
          </w:tcPr>
          <w:p w14:paraId="0E4E778F" w14:textId="1262CC53"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Assess risks and opportunities, inform the public dialogue, and identify possible program and policy directions</w:t>
            </w:r>
          </w:p>
        </w:tc>
      </w:tr>
      <w:tr w:rsidR="00C80243" w:rsidRPr="002E3AC2" w14:paraId="4EED2124" w14:textId="77777777" w:rsidTr="00C80243">
        <w:trPr>
          <w:trHeight w:val="91"/>
        </w:trPr>
        <w:tc>
          <w:tcPr>
            <w:tcW w:w="1967" w:type="dxa"/>
          </w:tcPr>
          <w:p w14:paraId="7B46E31A" w14:textId="1584E704"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 xml:space="preserve">Moss </w:t>
            </w:r>
            <w:r w:rsidRPr="00F136C3">
              <w:rPr>
                <w:rFonts w:ascii="Calibri" w:hAnsi="Calibri"/>
                <w:color w:val="000000"/>
                <w:sz w:val="16"/>
                <w:szCs w:val="16"/>
              </w:rPr>
              <w:fldChar w:fldCharType="begin" w:fldLock="1"/>
            </w:r>
            <w:r>
              <w:rPr>
                <w:rFonts w:ascii="Calibri" w:hAnsi="Calibri"/>
                <w:color w:val="000000"/>
                <w:sz w:val="16"/>
                <w:szCs w:val="16"/>
              </w:rPr>
              <w:instrText>ADDIN CSL_CITATION {"citationItems":[{"id":"ITEM-1","itemData":{"DOI":"10.2790/35600","ISBN":"9789279206986","ISSN":"1018-5593","PMID":"25246403","abstract":"Screening des Rohstoffbedarfs unterschiedlicher Energie-Technologien, Identifikation von Bottlenecks","author":[{"dropping-particle":"","family":"Moss","given":"R. L.","non-dropping-particle":"","parse-names":false,"suffix":""},{"dropping-particle":"","family":"Tzimas","given":"E.","non-dropping-particle":"","parse-names":false,"suffix":""},{"dropping-particle":"","family":"Kara","given":"H.","non-dropping-particle":"","parse-names":false,"suffix":""},{"dropping-particle":"","family":"Willis","given":"P.","non-dropping-particle":"","parse-names":false,"suffix":""},{"dropping-particle":"","family":"Kooroshy","given":"J.","non-dropping-particle":"","parse-names":false,"suffix":""}],"container-title":"JRC-scientific and strategic reports, European Commission Joint Research Centre Institute for Energy and Transport","id":"ITEM-1","issued":{"date-parts":[["2011"]]},"number-of-pages":"43005441","title":"Critical Metals in Strategic Energy Technologies","type":"report"},"uris":["http://www.mendeley.com/documents/?uuid=61c6fb44-d828-4ebd-af3c-450909664ea6"]}],"mendeley":{"formattedCitation":"(Moss et al., 2011)","plainTextFormattedCitation":"(Moss et al., 2011)","previouslyFormattedCitation":"(Moss et al., 2011)"},"properties":{"noteIndex":0},"schema":"https://github.com/citation-style-language/schema/raw/master/csl-citation.json"}</w:instrText>
            </w:r>
            <w:r w:rsidRPr="00F136C3">
              <w:rPr>
                <w:rFonts w:ascii="Calibri" w:hAnsi="Calibri"/>
                <w:color w:val="000000"/>
                <w:sz w:val="16"/>
                <w:szCs w:val="16"/>
              </w:rPr>
              <w:fldChar w:fldCharType="separate"/>
            </w:r>
            <w:r w:rsidRPr="002B45EF">
              <w:rPr>
                <w:rFonts w:ascii="Calibri" w:hAnsi="Calibri"/>
                <w:noProof/>
                <w:color w:val="000000"/>
                <w:sz w:val="16"/>
                <w:szCs w:val="16"/>
              </w:rPr>
              <w:t>(Moss et al., 2011)</w:t>
            </w:r>
            <w:r w:rsidRPr="00F136C3">
              <w:rPr>
                <w:rFonts w:ascii="Calibri" w:hAnsi="Calibri"/>
                <w:color w:val="000000"/>
                <w:sz w:val="16"/>
                <w:szCs w:val="16"/>
              </w:rPr>
              <w:fldChar w:fldCharType="end"/>
            </w:r>
          </w:p>
        </w:tc>
        <w:tc>
          <w:tcPr>
            <w:tcW w:w="570" w:type="dxa"/>
          </w:tcPr>
          <w:p w14:paraId="10DEE536" w14:textId="55BBE029" w:rsidR="00C80243" w:rsidRPr="00A43E79" w:rsidRDefault="00C80243" w:rsidP="00863B14">
            <w:pPr>
              <w:spacing w:line="480" w:lineRule="auto"/>
              <w:rPr>
                <w:rFonts w:ascii="Calibri" w:hAnsi="Calibri"/>
                <w:color w:val="000000"/>
                <w:sz w:val="16"/>
                <w:szCs w:val="16"/>
              </w:rPr>
            </w:pPr>
            <w:r w:rsidRPr="00AE56AD">
              <w:rPr>
                <w:rFonts w:ascii="Calibri" w:hAnsi="Calibri"/>
                <w:color w:val="000000"/>
                <w:sz w:val="16"/>
                <w:szCs w:val="16"/>
              </w:rPr>
              <w:t>2011</w:t>
            </w:r>
          </w:p>
        </w:tc>
        <w:tc>
          <w:tcPr>
            <w:tcW w:w="1318" w:type="dxa"/>
          </w:tcPr>
          <w:p w14:paraId="6D023B05" w14:textId="5A768BD2"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Low-carbon energy technologies for 2020-2030</w:t>
            </w:r>
          </w:p>
        </w:tc>
        <w:tc>
          <w:tcPr>
            <w:tcW w:w="1631" w:type="dxa"/>
          </w:tcPr>
          <w:p w14:paraId="099F1193" w14:textId="46F40F5B"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European Union</w:t>
            </w:r>
          </w:p>
        </w:tc>
        <w:tc>
          <w:tcPr>
            <w:tcW w:w="1021" w:type="dxa"/>
          </w:tcPr>
          <w:p w14:paraId="3671F777" w14:textId="1BFDE9FB"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 xml:space="preserve">Short-medium term  </w:t>
            </w:r>
          </w:p>
        </w:tc>
        <w:tc>
          <w:tcPr>
            <w:tcW w:w="4548" w:type="dxa"/>
          </w:tcPr>
          <w:p w14:paraId="4D2F5983" w14:textId="77060671"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Shortages of materials due to a rapid growth in demand and political risks associated with the geographical concentration of the supply in the short to medium term (5-10 years) hinder the large-scale deployment of low-carbon technologies.</w:t>
            </w:r>
          </w:p>
        </w:tc>
        <w:tc>
          <w:tcPr>
            <w:tcW w:w="3972" w:type="dxa"/>
          </w:tcPr>
          <w:p w14:paraId="3C02B52C" w14:textId="73453D61"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Collect data and monitor material supply and demand, identify potential bottlenecks, and mitigate risks.</w:t>
            </w:r>
          </w:p>
        </w:tc>
      </w:tr>
      <w:tr w:rsidR="00C80243" w:rsidRPr="002E3AC2" w14:paraId="347567C1" w14:textId="77777777" w:rsidTr="00C80243">
        <w:trPr>
          <w:trHeight w:val="251"/>
        </w:trPr>
        <w:tc>
          <w:tcPr>
            <w:tcW w:w="1967" w:type="dxa"/>
          </w:tcPr>
          <w:p w14:paraId="7A1D38D8" w14:textId="7EF7DB33"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 xml:space="preserve">EU2011 </w:t>
            </w:r>
            <w:r w:rsidRPr="00F136C3">
              <w:rPr>
                <w:rFonts w:ascii="Calibri" w:hAnsi="Calibri"/>
                <w:color w:val="000000"/>
                <w:sz w:val="16"/>
                <w:szCs w:val="16"/>
              </w:rPr>
              <w:fldChar w:fldCharType="begin" w:fldLock="1"/>
            </w:r>
            <w:r>
              <w:rPr>
                <w:rFonts w:ascii="Calibri" w:hAnsi="Calibri"/>
                <w:color w:val="000000"/>
                <w:sz w:val="16"/>
                <w:szCs w:val="16"/>
              </w:rPr>
              <w:instrText>ADDIN CSL_CITATION {"citationItems":[{"id":"ITEM-1","itemData":{"DOI":"10.1002/eji.200839120.IL-17-Producing","ISBN":"0169-1368","ISSN":"1521-4141","PMID":"19283718","abstract":"Although raw materials are essential for the EU economy, their availability is increasingly under pressure. Within the framework of the EU Raw Materials Initiative, it was decided to identify a list of critical raw materials at EU level, in close cooperation with Member States and stakeholders. The attached report presents the outcome of this cooperation achieved through an expert working group (\"the Group\") which was active between April 2009 and June 2010 under the umbrella of the Raw Materials Supply Group. With regards to geological availability, the Group observes that, as geological scarcity is not considered as an issue for determining criticality of raw materials within the considered time horizon of the study, e.g. ten years, global reserve figures are not reliable indicators of long term availability. Of greater relevance are changes in the geopolitical-economic framework that impact on the supply and demand of raw materials. These changes relate to the growing demand for raw materials, which in turn is driven by the growth of developing economies and new emerging technologies. Moreover, many emerging economies are pursuing industrial development strategies by means of trade, taxation and investment instruments aimed at reserving their resource base for their exclusive use. This trend has become apparent through an increasing number of government measures such as export taxes, quotas, subsidies etc. In some cases, the situation is further compounded by a high level of concentration of the production in a few countries. This report analyses a selection of 41 minerals and metals. In line with other studies, the report puts forward a relative concept of criticality. This means that raw material is labelled critical when the risks of supply shortage and their impacts on the economy are higher compared with most of the other raw materials. Two types of risks are considered: a) the \"supply risk\" taking into account the political-economic stability of the producing countries, the level of concentration of production, the potential for substitution and the recycling rate; and b) the \"environmental country risk\" assessing the risks that measures might be taken by countries with weak environmental performance in order to protect the environment and, in doing so, endanger the supply of raw materials to the EU. Building on existing approaches, this report sets out an innovative and pragmatic approach to determining criticality.","author":[{"dropping-particle":"","family":"European Commission","given":"","non-dropping-particle":"","parse-names":false,"suffix":""}],"container-title":"Eucom","id":"ITEM-1","issue":"July","issued":{"date-parts":[["2010"]]},"number-of-pages":"1-84","title":"Critical raw materials for the EU, Report of the Ad-hoc Working Group on defining critical raw materials","type":"report","volume":"39"},"uris":["http://www.mendeley.com/documents/?uuid=818a8ad6-2248-4bba-9243-ab66e518266e"]}],"mendeley":{"formattedCitation":"(European Commission, 2010)","plainTextFormattedCitation":"(European Commission, 2010)","previouslyFormattedCitation":"(European Commission, 2010)"},"properties":{"noteIndex":0},"schema":"https://github.com/citation-style-language/schema/raw/master/csl-citation.json"}</w:instrText>
            </w:r>
            <w:r w:rsidRPr="00F136C3">
              <w:rPr>
                <w:rFonts w:ascii="Calibri" w:hAnsi="Calibri"/>
                <w:color w:val="000000"/>
                <w:sz w:val="16"/>
                <w:szCs w:val="16"/>
              </w:rPr>
              <w:fldChar w:fldCharType="separate"/>
            </w:r>
            <w:r w:rsidRPr="002B45EF">
              <w:rPr>
                <w:rFonts w:ascii="Calibri" w:hAnsi="Calibri"/>
                <w:noProof/>
                <w:color w:val="000000"/>
                <w:sz w:val="16"/>
                <w:szCs w:val="16"/>
              </w:rPr>
              <w:t>(European Commission, 2010)</w:t>
            </w:r>
            <w:r w:rsidRPr="00F136C3">
              <w:rPr>
                <w:rFonts w:ascii="Calibri" w:hAnsi="Calibri"/>
                <w:color w:val="000000"/>
                <w:sz w:val="16"/>
                <w:szCs w:val="16"/>
              </w:rPr>
              <w:fldChar w:fldCharType="end"/>
            </w:r>
          </w:p>
        </w:tc>
        <w:tc>
          <w:tcPr>
            <w:tcW w:w="570" w:type="dxa"/>
          </w:tcPr>
          <w:p w14:paraId="3381F77C" w14:textId="239370DE" w:rsidR="00C80243" w:rsidRPr="00A43E79" w:rsidRDefault="00C80243" w:rsidP="00863B14">
            <w:pPr>
              <w:spacing w:line="480" w:lineRule="auto"/>
              <w:rPr>
                <w:rFonts w:ascii="Calibri" w:hAnsi="Calibri"/>
                <w:color w:val="000000"/>
                <w:sz w:val="16"/>
                <w:szCs w:val="16"/>
              </w:rPr>
            </w:pPr>
            <w:r w:rsidRPr="00AE56AD">
              <w:rPr>
                <w:rFonts w:ascii="Calibri" w:hAnsi="Calibri"/>
                <w:color w:val="000000"/>
                <w:sz w:val="16"/>
                <w:szCs w:val="16"/>
              </w:rPr>
              <w:t>2011</w:t>
            </w:r>
          </w:p>
        </w:tc>
        <w:tc>
          <w:tcPr>
            <w:tcW w:w="1318" w:type="dxa"/>
          </w:tcPr>
          <w:p w14:paraId="6E1321F1" w14:textId="520C0E00"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Economy (focus on manufacturing sector)</w:t>
            </w:r>
          </w:p>
        </w:tc>
        <w:tc>
          <w:tcPr>
            <w:tcW w:w="1631" w:type="dxa"/>
          </w:tcPr>
          <w:p w14:paraId="6F0A06BF" w14:textId="3CF2231B"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European Union</w:t>
            </w:r>
          </w:p>
        </w:tc>
        <w:tc>
          <w:tcPr>
            <w:tcW w:w="1021" w:type="dxa"/>
          </w:tcPr>
          <w:p w14:paraId="6EB1B250" w14:textId="3039A9E9"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10 years</w:t>
            </w:r>
          </w:p>
        </w:tc>
        <w:tc>
          <w:tcPr>
            <w:tcW w:w="4548" w:type="dxa"/>
          </w:tcPr>
          <w:p w14:paraId="32129AAE" w14:textId="2F382716"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Disruption of supply due to high supply concentration and poor country governance, mitigated by recycling and substitutability</w:t>
            </w:r>
          </w:p>
        </w:tc>
        <w:tc>
          <w:tcPr>
            <w:tcW w:w="3972" w:type="dxa"/>
          </w:tcPr>
          <w:p w14:paraId="2D807781" w14:textId="1F8F07CD"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Monitor criticality, prioritize needs and actions, incentivize the European production of CRM, facilitate the launching of new mining and recycling activities, negotiating trade agreements, drafting legislation, challenging trade distortion measures, promoting research and innovation and inform on options of supply diversification, with the purpose to increase competitiveness of the EU economy</w:t>
            </w:r>
          </w:p>
        </w:tc>
      </w:tr>
      <w:tr w:rsidR="00C80243" w:rsidRPr="002E3AC2" w14:paraId="439F0D48" w14:textId="77777777" w:rsidTr="00C80243">
        <w:trPr>
          <w:trHeight w:val="233"/>
        </w:trPr>
        <w:tc>
          <w:tcPr>
            <w:tcW w:w="1967" w:type="dxa"/>
          </w:tcPr>
          <w:p w14:paraId="171A336E" w14:textId="08E32628"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 xml:space="preserve">BGS </w:t>
            </w:r>
            <w:r w:rsidRPr="00F136C3">
              <w:rPr>
                <w:rFonts w:ascii="Calibri" w:hAnsi="Calibri"/>
                <w:color w:val="000000"/>
                <w:sz w:val="16"/>
                <w:szCs w:val="16"/>
              </w:rPr>
              <w:fldChar w:fldCharType="begin" w:fldLock="1"/>
            </w:r>
            <w:r>
              <w:rPr>
                <w:rFonts w:ascii="Calibri" w:hAnsi="Calibri"/>
                <w:color w:val="000000"/>
                <w:sz w:val="16"/>
                <w:szCs w:val="16"/>
              </w:rPr>
              <w:instrText>ADDIN CSL_CITATION {"citationItems":[{"id":"ITEM-1","itemData":{"author":[{"dropping-particle":"","family":"BGS","given":"","non-dropping-particle":"","parse-names":false,"suffix":""}],"id":"ITEM-1","issued":{"date-parts":[["2011"]]},"title":"Risk list 2011","type":"report"},"uris":["http://www.mendeley.com/documents/?uuid=f6f949fe-98df-4fa4-9fc4-cca5444a298a"]}],"mendeley":{"formattedCitation":"(BGS, 2011)","plainTextFormattedCitation":"(BGS, 2011)","previouslyFormattedCitation":"(BGS, 2011)"},"properties":{"noteIndex":0},"schema":"https://github.com/citation-style-language/schema/raw/master/csl-citation.json"}</w:instrText>
            </w:r>
            <w:r w:rsidRPr="00F136C3">
              <w:rPr>
                <w:rFonts w:ascii="Calibri" w:hAnsi="Calibri"/>
                <w:color w:val="000000"/>
                <w:sz w:val="16"/>
                <w:szCs w:val="16"/>
              </w:rPr>
              <w:fldChar w:fldCharType="separate"/>
            </w:r>
            <w:r w:rsidRPr="002B45EF">
              <w:rPr>
                <w:rFonts w:ascii="Calibri" w:hAnsi="Calibri"/>
                <w:noProof/>
                <w:color w:val="000000"/>
                <w:sz w:val="16"/>
                <w:szCs w:val="16"/>
              </w:rPr>
              <w:t>(BGS, 2011)</w:t>
            </w:r>
            <w:r w:rsidRPr="00F136C3">
              <w:rPr>
                <w:rFonts w:ascii="Calibri" w:hAnsi="Calibri"/>
                <w:color w:val="000000"/>
                <w:sz w:val="16"/>
                <w:szCs w:val="16"/>
              </w:rPr>
              <w:fldChar w:fldCharType="end"/>
            </w:r>
          </w:p>
        </w:tc>
        <w:tc>
          <w:tcPr>
            <w:tcW w:w="570" w:type="dxa"/>
          </w:tcPr>
          <w:p w14:paraId="4962C888" w14:textId="6A5DC4AB" w:rsidR="00C80243" w:rsidRPr="00A43E79" w:rsidRDefault="00C80243" w:rsidP="00863B14">
            <w:pPr>
              <w:spacing w:line="480" w:lineRule="auto"/>
              <w:rPr>
                <w:rFonts w:ascii="Calibri" w:hAnsi="Calibri"/>
                <w:color w:val="000000"/>
                <w:sz w:val="16"/>
                <w:szCs w:val="16"/>
              </w:rPr>
            </w:pPr>
            <w:r w:rsidRPr="00AE56AD">
              <w:rPr>
                <w:rFonts w:ascii="Calibri" w:hAnsi="Calibri"/>
                <w:color w:val="000000"/>
                <w:sz w:val="16"/>
                <w:szCs w:val="16"/>
              </w:rPr>
              <w:t>2011</w:t>
            </w:r>
          </w:p>
        </w:tc>
        <w:tc>
          <w:tcPr>
            <w:tcW w:w="1318" w:type="dxa"/>
          </w:tcPr>
          <w:p w14:paraId="50A8C6D8" w14:textId="1C000F97"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Economy and lifestyle</w:t>
            </w:r>
          </w:p>
        </w:tc>
        <w:tc>
          <w:tcPr>
            <w:tcW w:w="1631" w:type="dxa"/>
          </w:tcPr>
          <w:p w14:paraId="75E1270E" w14:textId="7F44251F"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N/A</w:t>
            </w:r>
          </w:p>
        </w:tc>
        <w:tc>
          <w:tcPr>
            <w:tcW w:w="1021" w:type="dxa"/>
          </w:tcPr>
          <w:p w14:paraId="59A43514" w14:textId="74510FCB"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Now and in the future</w:t>
            </w:r>
          </w:p>
        </w:tc>
        <w:tc>
          <w:tcPr>
            <w:tcW w:w="4548" w:type="dxa"/>
          </w:tcPr>
          <w:p w14:paraId="0B9516D0" w14:textId="64D7D08F"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 xml:space="preserve">Disruption of supply due to resource competition (demand by emerging economies), geopolitics ("haves" seeking to influence </w:t>
            </w:r>
            <w:r w:rsidRPr="00F136C3">
              <w:rPr>
                <w:rFonts w:ascii="Calibri" w:hAnsi="Calibri"/>
                <w:color w:val="000000"/>
                <w:sz w:val="16"/>
                <w:szCs w:val="16"/>
              </w:rPr>
              <w:lastRenderedPageBreak/>
              <w:t>"have nots"), resource nationalism (state control of production), strikes, and accidents)</w:t>
            </w:r>
          </w:p>
        </w:tc>
        <w:tc>
          <w:tcPr>
            <w:tcW w:w="3972" w:type="dxa"/>
          </w:tcPr>
          <w:p w14:paraId="0F36C7E3" w14:textId="290BF691"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lastRenderedPageBreak/>
              <w:t>Inform policy-makers, industry, and consumers about the need to diversify supply, increase recycling, and decrease resource use</w:t>
            </w:r>
          </w:p>
        </w:tc>
      </w:tr>
      <w:tr w:rsidR="00C80243" w:rsidRPr="002E3AC2" w14:paraId="5D5F7FFF" w14:textId="77777777" w:rsidTr="00C80243">
        <w:trPr>
          <w:trHeight w:val="91"/>
        </w:trPr>
        <w:tc>
          <w:tcPr>
            <w:tcW w:w="1967" w:type="dxa"/>
          </w:tcPr>
          <w:p w14:paraId="47CD5760" w14:textId="3A9CBEA5"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 xml:space="preserve">Yale </w:t>
            </w:r>
            <w:r w:rsidRPr="00F136C3">
              <w:rPr>
                <w:rFonts w:ascii="Calibri" w:hAnsi="Calibri"/>
                <w:color w:val="000000"/>
                <w:sz w:val="16"/>
                <w:szCs w:val="16"/>
              </w:rPr>
              <w:fldChar w:fldCharType="begin" w:fldLock="1"/>
            </w:r>
            <w:r>
              <w:rPr>
                <w:rFonts w:ascii="Calibri" w:hAnsi="Calibri"/>
                <w:color w:val="000000"/>
                <w:sz w:val="16"/>
                <w:szCs w:val="16"/>
              </w:rPr>
              <w:instrText>ADDIN CSL_CITATION {"citationItems":[{"id":"ITEM-1","itemData":{"DOI":"10.1021/es203534z","ISSN":"1520-5851","PMID":"22191617","abstract":"A comprehensive methodology has been created to quantify the degree of criticality of the metals of the periodic table. In this paper, we present and discuss the methodology, which is comprised of three dimensions: supply risk, environmental implications, and vulnerability to supply restriction. Supply risk differs with the time scale (medium or long), and at its more complex involves several components, themselves composed of a number of distinct indicators drawn from readily available peer-reviewed indexes and public information. Vulnerability to supply restriction differs with the organizational level (i.e., global, national, and corporate). The criticality methodology, an enhancement of a United States National Research Council template, is designed to help corporate, national, and global stakeholders conduct risk evaluation and to inform resource utilization and strategic decision-making. Although we believe our methodological choices lead to the most robust results, the framework has been constructed to permit flexibility by the user. Specific indicators can be deleted or added as desired and weighted as the user deems appropriate. The value of each indicator will evolve over time, and our future research will focus on this evolution. The methodology has proven to be sufficiently robust as to make it applicable across the entire spectrum of metals and organizational levels and provides a structural approach that reflects the multifaceted factors influencing the availability of metals in the 21st century.","author":[{"dropping-particle":"","family":"Graedel","given":"T E","non-dropping-particle":"","parse-names":false,"suffix":""},{"dropping-particle":"","family":"Barr","given":"Rachel","non-dropping-particle":"","parse-names":false,"suffix":""},{"dropping-particle":"","family":"Chandler","given":"Chelsea","non-dropping-particle":"","parse-names":false,"suffix":""},{"dropping-particle":"","family":"Chase","given":"Thomas","non-dropping-particle":"","parse-names":false,"suffix":""},{"dropping-particle":"","family":"Choi","given":"Joanne","non-dropping-particle":"","parse-names":false,"suffix":""},{"dropping-particle":"","family":"Christoffersen","given":"Lee","non-dropping-particle":"","parse-names":false,"suffix":""},{"dropping-particle":"","family":"Friedlander","given":"Elizabeth","non-dropping-particle":"","parse-names":false,"suffix":""},{"dropping-particle":"","family":"Henly","given":"Claire","non-dropping-particle":"","parse-names":false,"suffix":""},{"dropping-particle":"","family":"Jun","given":"Christine","non-dropping-particle":"","parse-names":false,"suffix":""},{"dropping-particle":"","family":"Nassar","given":"Nedal T","non-dropping-particle":"","parse-names":false,"suffix":""},{"dropping-particle":"","family":"Schechner","given":"Daniel","non-dropping-particle":"","parse-names":false,"suffix":""},{"dropping-particle":"","family":"Warren","given":"Simon","non-dropping-particle":"","parse-names":false,"suffix":""},{"dropping-particle":"","family":"Yang","given":"Man-Yu","non-dropping-particle":"","parse-names":false,"suffix":""},{"dropping-particle":"","family":"Zhu","given":"Charles","non-dropping-particle":"","parse-names":false,"suffix":""}],"container-title":"Environmental science &amp; technology","id":"ITEM-1","issue":"2","issued":{"date-parts":[["2012","1","17"]]},"page":"1063-70","title":"Methodology of metal criticality determination.","type":"article-journal","volume":"46"},"uris":["http://www.mendeley.com/documents/?uuid=c776ba21-d21e-4720-b9ac-fd2c9be8bbda"]},{"id":"ITEM-2","itemData":{"DOI":"10.1073/pnas.1500415112","ISBN":"1215421109","ISSN":"0027-8424","PMID":"22393313","abstract":"Imbalances between metal supply and demand, real or anticipated, have inspired the concept of metal criticality. We here characterize the criticality of 62 metals and metalloids in a 3D “criticality space” consisting of supply risk, environmental implications, and vulnerability to supply restriction. Contributing factors that lead to extreme values include high geopolitical concentration of primary production, lack of available suitable substitutes, and political instability. The results show that the limitations for many metals important in emerging electronics (e.g., gallium and selenium) are largely those related to supply risk; those of platinum group metals, gold, and mercury, to environmental implications; and steel alloying elements (e.g., chromium and niobium) as well as elements used in high-temperature alloys (e.g., tungsten and molybdenum), to vulnerability to supply restriction. The metals of most concern tend to be those available largely or entirely as byproducts, used in small quantities for highly specialized applications, and possessing no effective substitutes.","author":[{"dropping-particle":"","family":"Graedel","given":"T. E.","non-dropping-particle":"","parse-names":false,"suffix":""},{"dropping-particle":"","family":"Harper","given":"E. M.","non-dropping-particle":"","parse-names":false,"suffix":""},{"dropping-particle":"","family":"Nassar","given":"N. T.","non-dropping-particle":"","parse-names":false,"suffix":""},{"dropping-particle":"","family":"Nuss","given":"Philip","non-dropping-particle":"","parse-names":false,"suffix":""},{"dropping-particle":"","family":"Reck","given":"Barbara K.","non-dropping-particle":"","parse-names":false,"suffix":""}],"container-title":"Proceedings of the National Academy of Sciences","id":"ITEM-2","issue":"14","issued":{"date-parts":[["2015"]]},"page":"4257-4262","title":"Criticality of metals and metalloids","type":"article-journal","volume":"112"},"uris":["http://www.mendeley.com/documents/?uuid=83c0c02d-0435-4804-808e-1175ac849a60"]}],"mendeley":{"formattedCitation":"(Graedel et al., 2015, 2012)","plainTextFormattedCitation":"(Graedel et al., 2015, 2012)","previouslyFormattedCitation":"(Graedel et al., 2015, 2012)"},"properties":{"noteIndex":0},"schema":"https://github.com/citation-style-language/schema/raw/master/csl-citation.json"}</w:instrText>
            </w:r>
            <w:r w:rsidRPr="00F136C3">
              <w:rPr>
                <w:rFonts w:ascii="Calibri" w:hAnsi="Calibri"/>
                <w:color w:val="000000"/>
                <w:sz w:val="16"/>
                <w:szCs w:val="16"/>
              </w:rPr>
              <w:fldChar w:fldCharType="separate"/>
            </w:r>
            <w:r w:rsidRPr="002B45EF">
              <w:rPr>
                <w:rFonts w:ascii="Calibri" w:hAnsi="Calibri"/>
                <w:noProof/>
                <w:color w:val="000000"/>
                <w:sz w:val="16"/>
                <w:szCs w:val="16"/>
              </w:rPr>
              <w:t>(Graedel et al., 2015, 2012)</w:t>
            </w:r>
            <w:r w:rsidRPr="00F136C3">
              <w:rPr>
                <w:rFonts w:ascii="Calibri" w:hAnsi="Calibri"/>
                <w:color w:val="000000"/>
                <w:sz w:val="16"/>
                <w:szCs w:val="16"/>
              </w:rPr>
              <w:fldChar w:fldCharType="end"/>
            </w:r>
          </w:p>
        </w:tc>
        <w:tc>
          <w:tcPr>
            <w:tcW w:w="570" w:type="dxa"/>
          </w:tcPr>
          <w:p w14:paraId="275E6DDD" w14:textId="2A4ED406" w:rsidR="00C80243" w:rsidRPr="00A43E79" w:rsidRDefault="00C80243" w:rsidP="00863B14">
            <w:pPr>
              <w:spacing w:line="480" w:lineRule="auto"/>
              <w:rPr>
                <w:rFonts w:ascii="Calibri" w:hAnsi="Calibri"/>
                <w:color w:val="000000"/>
                <w:sz w:val="16"/>
                <w:szCs w:val="16"/>
              </w:rPr>
            </w:pPr>
            <w:r w:rsidRPr="00AE56AD">
              <w:rPr>
                <w:rFonts w:ascii="Calibri" w:hAnsi="Calibri"/>
                <w:color w:val="000000"/>
                <w:sz w:val="16"/>
                <w:szCs w:val="16"/>
              </w:rPr>
              <w:t>2012</w:t>
            </w:r>
          </w:p>
        </w:tc>
        <w:tc>
          <w:tcPr>
            <w:tcW w:w="1318" w:type="dxa"/>
          </w:tcPr>
          <w:p w14:paraId="625ACE4A" w14:textId="6DB3D77B"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Future generations</w:t>
            </w:r>
          </w:p>
        </w:tc>
        <w:tc>
          <w:tcPr>
            <w:tcW w:w="1631" w:type="dxa"/>
          </w:tcPr>
          <w:p w14:paraId="50A8C55F" w14:textId="79CFE170"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Global</w:t>
            </w:r>
          </w:p>
        </w:tc>
        <w:tc>
          <w:tcPr>
            <w:tcW w:w="1021" w:type="dxa"/>
          </w:tcPr>
          <w:p w14:paraId="75A8BB34" w14:textId="3708794D"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Few decades</w:t>
            </w:r>
          </w:p>
        </w:tc>
        <w:tc>
          <w:tcPr>
            <w:tcW w:w="4548" w:type="dxa"/>
          </w:tcPr>
          <w:p w14:paraId="6522B718" w14:textId="4D2AFF31" w:rsidR="00C80243" w:rsidRPr="00F136C3" w:rsidRDefault="00C80243" w:rsidP="00863B14">
            <w:pPr>
              <w:spacing w:line="480" w:lineRule="auto"/>
              <w:rPr>
                <w:rFonts w:asciiTheme="majorHAnsi" w:hAnsiTheme="majorHAnsi"/>
                <w:sz w:val="16"/>
                <w:szCs w:val="16"/>
              </w:rPr>
            </w:pPr>
            <w:r>
              <w:rPr>
                <w:rFonts w:ascii="Calibri" w:hAnsi="Calibri"/>
                <w:color w:val="000000"/>
                <w:sz w:val="16"/>
                <w:szCs w:val="16"/>
              </w:rPr>
              <w:t>Use of elements at a rate that does not permit the next generation to acquire them to the extent that might be needed</w:t>
            </w:r>
          </w:p>
        </w:tc>
        <w:tc>
          <w:tcPr>
            <w:tcW w:w="3972" w:type="dxa"/>
          </w:tcPr>
          <w:p w14:paraId="7666B5F5" w14:textId="4AFEDBA9"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Policy development of corporations and governments</w:t>
            </w:r>
          </w:p>
        </w:tc>
      </w:tr>
      <w:tr w:rsidR="00C80243" w:rsidRPr="002E3AC2" w14:paraId="3DCA75CC" w14:textId="77777777" w:rsidTr="00C80243">
        <w:trPr>
          <w:trHeight w:val="91"/>
        </w:trPr>
        <w:tc>
          <w:tcPr>
            <w:tcW w:w="1967" w:type="dxa"/>
          </w:tcPr>
          <w:p w14:paraId="33BE4D8D" w14:textId="24B264DC"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 xml:space="preserve">Yale </w:t>
            </w:r>
            <w:r w:rsidRPr="00F136C3">
              <w:rPr>
                <w:rFonts w:ascii="Calibri" w:hAnsi="Calibri"/>
                <w:color w:val="000000"/>
                <w:sz w:val="16"/>
                <w:szCs w:val="16"/>
              </w:rPr>
              <w:fldChar w:fldCharType="begin" w:fldLock="1"/>
            </w:r>
            <w:r>
              <w:rPr>
                <w:rFonts w:ascii="Calibri" w:hAnsi="Calibri"/>
                <w:color w:val="000000"/>
                <w:sz w:val="16"/>
                <w:szCs w:val="16"/>
              </w:rPr>
              <w:instrText>ADDIN CSL_CITATION {"citationItems":[{"id":"ITEM-1","itemData":{"DOI":"10.1021/es203534z","ISSN":"1520-5851","PMID":"22191617","abstract":"A comprehensive methodology has been created to quantify the degree of criticality of the metals of the periodic table. In this paper, we present and discuss the methodology, which is comprised of three dimensions: supply risk, environmental implications, and vulnerability to supply restriction. Supply risk differs with the time scale (medium or long), and at its more complex involves several components, themselves composed of a number of distinct indicators drawn from readily available peer-reviewed indexes and public information. Vulnerability to supply restriction differs with the organizational level (i.e., global, national, and corporate). The criticality methodology, an enhancement of a United States National Research Council template, is designed to help corporate, national, and global stakeholders conduct risk evaluation and to inform resource utilization and strategic decision-making. Although we believe our methodological choices lead to the most robust results, the framework has been constructed to permit flexibility by the user. Specific indicators can be deleted or added as desired and weighted as the user deems appropriate. The value of each indicator will evolve over time, and our future research will focus on this evolution. The methodology has proven to be sufficiently robust as to make it applicable across the entire spectrum of metals and organizational levels and provides a structural approach that reflects the multifaceted factors influencing the availability of metals in the 21st century.","author":[{"dropping-particle":"","family":"Graedel","given":"T E","non-dropping-particle":"","parse-names":false,"suffix":""},{"dropping-particle":"","family":"Barr","given":"Rachel","non-dropping-particle":"","parse-names":false,"suffix":""},{"dropping-particle":"","family":"Chandler","given":"Chelsea","non-dropping-particle":"","parse-names":false,"suffix":""},{"dropping-particle":"","family":"Chase","given":"Thomas","non-dropping-particle":"","parse-names":false,"suffix":""},{"dropping-particle":"","family":"Choi","given":"Joanne","non-dropping-particle":"","parse-names":false,"suffix":""},{"dropping-particle":"","family":"Christoffersen","given":"Lee","non-dropping-particle":"","parse-names":false,"suffix":""},{"dropping-particle":"","family":"Friedlander","given":"Elizabeth","non-dropping-particle":"","parse-names":false,"suffix":""},{"dropping-particle":"","family":"Henly","given":"Claire","non-dropping-particle":"","parse-names":false,"suffix":""},{"dropping-particle":"","family":"Jun","given":"Christine","non-dropping-particle":"","parse-names":false,"suffix":""},{"dropping-particle":"","family":"Nassar","given":"Nedal T","non-dropping-particle":"","parse-names":false,"suffix":""},{"dropping-particle":"","family":"Schechner","given":"Daniel","non-dropping-particle":"","parse-names":false,"suffix":""},{"dropping-particle":"","family":"Warren","given":"Simon","non-dropping-particle":"","parse-names":false,"suffix":""},{"dropping-particle":"","family":"Yang","given":"Man-Yu","non-dropping-particle":"","parse-names":false,"suffix":""},{"dropping-particle":"","family":"Zhu","given":"Charles","non-dropping-particle":"","parse-names":false,"suffix":""}],"container-title":"Environmental science &amp; technology","id":"ITEM-1","issue":"2","issued":{"date-parts":[["2012","1","17"]]},"page":"1063-70","title":"Methodology of metal criticality determination.","type":"article-journal","volume":"46"},"uris":["http://www.mendeley.com/documents/?uuid=c776ba21-d21e-4720-b9ac-fd2c9be8bbda"]},{"id":"ITEM-2","itemData":{"DOI":"10.1073/pnas.1500415112","ISBN":"1215421109","ISSN":"0027-8424","PMID":"22393313","abstract":"Imbalances between metal supply and demand, real or anticipated, have inspired the concept of metal criticality. We here characterize the criticality of 62 metals and metalloids in a 3D “criticality space” consisting of supply risk, environmental implications, and vulnerability to supply restriction. Contributing factors that lead to extreme values include high geopolitical concentration of primary production, lack of available suitable substitutes, and political instability. The results show that the limitations for many metals important in emerging electronics (e.g., gallium and selenium) are largely those related to supply risk; those of platinum group metals, gold, and mercury, to environmental implications; and steel alloying elements (e.g., chromium and niobium) as well as elements used in high-temperature alloys (e.g., tungsten and molybdenum), to vulnerability to supply restriction. The metals of most concern tend to be those available largely or entirely as byproducts, used in small quantities for highly specialized applications, and possessing no effective substitutes.","author":[{"dropping-particle":"","family":"Graedel","given":"T. E.","non-dropping-particle":"","parse-names":false,"suffix":""},{"dropping-particle":"","family":"Harper","given":"E. M.","non-dropping-particle":"","parse-names":false,"suffix":""},{"dropping-particle":"","family":"Nassar","given":"N. T.","non-dropping-particle":"","parse-names":false,"suffix":""},{"dropping-particle":"","family":"Nuss","given":"Philip","non-dropping-particle":"","parse-names":false,"suffix":""},{"dropping-particle":"","family":"Reck","given":"Barbara K.","non-dropping-particle":"","parse-names":false,"suffix":""}],"container-title":"Proceedings of the National Academy of Sciences","id":"ITEM-2","issue":"14","issued":{"date-parts":[["2015"]]},"page":"4257-4262","title":"Criticality of metals and metalloids","type":"article-journal","volume":"112"},"uris":["http://www.mendeley.com/documents/?uuid=83c0c02d-0435-4804-808e-1175ac849a60"]}],"mendeley":{"formattedCitation":"(Graedel et al., 2015, 2012)","plainTextFormattedCitation":"(Graedel et al., 2015, 2012)","previouslyFormattedCitation":"(Graedel et al., 2015, 2012)"},"properties":{"noteIndex":0},"schema":"https://github.com/citation-style-language/schema/raw/master/csl-citation.json"}</w:instrText>
            </w:r>
            <w:r w:rsidRPr="00F136C3">
              <w:rPr>
                <w:rFonts w:ascii="Calibri" w:hAnsi="Calibri"/>
                <w:color w:val="000000"/>
                <w:sz w:val="16"/>
                <w:szCs w:val="16"/>
              </w:rPr>
              <w:fldChar w:fldCharType="separate"/>
            </w:r>
            <w:r w:rsidRPr="002B45EF">
              <w:rPr>
                <w:rFonts w:ascii="Calibri" w:hAnsi="Calibri"/>
                <w:noProof/>
                <w:color w:val="000000"/>
                <w:sz w:val="16"/>
                <w:szCs w:val="16"/>
              </w:rPr>
              <w:t>(Graedel et al., 2015, 2012)</w:t>
            </w:r>
            <w:r w:rsidRPr="00F136C3">
              <w:rPr>
                <w:rFonts w:ascii="Calibri" w:hAnsi="Calibri"/>
                <w:color w:val="000000"/>
                <w:sz w:val="16"/>
                <w:szCs w:val="16"/>
              </w:rPr>
              <w:fldChar w:fldCharType="end"/>
            </w:r>
          </w:p>
        </w:tc>
        <w:tc>
          <w:tcPr>
            <w:tcW w:w="570" w:type="dxa"/>
          </w:tcPr>
          <w:p w14:paraId="3F5C93DE" w14:textId="2D28C658" w:rsidR="00C80243" w:rsidRPr="00A43E79" w:rsidRDefault="00C80243" w:rsidP="00863B14">
            <w:pPr>
              <w:spacing w:line="480" w:lineRule="auto"/>
              <w:rPr>
                <w:rFonts w:ascii="Calibri" w:hAnsi="Calibri"/>
                <w:color w:val="000000"/>
                <w:sz w:val="16"/>
                <w:szCs w:val="16"/>
              </w:rPr>
            </w:pPr>
            <w:r w:rsidRPr="00AE56AD">
              <w:rPr>
                <w:rFonts w:ascii="Calibri" w:hAnsi="Calibri"/>
                <w:color w:val="000000"/>
                <w:sz w:val="16"/>
                <w:szCs w:val="16"/>
              </w:rPr>
              <w:t>2012</w:t>
            </w:r>
          </w:p>
        </w:tc>
        <w:tc>
          <w:tcPr>
            <w:tcW w:w="1318" w:type="dxa"/>
          </w:tcPr>
          <w:p w14:paraId="13E9FB9E" w14:textId="6CA98B94"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Domestic economy</w:t>
            </w:r>
          </w:p>
        </w:tc>
        <w:tc>
          <w:tcPr>
            <w:tcW w:w="1631" w:type="dxa"/>
          </w:tcPr>
          <w:p w14:paraId="1266938C" w14:textId="0668DD87"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N/A</w:t>
            </w:r>
            <w:r w:rsidR="00CF0E53">
              <w:rPr>
                <w:rFonts w:ascii="Calibri" w:hAnsi="Calibri"/>
                <w:color w:val="000000"/>
                <w:sz w:val="16"/>
                <w:szCs w:val="16"/>
              </w:rPr>
              <w:t>, applied to USA</w:t>
            </w:r>
          </w:p>
        </w:tc>
        <w:tc>
          <w:tcPr>
            <w:tcW w:w="1021" w:type="dxa"/>
          </w:tcPr>
          <w:p w14:paraId="04372FB7" w14:textId="3AAD8478"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5-10 years</w:t>
            </w:r>
          </w:p>
        </w:tc>
        <w:tc>
          <w:tcPr>
            <w:tcW w:w="4548" w:type="dxa"/>
          </w:tcPr>
          <w:p w14:paraId="542E2864" w14:textId="058CCBBA" w:rsidR="00C80243" w:rsidRPr="00F136C3" w:rsidRDefault="00C80243" w:rsidP="00863B14">
            <w:pPr>
              <w:spacing w:line="480" w:lineRule="auto"/>
              <w:rPr>
                <w:rFonts w:asciiTheme="majorHAnsi" w:hAnsiTheme="majorHAnsi"/>
                <w:sz w:val="16"/>
                <w:szCs w:val="16"/>
              </w:rPr>
            </w:pPr>
            <w:r>
              <w:rPr>
                <w:rFonts w:ascii="Calibri" w:hAnsi="Calibri"/>
                <w:color w:val="000000"/>
                <w:sz w:val="16"/>
                <w:szCs w:val="16"/>
              </w:rPr>
              <w:t>Unreliable supply of materials that are important for the economy due to geological, technological, economic, social, regulatory, and geopolitical restrictions.</w:t>
            </w:r>
          </w:p>
        </w:tc>
        <w:tc>
          <w:tcPr>
            <w:tcW w:w="3972" w:type="dxa"/>
          </w:tcPr>
          <w:p w14:paraId="1ABC1DA8" w14:textId="2E3DCB12"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Policy development of corporations and governments</w:t>
            </w:r>
          </w:p>
        </w:tc>
      </w:tr>
      <w:tr w:rsidR="00C80243" w:rsidRPr="002E3AC2" w14:paraId="1D7E071F" w14:textId="77777777" w:rsidTr="00C80243">
        <w:trPr>
          <w:trHeight w:val="91"/>
        </w:trPr>
        <w:tc>
          <w:tcPr>
            <w:tcW w:w="1967" w:type="dxa"/>
          </w:tcPr>
          <w:p w14:paraId="1B15DCB1" w14:textId="76858CC8"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 xml:space="preserve">Yale </w:t>
            </w:r>
            <w:r w:rsidRPr="00F136C3">
              <w:rPr>
                <w:rFonts w:ascii="Calibri" w:hAnsi="Calibri"/>
                <w:color w:val="000000"/>
                <w:sz w:val="16"/>
                <w:szCs w:val="16"/>
              </w:rPr>
              <w:fldChar w:fldCharType="begin" w:fldLock="1"/>
            </w:r>
            <w:r>
              <w:rPr>
                <w:rFonts w:ascii="Calibri" w:hAnsi="Calibri"/>
                <w:color w:val="000000"/>
                <w:sz w:val="16"/>
                <w:szCs w:val="16"/>
              </w:rPr>
              <w:instrText>ADDIN CSL_CITATION {"citationItems":[{"id":"ITEM-1","itemData":{"DOI":"10.1021/es203534z","ISSN":"1520-5851","PMID":"22191617","abstract":"A comprehensive methodology has been created to quantify the degree of criticality of the metals of the periodic table. In this paper, we present and discuss the methodology, which is comprised of three dimensions: supply risk, environmental implications, and vulnerability to supply restriction. Supply risk differs with the time scale (medium or long), and at its more complex involves several components, themselves composed of a number of distinct indicators drawn from readily available peer-reviewed indexes and public information. Vulnerability to supply restriction differs with the organizational level (i.e., global, national, and corporate). The criticality methodology, an enhancement of a United States National Research Council template, is designed to help corporate, national, and global stakeholders conduct risk evaluation and to inform resource utilization and strategic decision-making. Although we believe our methodological choices lead to the most robust results, the framework has been constructed to permit flexibility by the user. Specific indicators can be deleted or added as desired and weighted as the user deems appropriate. The value of each indicator will evolve over time, and our future research will focus on this evolution. The methodology has proven to be sufficiently robust as to make it applicable across the entire spectrum of metals and organizational levels and provides a structural approach that reflects the multifaceted factors influencing the availability of metals in the 21st century.","author":[{"dropping-particle":"","family":"Graedel","given":"T E","non-dropping-particle":"","parse-names":false,"suffix":""},{"dropping-particle":"","family":"Barr","given":"Rachel","non-dropping-particle":"","parse-names":false,"suffix":""},{"dropping-particle":"","family":"Chandler","given":"Chelsea","non-dropping-particle":"","parse-names":false,"suffix":""},{"dropping-particle":"","family":"Chase","given":"Thomas","non-dropping-particle":"","parse-names":false,"suffix":""},{"dropping-particle":"","family":"Choi","given":"Joanne","non-dropping-particle":"","parse-names":false,"suffix":""},{"dropping-particle":"","family":"Christoffersen","given":"Lee","non-dropping-particle":"","parse-names":false,"suffix":""},{"dropping-particle":"","family":"Friedlander","given":"Elizabeth","non-dropping-particle":"","parse-names":false,"suffix":""},{"dropping-particle":"","family":"Henly","given":"Claire","non-dropping-particle":"","parse-names":false,"suffix":""},{"dropping-particle":"","family":"Jun","given":"Christine","non-dropping-particle":"","parse-names":false,"suffix":""},{"dropping-particle":"","family":"Nassar","given":"Nedal T","non-dropping-particle":"","parse-names":false,"suffix":""},{"dropping-particle":"","family":"Schechner","given":"Daniel","non-dropping-particle":"","parse-names":false,"suffix":""},{"dropping-particle":"","family":"Warren","given":"Simon","non-dropping-particle":"","parse-names":false,"suffix":""},{"dropping-particle":"","family":"Yang","given":"Man-Yu","non-dropping-particle":"","parse-names":false,"suffix":""},{"dropping-particle":"","family":"Zhu","given":"Charles","non-dropping-particle":"","parse-names":false,"suffix":""}],"container-title":"Environmental science &amp; technology","id":"ITEM-1","issue":"2","issued":{"date-parts":[["2012","1","17"]]},"page":"1063-70","title":"Methodology of metal criticality determination.","type":"article-journal","volume":"46"},"uris":["http://www.mendeley.com/documents/?uuid=c776ba21-d21e-4720-b9ac-fd2c9be8bbda"]},{"id":"ITEM-2","itemData":{"DOI":"10.1073/pnas.1500415112","ISBN":"1215421109","ISSN":"0027-8424","PMID":"22393313","abstract":"Imbalances between metal supply and demand, real or anticipated, have inspired the concept of metal criticality. We here characterize the criticality of 62 metals and metalloids in a 3D “criticality space” consisting of supply risk, environmental implications, and vulnerability to supply restriction. Contributing factors that lead to extreme values include high geopolitical concentration of primary production, lack of available suitable substitutes, and political instability. The results show that the limitations for many metals important in emerging electronics (e.g., gallium and selenium) are largely those related to supply risk; those of platinum group metals, gold, and mercury, to environmental implications; and steel alloying elements (e.g., chromium and niobium) as well as elements used in high-temperature alloys (e.g., tungsten and molybdenum), to vulnerability to supply restriction. The metals of most concern tend to be those available largely or entirely as byproducts, used in small quantities for highly specialized applications, and possessing no effective substitutes.","author":[{"dropping-particle":"","family":"Graedel","given":"T. E.","non-dropping-particle":"","parse-names":false,"suffix":""},{"dropping-particle":"","family":"Harper","given":"E. M.","non-dropping-particle":"","parse-names":false,"suffix":""},{"dropping-particle":"","family":"Nassar","given":"N. T.","non-dropping-particle":"","parse-names":false,"suffix":""},{"dropping-particle":"","family":"Nuss","given":"Philip","non-dropping-particle":"","parse-names":false,"suffix":""},{"dropping-particle":"","family":"Reck","given":"Barbara K.","non-dropping-particle":"","parse-names":false,"suffix":""}],"container-title":"Proceedings of the National Academy of Sciences","id":"ITEM-2","issue":"14","issued":{"date-parts":[["2015"]]},"page":"4257-4262","title":"Criticality of metals and metalloids","type":"article-journal","volume":"112"},"uris":["http://www.mendeley.com/documents/?uuid=83c0c02d-0435-4804-808e-1175ac849a60"]}],"mendeley":{"formattedCitation":"(Graedel et al., 2015, 2012)","plainTextFormattedCitation":"(Graedel et al., 2015, 2012)","previouslyFormattedCitation":"(Graedel et al., 2015, 2012)"},"properties":{"noteIndex":0},"schema":"https://github.com/citation-style-language/schema/raw/master/csl-citation.json"}</w:instrText>
            </w:r>
            <w:r w:rsidRPr="00F136C3">
              <w:rPr>
                <w:rFonts w:ascii="Calibri" w:hAnsi="Calibri"/>
                <w:color w:val="000000"/>
                <w:sz w:val="16"/>
                <w:szCs w:val="16"/>
              </w:rPr>
              <w:fldChar w:fldCharType="separate"/>
            </w:r>
            <w:r w:rsidRPr="002B45EF">
              <w:rPr>
                <w:rFonts w:ascii="Calibri" w:hAnsi="Calibri"/>
                <w:noProof/>
                <w:color w:val="000000"/>
                <w:sz w:val="16"/>
                <w:szCs w:val="16"/>
              </w:rPr>
              <w:t>(Graedel et al., 2015, 2012)</w:t>
            </w:r>
            <w:r w:rsidRPr="00F136C3">
              <w:rPr>
                <w:rFonts w:ascii="Calibri" w:hAnsi="Calibri"/>
                <w:color w:val="000000"/>
                <w:sz w:val="16"/>
                <w:szCs w:val="16"/>
              </w:rPr>
              <w:fldChar w:fldCharType="end"/>
            </w:r>
          </w:p>
        </w:tc>
        <w:tc>
          <w:tcPr>
            <w:tcW w:w="570" w:type="dxa"/>
          </w:tcPr>
          <w:p w14:paraId="182EE239" w14:textId="104DE17B" w:rsidR="00C80243" w:rsidRPr="00A43E79" w:rsidRDefault="00C80243" w:rsidP="00863B14">
            <w:pPr>
              <w:spacing w:line="480" w:lineRule="auto"/>
              <w:rPr>
                <w:rFonts w:ascii="Calibri" w:hAnsi="Calibri"/>
                <w:color w:val="000000"/>
                <w:sz w:val="16"/>
                <w:szCs w:val="16"/>
              </w:rPr>
            </w:pPr>
            <w:r w:rsidRPr="00AE56AD">
              <w:rPr>
                <w:rFonts w:ascii="Calibri" w:hAnsi="Calibri"/>
                <w:color w:val="000000"/>
                <w:sz w:val="16"/>
                <w:szCs w:val="16"/>
              </w:rPr>
              <w:t>2012</w:t>
            </w:r>
          </w:p>
        </w:tc>
        <w:tc>
          <w:tcPr>
            <w:tcW w:w="1318" w:type="dxa"/>
          </w:tcPr>
          <w:p w14:paraId="58983C64" w14:textId="5DA18317"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Company operations</w:t>
            </w:r>
          </w:p>
        </w:tc>
        <w:tc>
          <w:tcPr>
            <w:tcW w:w="1631" w:type="dxa"/>
          </w:tcPr>
          <w:p w14:paraId="6351B858" w14:textId="40DD83BF"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N/A</w:t>
            </w:r>
          </w:p>
        </w:tc>
        <w:tc>
          <w:tcPr>
            <w:tcW w:w="1021" w:type="dxa"/>
          </w:tcPr>
          <w:p w14:paraId="5119F703" w14:textId="0D1417B9"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1-5 years</w:t>
            </w:r>
          </w:p>
        </w:tc>
        <w:tc>
          <w:tcPr>
            <w:tcW w:w="4548" w:type="dxa"/>
          </w:tcPr>
          <w:p w14:paraId="6C260F45" w14:textId="057058A5" w:rsidR="00C80243" w:rsidRPr="00F136C3" w:rsidRDefault="00C80243" w:rsidP="00863B14">
            <w:pPr>
              <w:spacing w:line="480" w:lineRule="auto"/>
              <w:rPr>
                <w:rFonts w:asciiTheme="majorHAnsi" w:hAnsiTheme="majorHAnsi"/>
                <w:sz w:val="16"/>
                <w:szCs w:val="16"/>
              </w:rPr>
            </w:pPr>
            <w:r>
              <w:rPr>
                <w:rFonts w:ascii="Calibri" w:hAnsi="Calibri"/>
                <w:color w:val="000000"/>
                <w:sz w:val="16"/>
                <w:szCs w:val="16"/>
              </w:rPr>
              <w:t>Unreliable supply of materials that are important for the company due to geological, technological, economic, social, regulatory, and geopolitical restrictions.</w:t>
            </w:r>
          </w:p>
        </w:tc>
        <w:tc>
          <w:tcPr>
            <w:tcW w:w="3972" w:type="dxa"/>
          </w:tcPr>
          <w:p w14:paraId="1B120607" w14:textId="13A441DD"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Policy development of corporations and governments</w:t>
            </w:r>
          </w:p>
        </w:tc>
      </w:tr>
      <w:tr w:rsidR="00C80243" w:rsidRPr="002E3AC2" w14:paraId="5832D0AD" w14:textId="77777777" w:rsidTr="00C80243">
        <w:trPr>
          <w:trHeight w:val="91"/>
        </w:trPr>
        <w:tc>
          <w:tcPr>
            <w:tcW w:w="1967" w:type="dxa"/>
          </w:tcPr>
          <w:p w14:paraId="06E3FC2B" w14:textId="6C94AC69"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 xml:space="preserve">BGS </w:t>
            </w:r>
            <w:r w:rsidRPr="00F136C3">
              <w:rPr>
                <w:rFonts w:ascii="Calibri" w:hAnsi="Calibri"/>
                <w:color w:val="000000"/>
                <w:sz w:val="16"/>
                <w:szCs w:val="16"/>
              </w:rPr>
              <w:fldChar w:fldCharType="begin" w:fldLock="1"/>
            </w:r>
            <w:r>
              <w:rPr>
                <w:rFonts w:ascii="Calibri" w:hAnsi="Calibri"/>
                <w:color w:val="000000"/>
                <w:sz w:val="16"/>
                <w:szCs w:val="16"/>
              </w:rPr>
              <w:instrText>ADDIN CSL_CITATION {"citationItems":[{"id":"ITEM-1","itemData":{"abstract":"The updated risk list gives a quick indication of the relative risk in 2012 to the supply of the chemical elements or element groups which we need to maintain our economy and lifestyle. The position of an element on this list is determined by a number of factors which might affect availability. These include the abundance of elements in the Earth's crust, the location of current production and reserves, and the political stability of those locations. New for the 2012 risk list, the recycling rate and substitutability of these elements has been used in the analysis. The risk list highlights a group of elements where global production is concentrated in a few countries. The restricted reserve distribution combined with the relatively low political stability ratings for some major producing countries significantly increase risk to supply. This is compounded by low rates of recycling and limited substitutes for many of these elements. The list highlights economically important metals which are at risk of supply disruption including rare earths, platinum group metals, niobium and tungsten. The list also shows the current importance of China in production of many metals and minerals.","author":[{"dropping-particle":"","family":"BGS","given":"","non-dropping-particle":"","parse-names":false,"suffix":""}],"container-title":"British Geological Survey","id":"ITEM-1","issued":{"date-parts":[["2012"]]},"number-of-pages":"12","title":"Risk List 2012","type":"report","volume":"1"},"uris":["http://www.mendeley.com/documents/?uuid=24a2887f-cd00-4629-affe-d9ec83418939"]}],"mendeley":{"formattedCitation":"(BGS, 2012)","plainTextFormattedCitation":"(BGS, 2012)","previouslyFormattedCitation":"(BGS, 2012)"},"properties":{"noteIndex":0},"schema":"https://github.com/citation-style-language/schema/raw/master/csl-citation.json"}</w:instrText>
            </w:r>
            <w:r w:rsidRPr="00F136C3">
              <w:rPr>
                <w:rFonts w:ascii="Calibri" w:hAnsi="Calibri"/>
                <w:color w:val="000000"/>
                <w:sz w:val="16"/>
                <w:szCs w:val="16"/>
              </w:rPr>
              <w:fldChar w:fldCharType="separate"/>
            </w:r>
            <w:r w:rsidRPr="002B45EF">
              <w:rPr>
                <w:rFonts w:ascii="Calibri" w:hAnsi="Calibri"/>
                <w:noProof/>
                <w:color w:val="000000"/>
                <w:sz w:val="16"/>
                <w:szCs w:val="16"/>
              </w:rPr>
              <w:t>(BGS, 2012)</w:t>
            </w:r>
            <w:r w:rsidRPr="00F136C3">
              <w:rPr>
                <w:rFonts w:ascii="Calibri" w:hAnsi="Calibri"/>
                <w:color w:val="000000"/>
                <w:sz w:val="16"/>
                <w:szCs w:val="16"/>
              </w:rPr>
              <w:fldChar w:fldCharType="end"/>
            </w:r>
          </w:p>
        </w:tc>
        <w:tc>
          <w:tcPr>
            <w:tcW w:w="570" w:type="dxa"/>
          </w:tcPr>
          <w:p w14:paraId="531B788D" w14:textId="16CFF86A" w:rsidR="00C80243" w:rsidRPr="00A43E79" w:rsidRDefault="00C80243" w:rsidP="00863B14">
            <w:pPr>
              <w:spacing w:line="480" w:lineRule="auto"/>
              <w:rPr>
                <w:rFonts w:ascii="Calibri" w:hAnsi="Calibri"/>
                <w:color w:val="000000"/>
                <w:sz w:val="16"/>
                <w:szCs w:val="16"/>
              </w:rPr>
            </w:pPr>
            <w:r w:rsidRPr="00AE56AD">
              <w:rPr>
                <w:rFonts w:ascii="Calibri" w:hAnsi="Calibri"/>
                <w:color w:val="000000"/>
                <w:sz w:val="16"/>
                <w:szCs w:val="16"/>
              </w:rPr>
              <w:t>2012</w:t>
            </w:r>
          </w:p>
        </w:tc>
        <w:tc>
          <w:tcPr>
            <w:tcW w:w="1318" w:type="dxa"/>
          </w:tcPr>
          <w:p w14:paraId="0692BDA1" w14:textId="59A96884"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Economy and lifestyle</w:t>
            </w:r>
          </w:p>
        </w:tc>
        <w:tc>
          <w:tcPr>
            <w:tcW w:w="1631" w:type="dxa"/>
          </w:tcPr>
          <w:p w14:paraId="46817878" w14:textId="3E37B558"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N/A</w:t>
            </w:r>
          </w:p>
        </w:tc>
        <w:tc>
          <w:tcPr>
            <w:tcW w:w="1021" w:type="dxa"/>
          </w:tcPr>
          <w:p w14:paraId="6FF76929" w14:textId="7A34CD5A"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Now and in the future</w:t>
            </w:r>
          </w:p>
        </w:tc>
        <w:tc>
          <w:tcPr>
            <w:tcW w:w="4548" w:type="dxa"/>
          </w:tcPr>
          <w:p w14:paraId="018A345F" w14:textId="56B6F479"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Disruption of supply due to resource competition (demand by emerging economies), geopolitics ("haves" seeking to influence "have nots"), resource nationalism (state control of production), strikes, and accidents)</w:t>
            </w:r>
          </w:p>
        </w:tc>
        <w:tc>
          <w:tcPr>
            <w:tcW w:w="3972" w:type="dxa"/>
          </w:tcPr>
          <w:p w14:paraId="7E031B14" w14:textId="1F7F8A56"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Inform policy-makers, industry, and consumers about the need to diversify supply, increase recycling, and decrease resource use</w:t>
            </w:r>
          </w:p>
        </w:tc>
      </w:tr>
      <w:tr w:rsidR="00C80243" w:rsidRPr="002E3AC2" w14:paraId="647E4649" w14:textId="77777777" w:rsidTr="00C80243">
        <w:trPr>
          <w:trHeight w:val="182"/>
        </w:trPr>
        <w:tc>
          <w:tcPr>
            <w:tcW w:w="1967" w:type="dxa"/>
          </w:tcPr>
          <w:p w14:paraId="307C6F90" w14:textId="1127CB2A"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 xml:space="preserve">Moss </w:t>
            </w:r>
            <w:r w:rsidRPr="00F136C3">
              <w:rPr>
                <w:rFonts w:ascii="Calibri" w:hAnsi="Calibri"/>
                <w:color w:val="000000"/>
                <w:sz w:val="16"/>
                <w:szCs w:val="16"/>
              </w:rPr>
              <w:fldChar w:fldCharType="begin" w:fldLock="1"/>
            </w:r>
            <w:r>
              <w:rPr>
                <w:rFonts w:ascii="Calibri" w:hAnsi="Calibri"/>
                <w:color w:val="000000"/>
                <w:sz w:val="16"/>
                <w:szCs w:val="16"/>
              </w:rPr>
              <w:instrText>ADDIN CSL_CITATION {"citationItems":[{"id":"ITEM-1","itemData":{"DOI":"10.2790/46338","ISBN":"9789279303906","abstract":"In order to tackle climate change, to increase energy supply security and to foster the sustainability and competitiveness of the European economy, the EU has made the transition to a low-carbon economy a central policy priority. This report builds on the first study conducted by the JRC in 2011 (Critical Metals in Strategic Energy Technologies), where critical metals were identified, which could become a bottleneck to the supply-chain of the low-carbon energy technologies addressed by the Strategic Energy Technology Plan (SET-Plan), namely: wind, solar (both PV and CSP), CCS, nuclear fission, bioenergy and the electricity grid. Fourteen metals were identified to be a cause for concern. After taking into account market and geopolitical parameters, five metals were labelled ‘critical’, namely: tellurium, indium, gallium, neodymi- um and dysprosium. The potential supply chain constraints for these materials were most applicable to the deployment of wind and PV energy technologies. In the follow-up study reported here, other energy and low-carbon technologies are investigated that not only play an important role in the EU's path towards decarbonisation but also may compete for the same metals as identified in the six SET-Plan technologies. Eleven technologies are analysed including fuel cells, electricity storage, electric vehicles and lighting. As in the first report, sixty metals, i.e. metallic elements, metallic minerals and metalloids are considered; only iron, aluminium and radioactive elements (used as fuel in nuclear plants) were specifically excluded. Graphite was also included, reflecting its status as one of the critical raw materials identified by the EU Raw Materials Initiative. Where possible, the study models the implications for materials demand as a result of the scenarios described in the EU Energy Roadmap 2050. Consequently, the results obtained in the first study are updated to reflect the data that has become available in the roadmap. This second study found that eight metals have a high criticality rating and are therefore classified as ‘critical’. These are the six rare earth elements (dysprosium, europium, terbium, yttrium, praseodymium and neodymium), and the two metals gallium and tellurium. Four metals (graphite, rhenium, indium and platinum) are found to have a medium-to-high rating and are classified as 'near critical', suggesting that the market conditions for these metals should be monitored in case the markets for these metal…","author":[{"dropping-particle":"","family":"R.L. Moss","given":"","non-dropping-particle":"","parse-names":false,"suffix":""},{"dropping-particle":"","family":"Tzimas","given":"E.","non-dropping-particle":"","parse-names":false,"suffix":""},{"dropping-particle":"","family":"Willis","given":"P.","non-dropping-particle":"","parse-names":false,"suffix":""},{"dropping-particle":"","family":"Arendorf","given":"J.","non-dropping-particle":"","parse-names":false,"suffix":""},{"dropping-particle":"","family":"Espinoza","given":"L. Tercero","non-dropping-particle":"","parse-names":false,"suffix":""},{"dropping-particle":"","family":"et al.","given":"","non-dropping-particle":"","parse-names":false,"suffix":""}],"id":"ITEM-1","issued":{"date-parts":[["2013"]]},"number-of-pages":"242","publisher-place":"Luxembourg: Publications Office of the European Union","title":"Critical Metals in the Path towards the Decarbonisation of the EU Energy Sector. JRC Scientific &amp; Policy Report, European Commission","type":"report"},"uris":["http://www.mendeley.com/documents/?uuid=5b362f93-13ce-493d-8056-43752c3b6679"]}],"mendeley":{"formattedCitation":"(R.L. Moss et al., 2013)","plainTextFormattedCitation":"(R.L. Moss et al., 2013)","previouslyFormattedCitation":"(R.L. Moss et al., 2013)"},"properties":{"noteIndex":0},"schema":"https://github.com/citation-style-language/schema/raw/master/csl-citation.json"}</w:instrText>
            </w:r>
            <w:r w:rsidRPr="00F136C3">
              <w:rPr>
                <w:rFonts w:ascii="Calibri" w:hAnsi="Calibri"/>
                <w:color w:val="000000"/>
                <w:sz w:val="16"/>
                <w:szCs w:val="16"/>
              </w:rPr>
              <w:fldChar w:fldCharType="separate"/>
            </w:r>
            <w:r w:rsidRPr="002B45EF">
              <w:rPr>
                <w:rFonts w:ascii="Calibri" w:hAnsi="Calibri"/>
                <w:noProof/>
                <w:color w:val="000000"/>
                <w:sz w:val="16"/>
                <w:szCs w:val="16"/>
              </w:rPr>
              <w:t>(R.L. Moss et al., 2013)</w:t>
            </w:r>
            <w:r w:rsidRPr="00F136C3">
              <w:rPr>
                <w:rFonts w:ascii="Calibri" w:hAnsi="Calibri"/>
                <w:color w:val="000000"/>
                <w:sz w:val="16"/>
                <w:szCs w:val="16"/>
              </w:rPr>
              <w:fldChar w:fldCharType="end"/>
            </w:r>
          </w:p>
        </w:tc>
        <w:tc>
          <w:tcPr>
            <w:tcW w:w="570" w:type="dxa"/>
          </w:tcPr>
          <w:p w14:paraId="1519F8B9" w14:textId="4379ADFC" w:rsidR="00C80243" w:rsidRPr="00A43E79" w:rsidRDefault="00C80243" w:rsidP="00863B14">
            <w:pPr>
              <w:spacing w:line="480" w:lineRule="auto"/>
              <w:rPr>
                <w:rFonts w:ascii="Calibri" w:hAnsi="Calibri"/>
                <w:color w:val="000000"/>
                <w:sz w:val="16"/>
                <w:szCs w:val="16"/>
              </w:rPr>
            </w:pPr>
            <w:r w:rsidRPr="00AE56AD">
              <w:rPr>
                <w:rFonts w:ascii="Calibri" w:hAnsi="Calibri"/>
                <w:color w:val="000000"/>
                <w:sz w:val="16"/>
                <w:szCs w:val="16"/>
              </w:rPr>
              <w:t>2013</w:t>
            </w:r>
          </w:p>
        </w:tc>
        <w:tc>
          <w:tcPr>
            <w:tcW w:w="1318" w:type="dxa"/>
          </w:tcPr>
          <w:p w14:paraId="5415E0C3" w14:textId="5FECA8F0"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Low-carbon energy technologies for 2050</w:t>
            </w:r>
          </w:p>
        </w:tc>
        <w:tc>
          <w:tcPr>
            <w:tcW w:w="1631" w:type="dxa"/>
          </w:tcPr>
          <w:p w14:paraId="665C705B" w14:textId="4A729D76"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European Union</w:t>
            </w:r>
          </w:p>
        </w:tc>
        <w:tc>
          <w:tcPr>
            <w:tcW w:w="1021" w:type="dxa"/>
          </w:tcPr>
          <w:p w14:paraId="034F32E5" w14:textId="2A0F8BB7"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 xml:space="preserve">Short-medium term  </w:t>
            </w:r>
          </w:p>
        </w:tc>
        <w:tc>
          <w:tcPr>
            <w:tcW w:w="4548" w:type="dxa"/>
          </w:tcPr>
          <w:p w14:paraId="10603AE2" w14:textId="316FA8C6"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Shortages of materials due to a rapid growth in demand and political risks associated with the geographical concentration of the supply in the short to medium term (5-10 years) hinder the large-scale deployment of low-carbon technologies.</w:t>
            </w:r>
          </w:p>
        </w:tc>
        <w:tc>
          <w:tcPr>
            <w:tcW w:w="3972" w:type="dxa"/>
          </w:tcPr>
          <w:p w14:paraId="1337F352" w14:textId="7AEAD0EB"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Collect data and monitor material supply and demand, identify potential bottlenecks, and mitigate risks.</w:t>
            </w:r>
          </w:p>
        </w:tc>
      </w:tr>
      <w:tr w:rsidR="00C80243" w:rsidRPr="002E3AC2" w14:paraId="46689AB7" w14:textId="77777777" w:rsidTr="00C80243">
        <w:trPr>
          <w:trHeight w:val="91"/>
        </w:trPr>
        <w:tc>
          <w:tcPr>
            <w:tcW w:w="1967" w:type="dxa"/>
          </w:tcPr>
          <w:p w14:paraId="5B5B52E2" w14:textId="0A1ECF1C" w:rsidR="00C80243" w:rsidRPr="00F136C3" w:rsidRDefault="00C80243" w:rsidP="00863B14">
            <w:pPr>
              <w:spacing w:line="480" w:lineRule="auto"/>
              <w:rPr>
                <w:rFonts w:asciiTheme="majorHAnsi" w:hAnsiTheme="majorHAnsi"/>
                <w:sz w:val="16"/>
                <w:szCs w:val="16"/>
                <w:highlight w:val="yellow"/>
              </w:rPr>
            </w:pPr>
            <w:r w:rsidRPr="00983BE2">
              <w:rPr>
                <w:rFonts w:ascii="Calibri" w:hAnsi="Calibri"/>
                <w:color w:val="000000"/>
                <w:sz w:val="16"/>
                <w:szCs w:val="16"/>
              </w:rPr>
              <w:t xml:space="preserve">Granta </w:t>
            </w:r>
            <w:proofErr w:type="spellStart"/>
            <w:r w:rsidRPr="00983BE2">
              <w:rPr>
                <w:rFonts w:ascii="Calibri" w:hAnsi="Calibri"/>
                <w:color w:val="000000"/>
                <w:sz w:val="16"/>
                <w:szCs w:val="16"/>
              </w:rPr>
              <w:t>Design</w:t>
            </w:r>
            <w:r w:rsidR="00F91A31">
              <w:rPr>
                <w:rFonts w:ascii="Calibri" w:hAnsi="Calibri"/>
                <w:color w:val="000000"/>
                <w:sz w:val="16"/>
                <w:szCs w:val="16"/>
                <w:vertAlign w:val="superscript"/>
              </w:rPr>
              <w:t>a</w:t>
            </w:r>
            <w:proofErr w:type="spellEnd"/>
            <w:r w:rsidRPr="00983BE2">
              <w:rPr>
                <w:rFonts w:ascii="Calibri" w:hAnsi="Calibri"/>
                <w:color w:val="000000"/>
                <w:sz w:val="16"/>
                <w:szCs w:val="16"/>
              </w:rPr>
              <w:t xml:space="preserve"> </w:t>
            </w:r>
            <w:r w:rsidRPr="00983BE2">
              <w:rPr>
                <w:rFonts w:ascii="Calibri" w:hAnsi="Calibri"/>
                <w:color w:val="000000"/>
                <w:sz w:val="16"/>
                <w:szCs w:val="16"/>
              </w:rPr>
              <w:fldChar w:fldCharType="begin" w:fldLock="1"/>
            </w:r>
            <w:r>
              <w:rPr>
                <w:rFonts w:ascii="Calibri" w:hAnsi="Calibri"/>
                <w:color w:val="000000"/>
                <w:sz w:val="16"/>
                <w:szCs w:val="16"/>
              </w:rPr>
              <w:instrText>ADDIN CSL_CITATION {"citationItems":[{"id":"ITEM-1","itemData":{"author":[{"dropping-particle":"","family":"Goddin","given":"James R.J.","non-dropping-particle":"","parse-names":false,"suffix":""}],"container-title":"Critical Materials - Underlying Causes and Sustainable Mitigation Strategies","editor":[{"dropping-particle":"","family":"Offerman","given":"S. Erik","non-dropping-particle":"","parse-names":false,"suffix":""}],"id":"ITEM-1","issued":{"date-parts":[["2019"]]},"page":"117-150","publisher":"World Scientific Publishing Co. Pte. Ltd.","publisher-place":"Singapore","title":"Identifying Supply Chain Risks for Critical and Strategic Materials","type":"chapter"},"uris":["http://www.mendeley.com/documents/?uuid=362dc362-ed9f-48f1-99c0-6853aeb1454d"]},{"id":"ITEM-2","itemData":{"DOI":"https://doi.org/10.1016/C2014-0-01670-X","ISBN":"978-0-08-100176-9","author":[{"dropping-particle":"","family":"Ashby","given":"M. F.","non-dropping-particle":"","parse-names":false,"suffix":""}],"id":"ITEM-2","issued":{"date-parts":[["2016"]]},"number-of-pages":"328","publisher":"Butterworth-Heinemann Ltd","title":"Materials and Sustainable Development","type":"book"},"uris":["http://www.mendeley.com/documents/?uuid=8db20f88-4421-4ca9-a67e-12e6ef825567"]}],"mendeley":{"formattedCitation":"(Ashby, 2016; Goddin, 2019)","plainTextFormattedCitation":"(Ashby, 2016; Goddin, 2019)","previouslyFormattedCitation":"(Ashby, 2016; Goddin, 2019)"},"properties":{"noteIndex":0},"schema":"https://github.com/citation-style-language/schema/raw/master/csl-citation.json"}</w:instrText>
            </w:r>
            <w:r w:rsidRPr="00983BE2">
              <w:rPr>
                <w:rFonts w:ascii="Calibri" w:hAnsi="Calibri"/>
                <w:color w:val="000000"/>
                <w:sz w:val="16"/>
                <w:szCs w:val="16"/>
              </w:rPr>
              <w:fldChar w:fldCharType="separate"/>
            </w:r>
            <w:r w:rsidRPr="002B45EF">
              <w:rPr>
                <w:rFonts w:ascii="Calibri" w:hAnsi="Calibri"/>
                <w:noProof/>
                <w:color w:val="000000"/>
                <w:sz w:val="16"/>
                <w:szCs w:val="16"/>
              </w:rPr>
              <w:t>(Ashby, 2016; Goddin, 2019)</w:t>
            </w:r>
            <w:r w:rsidRPr="00983BE2">
              <w:rPr>
                <w:rFonts w:ascii="Calibri" w:hAnsi="Calibri"/>
                <w:color w:val="000000"/>
                <w:sz w:val="16"/>
                <w:szCs w:val="16"/>
              </w:rPr>
              <w:fldChar w:fldCharType="end"/>
            </w:r>
          </w:p>
        </w:tc>
        <w:tc>
          <w:tcPr>
            <w:tcW w:w="570" w:type="dxa"/>
          </w:tcPr>
          <w:p w14:paraId="41EC161F" w14:textId="2E146E38" w:rsidR="00C80243" w:rsidRPr="00A43E79" w:rsidRDefault="00C80243" w:rsidP="00863B14">
            <w:pPr>
              <w:spacing w:line="480" w:lineRule="auto"/>
              <w:rPr>
                <w:rFonts w:ascii="Calibri" w:hAnsi="Calibri"/>
                <w:color w:val="000000"/>
                <w:sz w:val="16"/>
                <w:szCs w:val="16"/>
              </w:rPr>
            </w:pPr>
            <w:r w:rsidRPr="00AE56AD">
              <w:rPr>
                <w:rFonts w:ascii="Calibri" w:hAnsi="Calibri"/>
                <w:color w:val="000000"/>
                <w:sz w:val="16"/>
                <w:szCs w:val="16"/>
              </w:rPr>
              <w:t>2013</w:t>
            </w:r>
          </w:p>
        </w:tc>
        <w:tc>
          <w:tcPr>
            <w:tcW w:w="1318" w:type="dxa"/>
          </w:tcPr>
          <w:p w14:paraId="3F122667" w14:textId="20679C83"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Product</w:t>
            </w:r>
          </w:p>
        </w:tc>
        <w:tc>
          <w:tcPr>
            <w:tcW w:w="1631" w:type="dxa"/>
          </w:tcPr>
          <w:p w14:paraId="36581D2D" w14:textId="1AD7DD0F"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Global</w:t>
            </w:r>
          </w:p>
        </w:tc>
        <w:tc>
          <w:tcPr>
            <w:tcW w:w="1021" w:type="dxa"/>
          </w:tcPr>
          <w:p w14:paraId="6D64266E" w14:textId="66484690"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1 year - few decades</w:t>
            </w:r>
          </w:p>
        </w:tc>
        <w:tc>
          <w:tcPr>
            <w:tcW w:w="4548" w:type="dxa"/>
          </w:tcPr>
          <w:p w14:paraId="3623370F" w14:textId="7DC7F267"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Supply disruption from geopolitical activities, environmental or substances legislation, conflict mineral regulations – manifesting as increases in price volatility or possible supply shortages or changes in lead times. Social impacts from unethical regional practices manifesting as damage to consumer perception. Inability to substitute impacted materials with performant or suitably certified alternative.</w:t>
            </w:r>
          </w:p>
        </w:tc>
        <w:tc>
          <w:tcPr>
            <w:tcW w:w="3972" w:type="dxa"/>
          </w:tcPr>
          <w:p w14:paraId="347D4FBB" w14:textId="1D5DB2BF"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Identify sources of risk and possible impact on business, identify suitable mitigation measures (e.g. substitution, product design, supply agreements, stockpiling, circular economy approaches)</w:t>
            </w:r>
          </w:p>
        </w:tc>
      </w:tr>
      <w:tr w:rsidR="00C80243" w:rsidRPr="002E3AC2" w14:paraId="6FF29029" w14:textId="77777777" w:rsidTr="00C80243">
        <w:trPr>
          <w:trHeight w:val="359"/>
        </w:trPr>
        <w:tc>
          <w:tcPr>
            <w:tcW w:w="1967" w:type="dxa"/>
          </w:tcPr>
          <w:p w14:paraId="360447B8" w14:textId="45C77C3D" w:rsidR="00C80243" w:rsidRPr="00F136C3" w:rsidRDefault="00C80243" w:rsidP="00863B14">
            <w:pPr>
              <w:spacing w:line="480" w:lineRule="auto"/>
              <w:rPr>
                <w:rFonts w:asciiTheme="majorHAnsi" w:hAnsiTheme="majorHAnsi"/>
                <w:sz w:val="16"/>
                <w:szCs w:val="16"/>
              </w:rPr>
            </w:pPr>
            <w:proofErr w:type="spellStart"/>
            <w:r w:rsidRPr="00F136C3">
              <w:rPr>
                <w:rFonts w:ascii="Calibri" w:hAnsi="Calibri"/>
                <w:color w:val="000000"/>
                <w:sz w:val="16"/>
                <w:szCs w:val="16"/>
              </w:rPr>
              <w:lastRenderedPageBreak/>
              <w:t>Roelich</w:t>
            </w:r>
            <w:proofErr w:type="spellEnd"/>
            <w:r w:rsidRPr="00F136C3">
              <w:rPr>
                <w:rFonts w:ascii="Calibri" w:hAnsi="Calibri"/>
                <w:color w:val="000000"/>
                <w:sz w:val="16"/>
                <w:szCs w:val="16"/>
              </w:rPr>
              <w:t xml:space="preserve"> </w:t>
            </w:r>
            <w:r w:rsidRPr="00F136C3">
              <w:rPr>
                <w:rFonts w:ascii="Calibri" w:hAnsi="Calibri"/>
                <w:color w:val="000000"/>
                <w:sz w:val="16"/>
                <w:szCs w:val="16"/>
              </w:rPr>
              <w:fldChar w:fldCharType="begin" w:fldLock="1"/>
            </w:r>
            <w:r>
              <w:rPr>
                <w:rFonts w:ascii="Calibri" w:hAnsi="Calibri"/>
                <w:color w:val="000000"/>
                <w:sz w:val="16"/>
                <w:szCs w:val="16"/>
              </w:rPr>
              <w:instrText>ADDIN CSL_CITATION {"citationItems":[{"id":"ITEM-1","itemData":{"DOI":"10.1016/j.apenergy.2014.01.052","ISBN":"0306-2619","ISSN":"03062619","abstract":"Decarbonisation of existing infrastructure systems requires a dynamic roll-out of technology at an unprecedented scale. The potential disruption in supply of critical materials could endanger such a transition to low-carbon infrastructure and, by extension, compromise energy security more broadly because low carbon technologies are reliant on these materials in a way that fossil-fuelled energy infrastructure is not. Criticality is currently defined as the combination of the potential for supply disruption and the exposure of a system of interest to that disruption. We build on this definition and develop a dynamic approach to quantifying criticality, which monitors the change in criticality during the transition towards a low-carbon infrastructure goal. This allows us to assess the relative risk of different technology pathways to reach a particular goal and reduce the probability of being 'locked in' to currently attractive but potentially future-critical technologies. To demonstrate, we apply our method to criticality of the proposed UK electricity system transition, with a focus on neodymium. We anticipate that the supply disruption potential of neodymium will decrease by almost 30% by 2050; however, our results show the criticality of low carbon electricity production increases ninefold over this period, as a result of increasing exposure to neodymium-reliant technologies. © 2014 The Authors.","author":[{"dropping-particle":"","family":"Roelich","given":"Katy","non-dropping-particle":"","parse-names":false,"suffix":""},{"dropping-particle":"","family":"Dawson","given":"David A.","non-dropping-particle":"","parse-names":false,"suffix":""},{"dropping-particle":"","family":"Purnell","given":"Phil","non-dropping-particle":"","parse-names":false,"suffix":""},{"dropping-particle":"","family":"Knoeri","given":"Christof","non-dropping-particle":"","parse-names":false,"suffix":""},{"dropping-particle":"","family":"Revell","given":"Ruairi","non-dropping-particle":"","parse-names":false,"suffix":""},{"dropping-particle":"","family":"Busch","given":"Jonathan","non-dropping-particle":"","parse-names":false,"suffix":""},{"dropping-particle":"","family":"Steinberger","given":"Julia K.","non-dropping-particle":"","parse-names":false,"suffix":""}],"container-title":"Applied Energy","id":"ITEM-1","issued":{"date-parts":[["2014"]]},"page":"378-386","publisher":"Elsevier Ltd","title":"Assessing the dynamic material criticality of infrastructure transitions: A case of low carbon electricity","type":"article-journal","volume":"123"},"uris":["http://www.mendeley.com/documents/?uuid=9821f7dd-c85f-49a3-9519-89014b8a81f9"]}],"mendeley":{"formattedCitation":"(Roelich et al., 2014)","plainTextFormattedCitation":"(Roelich et al., 2014)","previouslyFormattedCitation":"(Roelich et al., 2014)"},"properties":{"noteIndex":0},"schema":"https://github.com/citation-style-language/schema/raw/master/csl-citation.json"}</w:instrText>
            </w:r>
            <w:r w:rsidRPr="00F136C3">
              <w:rPr>
                <w:rFonts w:ascii="Calibri" w:hAnsi="Calibri"/>
                <w:color w:val="000000"/>
                <w:sz w:val="16"/>
                <w:szCs w:val="16"/>
              </w:rPr>
              <w:fldChar w:fldCharType="separate"/>
            </w:r>
            <w:r w:rsidRPr="002B45EF">
              <w:rPr>
                <w:rFonts w:ascii="Calibri" w:hAnsi="Calibri"/>
                <w:noProof/>
                <w:color w:val="000000"/>
                <w:sz w:val="16"/>
                <w:szCs w:val="16"/>
              </w:rPr>
              <w:t>(Roelich et al., 2014)</w:t>
            </w:r>
            <w:r w:rsidRPr="00F136C3">
              <w:rPr>
                <w:rFonts w:ascii="Calibri" w:hAnsi="Calibri"/>
                <w:color w:val="000000"/>
                <w:sz w:val="16"/>
                <w:szCs w:val="16"/>
              </w:rPr>
              <w:fldChar w:fldCharType="end"/>
            </w:r>
          </w:p>
        </w:tc>
        <w:tc>
          <w:tcPr>
            <w:tcW w:w="570" w:type="dxa"/>
          </w:tcPr>
          <w:p w14:paraId="00E42B81" w14:textId="60D533BB" w:rsidR="00C80243" w:rsidRPr="00A43E79" w:rsidRDefault="00C80243" w:rsidP="00863B14">
            <w:pPr>
              <w:spacing w:line="480" w:lineRule="auto"/>
              <w:rPr>
                <w:rFonts w:ascii="Calibri" w:hAnsi="Calibri"/>
                <w:color w:val="000000"/>
                <w:sz w:val="16"/>
                <w:szCs w:val="16"/>
              </w:rPr>
            </w:pPr>
            <w:r w:rsidRPr="00AE56AD">
              <w:rPr>
                <w:rFonts w:ascii="Calibri" w:hAnsi="Calibri"/>
                <w:color w:val="000000"/>
                <w:sz w:val="16"/>
                <w:szCs w:val="16"/>
              </w:rPr>
              <w:t>2014</w:t>
            </w:r>
          </w:p>
        </w:tc>
        <w:tc>
          <w:tcPr>
            <w:tcW w:w="1318" w:type="dxa"/>
          </w:tcPr>
          <w:p w14:paraId="016EBFBA" w14:textId="19197682"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Wind turbines</w:t>
            </w:r>
          </w:p>
        </w:tc>
        <w:tc>
          <w:tcPr>
            <w:tcW w:w="1631" w:type="dxa"/>
          </w:tcPr>
          <w:p w14:paraId="10BDFBD2" w14:textId="1955E1E5"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UK</w:t>
            </w:r>
          </w:p>
        </w:tc>
        <w:tc>
          <w:tcPr>
            <w:tcW w:w="1021" w:type="dxa"/>
          </w:tcPr>
          <w:p w14:paraId="63725213" w14:textId="0EC7C26B"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2014-2048</w:t>
            </w:r>
          </w:p>
        </w:tc>
        <w:tc>
          <w:tcPr>
            <w:tcW w:w="4548" w:type="dxa"/>
          </w:tcPr>
          <w:p w14:paraId="33C37D61" w14:textId="42055CA7" w:rsidR="00C80243" w:rsidRPr="00F136C3" w:rsidRDefault="00C80243" w:rsidP="00863B14">
            <w:pPr>
              <w:spacing w:line="480" w:lineRule="auto"/>
              <w:rPr>
                <w:rFonts w:asciiTheme="majorHAnsi" w:hAnsiTheme="majorHAnsi"/>
                <w:sz w:val="16"/>
                <w:szCs w:val="16"/>
              </w:rPr>
            </w:pPr>
            <w:r>
              <w:rPr>
                <w:rFonts w:ascii="Calibri" w:hAnsi="Calibri"/>
                <w:color w:val="000000"/>
                <w:sz w:val="16"/>
                <w:szCs w:val="16"/>
              </w:rPr>
              <w:t>Constraint on the deployment rate and scale of low-carbon technologies due to disrupted supply of materials.</w:t>
            </w:r>
          </w:p>
        </w:tc>
        <w:tc>
          <w:tcPr>
            <w:tcW w:w="3972" w:type="dxa"/>
          </w:tcPr>
          <w:p w14:paraId="3E80D830" w14:textId="62C03AAC" w:rsidR="00C80243" w:rsidRPr="00F136C3" w:rsidRDefault="00C80243" w:rsidP="00863B14">
            <w:pPr>
              <w:spacing w:line="480" w:lineRule="auto"/>
              <w:rPr>
                <w:rFonts w:asciiTheme="majorHAnsi" w:hAnsiTheme="majorHAnsi"/>
                <w:sz w:val="16"/>
                <w:szCs w:val="16"/>
              </w:rPr>
            </w:pPr>
            <w:r>
              <w:rPr>
                <w:rFonts w:ascii="Calibri" w:hAnsi="Calibri"/>
                <w:color w:val="000000"/>
                <w:sz w:val="16"/>
                <w:szCs w:val="16"/>
              </w:rPr>
              <w:t>Enable the identification of potential policy responses to reduce criticality.</w:t>
            </w:r>
          </w:p>
        </w:tc>
      </w:tr>
      <w:tr w:rsidR="00C80243" w:rsidRPr="002E3AC2" w14:paraId="6B9451F5" w14:textId="77777777" w:rsidTr="00C80243">
        <w:trPr>
          <w:trHeight w:val="1229"/>
        </w:trPr>
        <w:tc>
          <w:tcPr>
            <w:tcW w:w="1967" w:type="dxa"/>
          </w:tcPr>
          <w:p w14:paraId="47917638" w14:textId="0BD401F1"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 xml:space="preserve">OECD </w:t>
            </w:r>
            <w:r w:rsidRPr="00F136C3">
              <w:rPr>
                <w:rFonts w:ascii="Calibri" w:hAnsi="Calibri"/>
                <w:color w:val="000000"/>
                <w:sz w:val="16"/>
                <w:szCs w:val="16"/>
              </w:rPr>
              <w:fldChar w:fldCharType="begin" w:fldLock="1"/>
            </w:r>
            <w:r>
              <w:rPr>
                <w:rFonts w:ascii="Calibri" w:hAnsi="Calibri"/>
                <w:color w:val="000000"/>
                <w:sz w:val="16"/>
                <w:szCs w:val="16"/>
              </w:rPr>
              <w:instrText>ADDIN CSL_CITATION {"citationItems":[{"id":"ITEM-1","itemData":{"DOI":"http://dx.doi.org/10.1787/5jrtknwm5hr5-en","ISBN":"91","abstract":"The purpose of this report is to perform for the first time an analysis of critical minerals for the OECD countries as a whole. In addition, this is done not only today, as previous reports have done, but also in 2030, in order to form an initial picture of how possible trends in economic development will affect which minerals are critical in the long-run future. The 51 different minerals are included in the analysis. Three measures of mineral supply risk are used: 1. substitutability, 2. recycling rates and 3. the concentration of production in countries that are judged by international datasets to be relatively politically unstable. Physical scarcity is not considered to be a source of supply risk, certainly in the short term. The analysis identifies around 12 to 20 minerals or minerals groups, which are critical in the OECD today. The results are highly mineral-specific, with some minerals requiring huge increases in substitutability and/or recycling from a low base, while others require only small improvements.","author":[{"dropping-particle":"","family":"Coulomb","given":"Renaud","non-dropping-particle":"","parse-names":false,"suffix":""},{"dropping-particle":"","family":"Dietz","given":"Simon","non-dropping-particle":"","parse-names":false,"suffix":""},{"dropping-particle":"","family":"Godunova","given":"Maria","non-dropping-particle":"","parse-names":false,"suffix":""},{"dropping-particle":"","family":"Nielsen","given":"Thomas Bligaard","non-dropping-particle":"","parse-names":false,"suffix":""}],"container-title":"OECD Environment Working Papers","id":"ITEM-1","issue":"91","issued":{"date-parts":[["2015"]]},"page":"0_1,3-5,8-49","title":"Critical Minerals Today and in 2030: AN ANALYSIS FOR OECD COUNTRIES","type":"article-journal"},"uris":["http://www.mendeley.com/documents/?uuid=54347e9d-13a9-42dc-81a3-2eaf4955e82a"]}],"mendeley":{"formattedCitation":"(Coulomb et al., 2015)","plainTextFormattedCitation":"(Coulomb et al., 2015)","previouslyFormattedCitation":"(Coulomb et al., 2015)"},"properties":{"noteIndex":0},"schema":"https://github.com/citation-style-language/schema/raw/master/csl-citation.json"}</w:instrText>
            </w:r>
            <w:r w:rsidRPr="00F136C3">
              <w:rPr>
                <w:rFonts w:ascii="Calibri" w:hAnsi="Calibri"/>
                <w:color w:val="000000"/>
                <w:sz w:val="16"/>
                <w:szCs w:val="16"/>
              </w:rPr>
              <w:fldChar w:fldCharType="separate"/>
            </w:r>
            <w:r w:rsidRPr="002B45EF">
              <w:rPr>
                <w:rFonts w:ascii="Calibri" w:hAnsi="Calibri"/>
                <w:noProof/>
                <w:color w:val="000000"/>
                <w:sz w:val="16"/>
                <w:szCs w:val="16"/>
              </w:rPr>
              <w:t>(Coulomb et al., 2015)</w:t>
            </w:r>
            <w:r w:rsidRPr="00F136C3">
              <w:rPr>
                <w:rFonts w:ascii="Calibri" w:hAnsi="Calibri"/>
                <w:color w:val="000000"/>
                <w:sz w:val="16"/>
                <w:szCs w:val="16"/>
              </w:rPr>
              <w:fldChar w:fldCharType="end"/>
            </w:r>
          </w:p>
        </w:tc>
        <w:tc>
          <w:tcPr>
            <w:tcW w:w="570" w:type="dxa"/>
          </w:tcPr>
          <w:p w14:paraId="6F9B6B43" w14:textId="6E2E8185" w:rsidR="00C80243" w:rsidRPr="00A43E79" w:rsidRDefault="00C80243" w:rsidP="00863B14">
            <w:pPr>
              <w:spacing w:line="480" w:lineRule="auto"/>
              <w:rPr>
                <w:rFonts w:ascii="Calibri" w:hAnsi="Calibri"/>
                <w:color w:val="000000"/>
                <w:sz w:val="16"/>
                <w:szCs w:val="16"/>
              </w:rPr>
            </w:pPr>
            <w:r w:rsidRPr="00AE56AD">
              <w:rPr>
                <w:rFonts w:ascii="Calibri" w:hAnsi="Calibri"/>
                <w:color w:val="000000"/>
                <w:sz w:val="16"/>
                <w:szCs w:val="16"/>
              </w:rPr>
              <w:t>2014</w:t>
            </w:r>
          </w:p>
        </w:tc>
        <w:tc>
          <w:tcPr>
            <w:tcW w:w="1318" w:type="dxa"/>
          </w:tcPr>
          <w:p w14:paraId="3B49E69B" w14:textId="4C6591E9"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Economy</w:t>
            </w:r>
          </w:p>
        </w:tc>
        <w:tc>
          <w:tcPr>
            <w:tcW w:w="1631" w:type="dxa"/>
          </w:tcPr>
          <w:p w14:paraId="1D2093EA" w14:textId="1FBC7174"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OECD countries</w:t>
            </w:r>
          </w:p>
        </w:tc>
        <w:tc>
          <w:tcPr>
            <w:tcW w:w="1021" w:type="dxa"/>
          </w:tcPr>
          <w:p w14:paraId="05D7360D" w14:textId="1B59435D"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2012 and 2030</w:t>
            </w:r>
          </w:p>
        </w:tc>
        <w:tc>
          <w:tcPr>
            <w:tcW w:w="4548" w:type="dxa"/>
          </w:tcPr>
          <w:p w14:paraId="2C41537C" w14:textId="4A7A008E"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Disruption of supply of minerals that are important for the economy and that are difficult to substitute and to recycle, due to reliance on supply from political instable countries or due to increasing demand from emerging markets and new technologies</w:t>
            </w:r>
          </w:p>
        </w:tc>
        <w:tc>
          <w:tcPr>
            <w:tcW w:w="3972" w:type="dxa"/>
          </w:tcPr>
          <w:p w14:paraId="0596219E" w14:textId="2606A88F"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Inform policymakers on recycling efforts and development of substitutes, stimulate R&amp;D in the OECD. Formulate policy targets on "required" recycling and substitution rates. Stimulate data availability on indicators for supply risk and material use</w:t>
            </w:r>
          </w:p>
        </w:tc>
      </w:tr>
      <w:tr w:rsidR="00C80243" w:rsidRPr="002E3AC2" w14:paraId="2378D876" w14:textId="77777777" w:rsidTr="00C80243">
        <w:trPr>
          <w:trHeight w:val="251"/>
        </w:trPr>
        <w:tc>
          <w:tcPr>
            <w:tcW w:w="1967" w:type="dxa"/>
          </w:tcPr>
          <w:p w14:paraId="3419209C" w14:textId="44806279"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 xml:space="preserve">KIRAM/KITECH </w:t>
            </w:r>
            <w:r w:rsidRPr="00F136C3">
              <w:rPr>
                <w:rFonts w:ascii="Calibri" w:hAnsi="Calibri"/>
                <w:color w:val="000000"/>
                <w:sz w:val="16"/>
                <w:szCs w:val="16"/>
              </w:rPr>
              <w:fldChar w:fldCharType="begin" w:fldLock="1"/>
            </w:r>
            <w:r>
              <w:rPr>
                <w:rFonts w:ascii="Calibri" w:hAnsi="Calibri"/>
                <w:color w:val="000000"/>
                <w:sz w:val="16"/>
                <w:szCs w:val="16"/>
              </w:rPr>
              <w:instrText>ADDIN CSL_CITATION {"citationItems":[{"id":"ITEM-1","itemData":{"author":[{"dropping-particle":"","family":"KIRAM","given":"","non-dropping-particle":"","parse-names":false,"suffix":""},{"dropping-particle":"","family":"KITECH","given":"","non-dropping-particle":"","parse-names":false,"suffix":""}],"id":"ITEM-1","issued":{"date-parts":[["2014"]]},"title":"The current activity of Korea for the rare metals future","type":"article"},"uris":["http://www.mendeley.com/documents/?uuid=4c22ddf4-f3f5-4715-a506-ce4282941d2a"]}],"mendeley":{"formattedCitation":"(KIRAM and KITECH, 2014)","plainTextFormattedCitation":"(KIRAM and KITECH, 2014)","previouslyFormattedCitation":"(KIRAM and KITECH, 2014)"},"properties":{"noteIndex":0},"schema":"https://github.com/citation-style-language/schema/raw/master/csl-citation.json"}</w:instrText>
            </w:r>
            <w:r w:rsidRPr="00F136C3">
              <w:rPr>
                <w:rFonts w:ascii="Calibri" w:hAnsi="Calibri"/>
                <w:color w:val="000000"/>
                <w:sz w:val="16"/>
                <w:szCs w:val="16"/>
              </w:rPr>
              <w:fldChar w:fldCharType="separate"/>
            </w:r>
            <w:r w:rsidRPr="002B45EF">
              <w:rPr>
                <w:rFonts w:ascii="Calibri" w:hAnsi="Calibri"/>
                <w:noProof/>
                <w:color w:val="000000"/>
                <w:sz w:val="16"/>
                <w:szCs w:val="16"/>
              </w:rPr>
              <w:t>(KIRAM and KITECH, 2014)</w:t>
            </w:r>
            <w:r w:rsidRPr="00F136C3">
              <w:rPr>
                <w:rFonts w:ascii="Calibri" w:hAnsi="Calibri"/>
                <w:color w:val="000000"/>
                <w:sz w:val="16"/>
                <w:szCs w:val="16"/>
              </w:rPr>
              <w:fldChar w:fldCharType="end"/>
            </w:r>
          </w:p>
        </w:tc>
        <w:tc>
          <w:tcPr>
            <w:tcW w:w="570" w:type="dxa"/>
          </w:tcPr>
          <w:p w14:paraId="1210AA86" w14:textId="092BBD70" w:rsidR="00C80243" w:rsidRPr="00A43E79" w:rsidRDefault="00C80243" w:rsidP="00863B14">
            <w:pPr>
              <w:spacing w:line="480" w:lineRule="auto"/>
              <w:rPr>
                <w:rFonts w:ascii="Calibri" w:hAnsi="Calibri"/>
                <w:color w:val="000000"/>
                <w:sz w:val="16"/>
                <w:szCs w:val="16"/>
              </w:rPr>
            </w:pPr>
            <w:r w:rsidRPr="00AE56AD">
              <w:rPr>
                <w:rFonts w:ascii="Calibri" w:hAnsi="Calibri"/>
                <w:color w:val="000000"/>
                <w:sz w:val="16"/>
                <w:szCs w:val="16"/>
              </w:rPr>
              <w:t>2014</w:t>
            </w:r>
          </w:p>
        </w:tc>
        <w:tc>
          <w:tcPr>
            <w:tcW w:w="1318" w:type="dxa"/>
          </w:tcPr>
          <w:p w14:paraId="2CA7209C" w14:textId="386EE9EB"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Economy</w:t>
            </w:r>
          </w:p>
        </w:tc>
        <w:tc>
          <w:tcPr>
            <w:tcW w:w="1631" w:type="dxa"/>
          </w:tcPr>
          <w:p w14:paraId="229AB8CC" w14:textId="60413F64"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Korea</w:t>
            </w:r>
          </w:p>
        </w:tc>
        <w:tc>
          <w:tcPr>
            <w:tcW w:w="1021" w:type="dxa"/>
          </w:tcPr>
          <w:p w14:paraId="24B01F76" w14:textId="4229CD2C"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&lt; 10 years</w:t>
            </w:r>
          </w:p>
        </w:tc>
        <w:tc>
          <w:tcPr>
            <w:tcW w:w="4548" w:type="dxa"/>
          </w:tcPr>
          <w:p w14:paraId="13B3B1EF" w14:textId="0397C7AF" w:rsidR="00C80243" w:rsidRPr="00F136C3" w:rsidRDefault="00C80243" w:rsidP="00863B14">
            <w:pPr>
              <w:spacing w:line="480" w:lineRule="auto"/>
              <w:rPr>
                <w:rFonts w:asciiTheme="majorHAnsi" w:hAnsiTheme="majorHAnsi"/>
                <w:sz w:val="16"/>
                <w:szCs w:val="16"/>
              </w:rPr>
            </w:pPr>
            <w:r>
              <w:rPr>
                <w:rFonts w:ascii="Calibri" w:hAnsi="Calibri"/>
                <w:color w:val="000000"/>
                <w:sz w:val="16"/>
                <w:szCs w:val="16"/>
              </w:rPr>
              <w:t>Instability of metal supply to the Korean economy due to high prices and low stocks.</w:t>
            </w:r>
          </w:p>
        </w:tc>
        <w:tc>
          <w:tcPr>
            <w:tcW w:w="3972" w:type="dxa"/>
          </w:tcPr>
          <w:p w14:paraId="61D0D499" w14:textId="687D4AFE"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Secure supply of raw materials to SMEs by identifying needs for stockpiling, new supply routes, substitution, and recycling</w:t>
            </w:r>
          </w:p>
        </w:tc>
      </w:tr>
      <w:tr w:rsidR="00C80243" w:rsidRPr="002E3AC2" w14:paraId="714BD37C" w14:textId="77777777" w:rsidTr="00C80243">
        <w:trPr>
          <w:trHeight w:val="251"/>
        </w:trPr>
        <w:tc>
          <w:tcPr>
            <w:tcW w:w="1967" w:type="dxa"/>
          </w:tcPr>
          <w:p w14:paraId="6E14E967" w14:textId="318170C7" w:rsidR="00C80243" w:rsidRPr="00F136C3" w:rsidRDefault="00C80243" w:rsidP="00863B14">
            <w:pPr>
              <w:spacing w:line="480" w:lineRule="auto"/>
              <w:rPr>
                <w:rFonts w:asciiTheme="majorHAnsi" w:hAnsiTheme="majorHAnsi"/>
                <w:sz w:val="16"/>
                <w:szCs w:val="16"/>
                <w:lang w:val="fr-FR"/>
              </w:rPr>
            </w:pPr>
            <w:proofErr w:type="spellStart"/>
            <w:r w:rsidRPr="00F136C3">
              <w:rPr>
                <w:rFonts w:ascii="Calibri" w:hAnsi="Calibri"/>
                <w:color w:val="000000"/>
                <w:sz w:val="16"/>
                <w:szCs w:val="16"/>
                <w:lang w:val="fr-FR"/>
              </w:rPr>
              <w:t>iCIRCE</w:t>
            </w:r>
            <w:proofErr w:type="spellEnd"/>
            <w:r w:rsidRPr="00F136C3">
              <w:rPr>
                <w:rFonts w:ascii="Calibri" w:hAnsi="Calibri"/>
                <w:color w:val="000000"/>
                <w:sz w:val="16"/>
                <w:szCs w:val="16"/>
                <w:lang w:val="fr-FR"/>
              </w:rPr>
              <w:t xml:space="preserve"> </w:t>
            </w:r>
            <w:r w:rsidRPr="00F136C3">
              <w:rPr>
                <w:rFonts w:ascii="Calibri" w:hAnsi="Calibri"/>
                <w:color w:val="000000"/>
                <w:sz w:val="16"/>
                <w:szCs w:val="16"/>
              </w:rPr>
              <w:fldChar w:fldCharType="begin" w:fldLock="1"/>
            </w:r>
            <w:r>
              <w:rPr>
                <w:rFonts w:ascii="Calibri" w:hAnsi="Calibri"/>
                <w:color w:val="000000"/>
                <w:sz w:val="16"/>
                <w:szCs w:val="16"/>
                <w:lang w:val="fr-FR"/>
              </w:rPr>
              <w:instrText>ADDIN CSL_CITATION {"citationItems":[{"id":"ITEM-1","itemData":{"DOI":"10.1111/jiec.12624","ISSN":"10881980","author":[{"dropping-particle":"","family":"Calvo","given":"Guiomar","non-dropping-particle":"","parse-names":false,"suffix":""},{"dropping-particle":"","family":"Valero","given":"Alicia","non-dropping-particle":"","parse-names":false,"suffix":""},{"dropping-particle":"","family":"Valero","given":"Antonio","non-dropping-particle":"","parse-names":false,"suffix":""}],"container-title":"Journal of Industrial Ecology","id":"ITEM-1","issue":"0","issued":{"date-parts":[["2017"]]},"title":"Thermodynamic Approach to Evaluate the Criticality of Raw Materials and Its Application through a Material Flow Analysis in Europe","type":"article-journal","volume":"00"},"uris":["http://www.mendeley.com/documents/?uuid=8e0fef56-45bb-4174-a7c0-0a950515aa58"]},{"id":"ITEM-2","itemData":{"DOI":"10.1016/j.energy.2010.07.017","ISBN":"0360-5442","ISSN":"03605442","abstract":"The Crepuscular Earth presented here is a guess reference model of the planet in which all mineral resources have been extracted and dispersed and fossil fuels have been burnt. It serves as a realistic limit of resources to assess the Earth's non-renewable exergy capital. Under such conditions we estimate a state of the atmosphere and hydrosphere using updated fossil fuels stocks (1925 GtC for proven reserves, rising to about 16,224 GtC when including estimated additional reserves) and emissions projections in a simple model of the carbon cycle. We consider the BAU-I scenario as the most likely to occur, corresponding to an atmospheric injection of about 2000 GtC. Accordingly, we propose a crepuscular atmosphere having a carbon dioxide content of 683 ppm, a mean surface temperature of 17 °C (peak carbon dioxide induced warming of 3.7 °C above pre-industrial temperatures), a pressure of 1.021 bar, and a composition in volume basis of 78.8% N2, 20.92% O2, 0.93% Ar, and 0.0015% of trace gases. Considering that oceans account for 97.5% of the whole hydrosphere, the crepuscular hydrosphere is assumed to have the current chemical composition of the oceans at an average temperature of 17 °C. © 2010 Elsevier Ltd.","author":[{"dropping-particle":"","family":"Valero","given":"Antonio","non-dropping-particle":"","parse-names":false,"suffix":""},{"dropping-particle":"","family":"Agudelo","given":"Andrés","non-dropping-particle":"","parse-names":false,"suffix":""},{"dropping-particle":"","family":"Valero","given":"Alicia","non-dropping-particle":"","parse-names":false,"suffix":""}],"container-title":"Energy","id":"ITEM-2","issue":"6","issued":{"date-parts":[["2011"]]},"page":"3745-3753","publisher":"Elsevier Ltd","title":"The crepuscular planet. A model for the exhausted atmosphere and hydrosphere","type":"article-journal","volume":"36"},"uris":["http://www.mendeley.com/documents/?uuid=2885b64c-e644-45ac-8b83-ed18ae82e100"]},{"id":"ITEM-3","itemData":{"author":[{"dropping-particle":"","family":"Valero","given":"Antonio","non-dropping-particle":"","parse-names":false,"suffix":""}],"id":"ITEM-3","issue":"October 2014","issued":{"date-parts":[["2015"]]},"title":"The Destiny of the Earth ’ s A Thermodynamic Cradle-to-Cradle Assessment","type":"article-journal"},"uris":["http://www.mendeley.com/documents/?uuid=da563b9b-fc83-46e4-b8ef-9538bc40471f"]}],"mendeley":{"formattedCitation":"(Calvo et al., 2017; Valero, 2015; Valero et al., 2011)","plainTextFormattedCitation":"(Calvo et al., 2017; Valero, 2015; Valero et al., 2011)","previouslyFormattedCitation":"(Calvo et al., 2017; Valero, 2015; Valero et al., 2011)"},"properties":{"noteIndex":0},"schema":"https://github.com/citation-style-language/schema/raw/master/csl-citation.json"}</w:instrText>
            </w:r>
            <w:r w:rsidRPr="00F136C3">
              <w:rPr>
                <w:rFonts w:ascii="Calibri" w:hAnsi="Calibri"/>
                <w:color w:val="000000"/>
                <w:sz w:val="16"/>
                <w:szCs w:val="16"/>
              </w:rPr>
              <w:fldChar w:fldCharType="separate"/>
            </w:r>
            <w:r w:rsidRPr="002B45EF">
              <w:rPr>
                <w:rFonts w:ascii="Calibri" w:hAnsi="Calibri"/>
                <w:noProof/>
                <w:color w:val="000000"/>
                <w:sz w:val="16"/>
                <w:szCs w:val="16"/>
                <w:lang w:val="fr-FR"/>
              </w:rPr>
              <w:t>(Calvo et al., 2017; Valero, 2015; Valero et al., 2011)</w:t>
            </w:r>
            <w:r w:rsidRPr="00F136C3">
              <w:rPr>
                <w:rFonts w:ascii="Calibri" w:hAnsi="Calibri"/>
                <w:color w:val="000000"/>
                <w:sz w:val="16"/>
                <w:szCs w:val="16"/>
              </w:rPr>
              <w:fldChar w:fldCharType="end"/>
            </w:r>
          </w:p>
        </w:tc>
        <w:tc>
          <w:tcPr>
            <w:tcW w:w="570" w:type="dxa"/>
          </w:tcPr>
          <w:p w14:paraId="28DAF455" w14:textId="6E0F1760" w:rsidR="00C80243" w:rsidRPr="00A43E79" w:rsidRDefault="00C80243" w:rsidP="00863B14">
            <w:pPr>
              <w:spacing w:line="480" w:lineRule="auto"/>
              <w:rPr>
                <w:rFonts w:ascii="Calibri" w:hAnsi="Calibri"/>
                <w:color w:val="000000"/>
                <w:sz w:val="16"/>
                <w:szCs w:val="16"/>
              </w:rPr>
            </w:pPr>
            <w:r w:rsidRPr="00AE56AD">
              <w:rPr>
                <w:rFonts w:ascii="Calibri" w:hAnsi="Calibri"/>
                <w:color w:val="000000"/>
                <w:sz w:val="16"/>
                <w:szCs w:val="16"/>
              </w:rPr>
              <w:t>2014</w:t>
            </w:r>
          </w:p>
        </w:tc>
        <w:tc>
          <w:tcPr>
            <w:tcW w:w="1318" w:type="dxa"/>
          </w:tcPr>
          <w:p w14:paraId="5E581810" w14:textId="246A9B77"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Availability of resources</w:t>
            </w:r>
          </w:p>
        </w:tc>
        <w:tc>
          <w:tcPr>
            <w:tcW w:w="1631" w:type="dxa"/>
          </w:tcPr>
          <w:p w14:paraId="74A017F1" w14:textId="0AD9BDD6"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Global</w:t>
            </w:r>
          </w:p>
        </w:tc>
        <w:tc>
          <w:tcPr>
            <w:tcW w:w="1021" w:type="dxa"/>
          </w:tcPr>
          <w:p w14:paraId="3CC37B9A" w14:textId="5E5476AF"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Few decades</w:t>
            </w:r>
          </w:p>
        </w:tc>
        <w:tc>
          <w:tcPr>
            <w:tcW w:w="4548" w:type="dxa"/>
          </w:tcPr>
          <w:p w14:paraId="326990F2" w14:textId="6959FD66"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Resources become too dispersed for efficient extraction or recovery</w:t>
            </w:r>
          </w:p>
        </w:tc>
        <w:tc>
          <w:tcPr>
            <w:tcW w:w="3972" w:type="dxa"/>
          </w:tcPr>
          <w:p w14:paraId="3B02B0F7" w14:textId="29B2D255"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Identify needs for substitution and recycling</w:t>
            </w:r>
          </w:p>
        </w:tc>
      </w:tr>
      <w:tr w:rsidR="00C80243" w:rsidRPr="002E3AC2" w14:paraId="55BF5199" w14:textId="77777777" w:rsidTr="00C80243">
        <w:trPr>
          <w:trHeight w:val="483"/>
        </w:trPr>
        <w:tc>
          <w:tcPr>
            <w:tcW w:w="1967" w:type="dxa"/>
          </w:tcPr>
          <w:p w14:paraId="04FD4180" w14:textId="68DE3734"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 xml:space="preserve">EU2014 </w:t>
            </w:r>
            <w:r w:rsidRPr="00F136C3">
              <w:rPr>
                <w:rFonts w:ascii="Calibri" w:hAnsi="Calibri"/>
                <w:color w:val="000000"/>
                <w:sz w:val="16"/>
                <w:szCs w:val="16"/>
              </w:rPr>
              <w:fldChar w:fldCharType="begin" w:fldLock="1"/>
            </w:r>
            <w:r>
              <w:rPr>
                <w:rFonts w:ascii="Calibri" w:hAnsi="Calibri"/>
                <w:color w:val="000000"/>
                <w:sz w:val="16"/>
                <w:szCs w:val="16"/>
              </w:rPr>
              <w:instrText>ADDIN CSL_CITATION {"citationItems":[{"id":"ITEM-1","itemData":{"abstract":"Raw materials are fundamental to Europe’s economy, growth and jobs and they are essential for maintaining and improving our quality of life. Recent years have seen a growth in the number of materials used across products. Securing reliable, sustainable and undistorted access of certain raw materials is of growing concern within the EU and across the globe. As a consequence of these circumstances, the Raw Materials Initiative was instigated to manage responses to raw materials issues at an EU level. At the heart of this work is defining the critical raw materials for the EU’s economy. These critical raw materials have a high economic importance to the EU combined with a high risk associated with their supply.","author":[{"dropping-particle":"","family":"European Commission","given":"","non-dropping-particle":"","parse-names":false,"suffix":""}],"id":"ITEM-1","issue":"May","issued":{"date-parts":[["2014"]]},"number-of-pages":"41","title":"Report on critical raw materials for the EU, Report of the Ad hoc Working Group on defining critical raw materials","type":"report"},"uris":["http://www.mendeley.com/documents/?uuid=31c8dd0f-f776-4506-8c00-5ab6aa6759d0"]}],"mendeley":{"formattedCitation":"(European Commission, 2014a)","plainTextFormattedCitation":"(European Commission, 2014a)","previouslyFormattedCitation":"(European Commission, 2014a)"},"properties":{"noteIndex":0},"schema":"https://github.com/citation-style-language/schema/raw/master/csl-citation.json"}</w:instrText>
            </w:r>
            <w:r w:rsidRPr="00F136C3">
              <w:rPr>
                <w:rFonts w:ascii="Calibri" w:hAnsi="Calibri"/>
                <w:color w:val="000000"/>
                <w:sz w:val="16"/>
                <w:szCs w:val="16"/>
              </w:rPr>
              <w:fldChar w:fldCharType="separate"/>
            </w:r>
            <w:r w:rsidRPr="002B45EF">
              <w:rPr>
                <w:rFonts w:ascii="Calibri" w:hAnsi="Calibri"/>
                <w:noProof/>
                <w:color w:val="000000"/>
                <w:sz w:val="16"/>
                <w:szCs w:val="16"/>
              </w:rPr>
              <w:t>(European Commission, 2014a)</w:t>
            </w:r>
            <w:r w:rsidRPr="00F136C3">
              <w:rPr>
                <w:rFonts w:ascii="Calibri" w:hAnsi="Calibri"/>
                <w:color w:val="000000"/>
                <w:sz w:val="16"/>
                <w:szCs w:val="16"/>
              </w:rPr>
              <w:fldChar w:fldCharType="end"/>
            </w:r>
          </w:p>
        </w:tc>
        <w:tc>
          <w:tcPr>
            <w:tcW w:w="570" w:type="dxa"/>
          </w:tcPr>
          <w:p w14:paraId="01058D39" w14:textId="5400A5BA" w:rsidR="00C80243" w:rsidRPr="00A43E79" w:rsidRDefault="00C80243" w:rsidP="00863B14">
            <w:pPr>
              <w:spacing w:line="480" w:lineRule="auto"/>
              <w:rPr>
                <w:rFonts w:ascii="Calibri" w:hAnsi="Calibri"/>
                <w:color w:val="000000"/>
                <w:sz w:val="16"/>
                <w:szCs w:val="16"/>
              </w:rPr>
            </w:pPr>
            <w:r w:rsidRPr="00AE56AD">
              <w:rPr>
                <w:rFonts w:ascii="Calibri" w:hAnsi="Calibri"/>
                <w:color w:val="000000"/>
                <w:sz w:val="16"/>
                <w:szCs w:val="16"/>
              </w:rPr>
              <w:t>2014</w:t>
            </w:r>
          </w:p>
        </w:tc>
        <w:tc>
          <w:tcPr>
            <w:tcW w:w="1318" w:type="dxa"/>
          </w:tcPr>
          <w:p w14:paraId="1127EF58" w14:textId="72DC1B05"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Economy (focus on manufacturing sector)</w:t>
            </w:r>
          </w:p>
        </w:tc>
        <w:tc>
          <w:tcPr>
            <w:tcW w:w="1631" w:type="dxa"/>
          </w:tcPr>
          <w:p w14:paraId="4415C0F0" w14:textId="49AAA747"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European Union</w:t>
            </w:r>
          </w:p>
        </w:tc>
        <w:tc>
          <w:tcPr>
            <w:tcW w:w="1021" w:type="dxa"/>
          </w:tcPr>
          <w:p w14:paraId="119789FD" w14:textId="32E01D2B"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10 years</w:t>
            </w:r>
          </w:p>
        </w:tc>
        <w:tc>
          <w:tcPr>
            <w:tcW w:w="4548" w:type="dxa"/>
          </w:tcPr>
          <w:p w14:paraId="7D95575E" w14:textId="5ACBD44F"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Disruption of supply due to high supply concentration and poor country governance, mitigated by recycling and substitutability</w:t>
            </w:r>
          </w:p>
        </w:tc>
        <w:tc>
          <w:tcPr>
            <w:tcW w:w="3972" w:type="dxa"/>
          </w:tcPr>
          <w:p w14:paraId="3E3015C1" w14:textId="70D426F7"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Monitor criticality, prioritize needs and actions, incentivize the European production of CRM, facilitate the launching of new mining and recycling activities, negotiating trade agreements, drafting legislation, challenging trade distortion measures, promoting research and innovation and inform on options of supply diversification, with the purpose to increase competitiveness of the EU economy</w:t>
            </w:r>
          </w:p>
        </w:tc>
      </w:tr>
      <w:tr w:rsidR="00C80243" w:rsidRPr="002E3AC2" w14:paraId="40CA269A" w14:textId="77777777" w:rsidTr="00C80243">
        <w:trPr>
          <w:trHeight w:val="91"/>
        </w:trPr>
        <w:tc>
          <w:tcPr>
            <w:tcW w:w="1967" w:type="dxa"/>
          </w:tcPr>
          <w:p w14:paraId="27AA352C" w14:textId="7712D385"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 xml:space="preserve">NIES Footprint Method </w:t>
            </w:r>
            <w:r w:rsidRPr="00F136C3">
              <w:rPr>
                <w:rFonts w:ascii="Calibri" w:hAnsi="Calibri"/>
                <w:color w:val="000000"/>
                <w:sz w:val="16"/>
                <w:szCs w:val="16"/>
              </w:rPr>
              <w:fldChar w:fldCharType="begin" w:fldLock="1"/>
            </w:r>
            <w:r>
              <w:rPr>
                <w:rFonts w:ascii="Calibri" w:hAnsi="Calibri"/>
                <w:color w:val="000000"/>
                <w:sz w:val="16"/>
                <w:szCs w:val="16"/>
              </w:rPr>
              <w:instrText>ADDIN CSL_CITATION {"citationItems":[{"id":"ITEM-1","itemData":{"DOI":"10.1021/es504255r","ISBN":"0013-936X","ISSN":"15205851","PMID":"25622132","abstract":"Meeting the 2-degree global warming target requires wide adoption of low-carbon energy technologies. Many such technologies rely on the use of precious metals, however, increasing the dependence of national economies on these resources. Among such metals, those with supply security concerns are referred to as critical metals. Using the Policy Potential Index developed by the Fraser Institute, this study developed a new footprint indicator, the mining risk footprint (MRF), to quantify the mining risk directly and indirectly affecting a national economy through its consumption of critical metals. We formulated the MRF as a product of the material footprint (MF) of the consuming country and the mining risks of the countries where the materials are mined. A case study was conducted for the 2005 Japanese economy to determine the MF and MRF for three critical metals essential for emerging energy technologies: neodymium, cobalt and platinum. The results indicate that in 2005 the MFs generated by Japanese domestic final demand, that is, the consumption-based metal output of Japan, were 1.0 × 10(3) t for neodymium, 9.4 × 10(3) t for cobalt, and 2.1 × 10 t for platinum. Export demand contributes most to the MF, accounting for 3.0 × 10(3) t, 1.3 × 10(5) t, and 3.1 × 10 t, respectively. The MRFs of Japanese total final demand (domestic plus export) were calculated to be 1.7 × 10 points for neodymium, 4.5 × 10(-2) points for cobalt, and 5.6 points for platinum, implying that the Japanese economy is incurring a high mining risk through its use of neodymium. This country's MRFs are all dominated by export demand. The paper concludes by discussing the policy implications and future research directions for measuring the MFs and MRFs of critical metals. For countries poorly endowed with mineral resources, adopting low-carbon energy technologies may imply a shifting of risk from carbon resources to other natural resources, in particular critical metals, and a trade-off between increased mining risk and deployment of such technologies. Our analysis constitutes a first step toward quantifying and managing the risks associated with natural resource mining.","author":[{"dropping-particle":"","family":"Nansai","given":"Keisuke","non-dropping-particle":"","parse-names":false,"suffix":""},{"dropping-particle":"","family":"Nakajima","given":"Kenichi","non-dropping-particle":"","parse-names":false,"suffix":""},{"dropping-particle":"","family":"Kagawa","given":"Shigemi","non-dropping-particle":"","parse-names":false,"suffix":""},{"dropping-particle":"","family":"Kondo","given":"Yasushi","non-dropping-particle":"","parse-names":false,"suffix":""},{"dropping-particle":"","family":"Shigetomi","given":"Yosuke","non-dropping-particle":"","parse-names":false,"suffix":""},{"dropping-particle":"","family":"Suh","given":"Sangwon","non-dropping-particle":"","parse-names":false,"suffix":""}],"container-title":"Environmental Science and Technology","id":"ITEM-1","issue":"4","issued":{"date-parts":[["2015"]]},"page":"2022-2031","title":"Global mining risk footprint of critical metals necessary for low-carbon technologies: The case of neodymium, cobalt, and platinum in Japan","type":"article-journal","volume":"49"},"uris":["http://www.mendeley.com/documents/?uuid=ee2bbf74-ecf4-4d85-a326-720c48d882ea"]},{"id":"ITEM-2","itemData":{"DOI":"10.1080/09535314.2017.1295923","ISSN":"14695758","abstract":"ABSTRACTThis study seeks to understand the role of primary processing, i.e. the first post-mining stage, in supply risk, by means of a case study on three critical metals (neodymium, cobalt, and platinum) in the context of Japan. Applying the ‘footprint’ concept with a multiregional input–output model, we have quantified the direct and indirect vulnerability of the Japanese economy to such risks. Considering the supply risks associated with primary processors, we find that Japanese final consumers are exposed to relatively higher supply risks for neodymium as compared with cobalt and platinum. Our study shows that the primary processing stage of a metal’s supply chain may contribute significantly to the overall supply risks, suggesting that this stage should be taken into due account in understanding and mitigating supply-chain vulnerability through, e.g. supplier diversification and alternative material development.","author":[{"dropping-particle":"","family":"Nansai","given":"Keisuke","non-dropping-particle":"","parse-names":false,"suffix":""},{"dropping-particle":"","family":"Nakajima","given":"Kenichi","non-dropping-particle":"","parse-names":false,"suffix":""},{"dropping-particle":"","family":"Suh","given":"Sangwon","non-dropping-particle":"","parse-names":false,"suffix":""},{"dropping-particle":"","family":"Kagawa","given":"Shigemi","non-dropping-particle":"","parse-names":false,"suffix":""},{"dropping-particle":"","family":"Kondo","given":"Yasushi","non-dropping-particle":"","parse-names":false,"suffix":""},{"dropping-particle":"","family":"Takayanagi","given":"Wataru","non-dropping-particle":"","parse-names":false,"suffix":""},{"dropping-particle":"","family":"Shigetomi","given":"Yosuke","non-dropping-particle":"","parse-names":false,"suffix":""}],"container-title":"Economic Systems Research","id":"ITEM-2","issue":"3","issued":{"date-parts":[["2017"]]},"page":"335-356","title":"The role of primary processing in the supply risks of critical metals","type":"article-journal","volume":"29"},"uris":["http://www.mendeley.com/documents/?uuid=4eecd9ef-706d-4854-b070-55c460c4ffc9"]}],"mendeley":{"formattedCitation":"(Nansai et al., 2017, 2015)","plainTextFormattedCitation":"(Nansai et al., 2017, 2015)","previouslyFormattedCitation":"(Nansai et al., 2017, 2015)"},"properties":{"noteIndex":0},"schema":"https://github.com/citation-style-language/schema/raw/master/csl-citation.json"}</w:instrText>
            </w:r>
            <w:r w:rsidRPr="00F136C3">
              <w:rPr>
                <w:rFonts w:ascii="Calibri" w:hAnsi="Calibri"/>
                <w:color w:val="000000"/>
                <w:sz w:val="16"/>
                <w:szCs w:val="16"/>
              </w:rPr>
              <w:fldChar w:fldCharType="separate"/>
            </w:r>
            <w:r w:rsidRPr="002B45EF">
              <w:rPr>
                <w:rFonts w:ascii="Calibri" w:hAnsi="Calibri"/>
                <w:noProof/>
                <w:color w:val="000000"/>
                <w:sz w:val="16"/>
                <w:szCs w:val="16"/>
              </w:rPr>
              <w:t>(Nansai et al., 2017, 2015)</w:t>
            </w:r>
            <w:r w:rsidRPr="00F136C3">
              <w:rPr>
                <w:rFonts w:ascii="Calibri" w:hAnsi="Calibri"/>
                <w:color w:val="000000"/>
                <w:sz w:val="16"/>
                <w:szCs w:val="16"/>
              </w:rPr>
              <w:fldChar w:fldCharType="end"/>
            </w:r>
          </w:p>
        </w:tc>
        <w:tc>
          <w:tcPr>
            <w:tcW w:w="570" w:type="dxa"/>
          </w:tcPr>
          <w:p w14:paraId="34EC7B4C" w14:textId="37E2A11E" w:rsidR="00C80243" w:rsidRPr="00A43E79" w:rsidRDefault="00C80243" w:rsidP="00863B14">
            <w:pPr>
              <w:spacing w:line="480" w:lineRule="auto"/>
              <w:rPr>
                <w:rFonts w:ascii="Calibri" w:hAnsi="Calibri"/>
                <w:color w:val="000000"/>
                <w:sz w:val="16"/>
                <w:szCs w:val="16"/>
              </w:rPr>
            </w:pPr>
            <w:r w:rsidRPr="00AE56AD">
              <w:rPr>
                <w:rFonts w:ascii="Calibri" w:hAnsi="Calibri"/>
                <w:color w:val="000000"/>
                <w:sz w:val="16"/>
                <w:szCs w:val="16"/>
              </w:rPr>
              <w:t>2015</w:t>
            </w:r>
          </w:p>
        </w:tc>
        <w:tc>
          <w:tcPr>
            <w:tcW w:w="1318" w:type="dxa"/>
          </w:tcPr>
          <w:p w14:paraId="2A7F9494" w14:textId="4D0787AB"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Economy</w:t>
            </w:r>
          </w:p>
        </w:tc>
        <w:tc>
          <w:tcPr>
            <w:tcW w:w="1631" w:type="dxa"/>
          </w:tcPr>
          <w:p w14:paraId="7B73C3BC" w14:textId="0FB68E4D"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Japan</w:t>
            </w:r>
          </w:p>
        </w:tc>
        <w:tc>
          <w:tcPr>
            <w:tcW w:w="1021" w:type="dxa"/>
          </w:tcPr>
          <w:p w14:paraId="2328F890" w14:textId="697DC882"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2005</w:t>
            </w:r>
          </w:p>
        </w:tc>
        <w:tc>
          <w:tcPr>
            <w:tcW w:w="4548" w:type="dxa"/>
          </w:tcPr>
          <w:p w14:paraId="75D46A20" w14:textId="19820755"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Disruptions of supply in the short term of materials that are important for clean energy technologies</w:t>
            </w:r>
          </w:p>
        </w:tc>
        <w:tc>
          <w:tcPr>
            <w:tcW w:w="3972" w:type="dxa"/>
          </w:tcPr>
          <w:p w14:paraId="7FF6F962" w14:textId="2F5F8D92"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Identify trade-offs against climate mitigation and supply risks by introduction of new energy technologies</w:t>
            </w:r>
          </w:p>
        </w:tc>
      </w:tr>
      <w:tr w:rsidR="00C80243" w:rsidRPr="002E3AC2" w14:paraId="358B8267" w14:textId="77777777" w:rsidTr="00C80243">
        <w:trPr>
          <w:trHeight w:val="109"/>
        </w:trPr>
        <w:tc>
          <w:tcPr>
            <w:tcW w:w="1967" w:type="dxa"/>
          </w:tcPr>
          <w:p w14:paraId="2637C17B" w14:textId="078F51F7"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lastRenderedPageBreak/>
              <w:t xml:space="preserve">BRGM </w:t>
            </w:r>
            <w:r w:rsidRPr="00F136C3">
              <w:rPr>
                <w:rFonts w:ascii="Calibri" w:hAnsi="Calibri"/>
                <w:color w:val="000000"/>
                <w:sz w:val="16"/>
                <w:szCs w:val="16"/>
              </w:rPr>
              <w:fldChar w:fldCharType="begin" w:fldLock="1"/>
            </w:r>
            <w:r>
              <w:rPr>
                <w:rFonts w:ascii="Calibri" w:hAnsi="Calibri"/>
                <w:color w:val="000000"/>
                <w:sz w:val="16"/>
                <w:szCs w:val="16"/>
              </w:rPr>
              <w:instrText>ADDIN CSL_CITATION {"citationItems":[{"id":"ITEM-1","itemData":{"author":[{"dropping-particle":"","family":"BRGM","given":"","non-dropping-particle":"","parse-names":false,"suffix":""}],"id":"ITEM-1","issued":{"date-parts":[["2015"]]},"title":"Notice de réalisation et d'utilisation des fiches de synthèse sur la criticité des matières premières minérales non-énergétiques","type":"report"},"uris":["http://www.mendeley.com/documents/?uuid=3676a9ec-bb26-4e6f-acf0-bdd0e3473554"]},{"id":"ITEM-2","itemData":{"URL":"http://www.mineralinfo.fr/page/monographie","accessed":{"date-parts":[["2019","6","19"]]},"author":[{"dropping-particle":"","family":"BRGM","given":"","non-dropping-particle":"","parse-names":false,"suffix":""}],"container-title":"BRGM/RP-63626-FR","id":"ITEM-2","issued":{"date-parts":[["2014"]]},"title":"Panorama 2013 du marché du cobalt","type":"webpage"},"uris":["http://www.mendeley.com/documents/?uuid=9c8ab0ec-464f-4c23-a3e6-2b3c70ec1f97"]},{"id":"ITEM-3","itemData":{"URL":"http://www.mineralinfo.fr/sites/default/files/upload/documents/Fiches_criticite/fichecriticitezr180702.pdf","accessed":{"date-parts":[["2019","6","19"]]},"author":[{"dropping-particle":"","family":"BRGM","given":"","non-dropping-particle":"","parse-names":false,"suffix":""}],"id":"ITEM-3","issued":{"date-parts":[["2018"]]},"title":"Fiche de synthèse sur la criticité des métaux - Le zirconium","type":"webpage"},"uris":["http://www.mendeley.com/documents/?uuid=26fcb731-bf2e-401d-a13f-a9ad2b0becf8"]}],"mendeley":{"formattedCitation":"(BRGM, 2018, 2015, 2014)","plainTextFormattedCitation":"(BRGM, 2018, 2015, 2014)","previouslyFormattedCitation":"(BRGM, 2018, 2015, 2014)"},"properties":{"noteIndex":0},"schema":"https://github.com/citation-style-language/schema/raw/master/csl-citation.json"}</w:instrText>
            </w:r>
            <w:r w:rsidRPr="00F136C3">
              <w:rPr>
                <w:rFonts w:ascii="Calibri" w:hAnsi="Calibri"/>
                <w:color w:val="000000"/>
                <w:sz w:val="16"/>
                <w:szCs w:val="16"/>
              </w:rPr>
              <w:fldChar w:fldCharType="separate"/>
            </w:r>
            <w:r w:rsidRPr="002B45EF">
              <w:rPr>
                <w:rFonts w:ascii="Calibri" w:hAnsi="Calibri"/>
                <w:noProof/>
                <w:color w:val="000000"/>
                <w:sz w:val="16"/>
                <w:szCs w:val="16"/>
              </w:rPr>
              <w:t>(BRGM, 2018, 2015, 2014)</w:t>
            </w:r>
            <w:r w:rsidRPr="00F136C3">
              <w:rPr>
                <w:rFonts w:ascii="Calibri" w:hAnsi="Calibri"/>
                <w:color w:val="000000"/>
                <w:sz w:val="16"/>
                <w:szCs w:val="16"/>
              </w:rPr>
              <w:fldChar w:fldCharType="end"/>
            </w:r>
          </w:p>
        </w:tc>
        <w:tc>
          <w:tcPr>
            <w:tcW w:w="570" w:type="dxa"/>
          </w:tcPr>
          <w:p w14:paraId="73790056" w14:textId="0C4BDFDB" w:rsidR="00C80243" w:rsidRPr="00A43E79" w:rsidRDefault="00C80243" w:rsidP="00863B14">
            <w:pPr>
              <w:spacing w:line="480" w:lineRule="auto"/>
              <w:rPr>
                <w:rFonts w:ascii="Calibri" w:hAnsi="Calibri"/>
                <w:color w:val="000000"/>
                <w:sz w:val="16"/>
                <w:szCs w:val="16"/>
              </w:rPr>
            </w:pPr>
            <w:r w:rsidRPr="00AE56AD">
              <w:rPr>
                <w:rFonts w:ascii="Calibri" w:hAnsi="Calibri"/>
                <w:color w:val="000000"/>
                <w:sz w:val="16"/>
                <w:szCs w:val="16"/>
              </w:rPr>
              <w:t>2015</w:t>
            </w:r>
          </w:p>
        </w:tc>
        <w:tc>
          <w:tcPr>
            <w:tcW w:w="1318" w:type="dxa"/>
          </w:tcPr>
          <w:p w14:paraId="4218D261" w14:textId="6F42DF2F"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Economy</w:t>
            </w:r>
          </w:p>
        </w:tc>
        <w:tc>
          <w:tcPr>
            <w:tcW w:w="1631" w:type="dxa"/>
          </w:tcPr>
          <w:p w14:paraId="4D4BBDF0" w14:textId="0EF90235"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France</w:t>
            </w:r>
          </w:p>
        </w:tc>
        <w:tc>
          <w:tcPr>
            <w:tcW w:w="1021" w:type="dxa"/>
          </w:tcPr>
          <w:p w14:paraId="6DC26CD6" w14:textId="15E7B9E2" w:rsidR="00C80243" w:rsidRPr="00F136C3" w:rsidRDefault="00C80243" w:rsidP="00863B14">
            <w:pPr>
              <w:spacing w:line="480" w:lineRule="auto"/>
              <w:rPr>
                <w:rFonts w:asciiTheme="majorHAnsi" w:hAnsiTheme="majorHAnsi"/>
                <w:sz w:val="16"/>
                <w:szCs w:val="16"/>
              </w:rPr>
            </w:pPr>
            <w:r>
              <w:rPr>
                <w:rFonts w:ascii="Calibri" w:hAnsi="Calibri"/>
                <w:color w:val="000000"/>
                <w:sz w:val="16"/>
                <w:szCs w:val="16"/>
              </w:rPr>
              <w:t>Not explicit</w:t>
            </w:r>
          </w:p>
        </w:tc>
        <w:tc>
          <w:tcPr>
            <w:tcW w:w="4548" w:type="dxa"/>
          </w:tcPr>
          <w:p w14:paraId="56D646FA" w14:textId="75D2D928" w:rsidR="00C80243" w:rsidRPr="00F136C3" w:rsidRDefault="00C80243" w:rsidP="00863B14">
            <w:pPr>
              <w:spacing w:line="480" w:lineRule="auto"/>
              <w:rPr>
                <w:rFonts w:asciiTheme="majorHAnsi" w:hAnsiTheme="majorHAnsi"/>
                <w:sz w:val="16"/>
                <w:szCs w:val="16"/>
              </w:rPr>
            </w:pPr>
            <w:r>
              <w:rPr>
                <w:rFonts w:ascii="Calibri" w:hAnsi="Calibri"/>
                <w:color w:val="000000"/>
                <w:sz w:val="16"/>
                <w:szCs w:val="16"/>
              </w:rPr>
              <w:t>Supply of metals with strategic importance to the French economy is affected by geological availability, recycling, and environmental, social and political factors.</w:t>
            </w:r>
          </w:p>
        </w:tc>
        <w:tc>
          <w:tcPr>
            <w:tcW w:w="3972" w:type="dxa"/>
          </w:tcPr>
          <w:p w14:paraId="0DA2B1CB" w14:textId="7FC6E0FE"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Support public and private decision-making</w:t>
            </w:r>
          </w:p>
        </w:tc>
      </w:tr>
      <w:tr w:rsidR="00C80243" w:rsidRPr="002E3AC2" w14:paraId="1A6C489A" w14:textId="77777777" w:rsidTr="00C80243">
        <w:trPr>
          <w:trHeight w:val="91"/>
        </w:trPr>
        <w:tc>
          <w:tcPr>
            <w:tcW w:w="1967" w:type="dxa"/>
          </w:tcPr>
          <w:p w14:paraId="44167219" w14:textId="22AEC7CC"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 xml:space="preserve">BGS </w:t>
            </w:r>
            <w:r w:rsidRPr="00F136C3">
              <w:rPr>
                <w:rFonts w:ascii="Calibri" w:hAnsi="Calibri"/>
                <w:color w:val="000000"/>
                <w:sz w:val="16"/>
                <w:szCs w:val="16"/>
              </w:rPr>
              <w:fldChar w:fldCharType="begin" w:fldLock="1"/>
            </w:r>
            <w:r>
              <w:rPr>
                <w:rFonts w:ascii="Calibri" w:hAnsi="Calibri"/>
                <w:color w:val="000000"/>
                <w:sz w:val="16"/>
                <w:szCs w:val="16"/>
              </w:rPr>
              <w:instrText>ADDIN CSL_CITATION {"citationItems":[{"id":"ITEM-1","itemData":{"DOI":"10.1017/CBO9781107415324.004","ISBN":"0169-1368","ISSN":"01691368","PMID":"25246403","abstract":"The ranking system was based on seven criteria scored between one and three. 1. Production concentration 2. Reserve distribution 3. Recycling Rate 4. Substitutability 5. Governance (top producing nation) 6. Governance (top reserve-hosting nation) 7. Companion metal fraction. A score of one indicates that a particular criterion has a low contribution to supply risk, while a score of three indicates a high risk. The scores for each criterion were summed to determine an overall risk to supply, the larger the score the greater the potential risk to supply. Each criterion was given equal weight. The elements were ranked according to their score and a gradational colour scale applied such that increased risk is indicated by hotter colours.","author":[{"dropping-particle":"","family":"BGS","given":"","non-dropping-particle":"","parse-names":false,"suffix":""}],"container-title":"British Geological Survey","id":"ITEM-1","issued":{"date-parts":[["2015"]]},"number-of-pages":"11","title":"Risk List 2015 - An update to the supply risk index for elements or element groups that are of economic value","type":"report","volume":"1"},"uris":["http://www.mendeley.com/documents/?uuid=49dc5929-f230-452d-b750-862a528fe56f"]}],"mendeley":{"formattedCitation":"(BGS, 2015)","plainTextFormattedCitation":"(BGS, 2015)","previouslyFormattedCitation":"(BGS, 2015)"},"properties":{"noteIndex":0},"schema":"https://github.com/citation-style-language/schema/raw/master/csl-citation.json"}</w:instrText>
            </w:r>
            <w:r w:rsidRPr="00F136C3">
              <w:rPr>
                <w:rFonts w:ascii="Calibri" w:hAnsi="Calibri"/>
                <w:color w:val="000000"/>
                <w:sz w:val="16"/>
                <w:szCs w:val="16"/>
              </w:rPr>
              <w:fldChar w:fldCharType="separate"/>
            </w:r>
            <w:r w:rsidRPr="002B45EF">
              <w:rPr>
                <w:rFonts w:ascii="Calibri" w:hAnsi="Calibri"/>
                <w:noProof/>
                <w:color w:val="000000"/>
                <w:sz w:val="16"/>
                <w:szCs w:val="16"/>
              </w:rPr>
              <w:t>(BGS, 2015)</w:t>
            </w:r>
            <w:r w:rsidRPr="00F136C3">
              <w:rPr>
                <w:rFonts w:ascii="Calibri" w:hAnsi="Calibri"/>
                <w:color w:val="000000"/>
                <w:sz w:val="16"/>
                <w:szCs w:val="16"/>
              </w:rPr>
              <w:fldChar w:fldCharType="end"/>
            </w:r>
          </w:p>
        </w:tc>
        <w:tc>
          <w:tcPr>
            <w:tcW w:w="570" w:type="dxa"/>
          </w:tcPr>
          <w:p w14:paraId="4A3E1DE7" w14:textId="55D793DF" w:rsidR="00C80243" w:rsidRPr="00A43E79" w:rsidRDefault="00C80243" w:rsidP="00863B14">
            <w:pPr>
              <w:spacing w:line="480" w:lineRule="auto"/>
              <w:rPr>
                <w:rFonts w:ascii="Calibri" w:hAnsi="Calibri"/>
                <w:color w:val="000000"/>
                <w:sz w:val="16"/>
                <w:szCs w:val="16"/>
              </w:rPr>
            </w:pPr>
            <w:r w:rsidRPr="00AE56AD">
              <w:rPr>
                <w:rFonts w:ascii="Calibri" w:hAnsi="Calibri"/>
                <w:color w:val="000000"/>
                <w:sz w:val="16"/>
                <w:szCs w:val="16"/>
              </w:rPr>
              <w:t>2015</w:t>
            </w:r>
          </w:p>
        </w:tc>
        <w:tc>
          <w:tcPr>
            <w:tcW w:w="1318" w:type="dxa"/>
          </w:tcPr>
          <w:p w14:paraId="7DAA9CBB" w14:textId="040EE399"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Economy and lifestyle</w:t>
            </w:r>
          </w:p>
        </w:tc>
        <w:tc>
          <w:tcPr>
            <w:tcW w:w="1631" w:type="dxa"/>
          </w:tcPr>
          <w:p w14:paraId="154B9D75" w14:textId="5343983D"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N/A</w:t>
            </w:r>
          </w:p>
        </w:tc>
        <w:tc>
          <w:tcPr>
            <w:tcW w:w="1021" w:type="dxa"/>
          </w:tcPr>
          <w:p w14:paraId="10E45E29" w14:textId="63343972"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Now and in the future</w:t>
            </w:r>
          </w:p>
        </w:tc>
        <w:tc>
          <w:tcPr>
            <w:tcW w:w="4548" w:type="dxa"/>
          </w:tcPr>
          <w:p w14:paraId="23FCF767" w14:textId="658CA9B9"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Disruption of supply due to resource competition (demand by emerging economies), geopolitics ("haves" seeking to influence "have nots"), resource nationalism (state control of production), strikes, and accidents)</w:t>
            </w:r>
          </w:p>
        </w:tc>
        <w:tc>
          <w:tcPr>
            <w:tcW w:w="3972" w:type="dxa"/>
          </w:tcPr>
          <w:p w14:paraId="7390F0A1" w14:textId="0BB27101"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Inform policy-makers, industry, and consumers about the need to diversify supply, increase recycling, and decrease resource use</w:t>
            </w:r>
          </w:p>
        </w:tc>
      </w:tr>
      <w:tr w:rsidR="00C80243" w:rsidRPr="00385CB0" w14:paraId="7686E79E" w14:textId="77777777" w:rsidTr="00C80243">
        <w:trPr>
          <w:trHeight w:val="91"/>
        </w:trPr>
        <w:tc>
          <w:tcPr>
            <w:tcW w:w="1967" w:type="dxa"/>
          </w:tcPr>
          <w:p w14:paraId="4E11A9C6" w14:textId="035B212D" w:rsidR="00C80243" w:rsidRPr="00F136C3" w:rsidRDefault="00C80243" w:rsidP="00863B14">
            <w:pPr>
              <w:spacing w:line="480" w:lineRule="auto"/>
              <w:rPr>
                <w:sz w:val="16"/>
                <w:szCs w:val="16"/>
              </w:rPr>
            </w:pPr>
            <w:r w:rsidRPr="00F136C3">
              <w:rPr>
                <w:rFonts w:ascii="Calibri" w:hAnsi="Calibri"/>
                <w:color w:val="000000"/>
                <w:sz w:val="16"/>
                <w:szCs w:val="16"/>
              </w:rPr>
              <w:t xml:space="preserve">SDU </w:t>
            </w:r>
            <w:r w:rsidRPr="00F136C3">
              <w:rPr>
                <w:rFonts w:ascii="Calibri" w:hAnsi="Calibri"/>
                <w:color w:val="000000"/>
                <w:sz w:val="16"/>
                <w:szCs w:val="16"/>
              </w:rPr>
              <w:fldChar w:fldCharType="begin" w:fldLock="1"/>
            </w:r>
            <w:r w:rsidR="006E33F2">
              <w:rPr>
                <w:rFonts w:ascii="Calibri" w:hAnsi="Calibri"/>
                <w:color w:val="000000"/>
                <w:sz w:val="16"/>
                <w:szCs w:val="16"/>
              </w:rPr>
              <w:instrText>ADDIN CSL_CITATION {"citationItems":[{"id":"ITEM-1","itemData":{"DOI":"10.1016/j.jclepro.2015.07.064","ISSN":"09596526","abstract":"The recent debate on potential resource constraints for the broad scale implementation of clean energy technologies in future has led to wider concern across the board. This concern, among others, lies behind growing research in the field of so-called resource criticality. This study is a review of existing resource criticality assessment methodologies. It characterizes and analyses existing methods and identifies aspects of concern for the ability of assessment methods to provide proper guidance for strategy making in the field of energy system development. The validity of the identified concerns is, further, demonstrated by applying a case study of resource criticality assessment of the direct-drive wind turbines technology. Two key concerns are identified. The first is the need for a dynamic perspective on the supply risk dimension. This study reveals that the geological reserve estimates and geographical location of supply change significantly over time, implying that the static supply risk assessment provided by many methods gives misleading guidance. The second concern is the ability of methods to properly account for the vulnerability of the studied system to a supply disruption of the resource in question. Through the case study, the options for resource substitution are elaborated for wind turbines by applying a holistic design approach looking at all levels of design substitutions from the level of materials and components to subassemblies and whole-product concepts. This approach reveals that the dependence of substances like neodymium and dysprosium is not strong, and that they are not essential to the wider implementation of direct-drive wind turbines in general. This technology specific and product design based approach is new, and questions the ability of existing methods to properly address the impact that the risk of supply disruption of a given resource really has on the technological and economic development of a system or technology under study.","author":[{"dropping-particle":"","family":"Habib","given":"Komal","non-dropping-particle":"","parse-names":false,"suffix":""},{"dropping-particle":"","family":"Wenzel","given":"Henrik","non-dropping-particle":"","parse-names":false,"suffix":""}],"container-title":"Journal of Cleaner Production","id":"ITEM-1","issued":{"date-parts":[["2016"]]},"page":"3852-3863","publisher":"Elsevier Ltd","title":"Reviewing resource criticality assessment from a dynamic and technology specific perspective - Using the case of direct-drive wind turbines","type":"article-journal","volume":"112"},"uris":["http://www.mendeley.com/documents/?uuid=e6ac4a02-8390-4c38-94e7-864df53526dd"]}],"mendeley":{"formattedCitation":"(Habib and Wenzel, 2016)","plainTextFormattedCitation":"(Habib and Wenzel, 2016)","previouslyFormattedCitation":"(Habib and Wenzel, 2016)"},"properties":{"noteIndex":0},"schema":"https://github.com/citation-style-language/schema/raw/master/csl-citation.json"}</w:instrText>
            </w:r>
            <w:r w:rsidRPr="00F136C3">
              <w:rPr>
                <w:rFonts w:ascii="Calibri" w:hAnsi="Calibri"/>
                <w:color w:val="000000"/>
                <w:sz w:val="16"/>
                <w:szCs w:val="16"/>
              </w:rPr>
              <w:fldChar w:fldCharType="separate"/>
            </w:r>
            <w:r w:rsidRPr="002B45EF">
              <w:rPr>
                <w:rFonts w:ascii="Calibri" w:hAnsi="Calibri"/>
                <w:noProof/>
                <w:color w:val="000000"/>
                <w:sz w:val="16"/>
                <w:szCs w:val="16"/>
              </w:rPr>
              <w:t>(Habib and Wenzel, 2016)</w:t>
            </w:r>
            <w:r w:rsidRPr="00F136C3">
              <w:rPr>
                <w:rFonts w:ascii="Calibri" w:hAnsi="Calibri"/>
                <w:color w:val="000000"/>
                <w:sz w:val="16"/>
                <w:szCs w:val="16"/>
              </w:rPr>
              <w:fldChar w:fldCharType="end"/>
            </w:r>
          </w:p>
        </w:tc>
        <w:tc>
          <w:tcPr>
            <w:tcW w:w="570" w:type="dxa"/>
          </w:tcPr>
          <w:p w14:paraId="4FFDC71F" w14:textId="4A50BE82" w:rsidR="00C80243" w:rsidRPr="00A43E79" w:rsidRDefault="00C80243" w:rsidP="00863B14">
            <w:pPr>
              <w:spacing w:line="480" w:lineRule="auto"/>
              <w:rPr>
                <w:rFonts w:ascii="Calibri" w:hAnsi="Calibri"/>
                <w:color w:val="000000"/>
                <w:sz w:val="16"/>
                <w:szCs w:val="16"/>
              </w:rPr>
            </w:pPr>
            <w:r w:rsidRPr="00AE56AD">
              <w:rPr>
                <w:rFonts w:ascii="Calibri" w:hAnsi="Calibri"/>
                <w:color w:val="000000"/>
                <w:sz w:val="16"/>
                <w:szCs w:val="16"/>
              </w:rPr>
              <w:t>2016</w:t>
            </w:r>
          </w:p>
        </w:tc>
        <w:tc>
          <w:tcPr>
            <w:tcW w:w="1318" w:type="dxa"/>
          </w:tcPr>
          <w:p w14:paraId="38789CA8" w14:textId="4C0DFF09" w:rsidR="00C80243" w:rsidRPr="00F136C3" w:rsidRDefault="00C80243" w:rsidP="00863B14">
            <w:pPr>
              <w:spacing w:line="480" w:lineRule="auto"/>
              <w:rPr>
                <w:sz w:val="16"/>
                <w:szCs w:val="16"/>
              </w:rPr>
            </w:pPr>
            <w:r w:rsidRPr="00F136C3">
              <w:rPr>
                <w:rFonts w:ascii="Calibri" w:hAnsi="Calibri"/>
                <w:color w:val="000000"/>
                <w:sz w:val="16"/>
                <w:szCs w:val="16"/>
              </w:rPr>
              <w:t>Wind turbines</w:t>
            </w:r>
          </w:p>
        </w:tc>
        <w:tc>
          <w:tcPr>
            <w:tcW w:w="1631" w:type="dxa"/>
          </w:tcPr>
          <w:p w14:paraId="061EBC64" w14:textId="42B9F8B3" w:rsidR="00C80243" w:rsidRPr="00F136C3" w:rsidRDefault="00C80243" w:rsidP="00863B14">
            <w:pPr>
              <w:spacing w:line="480" w:lineRule="auto"/>
              <w:rPr>
                <w:sz w:val="16"/>
                <w:szCs w:val="16"/>
              </w:rPr>
            </w:pPr>
            <w:r w:rsidRPr="00F136C3">
              <w:rPr>
                <w:rFonts w:ascii="Calibri" w:hAnsi="Calibri"/>
                <w:color w:val="000000"/>
                <w:sz w:val="16"/>
                <w:szCs w:val="16"/>
              </w:rPr>
              <w:t>Global</w:t>
            </w:r>
          </w:p>
        </w:tc>
        <w:tc>
          <w:tcPr>
            <w:tcW w:w="1021" w:type="dxa"/>
          </w:tcPr>
          <w:p w14:paraId="642DF642" w14:textId="7386D559" w:rsidR="00C80243" w:rsidRPr="00F136C3" w:rsidRDefault="00C80243" w:rsidP="00863B14">
            <w:pPr>
              <w:spacing w:line="480" w:lineRule="auto"/>
              <w:rPr>
                <w:sz w:val="16"/>
                <w:szCs w:val="16"/>
              </w:rPr>
            </w:pPr>
            <w:r w:rsidRPr="00F136C3">
              <w:rPr>
                <w:rFonts w:ascii="Calibri" w:hAnsi="Calibri"/>
                <w:color w:val="000000"/>
                <w:sz w:val="16"/>
                <w:szCs w:val="16"/>
              </w:rPr>
              <w:t>2020-2050</w:t>
            </w:r>
          </w:p>
        </w:tc>
        <w:tc>
          <w:tcPr>
            <w:tcW w:w="4548" w:type="dxa"/>
          </w:tcPr>
          <w:p w14:paraId="524D2914" w14:textId="34E1CD5E" w:rsidR="00C80243" w:rsidRPr="00F136C3" w:rsidRDefault="00C80243" w:rsidP="00863B14">
            <w:pPr>
              <w:spacing w:line="480" w:lineRule="auto"/>
              <w:rPr>
                <w:rFonts w:asciiTheme="majorHAnsi" w:hAnsiTheme="majorHAnsi"/>
                <w:sz w:val="16"/>
                <w:szCs w:val="16"/>
              </w:rPr>
            </w:pPr>
            <w:r>
              <w:rPr>
                <w:rFonts w:ascii="Calibri" w:hAnsi="Calibri"/>
                <w:color w:val="000000"/>
                <w:sz w:val="16"/>
                <w:szCs w:val="16"/>
              </w:rPr>
              <w:t>Constrained supply of metals for the deployment of wind turbines due to limiting geological or geopolitical factors</w:t>
            </w:r>
          </w:p>
        </w:tc>
        <w:tc>
          <w:tcPr>
            <w:tcW w:w="3972" w:type="dxa"/>
          </w:tcPr>
          <w:p w14:paraId="752DBBB4" w14:textId="5590501C" w:rsidR="00C80243" w:rsidRPr="00F136C3" w:rsidRDefault="00C80243" w:rsidP="00863B14">
            <w:pPr>
              <w:spacing w:line="480" w:lineRule="auto"/>
              <w:rPr>
                <w:rFonts w:ascii="Calibri" w:hAnsi="Calibri"/>
                <w:color w:val="000000"/>
                <w:sz w:val="16"/>
                <w:szCs w:val="16"/>
              </w:rPr>
            </w:pPr>
            <w:r>
              <w:rPr>
                <w:rFonts w:ascii="Calibri" w:hAnsi="Calibri"/>
                <w:color w:val="000000"/>
                <w:sz w:val="16"/>
                <w:szCs w:val="16"/>
              </w:rPr>
              <w:t>Support protection against supply constraints by improved understanding and interpretation of criticality results</w:t>
            </w:r>
          </w:p>
        </w:tc>
      </w:tr>
      <w:tr w:rsidR="00C80243" w:rsidRPr="002E3AC2" w14:paraId="41E8758E" w14:textId="77777777" w:rsidTr="00C80243">
        <w:trPr>
          <w:trHeight w:val="91"/>
        </w:trPr>
        <w:tc>
          <w:tcPr>
            <w:tcW w:w="1967" w:type="dxa"/>
          </w:tcPr>
          <w:p w14:paraId="4729F604" w14:textId="046195CD" w:rsidR="00C80243" w:rsidRPr="00AE56AD" w:rsidRDefault="00C80243" w:rsidP="00863B14">
            <w:pPr>
              <w:spacing w:line="480" w:lineRule="auto"/>
              <w:rPr>
                <w:rFonts w:asciiTheme="majorHAnsi" w:hAnsiTheme="majorHAnsi"/>
                <w:sz w:val="16"/>
                <w:szCs w:val="16"/>
                <w:lang w:val="en-GB"/>
              </w:rPr>
            </w:pPr>
            <w:r w:rsidRPr="00AE56AD">
              <w:rPr>
                <w:rFonts w:ascii="Calibri" w:hAnsi="Calibri"/>
                <w:color w:val="000000"/>
                <w:sz w:val="16"/>
                <w:szCs w:val="16"/>
                <w:lang w:val="fr-FR"/>
              </w:rPr>
              <w:t xml:space="preserve">NSTC </w:t>
            </w:r>
            <w:r w:rsidRPr="00F136C3">
              <w:rPr>
                <w:rFonts w:ascii="Calibri" w:hAnsi="Calibri"/>
                <w:color w:val="000000"/>
                <w:sz w:val="16"/>
                <w:szCs w:val="16"/>
              </w:rPr>
              <w:fldChar w:fldCharType="begin" w:fldLock="1"/>
            </w:r>
            <w:r>
              <w:rPr>
                <w:rFonts w:ascii="Calibri" w:hAnsi="Calibri"/>
                <w:color w:val="000000"/>
                <w:sz w:val="16"/>
                <w:szCs w:val="16"/>
                <w:lang w:val="fr-FR"/>
              </w:rPr>
              <w:instrText>ADDIN CSL_CITATION {"citationItems":[{"id":"ITEM-1","itemData":{"author":[{"dropping-particle":"","family":"NSTC","given":"","non-dropping-particle":"","parse-names":false,"suffix":""}],"container-title":"National Science and Technology Council","id":"ITEM-1","issue":"March","issued":{"date-parts":[["2016"]]},"title":"CSMSC Assessment of Critical Minerals Report 2016-03-16 FINAL","type":"article-journal"},"uris":["http://www.mendeley.com/documents/?uuid=6eb683e0-fb88-4cb0-9b41-e3f8af8eb223"]},{"id":"ITEM-2","itemData":{"DOI":"10.1002/mrdd.20080","ISBN":"9781616684884","author":[{"dropping-particle":"","family":"NSTC","given":"","non-dropping-particle":"","parse-names":false,"suffix":""}],"container-title":"Journal of Air Transportation","id":"ITEM-2","issue":"2","issued":{"date-parts":[["2018"]]},"page":"1999-2001","title":"ASSESSMENT OF CRITICAL MINERALS: UPDATED APPLICATION OF SCREENING METHODOLOGY","type":"article-journal","volume":"9"},"uris":["http://www.mendeley.com/documents/?uuid=1e374e0f-88e8-4d35-be2a-2c99dd246482"]},{"id":"ITEM-3","itemData":{"DOI":"10.1007/s13563-017-0119-6","ISSN":"21912211","abstract":"Increasing reliance on non-renewable mineral resources reinforces the need for identifying potential supply constraints before they occur. The US National Science and Technology Council recently released a report that outlines a methodology for screening potentially critical minerals based on three indicators: supply risk (R), production growth (G), and market dynamics (M). This early-warning screening was initially applied to 78 minerals across the years 1996 to 2013 and identified a subset of minerals as “potentially critical” based on the geometric average of these indicators—designated as criticality potential (C). In this study, the screening methodology has been updated to include data for 2014, as well as to incorporate revisions and modifications to the data, where applicable. Overall, C declined in 2014 for the majority of minerals examined largely due to decreases in production concentration and price volatility. However, the results vary considerably across minerals, with some minerals, such as gallium, recording increases for all three indicators. In addition to assessing magnitudinal changes, this analysis also examines the significance of the change relative to historical variation for each mineral. For example, although mined nickel’s R declined modestly in 2014 in comparison to that of other minerals, it was by far the largest annual change recorded for mined nickel across all years examined and is attributable to Indonesia’s ban on the export of unprocessed minerals. Based on the 2014 results, 20 minerals with the highest C values have been identified for further study including the rare earths, gallium, germanium, rhodium, tantalum, and tungsten.","author":[{"dropping-particle":"","family":"McCullough","given":"Erin","non-dropping-particle":"","parse-names":false,"suffix":""},{"dropping-particle":"","family":"Nassar","given":"Nedal T.","non-dropping-particle":"","parse-names":false,"suffix":""}],"container-title":"Mineral Economics","id":"ITEM-3","issue":"3","issued":{"date-parts":[["2017"]]},"page":"257-272","publisher":"Mineral Economics","title":"Assessment of critical minerals: updated application of an early-warning screening methodology","type":"article-journal","volume":"30"},"uris":["http://www.mendeley.com/documents/?uuid=8182ba90-5cce-4265-8eaf-af581e1fcb8a"]},{"id":"ITEM-4","itemData":{"DOI":"10.3133/ofr20181021","ISBN":"2018-1021","author":[{"dropping-particle":"","family":"Fortier","given":"Steven M","</w:instrText>
            </w:r>
            <w:r w:rsidRPr="00AE56AD">
              <w:rPr>
                <w:rFonts w:ascii="Calibri" w:hAnsi="Calibri"/>
                <w:color w:val="000000"/>
                <w:sz w:val="16"/>
                <w:szCs w:val="16"/>
                <w:lang w:val="en-GB"/>
              </w:rPr>
              <w:instrText>non-dropping-particle":"","parse-names":false,"suffix":""},{"dropping-particle":"","family":"Nassar","given":"Nedal T","non-dropping-particle":"","parse-names":false,"suffix":""},{"dropping-particle":"","family":"Lederer","given":"Graham W","non-dropping-particle":"","parse-names":false,"suffix":""},{"dropping-particle":"","family":"Brainard","given":"Jamie","non-dropping-particle":"","parse-names":false,"suffix":""},{"dropping-particle":"","family":"Gambogi","given":"Joseph","non-dropping-particle":"","parse-names":false,"suffix":""},{"dropping-particle":"","family":"McCullough","given":"Erin A","non-dropping-particle":"","parse-names":false,"suffix":""}],"container-title":"Open-File Report","id":"ITEM-4","issue":"3359","issued":{"date-parts":[["2018"]]},"page":"26","title":"Draft critical mineral list—Summary of methodology and background information—U.S. Geological Survey technical input document in response to Secretarial Order No. 3359","type":"article-journal"},"uris":["http://www.mendeley.com/documents/?uuid=19854b6a-b109-43b5-b0dd-3f990096fd35"]}],"mendeley":{"formattedCitation":"(Fortier et al., 2018; McCullough and Nassar, 2017; NSTC, 2018, 2016)","plainTextFormattedCitation":"(Fortier et al., 2018; McCullough and Nassar, 2017; NSTC, 2018, 2016)","previouslyFormattedCitation":"(Fortier et al., 2018; McCullough and Nassar, 2017; NSTC, 2018, 2016)"},"properties":{"noteIndex":0},"schema":"https://github.com/citation-style-language/schema/raw/master/csl-citation.json"}</w:instrText>
            </w:r>
            <w:r w:rsidRPr="00F136C3">
              <w:rPr>
                <w:rFonts w:ascii="Calibri" w:hAnsi="Calibri"/>
                <w:color w:val="000000"/>
                <w:sz w:val="16"/>
                <w:szCs w:val="16"/>
              </w:rPr>
              <w:fldChar w:fldCharType="separate"/>
            </w:r>
            <w:r w:rsidRPr="002B45EF">
              <w:rPr>
                <w:rFonts w:ascii="Calibri" w:hAnsi="Calibri"/>
                <w:noProof/>
                <w:color w:val="000000"/>
                <w:sz w:val="16"/>
                <w:szCs w:val="16"/>
                <w:lang w:val="en-GB"/>
              </w:rPr>
              <w:t>(Fortier et al., 2018; McCullough and Nassar, 2017; NSTC, 2018, 2016)</w:t>
            </w:r>
            <w:r w:rsidRPr="00F136C3">
              <w:rPr>
                <w:rFonts w:ascii="Calibri" w:hAnsi="Calibri"/>
                <w:color w:val="000000"/>
                <w:sz w:val="16"/>
                <w:szCs w:val="16"/>
              </w:rPr>
              <w:fldChar w:fldCharType="end"/>
            </w:r>
          </w:p>
        </w:tc>
        <w:tc>
          <w:tcPr>
            <w:tcW w:w="570" w:type="dxa"/>
          </w:tcPr>
          <w:p w14:paraId="2F159ABA" w14:textId="16A95BAB" w:rsidR="00C80243" w:rsidRPr="00A43E79" w:rsidRDefault="00C80243" w:rsidP="00863B14">
            <w:pPr>
              <w:spacing w:line="480" w:lineRule="auto"/>
              <w:rPr>
                <w:rFonts w:ascii="Calibri" w:hAnsi="Calibri"/>
                <w:color w:val="000000"/>
                <w:sz w:val="16"/>
                <w:szCs w:val="16"/>
              </w:rPr>
            </w:pPr>
            <w:r w:rsidRPr="00AE56AD">
              <w:rPr>
                <w:rFonts w:ascii="Calibri" w:hAnsi="Calibri"/>
                <w:color w:val="000000"/>
                <w:sz w:val="16"/>
                <w:szCs w:val="16"/>
              </w:rPr>
              <w:t>2016</w:t>
            </w:r>
          </w:p>
        </w:tc>
        <w:tc>
          <w:tcPr>
            <w:tcW w:w="1318" w:type="dxa"/>
          </w:tcPr>
          <w:p w14:paraId="514CAB0C" w14:textId="55CCDBB5"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System using a material (any scale)</w:t>
            </w:r>
          </w:p>
        </w:tc>
        <w:tc>
          <w:tcPr>
            <w:tcW w:w="1631" w:type="dxa"/>
          </w:tcPr>
          <w:p w14:paraId="054ADA8F" w14:textId="35115E5A"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Global</w:t>
            </w:r>
          </w:p>
        </w:tc>
        <w:tc>
          <w:tcPr>
            <w:tcW w:w="1021" w:type="dxa"/>
          </w:tcPr>
          <w:p w14:paraId="23AF4258" w14:textId="765D72A4"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5-10 years</w:t>
            </w:r>
          </w:p>
        </w:tc>
        <w:tc>
          <w:tcPr>
            <w:tcW w:w="4548" w:type="dxa"/>
          </w:tcPr>
          <w:p w14:paraId="1590EBC2" w14:textId="7A03F682"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Decreased availability of a material due to growing demand, dependency on political instable mining countries, by-product dependency, or regulatory constraints</w:t>
            </w:r>
          </w:p>
        </w:tc>
        <w:tc>
          <w:tcPr>
            <w:tcW w:w="3972" w:type="dxa"/>
          </w:tcPr>
          <w:p w14:paraId="70A6967F" w14:textId="12F193A4"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Anticipate potential supply constraints, inform need for in-depth criticality assessment</w:t>
            </w:r>
          </w:p>
        </w:tc>
      </w:tr>
      <w:tr w:rsidR="00C80243" w:rsidRPr="002E3AC2" w14:paraId="0A729077" w14:textId="77777777" w:rsidTr="00C80243">
        <w:trPr>
          <w:trHeight w:val="447"/>
        </w:trPr>
        <w:tc>
          <w:tcPr>
            <w:tcW w:w="1967" w:type="dxa"/>
          </w:tcPr>
          <w:p w14:paraId="0DF2A653" w14:textId="30C8D841" w:rsidR="00C80243" w:rsidRPr="00461423" w:rsidRDefault="007C154A" w:rsidP="00863B14">
            <w:pPr>
              <w:spacing w:line="480" w:lineRule="auto"/>
              <w:rPr>
                <w:rFonts w:asciiTheme="majorHAnsi" w:hAnsiTheme="majorHAnsi"/>
                <w:sz w:val="16"/>
                <w:szCs w:val="16"/>
              </w:rPr>
            </w:pPr>
            <w:r w:rsidRPr="00461423">
              <w:rPr>
                <w:rFonts w:ascii="Calibri" w:hAnsi="Calibri"/>
                <w:color w:val="000000"/>
                <w:sz w:val="16"/>
                <w:szCs w:val="16"/>
              </w:rPr>
              <w:t>Augsburg</w:t>
            </w:r>
            <w:r w:rsidR="00C80243" w:rsidRPr="00461423">
              <w:rPr>
                <w:rFonts w:ascii="Calibri" w:hAnsi="Calibri"/>
                <w:color w:val="000000"/>
                <w:sz w:val="16"/>
                <w:szCs w:val="16"/>
              </w:rPr>
              <w:t xml:space="preserve">2016 </w:t>
            </w:r>
            <w:r w:rsidR="00C80243" w:rsidRPr="00F136C3">
              <w:rPr>
                <w:rFonts w:ascii="Calibri" w:hAnsi="Calibri"/>
                <w:color w:val="000000"/>
                <w:sz w:val="16"/>
                <w:szCs w:val="16"/>
              </w:rPr>
              <w:fldChar w:fldCharType="begin" w:fldLock="1"/>
            </w:r>
            <w:r w:rsidR="00C80243" w:rsidRPr="004520D4">
              <w:rPr>
                <w:rFonts w:ascii="Calibri" w:hAnsi="Calibri"/>
                <w:color w:val="000000"/>
                <w:sz w:val="16"/>
                <w:szCs w:val="16"/>
              </w:rPr>
              <w:instrText>ADDIN CSL_CITATION {"citationItems":[{"id":"ITEM-1","itemData":{"DOI":"10.1016/j.apenergy.2016.06.102","ISSN":"03062619","abstract":"As a result of the global warming potential of fossil fuels there has been a rapid growth in the installation of photovoltaic generating capacity in the last decade. While this market is dominated by crystalline silicon, thin-film photovoltaics are still expected to make a substantial contribution to global electricity supply in future, due both to lower production costs and to recent increases in conversion efficiency. At present, cadmium telluride (CdTe) and copper-indium-gallium diselenide (CuInxGa1−xSe2) seem to be the most promising materials and currently have a share of ≈9% of the photovoltaic market. An expected stronger market penetration by these thin-film technologies raises the question as to the supply risks associated with the constituent elements. Against this background, we report here a semi-quantitative, relative assessment of mid- to long-term supply risk associated with the elements Cd, Te, Cu, In, Ga, Se and Mo. In this approach, th</w:instrText>
            </w:r>
            <w:r w:rsidR="00C80243" w:rsidRPr="00461423">
              <w:rPr>
                <w:rFonts w:ascii="Calibri" w:hAnsi="Calibri"/>
                <w:color w:val="000000"/>
                <w:sz w:val="16"/>
                <w:szCs w:val="16"/>
              </w:rPr>
              <w:instrText>e supp</w:instrText>
            </w:r>
            <w:r w:rsidR="00C80243" w:rsidRPr="008B2713">
              <w:rPr>
                <w:rFonts w:ascii="Calibri" w:hAnsi="Calibri"/>
                <w:color w:val="000000"/>
                <w:sz w:val="16"/>
                <w:szCs w:val="16"/>
                <w:lang w:val="nl-NL"/>
              </w:rPr>
              <w:instrText>ly risk is measured using 11 indicators in the four categories “Risk of Supply Reduction”, “Risk of Demand Increase”, “Concentration Risk” and “Political Risk”. In a second step, the single indicator values, which are derived from publicly accessible databases, are weighted relative to each other specifically for the case of thin film photovoltaics. For this purpose, a survey among colleagues and an Analytic Hierarchy Process (AHP) approach are used, in order to obtain a relative, element-specific value for the supply risk. The aggregation of these elemental val</w:instrText>
            </w:r>
            <w:r w:rsidR="00C80243" w:rsidRPr="004520D4">
              <w:rPr>
                <w:rFonts w:ascii="Calibri" w:hAnsi="Calibri"/>
                <w:color w:val="000000"/>
                <w:sz w:val="16"/>
                <w:szCs w:val="16"/>
              </w:rPr>
              <w:instrText>ues (based on mass share, cost share, etc.) gives an overall value for each material. Both elemental and “technology material” supply risk scores are subject to an uncertainty analysis using Monte Carlo simulation. CdTe shows slightly lower supply risk values for all aggregation options.","author":[{"dropping-particle":"","family":"Helbig","given":"Christoph","non-dropping-particle":"","parse-names":false,"suffix":""},{"dropping-particle":"","family":"Bradshaw","given":"Alex M.","non-dropping-particle":"","parse-names":false,"suffix":""},{"dropping-particle":"","family":"Kolotzek","given":"Christoph","non-dropping-particle":"","parse-names":false,"suffix":""},{"dropping-particle":"","family":"Thorenz","given":"Andrea","non-dropping-particle":"","parse-names":false,"suffix":""},{"dropping-particle":"","family":"Tuma","given":"Axel","non-dropping-particle":"","parse-names":false,"suffix":""}],"container-title":"Applied Energy","id":"ITEM-1","issued":{"date-parts":[["2016"]]},"page":"422-433","title":"Supply risks associated with CdTe and CIGS thin-film photovoltaics","type":"article-journal","volume":"178"},"uris":["http://www.mendeley.com/documents/?uuid=39188c3a-4e31-458d-8692-7ffc8f740a24"]}],"mendeley":{"formattedCitation":"(Helbig et al., 2016a)","plainTextFormattedCitation":"(Helbig et al., 2016a)","previouslyFormattedCitation":"(Helbig et al., 2016a)"},"properties":{"noteIndex":0},"schema":"https://github.com/citation-style-language/schema/raw/master/csl-citation.json"}</w:instrText>
            </w:r>
            <w:r w:rsidR="00C80243" w:rsidRPr="00F136C3">
              <w:rPr>
                <w:rFonts w:ascii="Calibri" w:hAnsi="Calibri"/>
                <w:color w:val="000000"/>
                <w:sz w:val="16"/>
                <w:szCs w:val="16"/>
              </w:rPr>
              <w:fldChar w:fldCharType="separate"/>
            </w:r>
            <w:r w:rsidR="00C80243" w:rsidRPr="00461423">
              <w:rPr>
                <w:rFonts w:ascii="Calibri" w:hAnsi="Calibri"/>
                <w:noProof/>
                <w:color w:val="000000"/>
                <w:sz w:val="16"/>
                <w:szCs w:val="16"/>
              </w:rPr>
              <w:t>(Helbig et al., 2016a)</w:t>
            </w:r>
            <w:r w:rsidR="00C80243" w:rsidRPr="00F136C3">
              <w:rPr>
                <w:rFonts w:ascii="Calibri" w:hAnsi="Calibri"/>
                <w:color w:val="000000"/>
                <w:sz w:val="16"/>
                <w:szCs w:val="16"/>
              </w:rPr>
              <w:fldChar w:fldCharType="end"/>
            </w:r>
          </w:p>
        </w:tc>
        <w:tc>
          <w:tcPr>
            <w:tcW w:w="570" w:type="dxa"/>
          </w:tcPr>
          <w:p w14:paraId="538D1DC2" w14:textId="7A2E6BCF" w:rsidR="00C80243" w:rsidRPr="00A43E79" w:rsidRDefault="00C80243" w:rsidP="00863B14">
            <w:pPr>
              <w:spacing w:line="480" w:lineRule="auto"/>
              <w:rPr>
                <w:rFonts w:ascii="Calibri" w:hAnsi="Calibri"/>
                <w:color w:val="000000"/>
                <w:sz w:val="16"/>
                <w:szCs w:val="16"/>
              </w:rPr>
            </w:pPr>
            <w:r w:rsidRPr="00AE56AD">
              <w:rPr>
                <w:rFonts w:ascii="Calibri" w:hAnsi="Calibri"/>
                <w:color w:val="000000"/>
                <w:sz w:val="16"/>
                <w:szCs w:val="16"/>
              </w:rPr>
              <w:t>2016</w:t>
            </w:r>
          </w:p>
        </w:tc>
        <w:tc>
          <w:tcPr>
            <w:tcW w:w="1318" w:type="dxa"/>
          </w:tcPr>
          <w:p w14:paraId="21E10FC6" w14:textId="6ADDA197"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Photovoltaic modules</w:t>
            </w:r>
          </w:p>
        </w:tc>
        <w:tc>
          <w:tcPr>
            <w:tcW w:w="1631" w:type="dxa"/>
          </w:tcPr>
          <w:p w14:paraId="5226DA46" w14:textId="279F667C"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Global</w:t>
            </w:r>
          </w:p>
        </w:tc>
        <w:tc>
          <w:tcPr>
            <w:tcW w:w="1021" w:type="dxa"/>
          </w:tcPr>
          <w:p w14:paraId="379083E0" w14:textId="292B6C41"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Now and in the future</w:t>
            </w:r>
          </w:p>
        </w:tc>
        <w:tc>
          <w:tcPr>
            <w:tcW w:w="4548" w:type="dxa"/>
          </w:tcPr>
          <w:p w14:paraId="3E1FF70D" w14:textId="01E4BEDA"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 xml:space="preserve">Disruptions of supply of materials that are important for Thin-Film </w:t>
            </w:r>
            <w:proofErr w:type="spellStart"/>
            <w:r w:rsidRPr="00F136C3">
              <w:rPr>
                <w:rFonts w:ascii="Calibri" w:hAnsi="Calibri"/>
                <w:color w:val="000000"/>
                <w:sz w:val="16"/>
                <w:szCs w:val="16"/>
              </w:rPr>
              <w:t>Photovolatic</w:t>
            </w:r>
            <w:proofErr w:type="spellEnd"/>
            <w:r w:rsidRPr="00F136C3">
              <w:rPr>
                <w:rFonts w:ascii="Calibri" w:hAnsi="Calibri"/>
                <w:color w:val="000000"/>
                <w:sz w:val="16"/>
                <w:szCs w:val="16"/>
              </w:rPr>
              <w:t xml:space="preserve"> modules</w:t>
            </w:r>
          </w:p>
        </w:tc>
        <w:tc>
          <w:tcPr>
            <w:tcW w:w="3972" w:type="dxa"/>
          </w:tcPr>
          <w:p w14:paraId="49A64359" w14:textId="58B9C32F"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 xml:space="preserve">Identification of supply risks and guidance of product selection </w:t>
            </w:r>
          </w:p>
        </w:tc>
      </w:tr>
      <w:tr w:rsidR="00C80243" w:rsidRPr="002E3AC2" w14:paraId="22A7801D" w14:textId="77777777" w:rsidTr="00C80243">
        <w:trPr>
          <w:trHeight w:val="268"/>
        </w:trPr>
        <w:tc>
          <w:tcPr>
            <w:tcW w:w="1967" w:type="dxa"/>
          </w:tcPr>
          <w:p w14:paraId="681CE49E" w14:textId="5C8E53F4" w:rsidR="00C80243" w:rsidRPr="004520D4" w:rsidRDefault="00C80243" w:rsidP="00863B14">
            <w:pPr>
              <w:spacing w:line="480" w:lineRule="auto"/>
              <w:rPr>
                <w:rFonts w:asciiTheme="majorHAnsi" w:hAnsiTheme="majorHAnsi"/>
                <w:sz w:val="16"/>
                <w:szCs w:val="16"/>
              </w:rPr>
            </w:pPr>
            <w:proofErr w:type="spellStart"/>
            <w:r w:rsidRPr="00F136C3">
              <w:rPr>
                <w:rFonts w:ascii="Calibri" w:hAnsi="Calibri"/>
                <w:color w:val="000000"/>
                <w:sz w:val="16"/>
                <w:szCs w:val="16"/>
              </w:rPr>
              <w:t>GeoPolRisk</w:t>
            </w:r>
            <w:proofErr w:type="spellEnd"/>
            <w:r w:rsidRPr="00F136C3">
              <w:rPr>
                <w:rFonts w:ascii="Calibri" w:hAnsi="Calibri"/>
                <w:color w:val="000000"/>
                <w:sz w:val="16"/>
                <w:szCs w:val="16"/>
              </w:rPr>
              <w:t xml:space="preserve"> </w:t>
            </w:r>
            <w:r w:rsidRPr="00F136C3">
              <w:rPr>
                <w:rFonts w:ascii="Calibri" w:hAnsi="Calibri"/>
                <w:color w:val="000000"/>
                <w:sz w:val="16"/>
                <w:szCs w:val="16"/>
              </w:rPr>
              <w:fldChar w:fldCharType="begin" w:fldLock="1"/>
            </w:r>
            <w:r>
              <w:rPr>
                <w:rFonts w:ascii="Calibri" w:hAnsi="Calibri"/>
                <w:color w:val="000000"/>
                <w:sz w:val="16"/>
                <w:szCs w:val="16"/>
              </w:rPr>
              <w:instrText>ADDIN CSL_CITATION {"citationItems":[{"id":"ITEM-1","itemData":{"DOI":"10.1007/s11367-017-1418-4","ISBN":"09483349 (ISSN)","ISSN":"16147502","abstract":"Purpose While environmental LCA is relatively well devel-oped, impact assessment methods for the Bnatural resources^ AoP are weak. In particular, resource Bcriticality^ is not ad-dressed in conventional environmental impact assessment methods, though it could be captured within life cycle sustain-ability assessment. In that regard, the present article extends the previously developed geopolitical supply risk (GPSR) method by demonstrating the connection of crit-icality to a functional unit while incorporating measures of material substitutability to reflect the Bvulnerability^ dimen-sion of criticality. Methods The GPSR method developed by Gemechu et al. (J Ind Ecol 20:154–165, 2015a) and subsequently extended by Helbig et al. (J Clean Prod 137:1170–1178, 2016a), and Cimprich et al. (J Clean Prod, 2017) is integrated into an LCIA characterization model. Further, semi-quantitative ma-terial substitutability indicator values based on a study by Graedel et al. (PNAS 112:6295–6300, 2015) are incorporated to represent the vulnerability dimension of criticality. The method is demonstrated with an update of a previously published case study of a European-manufactured electric ve-hicle by Gemechu et al. (Int J Life Cycle Assess 22:31–39, 2015b), along with a new case study of dental X-ray equip-ment. Due to novel aspects of the GPSR method, the latter case involves constructing an unusually comprehensive bill of materials by tracing unit processes to input commodities with identification codes for collecting commodity trade data. Results and discussion Supply risk Bhotspots^ are often asso-ciated with Bminor^ commodities such as neodymium in an electric vehicle and cesium iodide in a dental X-ray system. Though difficult to measure, material substitutability can mit-igate supply risk. Environmental loads of a dental X-ray sys-tem are dominated by production of relatively small special-ized functional components like capacitors and printed circuit boards, which are far more environmentally intensive per unit of mass than common structural and mechanical components. Thus, small components comprised of minor materials can Bpack a punch^ from a supply risk and environmental perspective. Conclusions The GPSR method presented in the present arti-cle brings resource criticality assessment to a product-level while addressing a gap in conventional LCIA methods regard-ing short-run, socioeconomic availability of natural re-sources. Further, the case studies illustrate th…","author":[{"dropping-particle":"","family":"Cimprich","given":"Alexander","non-dropping-particle":"","parse-names":false,"suffix":""},{"dropping-particle":"","family":"Karim","given":"Karim S.","non-dropping-particle":"","parse-names":false,"suffix":""},{"dropping-particle":"","family":"Young","given":"Steven B.","non-dropping-particle":"","parse-names":false,"suffix":""}],"container-title":"International Journal of Life Cycle Assessment","id":"ITEM-1","issued":{"date-parts":[["2017"]]},"page":"1-19","title":"Extending the geopolitical supply risk method: material “substitutability” indicators applied to electric vehicles and dental X-ray equipment","type":"article-journal"},"uris":["http://www.mendeley.com/documents/?uuid=6909c18e-9513-4eab-a016-58cd0d439cc7"]},{"id":"ITEM-2","itemData":{"DOI":"10.1016/j.jclepro.2017.06.063","ISSN":"09596526","abstract":"The diversity of materials employed in modern products and the complexity of globalized supply chains raise the importance of assessing supply risk of commodity inputs to product systems. Therefore, this article extends the Geopolitical Supply Risk methodology by proposing a characterization model to quantify product supply risk in relation to a functional unit under the Life Cycle Sustainability Assessment framework. The characterization model is based on a socio-economic cause-effect mechanism drawing upon supply chain resilience concepts. Supply risk – or “criticality” – of a given “intermediate product” is defined as the multiple of probability of supply disruption and vulnerability to supply disruption. Two embodiments of the characterization model are proposed, each supplementing the previously developed probability indicators with different indicators for vulnerability. They are demonstrated with a comparative case study of an electric vehicle and internal combustion engine vehicle. The results are highly sensitive to how vulnerability is measured, and a number of methodological complications arise. The most promising embodiment of the characterization model “cancels out” the amounts of commodity inputs, as it can be strongly argued that every input to the product system is equally important for product performance as expressed by the functional unit. Thus, the Geopolitical Supply Risk characterization model shows the importance of integrating raw material criticality considerations into Life Cycle Sustainability Assessment to better inform management decisions at a product level.","author":[{"dropping-particle":"","family":"Cimprich","given":"Alexander","non-dropping-particle":"","parse-names":false,"suffix":""},{"dropping-particle":"","family":"Young","given":"Steven B.","non-dropping-particle":"","parse-names":false,"suffix":""},{"dropping-particle":"","family":"Helbig","given":"Christoph","non-dropping-particle":"","parse-names":false,"suffix":""},{"dropping-particle":"","family":"Gemechu","given":"Eskinder D.","non-dropping-particle":"","parse-names":false,"suffix":""},{"dropping-particle":"","family":"Thorenz","given":"Andrea","non-dropping-particle":"","parse-names":false,"suffix":""},{"dropping-particle":"","family":"Tuma","given":"Axel","non-dropping-particle":"","parse-names":false,"suffix":""},{"dropping-particle":"","family":"Sonnemann","given":"Guido","non-dropping-particle":"","parse-names":false,"suffix":""}],"container-title":"Journal of Cleaner Production","id":"ITEM-2","issued":{"date-parts":[["2017"]]},"page":"754-763","publisher":"Elsevier Ltd","title":"Extension of geopolitical supply risk methodology: Characterization model applied to conventional and electric vehicles","type":"article-journal","volume":"162"},"uris":["http://www.mendeley.com/documents/?uuid=bb850fbf-e334-4b17-8073-789ea5766e04"]},{"id":"ITEM-3","itemData":{"DOI":"10.1111/jiec.12279","ISSN":"15309290","abstract":"Submitted to JIE","author":[{"dropping-particle":"","family":"Gemechu","given":"Eskinder D.","non-dropping-particle":"","parse-names":false,"suffix":""},{"dropping-particle":"","family":"Helbig","given":"Christoph","non-dropping-particle":"","parse-names":false,"suffix":""},{"dropping-particle":"","family":"Sonnemann","given":"Guido","non-dropping-particle":"","parse-names":false,"suffix":""},{"dropping-particle":"","family":"Thorenz","given":"Andrea","non-dropping-particle":"","parse-names":false,"suffix":""},{"dropping-particle":"","family":"Tuma","given":"Axel","non-dropping-particle":"","parse-names":false,"suffix":""}],"container-title":"Journal of Industrial Ecology","id":"ITEM-3","issue":"1","issued":{"date-parts":[["2016"]]},"page":"154-165","title":"Import-based Indicator for the Geopolitical Supply Risk of Raw Materials in Life Cycle Sustainability Assessments","type":"article-journal","volume":"20"},"uris":["http://www.mendeley.com/documents/?uuid=bffd99da-f223-4589-8aab-d784a6f8e303"]},{"id":"ITEM-4","itemData":{"DOI":"10.1007/s11367-015-0917-4","ISBN":"0948-3349, 1614-7502","ISSN":"0948-3349","abstract":"PurposeIntroducing a geopolitical-related supply risk (GeoPolRisk) into the life cycle sustainability assessment (LCSA) framework adds a criticality aspect to the current life cycle assessment (LCA) framework to more meaningfully address direct impacts on Natural Resource AoP. The weakness of resource indicators in LCA has been the topic of discussion within the life cycle community for some time. This paper presents a case study on how to proceed towards the integration of resource criticality assessment into LCA under the LCSA. The paper aims at highlighting the significance of introducing the GeoPolRisk indicator to complement and extend the established environmental LCA impact categories.MethodsA newly developed GeoPolRisk indicator proposed by Gemechu et al., J Ind Ecol (2015) was applied to metals used in the life cycle of an electric vehicle, and the results are compared with an attributional LCA of the same resources. The inventory data is based on the publication by Hawkins et al., J Ind Ecol 17:53–64 (2013), which provides a current, transparent, and detailed life cycle inventory data of a European representative first-generation battery small electric vehicle.Results and discussionFrom the 14 investigated metals, copper, aluminum, and steel are the most dominant elements that pose high environmental impacts. On the other hand, magnesium and neodymium show relatively higher supply risk when geopolitical elements are considered. While, the environmental indicator results all tend to point the same hotspots which arise from the substantial use of resources in the electric vehicle’s life cycle, the GeoPolRisk highlights that there are important elements present in very small amounts but crucial to the overall LCSA. It provides a complementary sustainability dimension that can be added to conventional LCA as an important extension within LCSA.ConclusionsResource challenges in a short-term time perspective can be better addressed by including social and geopolitical factors in addition to the conventional indicators which are based on their geological availability. This is more significant for modern technologies such as electronic devices in which critical resources contribute to important components. The case study advances the use of the GeoPolRisk assessment method but does still face certain limitations that need further elaboration; however, directions for future research are promising.","author":[{"dropping-particle":"","family":"Gemechu","given":"Eskinder D.","non-dropping-particle":"","parse-names":false,"suffix":""},{"dropping-particle":"","family":"Sonnemann","given":"Guido","non-dropping-particle":"","parse-names":false,"suffix":""},{"dropping-particle":"","family":"Young","given":"Steven B.","non-dropping-particle":"","parse-names":false,"suffix":""}],"container-title":"The International Journal of Life Cycle Assessment","id":"ITEM-4","issue":"1","issued":{"date-parts":[["2017"]]},"page":"31-39","publisher":"The International Journal of Life Cycle Assessment","title":"Geopolitical-related supply risk assessment as a complement to environmental impact assessment: the case of electric vehicles","type":"article-journal","volume":"22"},"uris":["http://www.mendeley.com/documents/?uuid=7326980c-fd80-48f0-a4a5-0a36d6f8d608"]},{"id":"ITEM-5","itemData":{"DOI":"10.1016/j.jclepro.2016.07.214","ISSN":"09596526","author":[{"dropping-particle":"","family":"Helbig","given":"Christoph","non-dropping-particle":"","parse-names":false,"suffix":""},{"dropping-particle":"","family":"Gemechu","given":"Eskinder Demisse","non-dropping-particle":"","parse-names":false,"suffix":""},{"dropping-particle":"","family":"Pillain","given":"B","non-dropping-particle":"","parse-names":false,"suffix":""},{"dropping-particle":"","family":"Young","given":"Steven B","non-dropping-particle":"","parse-names":false,"suffix":""},{"dropping-particle":"","family":"Thorenz","given":"Andrea","non-dropping-particle":"","parse-names":false,"suffix":""},{"dropping-particle":"","family":"Tuma","given":"Axel","non-dropping-particle":"","parse-names":false,"suffix":""},{"dropping-particle":"","family":"Sonnemann","given":"Guido","non-dropping-particle":"","parse-names":false,"suffix":""}],"container-title":"Journal of Cleaner Production","id":"ITEM-5","issued":{"date-parts":[["2016"]]},"page":"1170-1178","publisher":"Elsevier Ltd","title":"Extending the Geopolitical Supply Risk Indicator: Application of LCSA to the Petrochemical Supply Chain of PAN-based Carbon Fibers","type":"article-journal","volume":"In Review"},"uris":["http://www.mendeley.com/documents/?uuid=196881a4-cb77-4141-98be-ab87000c5393"]},{"id":"ITEM-6","itemData":{"DOI":"10.1111/jiec.12865","author":[{"dropping-particle":"","family":"Cimprich","given":"Alexander","non-dropping-particle":"","parse-names":false,"suffix":""},{"dropping-particle":"","family":"Bach","given":"Vanessa","non-dropping-particle":"","parse-names":false,"suffix":""},{"dropping-particle":"","family":"Helbig","given":"Christoph","non-dropping-particle":"","parse-names":false,"suffix":""},{"dropping-particle":"","family":"Thorenz","given":"Andrea","non-dropping-particle":"","parse-names":false,"suffix":"</w:instrText>
            </w:r>
            <w:r w:rsidRPr="004520D4">
              <w:rPr>
                <w:rFonts w:ascii="Calibri" w:hAnsi="Calibri"/>
                <w:color w:val="000000"/>
                <w:sz w:val="16"/>
                <w:szCs w:val="16"/>
              </w:rPr>
              <w:instrText>"},{"dropping-particle":"","family":"Schrijvers","given":"Dieuwertje","non-dropping-particle":"","parse-names":false,"suffix":""},{"dropping-particle":"","family":"Sonnemann","given":"Guido","non-dropping-particle":"","parse-names":false,"suffix":""},{"dropping-particle":"","family":"Young","given":"Steven","non-dropping-particle":"","parse-names":false,"suffix":""},{"dropping-particle":"","family":"Sonderegger","given":"Thomas","non-dropping-particle":"","parse-names":false,"suffix":""},{"dropping-particle":"","family":"Berger","given":"Markus","non-dropping-particle":"","parse-names":false,"suffix":""}],"container-title":"Journal of Industrial Ecology","id":"ITEM-6","issue":"accepted","issued":{"date-parts":[["2019"]]},"page":"1-11","title":"Resource criticality assessment as a complement to environmental life cycle assessment: examining methods for product-level supply risk assessment","type":"article-journal"},"uris":["http://www.mendeley.com/documents/?uuid=4f048bac-d0fe-418b-b09e-11b537f0d39a"]}],"mendeley":{"formattedCitation":"(Cimprich et al., 2019, 2017a, 2017b; Gemechu et al., 2017, 2016; Helbig et al., 2016b)","plainTextFormattedCitation":"(Cimprich et al., 2019, 2017a, 2017b; Gemechu et al., 2017, 2016; Helbig et al., 2016b)","previouslyFormattedCitation":"(Cimprich et al., 2019, 2017a, 2017b; Gemechu et al., 2017, 2016; Helbig et al., 2016b)"},"properties":{"noteIndex":0},"schema":"https://github.com/citation-style-language/schema/raw/master/csl-citation.json"}</w:instrText>
            </w:r>
            <w:r w:rsidRPr="00F136C3">
              <w:rPr>
                <w:rFonts w:ascii="Calibri" w:hAnsi="Calibri"/>
                <w:color w:val="000000"/>
                <w:sz w:val="16"/>
                <w:szCs w:val="16"/>
              </w:rPr>
              <w:fldChar w:fldCharType="separate"/>
            </w:r>
            <w:r w:rsidRPr="004520D4">
              <w:rPr>
                <w:rFonts w:ascii="Calibri" w:hAnsi="Calibri"/>
                <w:noProof/>
                <w:color w:val="000000"/>
                <w:sz w:val="16"/>
                <w:szCs w:val="16"/>
              </w:rPr>
              <w:t>(Cimprich et al., 2019, 2017a, 2017b; Gemechu et al., 2017, 2016; Helbig et al., 2016b)</w:t>
            </w:r>
            <w:r w:rsidRPr="00F136C3">
              <w:rPr>
                <w:rFonts w:ascii="Calibri" w:hAnsi="Calibri"/>
                <w:color w:val="000000"/>
                <w:sz w:val="16"/>
                <w:szCs w:val="16"/>
              </w:rPr>
              <w:fldChar w:fldCharType="end"/>
            </w:r>
          </w:p>
        </w:tc>
        <w:tc>
          <w:tcPr>
            <w:tcW w:w="570" w:type="dxa"/>
          </w:tcPr>
          <w:p w14:paraId="1DEC71F6" w14:textId="61EAE958" w:rsidR="00C80243" w:rsidRPr="00A43E79" w:rsidRDefault="00C80243" w:rsidP="00863B14">
            <w:pPr>
              <w:spacing w:line="480" w:lineRule="auto"/>
              <w:rPr>
                <w:rFonts w:ascii="Calibri" w:hAnsi="Calibri"/>
                <w:color w:val="000000"/>
                <w:sz w:val="16"/>
                <w:szCs w:val="16"/>
              </w:rPr>
            </w:pPr>
            <w:r w:rsidRPr="00AE56AD">
              <w:rPr>
                <w:rFonts w:ascii="Calibri" w:hAnsi="Calibri"/>
                <w:color w:val="000000"/>
                <w:sz w:val="16"/>
                <w:szCs w:val="16"/>
              </w:rPr>
              <w:t>2016</w:t>
            </w:r>
          </w:p>
        </w:tc>
        <w:tc>
          <w:tcPr>
            <w:tcW w:w="1318" w:type="dxa"/>
          </w:tcPr>
          <w:p w14:paraId="163F189B" w14:textId="67BB77B6"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Product</w:t>
            </w:r>
          </w:p>
        </w:tc>
        <w:tc>
          <w:tcPr>
            <w:tcW w:w="1631" w:type="dxa"/>
          </w:tcPr>
          <w:p w14:paraId="0D9FAF61" w14:textId="2A63BA3A"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Country</w:t>
            </w:r>
          </w:p>
        </w:tc>
        <w:tc>
          <w:tcPr>
            <w:tcW w:w="1021" w:type="dxa"/>
          </w:tcPr>
          <w:p w14:paraId="4217D123" w14:textId="4EEC048F"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&lt; 10 years</w:t>
            </w:r>
          </w:p>
        </w:tc>
        <w:tc>
          <w:tcPr>
            <w:tcW w:w="4548" w:type="dxa"/>
          </w:tcPr>
          <w:p w14:paraId="26BF0EB2" w14:textId="642B70D1" w:rsidR="00C80243" w:rsidRPr="00F136C3" w:rsidRDefault="00C80243" w:rsidP="00863B14">
            <w:pPr>
              <w:spacing w:line="480" w:lineRule="auto"/>
              <w:rPr>
                <w:rFonts w:asciiTheme="majorHAnsi" w:hAnsiTheme="majorHAnsi"/>
                <w:sz w:val="16"/>
                <w:szCs w:val="16"/>
              </w:rPr>
            </w:pPr>
            <w:r>
              <w:rPr>
                <w:rFonts w:ascii="Calibri" w:hAnsi="Calibri"/>
                <w:color w:val="000000"/>
                <w:sz w:val="16"/>
                <w:szCs w:val="16"/>
              </w:rPr>
              <w:t>Supply disruptions of materials that are used in a product due to political instability of raw material producing countries</w:t>
            </w:r>
          </w:p>
        </w:tc>
        <w:tc>
          <w:tcPr>
            <w:tcW w:w="3972" w:type="dxa"/>
          </w:tcPr>
          <w:p w14:paraId="416A3607" w14:textId="6981BC49"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Identify hotspots to inform product design, material selection, and supply chain management</w:t>
            </w:r>
          </w:p>
        </w:tc>
      </w:tr>
      <w:tr w:rsidR="00C80243" w:rsidRPr="002E3AC2" w14:paraId="6049A16D" w14:textId="77777777" w:rsidTr="00C80243">
        <w:trPr>
          <w:trHeight w:val="731"/>
        </w:trPr>
        <w:tc>
          <w:tcPr>
            <w:tcW w:w="1967" w:type="dxa"/>
          </w:tcPr>
          <w:p w14:paraId="0EEA9CA6" w14:textId="38C18FD0"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 xml:space="preserve">ESSENZ </w:t>
            </w:r>
            <w:r w:rsidRPr="00F136C3">
              <w:rPr>
                <w:rFonts w:ascii="Calibri" w:hAnsi="Calibri"/>
                <w:color w:val="000000"/>
                <w:sz w:val="16"/>
                <w:szCs w:val="16"/>
              </w:rPr>
              <w:fldChar w:fldCharType="begin" w:fldLock="1"/>
            </w:r>
            <w:r>
              <w:rPr>
                <w:rFonts w:ascii="Calibri" w:hAnsi="Calibri"/>
                <w:color w:val="000000"/>
                <w:sz w:val="16"/>
                <w:szCs w:val="16"/>
              </w:rPr>
              <w:instrText>ADDIN CSL_CITATION {"citationItems":[{"id":"ITEM-1","itemData":{"DOI":"10.1016/j.jclepro.2016.07.077","ISSN":"09596526","abstract":"With increasing demand of abiotic resources also the pollution of natural resources like water and soil has risen in the last decades due to global industrial and technological development. Thus, enhancing resource efficiency is a key goal of national and international strategies. For a comprehensive assessment of all related impacts of resource extraction and use all three sustainability dimensions have to be taken into account: economic, environmental and social aspects. Furthermore, to avoid burden shifting life cycle based methods should be applied. As companies need operational tools and approaches, a comprehensive method has been developed to measure resource efficiency of products, processes and services in the context of sustainable development (ESSENZ). Overall 21 categories are established to measure impacts on the environment, physical and socio-economic availability of the used resources as well as their societal acceptance. For the categories socio-economic availability and societal acceptance new approaches are developed and characterization factors are provided for a portfolio of 36 metals and four fossil raw materials. The introduced approach has been tested on several case studies, demonstrating that it enhances the applicability of resource efficiency to assess product systems significantly by providing an overall framework that can be adopted across sectors, using indicators and methods which are applicable and can be integrated into existing life cycle assessment based schemes.","author":[{"dropping-particle":"","family":"Bach","given":"Vanessa","non-dropping-particle":"","parse-names":false,"suffix":""},{"dropping-particle":"","family":"Berger","given":"Markus","non-dropping-particle":"","parse-names":false,"suffix":""},{"dropping-particle":"","family":"Henßler","given":"Martin","non-dropping-particle":"","parse-names":false,"suffix":""},{"dropping-particle":"","family":"Kirchner","given":"Martin","non-dropping-particle":"","parse-names":false,"suffix":""},{"dropping-particle":"","family":"Leiser","given":"Stefan","non-dropping-particle":"","parse-names":false,"suffix":""},{"dropping-particle":"","family":"Mohr","given":"Lisa","non-dropping-particle":"","parse-names":false,"suffix":""},{"dropping-particle":"","family":"Rother","given":"Elmar","non-dropping-particle":"","parse-names":false,"suffix":""},{"dropping-particle":"","family":"Ruhland","given":"Klaus","non-dropping-particle":"","parse-names":false,"suffix":""},{"dropping-particle":"","family":"Schneider","given":"Laura","non-dropping-particle":"","parse-names":false,"suffix":""},{"dropping-particle":"","family":"Tikana","given":"Ladji","non-dropping-particle":"","parse-names":false,"suffix":""},{"dropping-particle":"","family":"Volkhausen","given":"Wolfgang","non-dropping-particle":"","parse-names":false,"suffix":""},{"dropping-particle":"","family":"Walachowicz","given":"Frank","non-dropping-particle":"","parse-names":false,"suffix":""},{"dropping-particle":"","family":"Finkbeiner","given":"Matthias","non-dropping-particle":"","parse-names":false,"suffix":""}],"container-title":"Journal of Cleaner Production","id":"ITEM-1","issued":{"date-parts":[["2016"]]},"page":"118-130","publisher":"Elsevier Ltd","title":"Integrated method to assess resource efficiency – ESSENZ","type":"article-journal","volume":"137"},"uris":["http://www.mendeley.com/documents/?uuid=75f2c66a-534f-4149-9063-4b8eaf0d6491"]}],"mendeley":{"formattedCitation":"(Bach et al., 2016)","plainTextFormattedCitation":"(Bach et al., 2016)","previouslyFormattedCitation":"(Bach et al., 2016)"},"properties":{"noteIndex":0},"schema":"https://github.com/citation-style-language/schema/raw/master/csl-citation.json"}</w:instrText>
            </w:r>
            <w:r w:rsidRPr="00F136C3">
              <w:rPr>
                <w:rFonts w:ascii="Calibri" w:hAnsi="Calibri"/>
                <w:color w:val="000000"/>
                <w:sz w:val="16"/>
                <w:szCs w:val="16"/>
              </w:rPr>
              <w:fldChar w:fldCharType="separate"/>
            </w:r>
            <w:r w:rsidRPr="002B45EF">
              <w:rPr>
                <w:rFonts w:ascii="Calibri" w:hAnsi="Calibri"/>
                <w:noProof/>
                <w:color w:val="000000"/>
                <w:sz w:val="16"/>
                <w:szCs w:val="16"/>
              </w:rPr>
              <w:t>(Bach et al., 2016)</w:t>
            </w:r>
            <w:r w:rsidRPr="00F136C3">
              <w:rPr>
                <w:rFonts w:ascii="Calibri" w:hAnsi="Calibri"/>
                <w:color w:val="000000"/>
                <w:sz w:val="16"/>
                <w:szCs w:val="16"/>
              </w:rPr>
              <w:fldChar w:fldCharType="end"/>
            </w:r>
          </w:p>
        </w:tc>
        <w:tc>
          <w:tcPr>
            <w:tcW w:w="570" w:type="dxa"/>
          </w:tcPr>
          <w:p w14:paraId="37CAD4AC" w14:textId="0C06CCA2" w:rsidR="00C80243" w:rsidRPr="00A43E79" w:rsidRDefault="00C80243" w:rsidP="00863B14">
            <w:pPr>
              <w:spacing w:line="480" w:lineRule="auto"/>
              <w:rPr>
                <w:rFonts w:ascii="Calibri" w:hAnsi="Calibri"/>
                <w:color w:val="000000"/>
                <w:sz w:val="16"/>
                <w:szCs w:val="16"/>
              </w:rPr>
            </w:pPr>
            <w:r w:rsidRPr="00AE56AD">
              <w:rPr>
                <w:rFonts w:ascii="Calibri" w:hAnsi="Calibri"/>
                <w:color w:val="000000"/>
                <w:sz w:val="16"/>
                <w:szCs w:val="16"/>
              </w:rPr>
              <w:t>2016</w:t>
            </w:r>
          </w:p>
        </w:tc>
        <w:tc>
          <w:tcPr>
            <w:tcW w:w="1318" w:type="dxa"/>
          </w:tcPr>
          <w:p w14:paraId="5BA785F5" w14:textId="12DCB2FA"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Product</w:t>
            </w:r>
          </w:p>
        </w:tc>
        <w:tc>
          <w:tcPr>
            <w:tcW w:w="1631" w:type="dxa"/>
          </w:tcPr>
          <w:p w14:paraId="44CADCAC" w14:textId="38B8E41F"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Global</w:t>
            </w:r>
          </w:p>
        </w:tc>
        <w:tc>
          <w:tcPr>
            <w:tcW w:w="1021" w:type="dxa"/>
          </w:tcPr>
          <w:p w14:paraId="35809611" w14:textId="281438CD"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&lt; 10 years</w:t>
            </w:r>
          </w:p>
        </w:tc>
        <w:tc>
          <w:tcPr>
            <w:tcW w:w="4548" w:type="dxa"/>
          </w:tcPr>
          <w:p w14:paraId="2109CD04" w14:textId="08A10495" w:rsidR="00C80243" w:rsidRPr="00F136C3" w:rsidRDefault="00C80243" w:rsidP="00863B14">
            <w:pPr>
              <w:spacing w:line="480" w:lineRule="auto"/>
              <w:rPr>
                <w:rFonts w:asciiTheme="majorHAnsi" w:hAnsiTheme="majorHAnsi"/>
                <w:sz w:val="16"/>
                <w:szCs w:val="16"/>
              </w:rPr>
            </w:pPr>
            <w:r>
              <w:rPr>
                <w:rFonts w:ascii="Calibri" w:hAnsi="Calibri"/>
                <w:color w:val="000000"/>
                <w:sz w:val="16"/>
                <w:szCs w:val="16"/>
              </w:rPr>
              <w:t>Restricted availability of resources due to physical as well as socio-economic factors and societal acceptance, which compromises the productivity of companies</w:t>
            </w:r>
          </w:p>
        </w:tc>
        <w:tc>
          <w:tcPr>
            <w:tcW w:w="3972" w:type="dxa"/>
          </w:tcPr>
          <w:p w14:paraId="087A8B96" w14:textId="31213109"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Identify hotspots to inform product design, material selection, and supply chain management</w:t>
            </w:r>
          </w:p>
        </w:tc>
      </w:tr>
      <w:tr w:rsidR="00C80243" w:rsidRPr="002E3AC2" w14:paraId="45DAE013" w14:textId="77777777" w:rsidTr="00C80243">
        <w:trPr>
          <w:trHeight w:val="190"/>
        </w:trPr>
        <w:tc>
          <w:tcPr>
            <w:tcW w:w="1967" w:type="dxa"/>
          </w:tcPr>
          <w:p w14:paraId="03C2CBB0" w14:textId="531041EB"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 xml:space="preserve">China </w:t>
            </w:r>
            <w:r w:rsidRPr="00F136C3">
              <w:rPr>
                <w:rFonts w:ascii="Calibri" w:hAnsi="Calibri"/>
                <w:color w:val="000000"/>
                <w:sz w:val="16"/>
                <w:szCs w:val="16"/>
              </w:rPr>
              <w:fldChar w:fldCharType="begin" w:fldLock="1"/>
            </w:r>
            <w:r>
              <w:rPr>
                <w:rFonts w:ascii="Calibri" w:hAnsi="Calibri"/>
                <w:color w:val="000000"/>
                <w:sz w:val="16"/>
                <w:szCs w:val="16"/>
              </w:rPr>
              <w:instrText>ADDIN CSL_CITATION {"citationItems":[{"id":"ITEM-1","itemData":{"author":[{"dropping-particle":"","family":"Ministry of Land and Resources of the People's Republic of China","given":"","non-dropping-particle":"","parse-names":false,"suffix":""}],"id":"ITEM-1","issue":"29 November","issued":{"date-parts":[["2016"]]},"title":"Press Conference","type":"article"},"uris":["http://www.mendeley.com/documents/?uuid=76f07b41-060a-4c5f-a529-e85bc08eb9cc"]}],"mendeley":{"formattedCitation":"(Ministry of Land and Resources of the People’s Republic of China, 2016)","plainTextFormattedCitation":"(Ministry of Land and Resources of the People’s Republic of China, 2016)","previouslyFormattedCitation":"(Ministry of Land and Resources of the People’s Republic of China, 2016)"},"properties":{"noteIndex":0},"schema":"https://github.com/citation-style-language/schema/raw/master/csl-citation.json"}</w:instrText>
            </w:r>
            <w:r w:rsidRPr="00F136C3">
              <w:rPr>
                <w:rFonts w:ascii="Calibri" w:hAnsi="Calibri"/>
                <w:color w:val="000000"/>
                <w:sz w:val="16"/>
                <w:szCs w:val="16"/>
              </w:rPr>
              <w:fldChar w:fldCharType="separate"/>
            </w:r>
            <w:r w:rsidRPr="002B45EF">
              <w:rPr>
                <w:rFonts w:ascii="Calibri" w:hAnsi="Calibri"/>
                <w:noProof/>
                <w:color w:val="000000"/>
                <w:sz w:val="16"/>
                <w:szCs w:val="16"/>
              </w:rPr>
              <w:t xml:space="preserve">(Ministry of Land and Resources of the </w:t>
            </w:r>
            <w:r w:rsidRPr="002B45EF">
              <w:rPr>
                <w:rFonts w:ascii="Calibri" w:hAnsi="Calibri"/>
                <w:noProof/>
                <w:color w:val="000000"/>
                <w:sz w:val="16"/>
                <w:szCs w:val="16"/>
              </w:rPr>
              <w:lastRenderedPageBreak/>
              <w:t>People’s Republic of China, 2016)</w:t>
            </w:r>
            <w:r w:rsidRPr="00F136C3">
              <w:rPr>
                <w:rFonts w:ascii="Calibri" w:hAnsi="Calibri"/>
                <w:color w:val="000000"/>
                <w:sz w:val="16"/>
                <w:szCs w:val="16"/>
              </w:rPr>
              <w:fldChar w:fldCharType="end"/>
            </w:r>
          </w:p>
        </w:tc>
        <w:tc>
          <w:tcPr>
            <w:tcW w:w="570" w:type="dxa"/>
          </w:tcPr>
          <w:p w14:paraId="6AE569FF" w14:textId="7BE51965" w:rsidR="00C80243" w:rsidRPr="00A43E79" w:rsidRDefault="00C80243" w:rsidP="00863B14">
            <w:pPr>
              <w:spacing w:line="480" w:lineRule="auto"/>
              <w:rPr>
                <w:rFonts w:ascii="Calibri" w:hAnsi="Calibri"/>
                <w:color w:val="000000"/>
                <w:sz w:val="16"/>
                <w:szCs w:val="16"/>
              </w:rPr>
            </w:pPr>
            <w:r w:rsidRPr="00AE56AD">
              <w:rPr>
                <w:rFonts w:ascii="Calibri" w:hAnsi="Calibri"/>
                <w:color w:val="000000"/>
                <w:sz w:val="16"/>
                <w:szCs w:val="16"/>
              </w:rPr>
              <w:lastRenderedPageBreak/>
              <w:t>2016</w:t>
            </w:r>
          </w:p>
        </w:tc>
        <w:tc>
          <w:tcPr>
            <w:tcW w:w="1318" w:type="dxa"/>
          </w:tcPr>
          <w:p w14:paraId="7B3F1D37" w14:textId="7B4D98A2"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National sustainable development</w:t>
            </w:r>
          </w:p>
        </w:tc>
        <w:tc>
          <w:tcPr>
            <w:tcW w:w="1631" w:type="dxa"/>
          </w:tcPr>
          <w:p w14:paraId="3F50BE57" w14:textId="36AA3FEA"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China</w:t>
            </w:r>
          </w:p>
        </w:tc>
        <w:tc>
          <w:tcPr>
            <w:tcW w:w="1021" w:type="dxa"/>
          </w:tcPr>
          <w:p w14:paraId="17A2F716" w14:textId="3C62CF92"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&lt; 10 years</w:t>
            </w:r>
          </w:p>
        </w:tc>
        <w:tc>
          <w:tcPr>
            <w:tcW w:w="4548" w:type="dxa"/>
          </w:tcPr>
          <w:p w14:paraId="61EDB48C" w14:textId="24398EDD" w:rsidR="00C80243" w:rsidRPr="00F136C3" w:rsidRDefault="00C80243" w:rsidP="00863B14">
            <w:pPr>
              <w:spacing w:line="480" w:lineRule="auto"/>
              <w:rPr>
                <w:rFonts w:asciiTheme="majorHAnsi" w:hAnsiTheme="majorHAnsi"/>
                <w:sz w:val="16"/>
                <w:szCs w:val="16"/>
              </w:rPr>
            </w:pPr>
            <w:r>
              <w:rPr>
                <w:rFonts w:ascii="Calibri" w:hAnsi="Calibri"/>
                <w:color w:val="000000"/>
                <w:sz w:val="16"/>
                <w:szCs w:val="16"/>
              </w:rPr>
              <w:t>Limited access to resources per capita and decreasing investment in exploration hinders the country’s sustainable development</w:t>
            </w:r>
          </w:p>
        </w:tc>
        <w:tc>
          <w:tcPr>
            <w:tcW w:w="3972" w:type="dxa"/>
          </w:tcPr>
          <w:p w14:paraId="2BF3DFBB" w14:textId="6162EB0D"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Secure the supply of strategic resources by investing in upgrading and structural adjustment of the mining industry</w:t>
            </w:r>
          </w:p>
        </w:tc>
      </w:tr>
      <w:tr w:rsidR="00C80243" w:rsidRPr="002E3AC2" w14:paraId="765F722C" w14:textId="77777777" w:rsidTr="00C80243">
        <w:trPr>
          <w:trHeight w:val="273"/>
        </w:trPr>
        <w:tc>
          <w:tcPr>
            <w:tcW w:w="1967" w:type="dxa"/>
          </w:tcPr>
          <w:p w14:paraId="78D31C41" w14:textId="616E2E6E"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 xml:space="preserve">Werner </w:t>
            </w:r>
            <w:r w:rsidRPr="00F136C3">
              <w:rPr>
                <w:rFonts w:ascii="Calibri" w:hAnsi="Calibri"/>
                <w:color w:val="000000"/>
                <w:sz w:val="16"/>
                <w:szCs w:val="16"/>
              </w:rPr>
              <w:fldChar w:fldCharType="begin" w:fldLock="1"/>
            </w:r>
            <w:r>
              <w:rPr>
                <w:rFonts w:ascii="Calibri" w:hAnsi="Calibri"/>
                <w:color w:val="000000"/>
                <w:sz w:val="16"/>
                <w:szCs w:val="16"/>
              </w:rPr>
              <w:instrText>ADDIN CSL_CITATION {"citationItems":[{"id":"ITEM-1","itemData":{"DOI":"10.1016/j.oregeorev.2016.08.008","ISSN":"01691368","abstract":"Estimates of the world's mineral resources of numerous by-product metals remain highly uncertain at best, despite the high criticality of many of these elements to society. This stems from the limited reporting of the concentrations of these elements within mineral deposits by the mining industry, meaning that we require methods to estimate the availability of these resources that overcome this limitation. Here, we present a method for quantifying poorly reported mineral resources of by-product metals that builds upon deposit-by-deposit approaches to global resource estimation, arguably the best-practice approach for well-reported commodities, but also adds the use of proxies for by-product grade estimation. This proxy method allows for deposits with known or inferred by-product metals to also be incorporated within global resource estimates and provides a greater basis for assessing future supply potential. We demonstrate the application and verification of this methodology with indium, a critical metal for which &lt; 1% of identified zinc, tin, and copper deposits potentially hosting indium mineralisation report grades using CRIRSCO (or equivalent) mineral resource reporting codes. The use of the method outlined in this manuscript will allow the global resources of any metal commodity, especially the often under-reported by- and co-product metals that are becoming increasingly essential to modern life, to be quantified to a significantly greater level of accuracy and precision than is allowed by other approaches.","author":[{"dropping-particle":"","family":"Werner","given":"Timothy T.","non-dropping-particle":"","parse-names":false,"suffix":""},{"dropping-particle":"","family":"Mudd","given":"Gavin M.","non-dropping-particle":"","parse-names":false,"suffix":""},{"dropping-particle":"","family":"Jowitt","given":"Simon M.","non-dropping-particle":"","parse-names":false,"suffix":""}],"container-title":"Ore Geology Reviews","id":"ITEM-1","issued":{"date-parts":[["2017"]]},"page":"658-675","publisher":"Elsevier B.V.","title":"The world's by-product and critical metal resources part II: A method for quantifying the resources of rarely reported metals","type":"article-journal","volume":"80"},"uris":["http://www.mendeley.com/documents/?uuid=45f3d169-3b87-4946-b43c-3fee299414a2"]}],"mendeley":{"formattedCitation":"(Werner et al., 2017)","plainTextFormattedCitation":"(Werner et al., 2017)","previouslyFormattedCitation":"(Werner et al., 2017)"},"properties":{"noteIndex":0},"schema":"https://github.com/citation-style-language/schema/raw/master/csl-citation.json"}</w:instrText>
            </w:r>
            <w:r w:rsidRPr="00F136C3">
              <w:rPr>
                <w:rFonts w:ascii="Calibri" w:hAnsi="Calibri"/>
                <w:color w:val="000000"/>
                <w:sz w:val="16"/>
                <w:szCs w:val="16"/>
              </w:rPr>
              <w:fldChar w:fldCharType="separate"/>
            </w:r>
            <w:r w:rsidRPr="002B45EF">
              <w:rPr>
                <w:rFonts w:ascii="Calibri" w:hAnsi="Calibri"/>
                <w:noProof/>
                <w:color w:val="000000"/>
                <w:sz w:val="16"/>
                <w:szCs w:val="16"/>
              </w:rPr>
              <w:t>(Werner et al., 2017)</w:t>
            </w:r>
            <w:r w:rsidRPr="00F136C3">
              <w:rPr>
                <w:rFonts w:ascii="Calibri" w:hAnsi="Calibri"/>
                <w:color w:val="000000"/>
                <w:sz w:val="16"/>
                <w:szCs w:val="16"/>
              </w:rPr>
              <w:fldChar w:fldCharType="end"/>
            </w:r>
          </w:p>
        </w:tc>
        <w:tc>
          <w:tcPr>
            <w:tcW w:w="570" w:type="dxa"/>
          </w:tcPr>
          <w:p w14:paraId="39002968" w14:textId="1F0C40E3" w:rsidR="00C80243" w:rsidRPr="00A43E79" w:rsidRDefault="00C80243" w:rsidP="00863B14">
            <w:pPr>
              <w:spacing w:line="480" w:lineRule="auto"/>
              <w:rPr>
                <w:rFonts w:ascii="Calibri" w:hAnsi="Calibri"/>
                <w:color w:val="000000"/>
                <w:sz w:val="16"/>
                <w:szCs w:val="16"/>
              </w:rPr>
            </w:pPr>
            <w:r w:rsidRPr="00AE56AD">
              <w:rPr>
                <w:rFonts w:ascii="Calibri" w:hAnsi="Calibri"/>
                <w:color w:val="000000"/>
                <w:sz w:val="16"/>
                <w:szCs w:val="16"/>
              </w:rPr>
              <w:t>2017</w:t>
            </w:r>
          </w:p>
        </w:tc>
        <w:tc>
          <w:tcPr>
            <w:tcW w:w="1318" w:type="dxa"/>
          </w:tcPr>
          <w:p w14:paraId="6F15123D" w14:textId="7E20523F"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Availability of resources</w:t>
            </w:r>
          </w:p>
        </w:tc>
        <w:tc>
          <w:tcPr>
            <w:tcW w:w="1631" w:type="dxa"/>
          </w:tcPr>
          <w:p w14:paraId="1669B2F0" w14:textId="57B0C59E"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Global</w:t>
            </w:r>
          </w:p>
        </w:tc>
        <w:tc>
          <w:tcPr>
            <w:tcW w:w="1021" w:type="dxa"/>
          </w:tcPr>
          <w:p w14:paraId="70024F91" w14:textId="339A1FE2"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Few decades</w:t>
            </w:r>
          </w:p>
        </w:tc>
        <w:tc>
          <w:tcPr>
            <w:tcW w:w="4548" w:type="dxa"/>
          </w:tcPr>
          <w:p w14:paraId="23B3583A" w14:textId="3AC5E0A4"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Depletion of geological availability of resources</w:t>
            </w:r>
          </w:p>
        </w:tc>
        <w:tc>
          <w:tcPr>
            <w:tcW w:w="3972" w:type="dxa"/>
          </w:tcPr>
          <w:p w14:paraId="383C24E0" w14:textId="2AE04830"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Inform decision-making by public and private authorities on resource use and extraction</w:t>
            </w:r>
          </w:p>
        </w:tc>
      </w:tr>
      <w:tr w:rsidR="00C80243" w:rsidRPr="002E3AC2" w14:paraId="7520F72D" w14:textId="77777777" w:rsidTr="00C80243">
        <w:trPr>
          <w:trHeight w:val="109"/>
        </w:trPr>
        <w:tc>
          <w:tcPr>
            <w:tcW w:w="1967" w:type="dxa"/>
          </w:tcPr>
          <w:p w14:paraId="46AC0928" w14:textId="0F8296E5" w:rsidR="00C80243" w:rsidRPr="00F136C3" w:rsidRDefault="00C80243" w:rsidP="00863B14">
            <w:pPr>
              <w:spacing w:line="480" w:lineRule="auto"/>
              <w:rPr>
                <w:rFonts w:asciiTheme="majorHAnsi" w:hAnsiTheme="majorHAnsi"/>
                <w:sz w:val="16"/>
                <w:szCs w:val="16"/>
                <w:lang w:val="en-GB"/>
              </w:rPr>
            </w:pPr>
            <w:r w:rsidRPr="00F136C3">
              <w:rPr>
                <w:rFonts w:ascii="Calibri" w:hAnsi="Calibri"/>
                <w:color w:val="000000"/>
                <w:sz w:val="16"/>
                <w:szCs w:val="16"/>
              </w:rPr>
              <w:t xml:space="preserve">UBA </w:t>
            </w:r>
            <w:r w:rsidRPr="00F136C3">
              <w:rPr>
                <w:rFonts w:ascii="Calibri" w:hAnsi="Calibri"/>
                <w:color w:val="000000"/>
                <w:sz w:val="16"/>
                <w:szCs w:val="16"/>
              </w:rPr>
              <w:fldChar w:fldCharType="begin" w:fldLock="1"/>
            </w:r>
            <w:r>
              <w:rPr>
                <w:rFonts w:ascii="Calibri" w:hAnsi="Calibri"/>
                <w:color w:val="000000"/>
                <w:sz w:val="16"/>
                <w:szCs w:val="16"/>
              </w:rPr>
              <w:instrText>ADDIN CSL_CITATION {"citationItems":[{"id":"ITEM-1","itemData":{"DOI":"10.1007/s13563-018-0160-0","ISBN":"1356301801600","ISSN":"2191-2203","author":[{"dropping-particle":"","family":"Manhart","given":"Andreas","non-dropping-particle":"","parse-names":false,"suffix":""},{"dropping-particle":"","family":"Vogt","given":"Regine","non-dropping-particle":"","parse-names":false,"suffix":""},{"dropping-particle":"","family":"Priester","given":"Michael","non-dropping-particle":"","parse-names":false,"suffix":""},{"dropping-particle":"","family":"Dehoust","given":"Günter","non-dropping-particle":"","parse-names":false,"suffix":""},{"dropping-particle":"","family":"Auberger","given":"Andreas","non-dropping-particle":"","parse-names":false,"suffix":""},{"dropping-particle":"","family":"Blepp","given":"Markus","non-dropping-particle":"","parse-names":false,"suffix":""},{"dropping-particle":"","family":"Dolega","given":"Peter","non-dropping-particle":"","parse-names":false,"suffix":""},{"dropping-particle":"","family":"Kämper","given":"Claudia","non-dropping-particle":"","parse-names":false,"suffix":""},{"dropping-particle":"","family":"Giegrich","given":"Jürgen","non-dropping-particle":"","parse-names":false,"suffix":""},{"dropping-particle":"","family":"Schmidt","given":"Gerhard","non-dropping-particle":"","parse-names":false,"suffix":""},{"dropping-particle":"","family":"Kosmol","given":"Jan","non-dropping-particle":"","parse-names":false,"suffix":""}],"container-title":"Mineral Economics","id":"ITEM-1","issued":{"date-parts":[["2018"]]},"title":"The environmental criticality of primary raw materials – A new methodology to assess global environmental hazard potentials of minerals and metals from mining","type":"article-journal"},"uris":["http://www.mendeley.com/documents/?uuid=08b0885a-0117-4132-8f6d-feb6a27850ba"]},{"id":"ITEM-2","itemData":{"author":[{"dropping-particle":"","family":"Manhart","given":"A.","non-dropping-particle":"","parse-names":false,"suffix":""},{"dropping-particle":"","family":"Dehoust","given":"G.","non-dropping-particle":"","parse-names":false,"suffix":""},{"dropping-particle":"","family":"Möck","given":"A.","non-dropping-particle":"","parse-names":false,"suffix":""},{"dropping-particle":"","family":"Blepp","given":"M.","non-dropping-particle":"","parse-names":false,"suffix":""},{"dropping-particle":"","family":"Schmidt","given":"G.","non-dropping-particle":"","parse-names":false,"suffix":""},{"dropping-particle":"","family":"Vogt","given":"R.","non-dropping-particle":"","parse-names":false,"suffix":""},{"dropping-particle":"","family":"Kämper","given":"C.","non-dropping-particle":"","parse-names":false,"suffix":""},{"dropping-particle":"","family":"Auberger","given":"A.","non-dropping-particle":"","parse-names":false,"suffix":""},{"dropping-particle":"","family":"Giegrich","given":"J.","non-dropping-particle":"","parse-names":false,"suffix":""},{"dropping-particle":"","family":"Priester","given":"M.","non-dropping-particle":"","parse-names":false,"suffix":""},{"dropping-particle":"","family":"Rechlin","given":"A.","non-dropping-particle":"","parse-names":false,"suffix":""},{"dropping-particle":"","family":"Dolega","given":"P.","non-dropping-particle":"","parse-names":false,"suffix":""}],"id":"ITEM-2","issue":"ÖkoRess I","issued":{"date-parts":[["2017"]]},"title":"Erörterung ökologischer Grenzen der Primärrohstoffgewinnung und Entwicklung einer Methode zur Bewertung der ökologischen Rohstoffverfügbarkeit zur Weiterentwicklung des Kritikalitätskonzeptes (ÖkoRess I) - Methode für einen rohstoffbezogenen Ansatz","type":"report"},"uris":["http://www.mendeley.com/documents/?uuid=6a6aafb2-6b03-4eab-a4e2-70081028a1cd"]}],"mendeley":{"formattedCitation":"(Manhart et al., 2018, 2017)","plainTextFormattedCitation":"(Manhart et al., 2018, 2017)","previouslyFormattedCitation":"(Manhart et al., 2018, 2017)"},"properties":{"noteIndex":0},"schema":"https://github.com/citation-style-language/schema/raw/master/csl-citation.json"}</w:instrText>
            </w:r>
            <w:r w:rsidRPr="00F136C3">
              <w:rPr>
                <w:rFonts w:ascii="Calibri" w:hAnsi="Calibri"/>
                <w:color w:val="000000"/>
                <w:sz w:val="16"/>
                <w:szCs w:val="16"/>
              </w:rPr>
              <w:fldChar w:fldCharType="separate"/>
            </w:r>
            <w:r w:rsidRPr="002B45EF">
              <w:rPr>
                <w:rFonts w:ascii="Calibri" w:hAnsi="Calibri"/>
                <w:noProof/>
                <w:color w:val="000000"/>
                <w:sz w:val="16"/>
                <w:szCs w:val="16"/>
              </w:rPr>
              <w:t>(Manhart et al., 2018, 2017)</w:t>
            </w:r>
            <w:r w:rsidRPr="00F136C3">
              <w:rPr>
                <w:rFonts w:ascii="Calibri" w:hAnsi="Calibri"/>
                <w:color w:val="000000"/>
                <w:sz w:val="16"/>
                <w:szCs w:val="16"/>
              </w:rPr>
              <w:fldChar w:fldCharType="end"/>
            </w:r>
          </w:p>
        </w:tc>
        <w:tc>
          <w:tcPr>
            <w:tcW w:w="570" w:type="dxa"/>
          </w:tcPr>
          <w:p w14:paraId="22E52E9C" w14:textId="34220E6C" w:rsidR="00C80243" w:rsidRPr="00A43E79" w:rsidRDefault="00C80243" w:rsidP="00863B14">
            <w:pPr>
              <w:spacing w:line="480" w:lineRule="auto"/>
              <w:rPr>
                <w:rFonts w:ascii="Calibri" w:hAnsi="Calibri"/>
                <w:color w:val="000000"/>
                <w:sz w:val="16"/>
                <w:szCs w:val="16"/>
              </w:rPr>
            </w:pPr>
            <w:r w:rsidRPr="00AE56AD">
              <w:rPr>
                <w:rFonts w:ascii="Calibri" w:hAnsi="Calibri"/>
                <w:color w:val="000000"/>
                <w:sz w:val="16"/>
                <w:szCs w:val="16"/>
              </w:rPr>
              <w:t>2017</w:t>
            </w:r>
          </w:p>
        </w:tc>
        <w:tc>
          <w:tcPr>
            <w:tcW w:w="1318" w:type="dxa"/>
          </w:tcPr>
          <w:p w14:paraId="71E42C64" w14:textId="5641519F"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 xml:space="preserve">Any system using materials </w:t>
            </w:r>
          </w:p>
        </w:tc>
        <w:tc>
          <w:tcPr>
            <w:tcW w:w="1631" w:type="dxa"/>
          </w:tcPr>
          <w:p w14:paraId="5987E965" w14:textId="1C05D9F0"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Global</w:t>
            </w:r>
          </w:p>
        </w:tc>
        <w:tc>
          <w:tcPr>
            <w:tcW w:w="1021" w:type="dxa"/>
          </w:tcPr>
          <w:p w14:paraId="4E11A547" w14:textId="278685F6"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N/A</w:t>
            </w:r>
          </w:p>
        </w:tc>
        <w:tc>
          <w:tcPr>
            <w:tcW w:w="4548" w:type="dxa"/>
          </w:tcPr>
          <w:p w14:paraId="15FE699D" w14:textId="6ECDE390"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Environmental impacts from mining and mineral processing make raw material supply unsustainable and in this sense decrease raw material availability.</w:t>
            </w:r>
          </w:p>
        </w:tc>
        <w:tc>
          <w:tcPr>
            <w:tcW w:w="3972" w:type="dxa"/>
          </w:tcPr>
          <w:p w14:paraId="4AB74D65" w14:textId="793E1394"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Inform policy-making and industry in the potential environmental impacts of raw material from mining</w:t>
            </w:r>
          </w:p>
        </w:tc>
      </w:tr>
      <w:tr w:rsidR="00C80243" w:rsidRPr="002E3AC2" w14:paraId="1187105B" w14:textId="77777777" w:rsidTr="00C80243">
        <w:trPr>
          <w:trHeight w:val="91"/>
        </w:trPr>
        <w:tc>
          <w:tcPr>
            <w:tcW w:w="1967" w:type="dxa"/>
          </w:tcPr>
          <w:p w14:paraId="0CB7713D" w14:textId="2E0AD486"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 xml:space="preserve">SCARCE </w:t>
            </w:r>
            <w:r w:rsidRPr="00F136C3">
              <w:rPr>
                <w:rFonts w:ascii="Calibri" w:hAnsi="Calibri"/>
                <w:color w:val="000000"/>
                <w:sz w:val="16"/>
                <w:szCs w:val="16"/>
              </w:rPr>
              <w:fldChar w:fldCharType="begin" w:fldLock="1"/>
            </w:r>
            <w:r>
              <w:rPr>
                <w:rFonts w:ascii="Calibri" w:hAnsi="Calibri"/>
                <w:color w:val="000000"/>
                <w:sz w:val="16"/>
                <w:szCs w:val="16"/>
              </w:rPr>
              <w:instrText>ADDIN CSL_CITATION {"citationItems":[{"id":"ITEM-1","itemData":{"DOI":"10.1016/j.resourpol.2017.07.003","ISSN":"03014207","abstract":"The demand for many resources has increased significantly over the last decades due to their growing importance for industrial and technological development. Thus, various methods were developed to assess availability constraints of resources in relation to their vulnerability within countries and/or sectors (criticality). However, these methods display several short-comings. Thus, the aim of the introduced approach is, to enhance the assessment of critical resource use on country level with the SCARCE method, by considering the two dimensions criticality (with the sub dimensions availability and vulnerability) and societal acceptance (with the sub dimensions compliance with social standards and compliance with environmental standards). For five of the 12 introduced categories measuring availability constraints the country specific import mix is used to determine availability constraints of resources individually for the country under consideration. These results can further be compared with global constraints (which are calculated based on global production data) to determine if the country under consideration performs worse or better than the global average. To measure social aspects the categories small scale mining, geopolitical risk and human rights abuse are introduced. Environmental aspects are considered within the categories sensitivity of the local biodiversity, climate change and water scarcity. Additionally, next to metals also fossil fuels are included allowing a direct comparison of both abiotic resources. The SCARCE method is applied for the case study of Germany for which criticality results are presented and their plausibility is validated. It is shown that for Germany tungsten is the raw material showing high risks in all considered dimensions excluding the sub dimension vulnerability. Its high availability constraints are defined by the categories political stability, primary material use and price fluctuations. Further, due to the countries tungsten is imported from (e.g. Bolivia), its compliance with social and environmental standards is low. To enhance the applicability of the SCARCE method, indicator results are provided for 40 resources to assess their availability constraints as well as their compliance with social and environmental standards.","author":[{"dropping-particle":"","family":"Bach","given":"Vanessa","non-dropping-particle":"","parse-names":false,"suffix":""},{"dropping-particle":"","family":"Finogenova","given":"Natalia","non-dropping-particle":"","parse-names":false,"suffix":""},{"dropping-particle":"","family":"Berger","given":"Markus","non-dropping-particle":"","parse-names":false,"suffix":""},{"dropping-particle":"","family":"Winter","given":"Lisa","non-dropping-particle":"","parse-names":false,"suffix":""},{"dropping-particle":"","family":"Finkbeiner","given":"Matthias","non-dropping-particle":"","parse-names":false,"suffix":""}],"container-title":"Resources Policy","id":"ITEM-1","issue":"June","issued":{"date-parts":[["2017"]]},"page":"283-299","publisher":"Elsevier Ltd","title":"Enhancing the assessment of critical resource use at the country level with the SCARCE method – Case study of Germany","type":"article-journal","volume":"53"},"uris":["http://www.mendeley.com/documents/?uuid=7d6e79bf-1d70-4267-ac5a-9088167c65d1"]}],"mendeley":{"formattedCitation":"(Bach et al., 2017b)","plainTextFormattedCitation":"(Bach et al., 2017b)","previouslyFormattedCitation":"(Bach et al., 2017b)"},"properties":{"noteIndex":0},"schema":"https://github.com/citation-style-language/schema/raw/master/csl-citation.json"}</w:instrText>
            </w:r>
            <w:r w:rsidRPr="00F136C3">
              <w:rPr>
                <w:rFonts w:ascii="Calibri" w:hAnsi="Calibri"/>
                <w:color w:val="000000"/>
                <w:sz w:val="16"/>
                <w:szCs w:val="16"/>
              </w:rPr>
              <w:fldChar w:fldCharType="separate"/>
            </w:r>
            <w:r w:rsidRPr="002B45EF">
              <w:rPr>
                <w:rFonts w:ascii="Calibri" w:hAnsi="Calibri"/>
                <w:noProof/>
                <w:color w:val="000000"/>
                <w:sz w:val="16"/>
                <w:szCs w:val="16"/>
              </w:rPr>
              <w:t>(Bach et al., 2017b)</w:t>
            </w:r>
            <w:r w:rsidRPr="00F136C3">
              <w:rPr>
                <w:rFonts w:ascii="Calibri" w:hAnsi="Calibri"/>
                <w:color w:val="000000"/>
                <w:sz w:val="16"/>
                <w:szCs w:val="16"/>
              </w:rPr>
              <w:fldChar w:fldCharType="end"/>
            </w:r>
          </w:p>
        </w:tc>
        <w:tc>
          <w:tcPr>
            <w:tcW w:w="570" w:type="dxa"/>
          </w:tcPr>
          <w:p w14:paraId="3EB09298" w14:textId="1990036D" w:rsidR="00C80243" w:rsidRPr="00A43E79" w:rsidRDefault="00C80243" w:rsidP="00863B14">
            <w:pPr>
              <w:spacing w:line="480" w:lineRule="auto"/>
              <w:rPr>
                <w:rFonts w:ascii="Calibri" w:hAnsi="Calibri"/>
                <w:color w:val="000000"/>
                <w:sz w:val="16"/>
                <w:szCs w:val="16"/>
              </w:rPr>
            </w:pPr>
            <w:r w:rsidRPr="00AE56AD">
              <w:rPr>
                <w:rFonts w:ascii="Calibri" w:hAnsi="Calibri"/>
                <w:color w:val="000000"/>
                <w:sz w:val="16"/>
                <w:szCs w:val="16"/>
              </w:rPr>
              <w:t>2017</w:t>
            </w:r>
          </w:p>
        </w:tc>
        <w:tc>
          <w:tcPr>
            <w:tcW w:w="1318" w:type="dxa"/>
          </w:tcPr>
          <w:p w14:paraId="674B2BB7" w14:textId="4D39D516"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Economy</w:t>
            </w:r>
          </w:p>
        </w:tc>
        <w:tc>
          <w:tcPr>
            <w:tcW w:w="1631" w:type="dxa"/>
          </w:tcPr>
          <w:p w14:paraId="49D8FCFF" w14:textId="5A043B5D"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Germany</w:t>
            </w:r>
          </w:p>
        </w:tc>
        <w:tc>
          <w:tcPr>
            <w:tcW w:w="1021" w:type="dxa"/>
          </w:tcPr>
          <w:p w14:paraId="246EA399" w14:textId="6F6646C8"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Not explicit</w:t>
            </w:r>
          </w:p>
        </w:tc>
        <w:tc>
          <w:tcPr>
            <w:tcW w:w="4548" w:type="dxa"/>
          </w:tcPr>
          <w:p w14:paraId="4386D9B5" w14:textId="4F2A79BE" w:rsidR="00C80243" w:rsidRPr="00F136C3" w:rsidRDefault="00C80243" w:rsidP="00863B14">
            <w:pPr>
              <w:spacing w:line="480" w:lineRule="auto"/>
              <w:rPr>
                <w:rFonts w:asciiTheme="majorHAnsi" w:hAnsiTheme="majorHAnsi"/>
                <w:sz w:val="16"/>
                <w:szCs w:val="16"/>
              </w:rPr>
            </w:pPr>
            <w:r>
              <w:rPr>
                <w:rFonts w:ascii="Calibri" w:hAnsi="Calibri"/>
                <w:color w:val="000000"/>
                <w:sz w:val="16"/>
                <w:szCs w:val="16"/>
              </w:rPr>
              <w:t>Restricted availability of resources to a country due to physical as well as socio-economic factors and social acceptance</w:t>
            </w:r>
          </w:p>
        </w:tc>
        <w:tc>
          <w:tcPr>
            <w:tcW w:w="3972" w:type="dxa"/>
          </w:tcPr>
          <w:p w14:paraId="60755D3E" w14:textId="5D82132B"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Identify relative criticality for a country compared to global average and identify hotspots</w:t>
            </w:r>
          </w:p>
        </w:tc>
      </w:tr>
      <w:tr w:rsidR="00C80243" w:rsidRPr="002E3AC2" w14:paraId="31A7550D" w14:textId="77777777" w:rsidTr="00C80243">
        <w:trPr>
          <w:trHeight w:val="384"/>
        </w:trPr>
        <w:tc>
          <w:tcPr>
            <w:tcW w:w="1967" w:type="dxa"/>
          </w:tcPr>
          <w:p w14:paraId="058B3E11" w14:textId="6B958EFC"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 xml:space="preserve">EU2017 </w:t>
            </w:r>
            <w:r w:rsidRPr="00F136C3">
              <w:rPr>
                <w:rFonts w:ascii="Calibri" w:hAnsi="Calibri"/>
                <w:color w:val="000000"/>
                <w:sz w:val="16"/>
                <w:szCs w:val="16"/>
              </w:rPr>
              <w:fldChar w:fldCharType="begin" w:fldLock="1"/>
            </w:r>
            <w:r>
              <w:rPr>
                <w:rFonts w:ascii="Calibri" w:hAnsi="Calibri"/>
                <w:color w:val="000000"/>
                <w:sz w:val="16"/>
                <w:szCs w:val="16"/>
              </w:rPr>
              <w:instrText>ADDIN CSL_CITATION {"citationItems":[{"id":"ITEM-1","itemData":{"DOI":"10.1016/j.resourpol.2017.05.008","ISSN":"03014207","abstract":"Raw materials form the basis of Europe's economy to ensure jobs and competitiveness, and they are essential for maintaining and improving quality of life. Although all raw materials are important, some of them are of more concern than others, thus the list of critical raw materials (CRMs) for the EU, and the underlying European Commission (EC) criticality assessment methodology, are key instruments in the context of the EU raw materials policy. For the next update of the CRMs list in 2017, the EC is considering to apply the overall methodology already used in 2011 and 2014, but with some modifications. Keeping the same methodological approach is a deliberate choice in order to prioritise the comparability with the previous two exercises, effectively monitor trends, and maintain the highest possible policy relevance. As the EC's in-house science service, the Directorate General Joint Research Centre (DG JRC) identified aspects of the EU criticality methodology that could be adapted to better address the needs and expectations of the resulting CRMs list to identify and monitor critical raw materials in the EU. The goal of this paper is to discuss the specific elements of the EC criticality methodology that were adapted by DG JRC, highlight their novelty and/or potential outcomes, and discuss them in the context of criticality assessment methodologies available internationally.","author":[{"dropping-particle":"","family":"Blengini","given":"Gian Andrea","non-dropping-particle":"","parse-names":false,"suffix":""},{"dropping-particle":"","family":"Nuss","given":"Philip","non-dropping-particle":"","parse-names":false,"suffix":""},{"dropping-particle":"","family":"Dewulf","given":"Jo","non-dropping-particle":"","parse-names":false,"suffix":""},{"dropping-particle":"","family":"Nita","given":"Viorel","non-dropping-particle":"","parse-names":false,"suffix":""},{"dropping-particle":"","family":"Peirò","given":"Laura Talens","non-dropping-particle":"","parse-names":false,"suffix":""},{"dropping-particle":"","family":"Vidal-Legaz","given":"Beatriz","non-dropping-particle":"","parse-names":false,"suffix":""},{"dropping-particle":"","family":"Latunussa","given":"Cynthia","non-dropping-particle":"","parse-names":false,"suffix":""},{"dropping-particle":"","family":"Mancini","given":"Lucia","non-dropping-particle":"","parse-names":false,"suffix":""},{"dropping-particle":"","family":"Blagoeva","given":"Darina","non-dropping-particle":"","parse-names":false,"suffix":""},{"dropping-particle":"","family":"Pennington","given":"David","non-dropping-particle":"","parse-names":false,"suffix":""},{"dropping-particle":"","family":"Pellegrini","given":"Mattia","non-dropping-particle":"","parse-names":false,"suffix":""},{"dropping-particle":"","family":"Maercke","given":"Alexis","non-dropping-particle":"Van","parse-names":false,"suffix":""},{"dropping-particle":"","family":"Solar","given":"Slavko","non-dropping-particle":"","parse-names":false,"suffix":""},{"dropping-particle":"","family":"Grohol","given":"Milan","non-dropping-particle":"","parse-names":false,"suffix":""},{"dropping-particle":"","family":"Ciupagea","given":"Constantin","non-dropping-particle":"","parse-names":false,"suffix":""}],"container-title":"Resources Policy","id":"ITEM-1","issue":"January","issued":{"date-parts":[["2017"]]},"page":"12-19","publisher":"Elsevier Ltd","title":"EU methodology for critical raw materials assessment: Policy needs and proposed solutions for incremental improvements","type":"article-journal","volume":"53"},"uris":["http://www.mendeley.com/documents/?uuid=c632b87f-a685-47e7-b54b-af0341519639"]},{"id":"ITEM-2","itemData":{"DOI":"10.2873/876644","ISBN":"978-92-79-47937-3","abstract":"Criticality Assessments","author":[{"dropping-particle":"","family":"European Commission","given":"","non-dropping-particle":"","parse-names":false,"suffix":""}],"container-title":"European Commission","id":"ITEM-2","issue":"June","issued":{"date-parts":[["2017"]]},"number-of-pages":"42","title":"Study on the review of the list of critical raw materials - Criticality Assessments","type":"book"},"uris":["http://www.mendeley.com/documents/?uuid=930c44e1-24a7-4b6f-9518-77ae9daf839d"]}],"mendeley":{"formattedCitation":"(Gian Andrea Blengini et al., 2017; European Commission, 2017b)","plainTextFormattedCitation":"(Gian Andrea Blengini et al., 2017; European Commission, 2017b)","previouslyFormattedCitation":"(Gian Andrea Blengini et al., 2017; European Commission, 2017b)"},"properties":{"noteIndex":0},"schema":"https://github.com/citation-style-language/schema/raw/master/csl-citation.json"}</w:instrText>
            </w:r>
            <w:r w:rsidRPr="00F136C3">
              <w:rPr>
                <w:rFonts w:ascii="Calibri" w:hAnsi="Calibri"/>
                <w:color w:val="000000"/>
                <w:sz w:val="16"/>
                <w:szCs w:val="16"/>
              </w:rPr>
              <w:fldChar w:fldCharType="separate"/>
            </w:r>
            <w:r w:rsidRPr="002B45EF">
              <w:rPr>
                <w:rFonts w:ascii="Calibri" w:hAnsi="Calibri"/>
                <w:noProof/>
                <w:color w:val="000000"/>
                <w:sz w:val="16"/>
                <w:szCs w:val="16"/>
              </w:rPr>
              <w:t>(Gian Andrea Blengini et al., 2017; European Commission, 2017b)</w:t>
            </w:r>
            <w:r w:rsidRPr="00F136C3">
              <w:rPr>
                <w:rFonts w:ascii="Calibri" w:hAnsi="Calibri"/>
                <w:color w:val="000000"/>
                <w:sz w:val="16"/>
                <w:szCs w:val="16"/>
              </w:rPr>
              <w:fldChar w:fldCharType="end"/>
            </w:r>
          </w:p>
        </w:tc>
        <w:tc>
          <w:tcPr>
            <w:tcW w:w="570" w:type="dxa"/>
          </w:tcPr>
          <w:p w14:paraId="45139BF2" w14:textId="44E03D4C" w:rsidR="00C80243" w:rsidRPr="00A43E79" w:rsidRDefault="00C80243" w:rsidP="00863B14">
            <w:pPr>
              <w:spacing w:line="480" w:lineRule="auto"/>
              <w:rPr>
                <w:rFonts w:ascii="Calibri" w:hAnsi="Calibri"/>
                <w:color w:val="000000"/>
                <w:sz w:val="16"/>
                <w:szCs w:val="16"/>
              </w:rPr>
            </w:pPr>
            <w:r w:rsidRPr="00AE56AD">
              <w:rPr>
                <w:rFonts w:ascii="Calibri" w:hAnsi="Calibri"/>
                <w:color w:val="000000"/>
                <w:sz w:val="16"/>
                <w:szCs w:val="16"/>
              </w:rPr>
              <w:t>2017</w:t>
            </w:r>
          </w:p>
        </w:tc>
        <w:tc>
          <w:tcPr>
            <w:tcW w:w="1318" w:type="dxa"/>
          </w:tcPr>
          <w:p w14:paraId="1B1DD51C" w14:textId="16F4B6C0"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Economy (focus on manufacturing sector)</w:t>
            </w:r>
          </w:p>
        </w:tc>
        <w:tc>
          <w:tcPr>
            <w:tcW w:w="1631" w:type="dxa"/>
          </w:tcPr>
          <w:p w14:paraId="628563F1" w14:textId="241F96BA"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European Union</w:t>
            </w:r>
          </w:p>
        </w:tc>
        <w:tc>
          <w:tcPr>
            <w:tcW w:w="1021" w:type="dxa"/>
          </w:tcPr>
          <w:p w14:paraId="32580D69" w14:textId="6AE6244D"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10 years</w:t>
            </w:r>
          </w:p>
        </w:tc>
        <w:tc>
          <w:tcPr>
            <w:tcW w:w="4548" w:type="dxa"/>
          </w:tcPr>
          <w:p w14:paraId="77074E75" w14:textId="1A0B89CC"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Disruption of supply due to high supply concentration, poor country governance, trade distortions, and import dependency, mitigated by recycling and existing substitutes</w:t>
            </w:r>
          </w:p>
        </w:tc>
        <w:tc>
          <w:tcPr>
            <w:tcW w:w="3972" w:type="dxa"/>
          </w:tcPr>
          <w:p w14:paraId="05F8B794" w14:textId="2B8D567A"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Monitor criticality, prioritize needs and actions, incentivize the European production of CRM, facilitate the launching of new mining and recycling activities, negotiating trade agreements, drafting legislation, challenging trade distortion measures, promoting research and innovation, with the purpose to increase competitiveness of the EU economy</w:t>
            </w:r>
          </w:p>
        </w:tc>
      </w:tr>
      <w:tr w:rsidR="00C80243" w:rsidRPr="002E3AC2" w14:paraId="38FFFBB5" w14:textId="77777777" w:rsidTr="00C80243">
        <w:trPr>
          <w:trHeight w:val="233"/>
        </w:trPr>
        <w:tc>
          <w:tcPr>
            <w:tcW w:w="1967" w:type="dxa"/>
          </w:tcPr>
          <w:p w14:paraId="7B76949B" w14:textId="1A29FA0D" w:rsidR="00C80243" w:rsidRPr="00F136C3" w:rsidRDefault="00C80243" w:rsidP="00863B14">
            <w:pPr>
              <w:spacing w:line="480" w:lineRule="auto"/>
              <w:rPr>
                <w:rFonts w:asciiTheme="majorHAnsi" w:hAnsiTheme="majorHAnsi"/>
                <w:sz w:val="16"/>
                <w:szCs w:val="16"/>
                <w:lang w:val="fr-FR"/>
              </w:rPr>
            </w:pPr>
            <w:r w:rsidRPr="004520D4">
              <w:rPr>
                <w:rFonts w:ascii="Calibri" w:hAnsi="Calibri"/>
                <w:color w:val="000000"/>
                <w:sz w:val="16"/>
                <w:szCs w:val="16"/>
              </w:rPr>
              <w:t xml:space="preserve">EBP/Empa </w:t>
            </w:r>
            <w:r w:rsidRPr="00F136C3">
              <w:rPr>
                <w:rFonts w:ascii="Calibri" w:hAnsi="Calibri"/>
                <w:color w:val="000000"/>
                <w:sz w:val="16"/>
                <w:szCs w:val="16"/>
              </w:rPr>
              <w:fldChar w:fldCharType="begin" w:fldLock="1"/>
            </w:r>
            <w:r w:rsidRPr="004520D4">
              <w:rPr>
                <w:rFonts w:ascii="Calibri" w:hAnsi="Calibri"/>
                <w:color w:val="000000"/>
                <w:sz w:val="16"/>
                <w:szCs w:val="16"/>
              </w:rPr>
              <w:instrText>ADDIN CSL_CITATION {"citationItems":[{"id":"ITEM-1","itemData":{"author":[{"dropping-particle":"","family":"Spörri","given":"A.","non-dropping-particle":"","parse-names":false,"suffix":""},{"dropping-particle":"","family":"Kissling-Näf","given":"I.","non-dropping-particle":"","parse-names":false,"suffix":""},{"dropping-particle":"","family":"Seyler","given":"C.","non-dropping-particle":"","parse-names":false,"suffix":""},{"dropping-particle":"","family":"Bernath","given":"K.","non-dropping-particle":"","parse-names":false,"suffix":""},{"dropping-particle":"","family":"Du","given":"X.","non-dropping-particle":"","parse-names":false,"suffix":""},{"dropping-particle":"","family":"Wäger","given":"P","non-dropping-particle":"","parse-names":false,"suffix":""}],"id":"ITEM-1","issued":{"date-parts":[["2017"]]},"title":"RESourcenCHE</w:instrText>
            </w:r>
            <w:r w:rsidRPr="00A43E79">
              <w:rPr>
                <w:rFonts w:ascii="Calibri" w:hAnsi="Calibri"/>
                <w:color w:val="000000"/>
                <w:sz w:val="16"/>
                <w:szCs w:val="16"/>
                <w:lang w:val="fr-FR"/>
              </w:rPr>
              <w:instrText>CK f</w:instrText>
            </w:r>
            <w:r>
              <w:rPr>
                <w:rFonts w:ascii="Calibri" w:hAnsi="Calibri"/>
                <w:color w:val="000000"/>
                <w:sz w:val="16"/>
                <w:szCs w:val="16"/>
                <w:lang w:val="fr-FR"/>
              </w:rPr>
              <w:instrText>ür KMU - Final report","type":"report"},"uris":["http://www.mendeley.com/documents/?uuid=bbc736ce-fff3-44a2-84a5-ac64e244d31e"]},{"id":"ITEM-2","itemData":{"URL":"www.metal-risk-check.ch","accessed":{"date-parts":[["2019","6","13"]]},"author":[{"dropping-particle":"","family":"Swissmem","given":"","non-dropping-particle":"","parse-names":false,"suffix":""}],"id":"ITEM-2","issued":{"date-parts":[["2015"]]},"title":"Metal Risk Check","type":"webpage"},"uris":["http://www.mendeley.com/documents/?uuid=0ddccf90-cf17-437a-9b49-7d2c39eeab4f"]}],"mendeley":{"formattedCitation":"(Spörri et al., 2017; Swissmem, 2015)","plainTextFormattedCitation":"(Spörri et al., 2017; Swissmem, 2015)","previouslyFormattedCitation":"(Spörri et al., 2017; Swissmem, 2015)"},"properties":{"noteIndex":0},"schema":"https://github.com/citation-style-language/schema/raw/master/csl-citation.json"}</w:instrText>
            </w:r>
            <w:r w:rsidRPr="00F136C3">
              <w:rPr>
                <w:rFonts w:ascii="Calibri" w:hAnsi="Calibri"/>
                <w:color w:val="000000"/>
                <w:sz w:val="16"/>
                <w:szCs w:val="16"/>
              </w:rPr>
              <w:fldChar w:fldCharType="separate"/>
            </w:r>
            <w:r w:rsidRPr="002B45EF">
              <w:rPr>
                <w:rFonts w:ascii="Calibri" w:hAnsi="Calibri"/>
                <w:noProof/>
                <w:color w:val="000000"/>
                <w:sz w:val="16"/>
                <w:szCs w:val="16"/>
                <w:lang w:val="fr-FR"/>
              </w:rPr>
              <w:t>(Spörri et al., 2017; Swissmem, 2015)</w:t>
            </w:r>
            <w:r w:rsidRPr="00F136C3">
              <w:rPr>
                <w:rFonts w:ascii="Calibri" w:hAnsi="Calibri"/>
                <w:color w:val="000000"/>
                <w:sz w:val="16"/>
                <w:szCs w:val="16"/>
              </w:rPr>
              <w:fldChar w:fldCharType="end"/>
            </w:r>
          </w:p>
        </w:tc>
        <w:tc>
          <w:tcPr>
            <w:tcW w:w="570" w:type="dxa"/>
          </w:tcPr>
          <w:p w14:paraId="22762A87" w14:textId="699C5823" w:rsidR="00C80243" w:rsidRPr="00A43E79" w:rsidRDefault="00C80243" w:rsidP="00863B14">
            <w:pPr>
              <w:spacing w:line="480" w:lineRule="auto"/>
              <w:rPr>
                <w:rFonts w:ascii="Calibri" w:hAnsi="Calibri"/>
                <w:color w:val="000000"/>
                <w:sz w:val="16"/>
                <w:szCs w:val="16"/>
              </w:rPr>
            </w:pPr>
            <w:r w:rsidRPr="00AE56AD">
              <w:rPr>
                <w:rFonts w:ascii="Calibri" w:hAnsi="Calibri"/>
                <w:color w:val="000000"/>
                <w:sz w:val="16"/>
                <w:szCs w:val="16"/>
              </w:rPr>
              <w:t>2017</w:t>
            </w:r>
          </w:p>
        </w:tc>
        <w:tc>
          <w:tcPr>
            <w:tcW w:w="1318" w:type="dxa"/>
          </w:tcPr>
          <w:p w14:paraId="40FE656C" w14:textId="1C527599"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Company operations</w:t>
            </w:r>
          </w:p>
        </w:tc>
        <w:tc>
          <w:tcPr>
            <w:tcW w:w="1631" w:type="dxa"/>
          </w:tcPr>
          <w:p w14:paraId="7A85ABC2" w14:textId="1CFC0846" w:rsidR="00C80243" w:rsidRPr="00950DDA" w:rsidRDefault="00C80243" w:rsidP="00863B14">
            <w:pPr>
              <w:spacing w:line="480" w:lineRule="auto"/>
              <w:rPr>
                <w:rFonts w:asciiTheme="majorHAnsi" w:hAnsiTheme="majorHAnsi"/>
                <w:sz w:val="16"/>
                <w:szCs w:val="16"/>
              </w:rPr>
            </w:pPr>
            <w:r w:rsidRPr="00950DDA">
              <w:rPr>
                <w:rFonts w:ascii="Calibri" w:hAnsi="Calibri"/>
                <w:color w:val="000000"/>
                <w:sz w:val="16"/>
                <w:szCs w:val="16"/>
              </w:rPr>
              <w:t>Global</w:t>
            </w:r>
          </w:p>
        </w:tc>
        <w:tc>
          <w:tcPr>
            <w:tcW w:w="1021" w:type="dxa"/>
          </w:tcPr>
          <w:p w14:paraId="751B3546" w14:textId="6242FF82" w:rsidR="00C80243" w:rsidRPr="00950DDA" w:rsidRDefault="00950DDA" w:rsidP="00863B14">
            <w:pPr>
              <w:spacing w:line="480" w:lineRule="auto"/>
              <w:rPr>
                <w:rFonts w:asciiTheme="majorHAnsi" w:hAnsiTheme="majorHAnsi"/>
                <w:sz w:val="16"/>
                <w:szCs w:val="16"/>
              </w:rPr>
            </w:pPr>
            <w:r w:rsidRPr="00DB6C07">
              <w:rPr>
                <w:rFonts w:ascii="Calibri" w:hAnsi="Calibri"/>
                <w:color w:val="000000"/>
                <w:sz w:val="16"/>
                <w:szCs w:val="16"/>
              </w:rPr>
              <w:t>Not</w:t>
            </w:r>
            <w:r w:rsidR="00000B19">
              <w:rPr>
                <w:rFonts w:ascii="Calibri" w:hAnsi="Calibri"/>
                <w:color w:val="000000"/>
                <w:sz w:val="16"/>
                <w:szCs w:val="16"/>
              </w:rPr>
              <w:t xml:space="preserve"> explicit</w:t>
            </w:r>
          </w:p>
        </w:tc>
        <w:tc>
          <w:tcPr>
            <w:tcW w:w="4548" w:type="dxa"/>
          </w:tcPr>
          <w:p w14:paraId="2FD7ABC0" w14:textId="33352389"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 xml:space="preserve">Supply risks related to metals relevant for the company's products, company vulnerability to metal supply restrictions, environmental and social impacts related to the supply of metals relevant for the company's products ("reputational risks") </w:t>
            </w:r>
          </w:p>
        </w:tc>
        <w:tc>
          <w:tcPr>
            <w:tcW w:w="3972" w:type="dxa"/>
          </w:tcPr>
          <w:p w14:paraId="0587777F" w14:textId="70E30E16"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Identify risks related to metals relevant for the company's products and provide measures to counter these risks</w:t>
            </w:r>
          </w:p>
        </w:tc>
      </w:tr>
      <w:tr w:rsidR="00C80243" w:rsidRPr="002E3AC2" w14:paraId="0E091F09" w14:textId="77777777" w:rsidTr="00C80243">
        <w:trPr>
          <w:trHeight w:val="251"/>
        </w:trPr>
        <w:tc>
          <w:tcPr>
            <w:tcW w:w="1967" w:type="dxa"/>
          </w:tcPr>
          <w:p w14:paraId="4F682DEA" w14:textId="12DCC8A9"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 xml:space="preserve">BIRD </w:t>
            </w:r>
            <w:r w:rsidRPr="00F136C3">
              <w:rPr>
                <w:rFonts w:ascii="Calibri" w:hAnsi="Calibri"/>
                <w:color w:val="000000"/>
                <w:sz w:val="16"/>
                <w:szCs w:val="16"/>
              </w:rPr>
              <w:fldChar w:fldCharType="begin" w:fldLock="1"/>
            </w:r>
            <w:r>
              <w:rPr>
                <w:rFonts w:ascii="Calibri" w:hAnsi="Calibri"/>
                <w:color w:val="000000"/>
                <w:sz w:val="16"/>
                <w:szCs w:val="16"/>
              </w:rPr>
              <w:instrText>ADDIN CSL_CITATION {"citationItems":[{"id":"ITEM-1","itemData":{"DOI":"10.3390/su9010137","ISSN":"20711050","abstract":"Availability of abiotic resources has been a topic of concern in recent years, resulting in several approaches being published to determine their availability on country and product level. However, the availability of biotic materials has not been analyzed to this extent yet. Therefore, an approach to determine possible limitations to availability of terrestrial biotic materials over the entire supply chain is introduced. The approach considers 24 categories overall as well as associated category indicators for the five dimensions: physical, socio-economic, abiotic, social and environmental constraints. This ensures a comprehensive availability assessment of bio-based product systems. The approach is applied to a case study comparing biodiesel produced from rapeseed and soy beans. The study shows that the determination of indicator values is feasible for most categories and their interpretation leads to meaningful conclusions. Thus, the approach leads to a more comprehensive assessment of availability aspects and supports better informed decision making in industry and policy.","author":[{"dropping-particle":"","family":"Bach","given":"Vanessa","non-dropping-particle":"","parse-names":false,"suffix":""},{"dropping-particle":"","family":"Berger","given":"Markus","non-dropping-particle":"","parse-names":false,"suffix":""},{"dropping-particle":"","family":"Finogenova","given":"Natalia","non-dropping-particle":"","parse-names":false,"suffix":""},{"dropping-particle":"","family":"Finkbeiner","given":"Matthias","non-dropping-particle":"","parse-names":false,"suffix":""}],"container-title":"Sustainability (Switzerland)","id":"ITEM-1","issue":"1","issued":{"date-parts":[["2017"]]},"title":"Assessing the availability of terrestrial Biotic Materials in Product Systems (BIRD)","type":"article-journal","volume":"9"},"uris":["http://www.mendeley.com/documents/?uuid=98c28a9c-0237-4eff-8eb4-c7a0c21fee0f"]}],"mendeley":{"formattedCitation":"(Bach et al., 2017a)","plainTextFormattedCitation":"(Bach et al., 2017a)","previouslyFormattedCitation":"(Bach et al., 2017a)"},"properties":{"noteIndex":0},"schema":"https://github.com/citation-style-language/schema/raw/master/csl-citation.json"}</w:instrText>
            </w:r>
            <w:r w:rsidRPr="00F136C3">
              <w:rPr>
                <w:rFonts w:ascii="Calibri" w:hAnsi="Calibri"/>
                <w:color w:val="000000"/>
                <w:sz w:val="16"/>
                <w:szCs w:val="16"/>
              </w:rPr>
              <w:fldChar w:fldCharType="separate"/>
            </w:r>
            <w:r w:rsidRPr="002B45EF">
              <w:rPr>
                <w:rFonts w:ascii="Calibri" w:hAnsi="Calibri"/>
                <w:noProof/>
                <w:color w:val="000000"/>
                <w:sz w:val="16"/>
                <w:szCs w:val="16"/>
              </w:rPr>
              <w:t>(Bach et al., 2017a)</w:t>
            </w:r>
            <w:r w:rsidRPr="00F136C3">
              <w:rPr>
                <w:rFonts w:ascii="Calibri" w:hAnsi="Calibri"/>
                <w:color w:val="000000"/>
                <w:sz w:val="16"/>
                <w:szCs w:val="16"/>
              </w:rPr>
              <w:fldChar w:fldCharType="end"/>
            </w:r>
          </w:p>
        </w:tc>
        <w:tc>
          <w:tcPr>
            <w:tcW w:w="570" w:type="dxa"/>
          </w:tcPr>
          <w:p w14:paraId="7D001B4B" w14:textId="2DEE1427" w:rsidR="00C80243" w:rsidRPr="00A43E79" w:rsidRDefault="00C80243" w:rsidP="00863B14">
            <w:pPr>
              <w:spacing w:line="480" w:lineRule="auto"/>
              <w:rPr>
                <w:rFonts w:ascii="Calibri" w:hAnsi="Calibri"/>
                <w:color w:val="000000"/>
                <w:sz w:val="16"/>
                <w:szCs w:val="16"/>
              </w:rPr>
            </w:pPr>
            <w:r w:rsidRPr="00AE56AD">
              <w:rPr>
                <w:rFonts w:ascii="Calibri" w:hAnsi="Calibri"/>
                <w:color w:val="000000"/>
                <w:sz w:val="16"/>
                <w:szCs w:val="16"/>
              </w:rPr>
              <w:t>2017</w:t>
            </w:r>
          </w:p>
        </w:tc>
        <w:tc>
          <w:tcPr>
            <w:tcW w:w="1318" w:type="dxa"/>
          </w:tcPr>
          <w:p w14:paraId="6B840274" w14:textId="2A4A3C82"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Company operations</w:t>
            </w:r>
          </w:p>
        </w:tc>
        <w:tc>
          <w:tcPr>
            <w:tcW w:w="1631" w:type="dxa"/>
          </w:tcPr>
          <w:p w14:paraId="425F04F7" w14:textId="25911D2D"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Global</w:t>
            </w:r>
          </w:p>
        </w:tc>
        <w:tc>
          <w:tcPr>
            <w:tcW w:w="1021" w:type="dxa"/>
          </w:tcPr>
          <w:p w14:paraId="524E5610" w14:textId="4B19096F"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Not explicit</w:t>
            </w:r>
          </w:p>
        </w:tc>
        <w:tc>
          <w:tcPr>
            <w:tcW w:w="4548" w:type="dxa"/>
          </w:tcPr>
          <w:p w14:paraId="224897F4" w14:textId="1A8BC91C"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The availability of biotic materials to product systems could become restricted, which could affect the productivity or continuity of companies, which in turn affects society</w:t>
            </w:r>
          </w:p>
        </w:tc>
        <w:tc>
          <w:tcPr>
            <w:tcW w:w="3972" w:type="dxa"/>
          </w:tcPr>
          <w:p w14:paraId="7AA7AF9D" w14:textId="51A04978"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Provide information about the global criticality of raw materials in product systems over the supply chain</w:t>
            </w:r>
          </w:p>
        </w:tc>
      </w:tr>
      <w:tr w:rsidR="00C80243" w:rsidRPr="002E3AC2" w14:paraId="793BF05F" w14:textId="77777777" w:rsidTr="00C80243">
        <w:trPr>
          <w:trHeight w:val="188"/>
        </w:trPr>
        <w:tc>
          <w:tcPr>
            <w:tcW w:w="1967" w:type="dxa"/>
          </w:tcPr>
          <w:p w14:paraId="56803295" w14:textId="4E87EF75" w:rsidR="00C80243" w:rsidRPr="00AE56AD" w:rsidRDefault="00C80243" w:rsidP="00863B14">
            <w:pPr>
              <w:spacing w:line="480" w:lineRule="auto"/>
              <w:rPr>
                <w:sz w:val="16"/>
                <w:szCs w:val="16"/>
                <w:lang w:val="nl-NL"/>
              </w:rPr>
            </w:pPr>
            <w:r w:rsidRPr="00AE56AD">
              <w:rPr>
                <w:rFonts w:ascii="Calibri" w:hAnsi="Calibri"/>
                <w:color w:val="000000"/>
                <w:sz w:val="16"/>
                <w:szCs w:val="16"/>
                <w:lang w:val="nl-NL"/>
              </w:rPr>
              <w:lastRenderedPageBreak/>
              <w:t xml:space="preserve">VDI </w:t>
            </w:r>
            <w:r w:rsidRPr="00F136C3">
              <w:rPr>
                <w:rFonts w:ascii="Calibri" w:hAnsi="Calibri"/>
                <w:color w:val="000000"/>
                <w:sz w:val="16"/>
                <w:szCs w:val="16"/>
              </w:rPr>
              <w:fldChar w:fldCharType="begin" w:fldLock="1"/>
            </w:r>
            <w:r>
              <w:rPr>
                <w:rFonts w:ascii="Calibri" w:hAnsi="Calibri"/>
                <w:color w:val="000000"/>
                <w:sz w:val="16"/>
                <w:szCs w:val="16"/>
                <w:lang w:val="nl-NL"/>
              </w:rPr>
              <w:instrText>ADDIN CSL_CITATION {"citationItems":[{"id":"ITEM-1","itemData":{"URL":"https://www.vdi.de/richtlinien?tx_vdiguidelines_guidelinelist%5Bfilter%5D%5BsearchTerm%5D=4800-2&amp;cHash=ebc6bd6760e6653158a1713e0605477f","author":[{"dropping-particle":"","family":"VDI","given":"","non-dropping-particle":"","parse-names":false,"suffix":""}],"id":"ITEM-1","issued":{"date-parts":[["2018"]]},"title":"VDI Standard 4800 Part 2: Resource efficiency - Evaluation of raw material demand","type":"webpage"},"uris":["http://www.mendeley.com/documents/?uuid=ee9cec88-f20c-4346-935f-f0f6f4f8f1cd"]},{"id":"ITEM-2","itemData":{"author":[{"dropping-particle":"","family":"Kosmol","given":"J.","non-dropping-particle":"","parse-names":false,"suffix":""},{"dropping-particle":"","family":"Müller","given":"F.","non-dropping-particle":"","parse-names":false,"suffix":""},{"dropping-particle":"","family":"Keßler","given":"H.","non-dropping-particle":"","parse-names":false,"suffix":""}],"container-title":"Factor X - Challenges, Implementation Strategies and Examples for a Sustainable Use of Natural Resources","editor":[{"dropping-particle":"","family":"Lehmann","given":"Harry","non-dropping-particle":"","parse-names":false,"suffix":""}],"id":"ITEM-2","issued":{"date-parts":[["2017"]]},"page":"71-92","title":"The Critical Raw Materials Concept: Subjective, Multifactorial and Ever-Developing","type":"chapter"},"uris":["http://www.mendeley.com/documents/?uuid=dbafb26c-1870-44c5-924a-3ec5936bc2a0"]}],"mendeley":{"formattedCitation":"(Kosmol et al., 2017; VDI, 2018)","plainTextFormattedCitation":"(Kosmol et al., 2017; VDI, 2018)","previouslyFormattedCitation":"(Kosmol et al., 2017; VDI, 2018)"},"properties":{"noteIndex":0},"schema":"https://github.com/citation-style-language/schema/raw/master/csl-citation.json"}</w:instrText>
            </w:r>
            <w:r w:rsidRPr="00F136C3">
              <w:rPr>
                <w:rFonts w:ascii="Calibri" w:hAnsi="Calibri"/>
                <w:color w:val="000000"/>
                <w:sz w:val="16"/>
                <w:szCs w:val="16"/>
              </w:rPr>
              <w:fldChar w:fldCharType="separate"/>
            </w:r>
            <w:r w:rsidRPr="002B45EF">
              <w:rPr>
                <w:rFonts w:ascii="Calibri" w:hAnsi="Calibri"/>
                <w:noProof/>
                <w:color w:val="000000"/>
                <w:sz w:val="16"/>
                <w:szCs w:val="16"/>
                <w:lang w:val="nl-NL"/>
              </w:rPr>
              <w:t>(Kosmol et al., 2017; VDI, 2018)</w:t>
            </w:r>
            <w:r w:rsidRPr="00F136C3">
              <w:rPr>
                <w:rFonts w:ascii="Calibri" w:hAnsi="Calibri"/>
                <w:color w:val="000000"/>
                <w:sz w:val="16"/>
                <w:szCs w:val="16"/>
              </w:rPr>
              <w:fldChar w:fldCharType="end"/>
            </w:r>
          </w:p>
        </w:tc>
        <w:tc>
          <w:tcPr>
            <w:tcW w:w="570" w:type="dxa"/>
          </w:tcPr>
          <w:p w14:paraId="68D936B7" w14:textId="2187E30D" w:rsidR="00C80243" w:rsidRPr="00A43E79" w:rsidRDefault="00C80243" w:rsidP="00863B14">
            <w:pPr>
              <w:spacing w:line="480" w:lineRule="auto"/>
              <w:rPr>
                <w:rFonts w:ascii="Calibri" w:hAnsi="Calibri"/>
                <w:color w:val="000000"/>
                <w:sz w:val="16"/>
                <w:szCs w:val="16"/>
              </w:rPr>
            </w:pPr>
            <w:r w:rsidRPr="00AE56AD">
              <w:rPr>
                <w:rFonts w:ascii="Calibri" w:hAnsi="Calibri"/>
                <w:color w:val="000000"/>
                <w:sz w:val="16"/>
                <w:szCs w:val="16"/>
              </w:rPr>
              <w:t>2018</w:t>
            </w:r>
          </w:p>
        </w:tc>
        <w:tc>
          <w:tcPr>
            <w:tcW w:w="1318" w:type="dxa"/>
          </w:tcPr>
          <w:p w14:paraId="0E71E8AC" w14:textId="082404CF" w:rsidR="00C80243" w:rsidRPr="00F136C3" w:rsidRDefault="00C80243" w:rsidP="00863B14">
            <w:pPr>
              <w:spacing w:line="480" w:lineRule="auto"/>
              <w:rPr>
                <w:sz w:val="16"/>
                <w:szCs w:val="16"/>
              </w:rPr>
            </w:pPr>
            <w:r w:rsidRPr="00F136C3">
              <w:rPr>
                <w:rFonts w:ascii="Calibri" w:hAnsi="Calibri"/>
                <w:color w:val="000000"/>
                <w:sz w:val="16"/>
                <w:szCs w:val="16"/>
              </w:rPr>
              <w:t>N/A</w:t>
            </w:r>
          </w:p>
        </w:tc>
        <w:tc>
          <w:tcPr>
            <w:tcW w:w="1631" w:type="dxa"/>
          </w:tcPr>
          <w:p w14:paraId="42F7CCAD" w14:textId="7000F50B" w:rsidR="00C80243" w:rsidRPr="00F136C3" w:rsidRDefault="00C80243" w:rsidP="00863B14">
            <w:pPr>
              <w:spacing w:line="480" w:lineRule="auto"/>
              <w:rPr>
                <w:sz w:val="16"/>
                <w:szCs w:val="16"/>
              </w:rPr>
            </w:pPr>
            <w:r w:rsidRPr="00F136C3">
              <w:rPr>
                <w:rFonts w:ascii="Calibri" w:hAnsi="Calibri"/>
                <w:color w:val="000000"/>
                <w:sz w:val="16"/>
                <w:szCs w:val="16"/>
              </w:rPr>
              <w:t>N/A</w:t>
            </w:r>
          </w:p>
        </w:tc>
        <w:tc>
          <w:tcPr>
            <w:tcW w:w="1021" w:type="dxa"/>
          </w:tcPr>
          <w:p w14:paraId="3773D98C" w14:textId="6FC59EBB" w:rsidR="00C80243" w:rsidRPr="00F136C3" w:rsidRDefault="00C80243" w:rsidP="00863B14">
            <w:pPr>
              <w:spacing w:line="480" w:lineRule="auto"/>
              <w:rPr>
                <w:sz w:val="16"/>
                <w:szCs w:val="16"/>
              </w:rPr>
            </w:pPr>
            <w:r w:rsidRPr="00F136C3">
              <w:rPr>
                <w:rFonts w:ascii="Calibri" w:hAnsi="Calibri"/>
                <w:color w:val="000000"/>
                <w:sz w:val="16"/>
                <w:szCs w:val="16"/>
              </w:rPr>
              <w:t>&lt; 10 years</w:t>
            </w:r>
          </w:p>
        </w:tc>
        <w:tc>
          <w:tcPr>
            <w:tcW w:w="4548" w:type="dxa"/>
          </w:tcPr>
          <w:p w14:paraId="726D9B62" w14:textId="4455CB13" w:rsidR="00C80243" w:rsidRPr="00F136C3" w:rsidRDefault="00C80243" w:rsidP="00863B14">
            <w:pPr>
              <w:spacing w:line="480" w:lineRule="auto"/>
              <w:rPr>
                <w:sz w:val="16"/>
                <w:szCs w:val="16"/>
              </w:rPr>
            </w:pPr>
            <w:r>
              <w:rPr>
                <w:rFonts w:ascii="Calibri" w:hAnsi="Calibri"/>
                <w:color w:val="000000"/>
                <w:sz w:val="16"/>
                <w:szCs w:val="16"/>
              </w:rPr>
              <w:t>Difficult raw material situations that can impair the system of interest caused by geological, technical, geopolitical, or economic factor</w:t>
            </w:r>
            <w:r w:rsidR="00497462">
              <w:rPr>
                <w:rFonts w:ascii="Calibri" w:hAnsi="Calibri"/>
                <w:color w:val="000000"/>
                <w:sz w:val="16"/>
                <w:szCs w:val="16"/>
              </w:rPr>
              <w:t>s</w:t>
            </w:r>
            <w:r>
              <w:rPr>
                <w:rFonts w:ascii="Calibri" w:hAnsi="Calibri"/>
                <w:color w:val="000000"/>
                <w:sz w:val="16"/>
                <w:szCs w:val="16"/>
              </w:rPr>
              <w:t xml:space="preserve"> </w:t>
            </w:r>
          </w:p>
        </w:tc>
        <w:tc>
          <w:tcPr>
            <w:tcW w:w="3972" w:type="dxa"/>
          </w:tcPr>
          <w:p w14:paraId="71EF0266" w14:textId="2A5C6275" w:rsidR="00C80243" w:rsidRPr="00F136C3" w:rsidRDefault="00C80243" w:rsidP="00863B14">
            <w:pPr>
              <w:spacing w:line="480" w:lineRule="auto"/>
              <w:rPr>
                <w:rFonts w:ascii="Calibri" w:hAnsi="Calibri"/>
                <w:color w:val="000000"/>
                <w:sz w:val="16"/>
                <w:szCs w:val="16"/>
              </w:rPr>
            </w:pPr>
            <w:r>
              <w:rPr>
                <w:rFonts w:ascii="Calibri" w:hAnsi="Calibri"/>
                <w:color w:val="000000"/>
                <w:sz w:val="16"/>
                <w:szCs w:val="16"/>
              </w:rPr>
              <w:t>Provide guidance on resource efficiency to industry stakeholders, consultancies, researchers, governments, and public administration</w:t>
            </w:r>
          </w:p>
        </w:tc>
      </w:tr>
      <w:tr w:rsidR="00C80243" w:rsidRPr="002E3AC2" w14:paraId="3F60349E" w14:textId="77777777" w:rsidTr="00C80243">
        <w:trPr>
          <w:trHeight w:val="188"/>
        </w:trPr>
        <w:tc>
          <w:tcPr>
            <w:tcW w:w="1967" w:type="dxa"/>
          </w:tcPr>
          <w:p w14:paraId="0EF85FA2" w14:textId="5838BE64" w:rsidR="00C80243" w:rsidRPr="00F136C3" w:rsidRDefault="00784421" w:rsidP="00863B14">
            <w:pPr>
              <w:spacing w:line="480" w:lineRule="auto"/>
              <w:rPr>
                <w:rFonts w:asciiTheme="majorHAnsi" w:hAnsiTheme="majorHAnsi"/>
                <w:sz w:val="16"/>
                <w:szCs w:val="16"/>
              </w:rPr>
            </w:pPr>
            <w:r>
              <w:rPr>
                <w:rFonts w:ascii="Calibri" w:hAnsi="Calibri"/>
                <w:color w:val="000000"/>
                <w:sz w:val="16"/>
                <w:szCs w:val="16"/>
              </w:rPr>
              <w:t>Augsburg</w:t>
            </w:r>
            <w:r w:rsidR="00C80243" w:rsidRPr="00F136C3">
              <w:rPr>
                <w:rFonts w:ascii="Calibri" w:hAnsi="Calibri"/>
                <w:color w:val="000000"/>
                <w:sz w:val="16"/>
                <w:szCs w:val="16"/>
              </w:rPr>
              <w:t xml:space="preserve">2018 </w:t>
            </w:r>
            <w:r w:rsidR="00C80243" w:rsidRPr="00F136C3">
              <w:rPr>
                <w:rFonts w:ascii="Calibri" w:hAnsi="Calibri"/>
                <w:color w:val="000000"/>
                <w:sz w:val="16"/>
                <w:szCs w:val="16"/>
              </w:rPr>
              <w:fldChar w:fldCharType="begin" w:fldLock="1"/>
            </w:r>
            <w:r w:rsidR="00C80243">
              <w:rPr>
                <w:rFonts w:ascii="Calibri" w:hAnsi="Calibri"/>
                <w:color w:val="000000"/>
                <w:sz w:val="16"/>
                <w:szCs w:val="16"/>
              </w:rPr>
              <w:instrText>ADDIN CSL_CITATION {"citationItems":[{"id":"ITEM-1","itemData":{"DOI":"10.1016/j.jclepro.2017.10.122","ISSN":"09596526","abstract":"One possibility for electrification of road transport consists of battery electric vehicles in combination with carbon-free sources of electricity. It is highly likely that lithium-ion batteries will provide the basis for this development. In the present paper, we use a recently developed, semi-quantitative assessment scheme to evaluate the relative supply risks associated with the elements used in the functional materials of six different lithium-ion battery types. Eleven different indicators in four supply risk categories are applied to each element; the weighting of the indicators is determined by external experts within the framework of an Analytic Hierarchy Process. The range of supply risk values on the elemental level is distinctly narrower than in our previous work on photovoltaic materials. The highest values are obtained for lithium and cobalt; the lowest for aluminium and titanium. Copper, iron, nickel, carbon (graphite), manganese and phosphorous form the middle group. We then carry out the assessment of the six battery types, to give comparative supply risks at the technology level. For this purpose the elemental supply risk values are aggregated using four different methods. Due to the small spread at the elemental level the supply risk values in all four aggregation methods also lie in a narrow range. Removing lithium, aluminium and phosphorous from the analysis, which are present in all types of battery, improves the situation. For aggregation with the simple arithmetic mean, an uncertainty analysis shows that only lithium-iron phosphate has a measurably lower supply risk compared to the other battery types. For the “cost-share” aggregation using seven elements, lithium cobalt oxide has a substantially higher supply risk than most other types.","author":[{"dropping-particle":"","family":"Helbig","given":"Christoph","non-dropping-particle":"","parse-names":false,"suffix":""},{"dropping-particle":"","family":"Bradshaw","given":"Alex M.","non-dropping-particle":"","parse-names":false,"suffix":""},{"dropping-particle":"","family":"Wietschel","given":"Lars","non-dropping-particle":"","parse-names":false,"suffix":""},{"dropping-particle":"","family":"Thorenz","given":"Andrea","non-dropping-particle":"","parse-names":false,"suffix":""},{"dropping-particle":"","family":"Tuma","given":"Axel","non-dropping-particle":"","parse-names":false,"suffix":""}],"container-title":"Journal of Cleaner Production","id":"ITEM-1","issued":{"date-parts":[["2018"]]},"page":"274-286","publisher":"Elsevier Ltd","title":"Supply risks associated with lithium-ion battery materials","type":"article-journal","volume":"172"},"uris":["http://www.mendeley.com/documents/?uuid=88f84408-ad58-4686-bf93-a34b5eb2571d"]}],"mendeley":{"formattedCitation":"(Helbig et al., 2018)","plainTextFormattedCitation":"(Helbig et al., 2018)","previouslyFormattedCitation":"(Helbig et al., 2018)"},"properties":{"noteIndex":0},"schema":"https://github.com/citation-style-language/schema/raw/master/csl-citation.json"}</w:instrText>
            </w:r>
            <w:r w:rsidR="00C80243" w:rsidRPr="00F136C3">
              <w:rPr>
                <w:rFonts w:ascii="Calibri" w:hAnsi="Calibri"/>
                <w:color w:val="000000"/>
                <w:sz w:val="16"/>
                <w:szCs w:val="16"/>
              </w:rPr>
              <w:fldChar w:fldCharType="separate"/>
            </w:r>
            <w:r w:rsidR="00C80243" w:rsidRPr="002B45EF">
              <w:rPr>
                <w:rFonts w:ascii="Calibri" w:hAnsi="Calibri"/>
                <w:noProof/>
                <w:color w:val="000000"/>
                <w:sz w:val="16"/>
                <w:szCs w:val="16"/>
              </w:rPr>
              <w:t>(Helbig et al., 2018)</w:t>
            </w:r>
            <w:r w:rsidR="00C80243" w:rsidRPr="00F136C3">
              <w:rPr>
                <w:rFonts w:ascii="Calibri" w:hAnsi="Calibri"/>
                <w:color w:val="000000"/>
                <w:sz w:val="16"/>
                <w:szCs w:val="16"/>
              </w:rPr>
              <w:fldChar w:fldCharType="end"/>
            </w:r>
          </w:p>
        </w:tc>
        <w:tc>
          <w:tcPr>
            <w:tcW w:w="570" w:type="dxa"/>
          </w:tcPr>
          <w:p w14:paraId="6D42C70D" w14:textId="751E3D1D" w:rsidR="00C80243" w:rsidRPr="00A43E79" w:rsidRDefault="00C80243" w:rsidP="00863B14">
            <w:pPr>
              <w:spacing w:line="480" w:lineRule="auto"/>
              <w:rPr>
                <w:rFonts w:ascii="Calibri" w:hAnsi="Calibri"/>
                <w:color w:val="000000"/>
                <w:sz w:val="16"/>
                <w:szCs w:val="16"/>
              </w:rPr>
            </w:pPr>
            <w:r w:rsidRPr="00AE56AD">
              <w:rPr>
                <w:rFonts w:ascii="Calibri" w:hAnsi="Calibri"/>
                <w:color w:val="000000"/>
                <w:sz w:val="16"/>
                <w:szCs w:val="16"/>
              </w:rPr>
              <w:t>2018</w:t>
            </w:r>
          </w:p>
        </w:tc>
        <w:tc>
          <w:tcPr>
            <w:tcW w:w="1318" w:type="dxa"/>
          </w:tcPr>
          <w:p w14:paraId="767BDDA8" w14:textId="7014E930"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Lithium-Ion batteries</w:t>
            </w:r>
          </w:p>
        </w:tc>
        <w:tc>
          <w:tcPr>
            <w:tcW w:w="1631" w:type="dxa"/>
          </w:tcPr>
          <w:p w14:paraId="08F36D52" w14:textId="3135A9BC"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Global</w:t>
            </w:r>
          </w:p>
        </w:tc>
        <w:tc>
          <w:tcPr>
            <w:tcW w:w="1021" w:type="dxa"/>
          </w:tcPr>
          <w:p w14:paraId="7DB59CDB" w14:textId="72BD57F4"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Now and in the future</w:t>
            </w:r>
          </w:p>
        </w:tc>
        <w:tc>
          <w:tcPr>
            <w:tcW w:w="4548" w:type="dxa"/>
          </w:tcPr>
          <w:p w14:paraId="3B4F74FF" w14:textId="64E4107E"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Disruptions of supply of materials that are crucial for advanced battery technologies</w:t>
            </w:r>
          </w:p>
        </w:tc>
        <w:tc>
          <w:tcPr>
            <w:tcW w:w="3972" w:type="dxa"/>
          </w:tcPr>
          <w:p w14:paraId="546B9C83" w14:textId="6BCCF015" w:rsidR="00C80243" w:rsidRPr="00F136C3" w:rsidRDefault="00C80243" w:rsidP="00863B14">
            <w:pPr>
              <w:spacing w:line="480" w:lineRule="auto"/>
              <w:rPr>
                <w:rFonts w:asciiTheme="majorHAnsi" w:hAnsiTheme="majorHAnsi"/>
                <w:sz w:val="16"/>
                <w:szCs w:val="16"/>
              </w:rPr>
            </w:pPr>
            <w:r w:rsidRPr="00F136C3">
              <w:rPr>
                <w:rFonts w:ascii="Calibri" w:hAnsi="Calibri"/>
                <w:color w:val="000000"/>
                <w:sz w:val="16"/>
                <w:szCs w:val="16"/>
              </w:rPr>
              <w:t>Identification of supply risks and guidance of technology selection</w:t>
            </w:r>
          </w:p>
        </w:tc>
      </w:tr>
      <w:tr w:rsidR="00C80243" w:rsidRPr="005161EC" w14:paraId="20D17910" w14:textId="77777777" w:rsidTr="00C80243">
        <w:trPr>
          <w:trHeight w:val="49"/>
        </w:trPr>
        <w:tc>
          <w:tcPr>
            <w:tcW w:w="1967" w:type="dxa"/>
          </w:tcPr>
          <w:p w14:paraId="68CF61DF" w14:textId="05EB7302" w:rsidR="00C80243" w:rsidRPr="006E193D" w:rsidRDefault="00C80243" w:rsidP="00863B14">
            <w:pPr>
              <w:spacing w:line="480" w:lineRule="auto"/>
              <w:rPr>
                <w:rFonts w:asciiTheme="majorHAnsi" w:hAnsiTheme="majorHAnsi"/>
                <w:sz w:val="16"/>
                <w:szCs w:val="16"/>
              </w:rPr>
            </w:pPr>
            <w:r w:rsidRPr="00F136C3">
              <w:rPr>
                <w:rFonts w:ascii="Calibri" w:hAnsi="Calibri"/>
                <w:color w:val="000000"/>
                <w:sz w:val="16"/>
                <w:szCs w:val="16"/>
              </w:rPr>
              <w:t xml:space="preserve">Augsburg </w:t>
            </w:r>
            <w:r w:rsidRPr="00F136C3">
              <w:rPr>
                <w:rFonts w:ascii="Calibri" w:hAnsi="Calibri"/>
                <w:color w:val="000000"/>
                <w:sz w:val="16"/>
                <w:szCs w:val="16"/>
              </w:rPr>
              <w:fldChar w:fldCharType="begin" w:fldLock="1"/>
            </w:r>
            <w:r>
              <w:rPr>
                <w:rFonts w:ascii="Calibri" w:hAnsi="Calibri"/>
                <w:color w:val="000000"/>
                <w:sz w:val="16"/>
                <w:szCs w:val="16"/>
              </w:rPr>
              <w:instrText>ADDIN CSL_CITATION {"citationItems":[{"id":"ITEM-1","itemData":{"DOI":"10.1016/j.jclepro.2017.12.162","ISSN":"09596526","abstract":"Since manufacturers are the main drivers in the selection of the materials used in their products, they have a special responsibility for investigating the accompanying sustainability aspects. The recently increased attention they pay to these issues is motivated not only by a sense of social responsibility, but also by pressure from customers and competitors. In particular, the three dimensions of sustainability – based on the triple bottom line of economic, environmental and social criteria – are of growing importance for sustainable supply chain management. Raw materials and their supply chains are often at the focus of attention, since manufacturers may need to diversify them for their products. Appropriate assessment models then become essential. Although raw material assessments and raw material-focused decision support schemes have recently been applied more often in the corporate context, several aspects such as indicator selection, weighting or social assessment are rarely considered. As a result, a comprehensive, sustainability-oriented raw material assessment and decision support scheme in the corporate context is not available in the scientific literature. In the design of such a scheme, four questions arise: First, how should a corporate-oriented raw material assessment model be structured? Second, how can all three sustainability dimensions be taken into account? Third, how can the application of raw material assessments in a corporate-oriented decision-making process increase the sustainability level of a company? And fourth, does a methodically structured raw material assessment model have advantages over existing models? To answer these questions, we have developed a model which takes into account state-of-the-art sustainability assessments as well as recent developments in the field of criticality analysis, life cycle impact assessment (LCIA) and social life cycle assessment (SLCA). With partners from both academia and industry we identify relevant quantitative indicators for structuring the assessment model and for calculating corresponding indicator weightings, using the analytic hierarchy process (AHP). To demonstrate the applicability of the assessment model for decision support and its benefits for companies in identifying potential hotspot</w:instrText>
            </w:r>
            <w:r w:rsidRPr="006E193D">
              <w:rPr>
                <w:rFonts w:ascii="Calibri" w:hAnsi="Calibri"/>
                <w:color w:val="000000"/>
                <w:sz w:val="16"/>
                <w:szCs w:val="16"/>
              </w:rPr>
              <w:instrText>s in raw material supply chains, we present a case study that includes decision support for selecting capacitor technologies. A sensitivity analysis demonstrates the robustness of the assessment…","author":[{"dropping-particle":"","family":"Kolotzek","given":"Christoph","non-dropping-particle":"","parse-names":false,"suffix":""},{"dropping-particle":"","family":"Helbig","given":"Christoph","non-dropping-particle":"","parse-names":false,"suffix":""},{"dropping-particle":"","family":"Thorenz","given":"Andrea","non-dropping-particle":"","parse-names":false,"suffix":""},{"dropping-particle":"","family":"Reller","given":"Armin","non-dropping-particle":"","parse-names":false,"suffix":""},{"dropping-particle":"","family":"Tuma","given":"Axel","non-dropping-particle":"","parse-names":false,"suffix":""}],"container-title":"Journal of Cleaner Production","id":"ITEM-1","issued":{"date-parts":[["2018"]]},"page":"566-580","publisher":"Elsevier Ltd","title":"A company-oriented model for the assessment of raw material supply risks, environmental impact and social implications","type":"article-journal","volume":"176"},"uris":["http://www.mendeley.com/documents/?uuid=48f69ea7-179f-4f88-8016-7892a0fd9265"]}],"mendeley":{"formattedCitation":"(Kolotzek et al., 2018)","plainTextFormattedCitation":"(Kolotzek et al., 2018)","previouslyFormattedCitation":"(Kolotzek et al., 2018)"},"properties":{"noteIndex":0},"schema":"https://github.com/citation-style-language/schema/raw/master/csl-citation.json"}</w:instrText>
            </w:r>
            <w:r w:rsidRPr="00F136C3">
              <w:rPr>
                <w:rFonts w:ascii="Calibri" w:hAnsi="Calibri"/>
                <w:color w:val="000000"/>
                <w:sz w:val="16"/>
                <w:szCs w:val="16"/>
              </w:rPr>
              <w:fldChar w:fldCharType="separate"/>
            </w:r>
            <w:r w:rsidRPr="006E193D">
              <w:rPr>
                <w:rFonts w:ascii="Calibri" w:hAnsi="Calibri"/>
                <w:noProof/>
                <w:color w:val="000000"/>
                <w:sz w:val="16"/>
                <w:szCs w:val="16"/>
              </w:rPr>
              <w:t>(Kolotzek et al., 2018)</w:t>
            </w:r>
            <w:r w:rsidRPr="00F136C3">
              <w:rPr>
                <w:rFonts w:ascii="Calibri" w:hAnsi="Calibri"/>
                <w:color w:val="000000"/>
                <w:sz w:val="16"/>
                <w:szCs w:val="16"/>
              </w:rPr>
              <w:fldChar w:fldCharType="end"/>
            </w:r>
          </w:p>
        </w:tc>
        <w:tc>
          <w:tcPr>
            <w:tcW w:w="570" w:type="dxa"/>
          </w:tcPr>
          <w:p w14:paraId="36EEFE54" w14:textId="241B881C" w:rsidR="00C80243" w:rsidRPr="006E193D" w:rsidRDefault="00C80243" w:rsidP="00863B14">
            <w:pPr>
              <w:spacing w:line="480" w:lineRule="auto"/>
              <w:rPr>
                <w:rFonts w:ascii="Calibri" w:hAnsi="Calibri"/>
                <w:color w:val="000000"/>
                <w:sz w:val="16"/>
                <w:szCs w:val="16"/>
              </w:rPr>
            </w:pPr>
            <w:r w:rsidRPr="006E193D">
              <w:rPr>
                <w:rFonts w:ascii="Calibri" w:hAnsi="Calibri"/>
                <w:color w:val="000000"/>
                <w:sz w:val="16"/>
                <w:szCs w:val="16"/>
              </w:rPr>
              <w:t>2018</w:t>
            </w:r>
          </w:p>
        </w:tc>
        <w:tc>
          <w:tcPr>
            <w:tcW w:w="1318" w:type="dxa"/>
          </w:tcPr>
          <w:p w14:paraId="1DFD1470" w14:textId="35DB3E3A" w:rsidR="00C80243" w:rsidRPr="006E193D" w:rsidRDefault="00C80243" w:rsidP="00863B14">
            <w:pPr>
              <w:spacing w:line="480" w:lineRule="auto"/>
              <w:rPr>
                <w:rFonts w:asciiTheme="majorHAnsi" w:hAnsiTheme="majorHAnsi"/>
                <w:sz w:val="16"/>
                <w:szCs w:val="16"/>
              </w:rPr>
            </w:pPr>
            <w:r w:rsidRPr="006E193D">
              <w:rPr>
                <w:rFonts w:ascii="Calibri" w:hAnsi="Calibri"/>
                <w:color w:val="000000"/>
                <w:sz w:val="16"/>
                <w:szCs w:val="16"/>
              </w:rPr>
              <w:t>Company operations</w:t>
            </w:r>
          </w:p>
        </w:tc>
        <w:tc>
          <w:tcPr>
            <w:tcW w:w="1631" w:type="dxa"/>
          </w:tcPr>
          <w:p w14:paraId="1105D273" w14:textId="068590C4" w:rsidR="00C80243" w:rsidRPr="006E193D" w:rsidRDefault="00C80243" w:rsidP="00863B14">
            <w:pPr>
              <w:spacing w:line="480" w:lineRule="auto"/>
              <w:rPr>
                <w:rFonts w:asciiTheme="majorHAnsi" w:hAnsiTheme="majorHAnsi"/>
                <w:sz w:val="16"/>
                <w:szCs w:val="16"/>
              </w:rPr>
            </w:pPr>
            <w:r w:rsidRPr="006E193D">
              <w:rPr>
                <w:rFonts w:ascii="Calibri" w:hAnsi="Calibri"/>
                <w:color w:val="000000"/>
                <w:sz w:val="16"/>
                <w:szCs w:val="16"/>
              </w:rPr>
              <w:t>Global</w:t>
            </w:r>
          </w:p>
        </w:tc>
        <w:tc>
          <w:tcPr>
            <w:tcW w:w="1021" w:type="dxa"/>
          </w:tcPr>
          <w:p w14:paraId="27673D60" w14:textId="4D0F75DC" w:rsidR="00C80243" w:rsidRPr="008B2713" w:rsidRDefault="00C80243" w:rsidP="00863B14">
            <w:pPr>
              <w:spacing w:line="480" w:lineRule="auto"/>
              <w:rPr>
                <w:rFonts w:asciiTheme="majorHAnsi" w:hAnsiTheme="majorHAnsi"/>
                <w:sz w:val="16"/>
                <w:szCs w:val="16"/>
              </w:rPr>
            </w:pPr>
            <w:r w:rsidRPr="008B2713">
              <w:rPr>
                <w:rFonts w:ascii="Calibri" w:hAnsi="Calibri"/>
                <w:color w:val="000000"/>
                <w:sz w:val="16"/>
                <w:szCs w:val="16"/>
              </w:rPr>
              <w:t>Now and in the future</w:t>
            </w:r>
          </w:p>
        </w:tc>
        <w:tc>
          <w:tcPr>
            <w:tcW w:w="4548" w:type="dxa"/>
          </w:tcPr>
          <w:p w14:paraId="3EAA5D2C" w14:textId="65295DC6" w:rsidR="00C80243" w:rsidRPr="008B2713" w:rsidRDefault="00C80243" w:rsidP="00863B14">
            <w:pPr>
              <w:spacing w:line="480" w:lineRule="auto"/>
              <w:rPr>
                <w:rFonts w:asciiTheme="majorHAnsi" w:hAnsiTheme="majorHAnsi"/>
                <w:sz w:val="16"/>
                <w:szCs w:val="16"/>
              </w:rPr>
            </w:pPr>
            <w:r w:rsidRPr="008B2713">
              <w:rPr>
                <w:rFonts w:ascii="Calibri" w:hAnsi="Calibri"/>
                <w:color w:val="000000"/>
                <w:sz w:val="16"/>
                <w:szCs w:val="16"/>
              </w:rPr>
              <w:t>Decreased competitiveness due to unsustainable use of raw materials</w:t>
            </w:r>
          </w:p>
        </w:tc>
        <w:tc>
          <w:tcPr>
            <w:tcW w:w="3972" w:type="dxa"/>
          </w:tcPr>
          <w:p w14:paraId="31E45D06" w14:textId="30233D8E" w:rsidR="00C80243" w:rsidRPr="008B2713" w:rsidRDefault="00C80243" w:rsidP="00863B14">
            <w:pPr>
              <w:spacing w:line="480" w:lineRule="auto"/>
              <w:rPr>
                <w:rFonts w:asciiTheme="majorHAnsi" w:hAnsiTheme="majorHAnsi"/>
                <w:sz w:val="16"/>
                <w:szCs w:val="16"/>
              </w:rPr>
            </w:pPr>
            <w:r w:rsidRPr="008B2713">
              <w:rPr>
                <w:rFonts w:ascii="Calibri" w:hAnsi="Calibri"/>
                <w:color w:val="000000"/>
                <w:sz w:val="16"/>
                <w:szCs w:val="16"/>
              </w:rPr>
              <w:t>Inform sustainable decision-making by the corporate management</w:t>
            </w:r>
          </w:p>
        </w:tc>
      </w:tr>
    </w:tbl>
    <w:p w14:paraId="2D5A40CB" w14:textId="1409D4A8" w:rsidR="003E7952" w:rsidRPr="009603AD" w:rsidRDefault="00D565B8" w:rsidP="00863B14">
      <w:pPr>
        <w:spacing w:line="480" w:lineRule="auto"/>
        <w:rPr>
          <w:sz w:val="20"/>
          <w:szCs w:val="20"/>
        </w:rPr>
        <w:sectPr w:rsidR="003E7952" w:rsidRPr="009603AD" w:rsidSect="00863B14">
          <w:type w:val="continuous"/>
          <w:pgSz w:w="15840" w:h="12240" w:orient="landscape"/>
          <w:pgMar w:top="567" w:right="567" w:bottom="567" w:left="567" w:header="709" w:footer="709" w:gutter="0"/>
          <w:lnNumType w:countBy="1" w:restart="continuous"/>
          <w:cols w:space="708"/>
          <w:docGrid w:linePitch="360"/>
        </w:sectPr>
      </w:pPr>
      <w:bookmarkStart w:id="31" w:name="_Hlk12536120"/>
      <w:bookmarkEnd w:id="30"/>
      <w:r w:rsidRPr="009603AD">
        <w:rPr>
          <w:sz w:val="20"/>
          <w:szCs w:val="20"/>
        </w:rPr>
        <w:t xml:space="preserve">        </w:t>
      </w:r>
      <w:proofErr w:type="spellStart"/>
      <w:r w:rsidR="00F91A31" w:rsidRPr="009603AD">
        <w:rPr>
          <w:sz w:val="20"/>
          <w:szCs w:val="20"/>
          <w:vertAlign w:val="superscript"/>
        </w:rPr>
        <w:t>a</w:t>
      </w:r>
      <w:proofErr w:type="spellEnd"/>
      <w:r w:rsidR="00F91A31" w:rsidRPr="009603AD">
        <w:rPr>
          <w:sz w:val="20"/>
          <w:szCs w:val="20"/>
        </w:rPr>
        <w:t xml:space="preserve"> The products of Granta Design are only commercially available </w:t>
      </w:r>
    </w:p>
    <w:p w14:paraId="1C672686" w14:textId="77777777" w:rsidR="00F136C3" w:rsidRPr="006E193D" w:rsidRDefault="00F136C3" w:rsidP="00863B14">
      <w:pPr>
        <w:pStyle w:val="Heading3"/>
        <w:numPr>
          <w:ilvl w:val="1"/>
          <w:numId w:val="2"/>
        </w:numPr>
        <w:spacing w:line="480" w:lineRule="auto"/>
      </w:pPr>
      <w:bookmarkStart w:id="32" w:name="_Toc415758573"/>
      <w:bookmarkStart w:id="33" w:name="_Toc10458657"/>
      <w:bookmarkStart w:id="34" w:name="_Toc19016229"/>
      <w:bookmarkStart w:id="35" w:name="_Toc10458658"/>
      <w:bookmarkEnd w:id="31"/>
      <w:r w:rsidRPr="006E193D">
        <w:lastRenderedPageBreak/>
        <w:t>Goal and scope</w:t>
      </w:r>
      <w:bookmarkEnd w:id="32"/>
      <w:bookmarkEnd w:id="33"/>
      <w:bookmarkEnd w:id="34"/>
    </w:p>
    <w:p w14:paraId="3C3D9974" w14:textId="77777777" w:rsidR="00F136C3" w:rsidRPr="006E193D" w:rsidRDefault="00F136C3" w:rsidP="00863B14">
      <w:pPr>
        <w:spacing w:line="480" w:lineRule="auto"/>
        <w:rPr>
          <w:lang w:eastAsia="en-US"/>
        </w:rPr>
      </w:pPr>
    </w:p>
    <w:p w14:paraId="6F72A66A" w14:textId="2B0FE420" w:rsidR="00F136C3" w:rsidRPr="00C76C95" w:rsidRDefault="00F136C3" w:rsidP="004520D4">
      <w:pPr>
        <w:spacing w:line="480" w:lineRule="auto"/>
        <w:jc w:val="both"/>
      </w:pPr>
      <w:r w:rsidRPr="00C76C95">
        <w:rPr>
          <w:lang w:eastAsia="en-US"/>
        </w:rPr>
        <w:t xml:space="preserve">In this section, we discuss several key elements of the goal and scope of criticality methods: the system at risk, the anticipated risk, the objective of the assessment, and the materials that are evaluated. An overview of the </w:t>
      </w:r>
      <w:r w:rsidR="00FF01D3" w:rsidRPr="00C76C95">
        <w:rPr>
          <w:lang w:eastAsia="en-US"/>
        </w:rPr>
        <w:t xml:space="preserve">goals and scopes of </w:t>
      </w:r>
      <w:r w:rsidRPr="00C76C95">
        <w:rPr>
          <w:lang w:eastAsia="en-US"/>
        </w:rPr>
        <w:t xml:space="preserve">methods that are reviewed is </w:t>
      </w:r>
      <w:r w:rsidR="00497462" w:rsidRPr="00C76C95">
        <w:rPr>
          <w:lang w:eastAsia="en-US"/>
        </w:rPr>
        <w:t xml:space="preserve">provided </w:t>
      </w:r>
      <w:r w:rsidRPr="00C76C95">
        <w:rPr>
          <w:lang w:eastAsia="en-US"/>
        </w:rPr>
        <w:t xml:space="preserve">in </w:t>
      </w:r>
      <w:r>
        <w:rPr>
          <w:lang w:eastAsia="en-US"/>
        </w:rPr>
        <w:fldChar w:fldCharType="begin"/>
      </w:r>
      <w:r w:rsidRPr="00C76C95">
        <w:rPr>
          <w:lang w:eastAsia="en-US"/>
        </w:rPr>
        <w:instrText xml:space="preserve"> REF _Ref8405448 \h </w:instrText>
      </w:r>
      <w:r w:rsidR="00863B14">
        <w:rPr>
          <w:lang w:eastAsia="en-US"/>
        </w:rPr>
        <w:instrText xml:space="preserve"> \* MERGEFORMAT </w:instrText>
      </w:r>
      <w:r>
        <w:rPr>
          <w:lang w:eastAsia="en-US"/>
        </w:rPr>
      </w:r>
      <w:r>
        <w:rPr>
          <w:lang w:eastAsia="en-US"/>
        </w:rPr>
        <w:fldChar w:fldCharType="separate"/>
      </w:r>
      <w:r w:rsidR="00377952" w:rsidRPr="00C76C95">
        <w:t xml:space="preserve">Table </w:t>
      </w:r>
      <w:r w:rsidR="00377952" w:rsidRPr="00C76C95">
        <w:rPr>
          <w:noProof/>
        </w:rPr>
        <w:t>1</w:t>
      </w:r>
      <w:r>
        <w:rPr>
          <w:lang w:eastAsia="en-US"/>
        </w:rPr>
        <w:fldChar w:fldCharType="end"/>
      </w:r>
      <w:r w:rsidRPr="00C76C95">
        <w:rPr>
          <w:lang w:eastAsia="en-US"/>
        </w:rPr>
        <w:t>.</w:t>
      </w:r>
    </w:p>
    <w:p w14:paraId="7ACFC68D" w14:textId="12CC0A0C" w:rsidR="00354FDE" w:rsidRPr="00000B19" w:rsidRDefault="00AB13CD" w:rsidP="004520D4">
      <w:pPr>
        <w:pStyle w:val="Heading4"/>
        <w:numPr>
          <w:ilvl w:val="2"/>
          <w:numId w:val="58"/>
        </w:numPr>
      </w:pPr>
      <w:r w:rsidRPr="00000B19">
        <w:t>What is at risk?</w:t>
      </w:r>
      <w:bookmarkEnd w:id="35"/>
    </w:p>
    <w:p w14:paraId="71FC2CBE" w14:textId="488AFDB1" w:rsidR="008F4116" w:rsidRPr="00DB7D1C" w:rsidRDefault="00870A3C" w:rsidP="00863B14">
      <w:pPr>
        <w:spacing w:line="480" w:lineRule="auto"/>
        <w:jc w:val="both"/>
      </w:pPr>
      <w:r w:rsidRPr="00933B24">
        <w:t>Throughout the 20</w:t>
      </w:r>
      <w:r w:rsidRPr="00933B24">
        <w:rPr>
          <w:vertAlign w:val="superscript"/>
        </w:rPr>
        <w:t>th</w:t>
      </w:r>
      <w:r w:rsidRPr="00933B24">
        <w:t xml:space="preserve"> century and mainly driven by governmental reports from </w:t>
      </w:r>
      <w:r w:rsidR="00BD10C0" w:rsidRPr="00933B24">
        <w:t xml:space="preserve">the </w:t>
      </w:r>
      <w:r w:rsidR="003E55A1" w:rsidRPr="00933B24">
        <w:t>United States and Great Britain</w:t>
      </w:r>
      <w:r w:rsidRPr="00933B24">
        <w:t xml:space="preserve">, the concept of </w:t>
      </w:r>
      <w:r w:rsidR="00DB7D1C">
        <w:t xml:space="preserve">critical – or “strategic”, a more frequently used term - </w:t>
      </w:r>
      <w:r w:rsidRPr="00933B24">
        <w:t>raw materials</w:t>
      </w:r>
      <w:r w:rsidR="00933B24">
        <w:t xml:space="preserve"> (CRM)</w:t>
      </w:r>
      <w:r w:rsidRPr="00933B24">
        <w:t xml:space="preserve"> </w:t>
      </w:r>
      <w:r w:rsidR="00257DC9" w:rsidRPr="00933B24">
        <w:t>mostly referred to</w:t>
      </w:r>
      <w:r w:rsidRPr="00933B24">
        <w:t xml:space="preserve"> </w:t>
      </w:r>
      <w:r w:rsidR="00257DC9" w:rsidRPr="00933B24">
        <w:t>material</w:t>
      </w:r>
      <w:r w:rsidR="00586F2B" w:rsidRPr="00933B24">
        <w:t>s</w:t>
      </w:r>
      <w:r w:rsidRPr="00933B24">
        <w:t xml:space="preserve"> </w:t>
      </w:r>
      <w:r w:rsidR="00257DC9" w:rsidRPr="00933B24">
        <w:t>use</w:t>
      </w:r>
      <w:r w:rsidR="00586F2B" w:rsidRPr="00933B24">
        <w:t>d</w:t>
      </w:r>
      <w:r w:rsidR="00257DC9" w:rsidRPr="00933B24">
        <w:t xml:space="preserve"> in</w:t>
      </w:r>
      <w:r w:rsidRPr="00933B24">
        <w:t xml:space="preserve"> the field of national security and defense </w:t>
      </w:r>
      <w:r w:rsidR="000C5BB3">
        <w:fldChar w:fldCharType="begin" w:fldLock="1"/>
      </w:r>
      <w:r w:rsidR="00D35F6A" w:rsidRPr="00933B24">
        <w:instrText>ADDIN CSL_CITATION {"citationItems":[{"id":"ITEM-1","itemData":{"author":[{"dropping-particle":"","family":"Tilton","given":"John E","non-dropping-particle":"","parse-names":false,"suffix":""}],"id":"ITEM-1","issued":{"date-parts":[["2003"]]},"number-of-pages":"10","publisher":"RFF Press","publisher-place":"Washington, DC","title":"On borrowed time? Assessing the threat of mineral depl</w:instrText>
      </w:r>
      <w:r w:rsidR="00D35F6A">
        <w:instrText>etion","type":"book"},"uris":["http://www.mendeley.com/documents/?uuid=d7dd1892-5fb2-4aaf-beac-7220f163a36e"]},{"id":"ITEM-2","itemData":{"DOI":"https://doi.org/10.1016/C2014-0-01670-X","ISBN":"978-0-08-100176-9","author":[{"dropping-particle":"","family":"Ashby","given":"M. F.","non-dropping-particle":"","parse-names":false,"suffix":""}],"id":"ITEM-2","issued":{"date-parts":[["2016"]]},"number-of-pages":"328","publisher":"Butterworth-Heinemann Ltd","title":"Materials and Sustainable Development","type":"book"},"uris":["http://www.mendeley.com/documents/?uuid=8db20f88-4421-4ca9-a67e-12e6ef825567"]},{"id":"ITEM-3","itemData":{"author":[{"dropping-particle":"","family":"Paley","given":"W.S.","non-dropping-particle":"","parse-names":false,"suffix":""}],"id":"ITEM-3","issued":{"date-parts":[["1952"]]},"publisher":"Foundations for Growth and Security, The President’s Material Policy Commission Report","title":"Resources for Freedom, Volume 1","type":"book"},"uris":["http://www.mendeley.com/documents/?uuid=ec8b84f7-6dae-4dcc-874a-e9ca3fc8c2cb"]},{"id":"ITEM-4","itemData":{"author":[{"dropping-particle":"","family":"Tilton","given":"John E","non-dropping-particle":"","parse-names":false,"suffix":""}],"container-title":"Workshop on the Long-Run availability of mineral commodities","id":"ITEM-4","issue":"Report No 14","issued":{"date-parts":[["2001"]]},"number-of-pages":"1-173","publisher-place":"IIED for WBCSD, Washington D.C.","title":"Depletion and the long-run availability of mineral commodities","type":"report"},"uris":["http://www.mendeley.com/documents/?uuid=016a562e-073e-4de9-b037-6d77b9a6ee00"]}],"mendeley":{"formattedCitation":"(Ashby, 2016; Paley, 1952; Tilton, 2003, 2001)","plainTextFormattedCitation":"(Ashby, 2016; Paley, 1952; Tilton, 2003, 2001)","previouslyFormattedCitation":"(Ashby, 2016; Paley, 1952; Tilton, 2003, 2001)"},"properties":{"noteIndex":0},"schema":"https://github.com/citation-style-language/schema/raw/master/csl-citation.json"}</w:instrText>
      </w:r>
      <w:r w:rsidR="000C5BB3">
        <w:fldChar w:fldCharType="separate"/>
      </w:r>
      <w:r w:rsidR="002B45EF" w:rsidRPr="002B45EF">
        <w:rPr>
          <w:noProof/>
        </w:rPr>
        <w:t>(Ashby, 2016; Paley, 1952; Tilton, 2003, 2001)</w:t>
      </w:r>
      <w:r w:rsidR="000C5BB3">
        <w:fldChar w:fldCharType="end"/>
      </w:r>
      <w:r w:rsidRPr="00D24A20">
        <w:t xml:space="preserve">. </w:t>
      </w:r>
      <w:r w:rsidR="00586F2B">
        <w:t xml:space="preserve">Typically </w:t>
      </w:r>
      <w:r w:rsidR="00586F2B">
        <w:rPr>
          <w:bCs/>
        </w:rPr>
        <w:t>g</w:t>
      </w:r>
      <w:r w:rsidRPr="00735AD0">
        <w:rPr>
          <w:bCs/>
        </w:rPr>
        <w:t>overnments determine</w:t>
      </w:r>
      <w:r w:rsidR="00257DC9">
        <w:rPr>
          <w:bCs/>
        </w:rPr>
        <w:t>d</w:t>
      </w:r>
      <w:r w:rsidRPr="00735AD0">
        <w:rPr>
          <w:bCs/>
        </w:rPr>
        <w:t xml:space="preserve"> the</w:t>
      </w:r>
      <w:r w:rsidR="00586F2B">
        <w:rPr>
          <w:bCs/>
        </w:rPr>
        <w:t>ir</w:t>
      </w:r>
      <w:r w:rsidRPr="00735AD0">
        <w:rPr>
          <w:bCs/>
        </w:rPr>
        <w:t xml:space="preserve"> military material stockpiles </w:t>
      </w:r>
      <w:r w:rsidR="00586F2B">
        <w:rPr>
          <w:bCs/>
        </w:rPr>
        <w:t>as a</w:t>
      </w:r>
      <w:r w:rsidR="00586F2B" w:rsidRPr="00735AD0">
        <w:rPr>
          <w:bCs/>
        </w:rPr>
        <w:t xml:space="preserve"> </w:t>
      </w:r>
      <w:r w:rsidRPr="00735AD0">
        <w:rPr>
          <w:bCs/>
        </w:rPr>
        <w:t xml:space="preserve">response to anticipated demand </w:t>
      </w:r>
      <w:r>
        <w:rPr>
          <w:bCs/>
        </w:rPr>
        <w:t xml:space="preserve">surges </w:t>
      </w:r>
      <w:r w:rsidR="001F464C">
        <w:rPr>
          <w:bCs/>
        </w:rPr>
        <w:t xml:space="preserve">and potential supply restrictions, either in preparation for, or during </w:t>
      </w:r>
      <w:r w:rsidRPr="00735AD0">
        <w:rPr>
          <w:bCs/>
        </w:rPr>
        <w:t>a war situation</w:t>
      </w:r>
      <w:r>
        <w:rPr>
          <w:bCs/>
        </w:rPr>
        <w:t xml:space="preserve">, with import dependence being a key consideration </w:t>
      </w:r>
      <w:r w:rsidR="003B3C1D">
        <w:rPr>
          <w:bCs/>
        </w:rPr>
        <w:fldChar w:fldCharType="begin" w:fldLock="1"/>
      </w:r>
      <w:r w:rsidR="00D35F6A">
        <w:rPr>
          <w:bCs/>
        </w:rPr>
        <w:instrText>ADDIN CSL_CITATION {"citationItems":[{"id":"ITEM-1","itemData":{"author":[{"dropping-particle":"","family":"Thomason","given":"James S.","non-dropping-particle":"","parse-names":false,"suffix":""},{"dropping-particle":"","family":"Atwell, Robert","given":"J.","non-dropping-particle":"","parse-names":false,"suffix":""},{"dropping-particle":"","family":"Bajraktari","given":"Ylli","non-dropping-particle":"","parse-names":false,"suffix":""},{"dropping-particle":"","family":"Bell","given":"James P.","non-dropping-particle":"","parse-names":false,"suffix":""},{"dropping-particle":"","family":"Barnett","given":"D. Sean","non-dropping-particle":"","parse-names":false,"suffix":""},{"dropping-particle":"","family":"Karvonides","given":"Nicholas S.J.","non-dropping-particle":"","parse-names":false,"suffix":""},{"dropping-particle":"","family":"Niles","given":"Michael F.","non-dropping-particle":"","parse-names":false,"suffix":""},{"dropping-particle":"","family":"Schwartz","given":"Eleanor L.","non-dropping-particle":"","parse-names":false,"suffix":""}],"container-title":"IDA: Institute for Defense Analyses","id":"ITEM-1","issue":"May","issued":{"date-parts":[["2010"]]},"title":"From National Defense Stockpile (NDS) to Strategic Materials Security Program (SMSP): Evidence and Analytic Support","type":"article-journal","volume":"I"},"uris":["http://www.mendeley.com/documents/?uuid=8badcd14-f86f-4873-b650-00073cdda20b"]}],"mendeley":{"formattedCitation":"(Thomason et al., 2010)","plainTextFormattedCitation":"(Thomason et al., 2010)","previouslyFormattedCitation":"(Thomason et al., 2010)"},"properties":{"noteIndex":0},"schema":"https://github.com/citation-style-language/schema/raw/master/csl-citation.json"}</w:instrText>
      </w:r>
      <w:r w:rsidR="003B3C1D">
        <w:rPr>
          <w:bCs/>
        </w:rPr>
        <w:fldChar w:fldCharType="separate"/>
      </w:r>
      <w:r w:rsidR="002B45EF" w:rsidRPr="002B45EF">
        <w:rPr>
          <w:bCs/>
          <w:noProof/>
        </w:rPr>
        <w:t>(Thomason et al., 2010)</w:t>
      </w:r>
      <w:r w:rsidR="003B3C1D">
        <w:rPr>
          <w:bCs/>
        </w:rPr>
        <w:fldChar w:fldCharType="end"/>
      </w:r>
      <w:r>
        <w:rPr>
          <w:bCs/>
        </w:rPr>
        <w:t>.</w:t>
      </w:r>
      <w:r w:rsidR="0060624D">
        <w:rPr>
          <w:bCs/>
        </w:rPr>
        <w:t xml:space="preserve"> </w:t>
      </w:r>
    </w:p>
    <w:p w14:paraId="36B1DE09" w14:textId="1DA5CF5C" w:rsidR="00B90BF5" w:rsidRDefault="00870A3C" w:rsidP="00863B14">
      <w:pPr>
        <w:spacing w:line="480" w:lineRule="auto"/>
        <w:jc w:val="both"/>
      </w:pPr>
      <w:r>
        <w:rPr>
          <w:lang w:val="en-GB"/>
        </w:rPr>
        <w:t>F</w:t>
      </w:r>
      <w:r w:rsidRPr="001775A6">
        <w:rPr>
          <w:lang w:val="en-GB"/>
        </w:rPr>
        <w:t>rom the mid-20</w:t>
      </w:r>
      <w:r w:rsidRPr="001775A6">
        <w:rPr>
          <w:vertAlign w:val="superscript"/>
          <w:lang w:val="en-GB"/>
        </w:rPr>
        <w:t>th</w:t>
      </w:r>
      <w:r w:rsidRPr="001775A6">
        <w:rPr>
          <w:lang w:val="en-GB"/>
        </w:rPr>
        <w:t xml:space="preserve"> into the early 21</w:t>
      </w:r>
      <w:r w:rsidRPr="001775A6">
        <w:rPr>
          <w:vertAlign w:val="superscript"/>
          <w:lang w:val="en-GB"/>
        </w:rPr>
        <w:t>st</w:t>
      </w:r>
      <w:r w:rsidRPr="001775A6">
        <w:rPr>
          <w:lang w:val="en-GB"/>
        </w:rPr>
        <w:t xml:space="preserve"> century</w:t>
      </w:r>
      <w:r w:rsidR="0045140D">
        <w:rPr>
          <w:lang w:val="en-GB"/>
        </w:rPr>
        <w:t>,</w:t>
      </w:r>
      <w:r w:rsidRPr="7F5A24C6">
        <w:rPr>
          <w:lang w:val="en-GB"/>
        </w:rPr>
        <w:t xml:space="preserve"> the </w:t>
      </w:r>
      <w:r w:rsidR="00643C44">
        <w:rPr>
          <w:lang w:val="en-GB"/>
        </w:rPr>
        <w:t xml:space="preserve">industrialized </w:t>
      </w:r>
      <w:r w:rsidRPr="7F5A24C6">
        <w:rPr>
          <w:lang w:val="en-GB"/>
        </w:rPr>
        <w:t xml:space="preserve">world </w:t>
      </w:r>
      <w:r w:rsidR="00643C44">
        <w:rPr>
          <w:lang w:val="en-GB"/>
        </w:rPr>
        <w:t>experienced</w:t>
      </w:r>
      <w:r w:rsidR="00B61E7B">
        <w:rPr>
          <w:lang w:val="en-GB"/>
        </w:rPr>
        <w:t xml:space="preserve"> a</w:t>
      </w:r>
      <w:r w:rsidRPr="7F5A24C6">
        <w:rPr>
          <w:lang w:val="en-GB"/>
        </w:rPr>
        <w:t xml:space="preserve"> rapid increas</w:t>
      </w:r>
      <w:r w:rsidR="001F464C">
        <w:rPr>
          <w:lang w:val="en-GB"/>
        </w:rPr>
        <w:t>e in</w:t>
      </w:r>
      <w:r w:rsidRPr="7F5A24C6">
        <w:rPr>
          <w:lang w:val="en-GB"/>
        </w:rPr>
        <w:t xml:space="preserve"> economic growth, driven by technological developments, against a backdrop of an increasing global population. </w:t>
      </w:r>
      <w:r w:rsidRPr="00F23AFB">
        <w:rPr>
          <w:lang w:val="en-GB"/>
        </w:rPr>
        <w:t xml:space="preserve">The </w:t>
      </w:r>
      <w:r>
        <w:rPr>
          <w:lang w:val="en-GB"/>
        </w:rPr>
        <w:t>lack</w:t>
      </w:r>
      <w:r w:rsidRPr="00F23AFB">
        <w:rPr>
          <w:lang w:val="en-GB"/>
        </w:rPr>
        <w:t xml:space="preserve"> of </w:t>
      </w:r>
      <w:r>
        <w:rPr>
          <w:lang w:val="en-GB"/>
        </w:rPr>
        <w:t xml:space="preserve">locally sourced </w:t>
      </w:r>
      <w:r w:rsidRPr="00F23AFB">
        <w:rPr>
          <w:lang w:val="en-GB"/>
        </w:rPr>
        <w:t>material resources for industrial needs in Europe</w:t>
      </w:r>
      <w:r w:rsidR="008F4116">
        <w:rPr>
          <w:lang w:val="en-GB"/>
        </w:rPr>
        <w:t>, as well as</w:t>
      </w:r>
      <w:r w:rsidRPr="00F23AFB">
        <w:rPr>
          <w:lang w:val="en-GB"/>
        </w:rPr>
        <w:t xml:space="preserve"> the </w:t>
      </w:r>
      <w:r>
        <w:t xml:space="preserve">Chinese export restrictions of </w:t>
      </w:r>
      <w:r w:rsidR="00B6610A">
        <w:t>rare earth elements</w:t>
      </w:r>
      <w:r w:rsidR="004520D4">
        <w:t xml:space="preserve"> </w:t>
      </w:r>
      <w:r w:rsidR="00B6610A">
        <w:t>(</w:t>
      </w:r>
      <w:r>
        <w:t>REEs</w:t>
      </w:r>
      <w:r w:rsidR="00B6610A">
        <w:t>)</w:t>
      </w:r>
      <w:r w:rsidR="00DB7D1C">
        <w:t>,</w:t>
      </w:r>
      <w:r>
        <w:t xml:space="preserve"> starting in 2007 and reaching a peak in 2011</w:t>
      </w:r>
      <w:r w:rsidR="00DB7D1C">
        <w:t>,</w:t>
      </w:r>
      <w:r>
        <w:t xml:space="preserve"> </w:t>
      </w:r>
      <w:r w:rsidR="001F464C">
        <w:t>caught the attention of</w:t>
      </w:r>
      <w:r>
        <w:t xml:space="preserve"> global users of raw materials </w:t>
      </w:r>
      <w:r>
        <w:fldChar w:fldCharType="begin" w:fldLock="1"/>
      </w:r>
      <w:r w:rsidR="00D35F6A">
        <w:instrText>ADDIN CSL_CITATION {"citationItems":[{"id":"ITEM-1","itemData":{"DOI":"10.1088/1361-6463/aa5b64","ISSN":"13616463","abstract":"The past decade has seen a resurgence of interest in the supply security of mineral raw materials. A key to the current debate is the concept of ‘criticality’. The present article reviews the criticality concept, as well as the methodologies used in its assessment, including a critical evaluation of their validity in view of classical risk theory. Furthermore, it discusses a number of risks present in global raw materials markets that are not captured by most criticality assessments. Proposed measures for the alleviation of these risks are also presented. We find that current assessments of raw material criticality are fundamentally flawed in several ways. This is mostly due to a lack of adherence to risk theory, and highly limits their applicability. Many of the raw materials generally identified as critical are probably not critical. Still, the flaws of current assessments do not mean that the general issue of supply security can simply be ignored. Rather, it implies that new assessments are required. While the basic theoretical framework for such assessments is outlined in this review, detailed method development will require a major collaborative effort between different disciplines along the raw materials value chain. In the opinion of the authors, the greatest longer-term challenge in the raw materials sector is to stop, or counteract the effects of, the escalation of unit energy costs of production. This issue is particularly pressing due to its close link with the renewable energy transition, requiring more metal and mineral raw materials per unit energy produced. The solution to this problem will require coordinated policy action, as well as the collaboration of scientists from many different fields—with physics, as well as the materials and earth sciences in the lead.","author":[{"dropping-particle":"","family":"Frenzel","given":"M.","non-dropping-particle":"","parse-names":false,"suffix":""},{"dropping-particle":"","family":"Kullik","given":"J.","non-dropping-particle":"","parse-names":false,"suffix":""},{"dropping-particle":"","family":"Reuter","given":"M. A.","non-dropping-particle":"","parse-names":false,"suffix":""},{"dropping-particle":"","family":"Gutzmer","given":"J.","non-dropping-particle":"","parse-names":false,"suffix":""}],"container-title":"Journal of Physics D: Applied Physics","id":"ITEM-1","issue":"12","issued":{"date-parts":[["2017"]]},"publisher":"IOP Publishing","title":"Raw material 'criticality' - Sense or nonsense?","type":"article-journal","volume":"50"},"uris":["http://www.mendeley.com/documents/?uuid=001fc538-2314-4451-94e6-17dfb8d125f3"]}],"mendeley":{"formattedCitation":"(Frenzel et al., 2017)","plainTextFormattedCitation":"(Frenzel et al., 2017)","previouslyFormattedCitation":"(Frenzel et al., 2017)"},"properties":{"noteIndex":0},"schema":"https://github.com/citation-style-language/schema/raw/master/csl-citation.json"}</w:instrText>
      </w:r>
      <w:r>
        <w:fldChar w:fldCharType="separate"/>
      </w:r>
      <w:r w:rsidR="002B45EF" w:rsidRPr="002B45EF">
        <w:rPr>
          <w:noProof/>
        </w:rPr>
        <w:t>(Frenzel et al., 2017)</w:t>
      </w:r>
      <w:r>
        <w:fldChar w:fldCharType="end"/>
      </w:r>
      <w:r>
        <w:t xml:space="preserve">. This development had a great impact worldwide, </w:t>
      </w:r>
      <w:r w:rsidR="001F464C">
        <w:t xml:space="preserve">as </w:t>
      </w:r>
      <w:r>
        <w:t xml:space="preserve">China </w:t>
      </w:r>
      <w:r w:rsidR="008F4116">
        <w:t>has dominat</w:t>
      </w:r>
      <w:r w:rsidR="001F464C">
        <w:t>ed</w:t>
      </w:r>
      <w:r w:rsidR="008F4116">
        <w:t xml:space="preserve"> </w:t>
      </w:r>
      <w:r>
        <w:t>the</w:t>
      </w:r>
      <w:r w:rsidR="00257DC9">
        <w:t xml:space="preserve"> global</w:t>
      </w:r>
      <w:r w:rsidR="008F4116">
        <w:t xml:space="preserve"> </w:t>
      </w:r>
      <w:r>
        <w:t xml:space="preserve">REE market with a 95% market share. </w:t>
      </w:r>
      <w:r w:rsidR="001F464C">
        <w:t>C</w:t>
      </w:r>
      <w:r>
        <w:t>ountries with a high level of industrialization</w:t>
      </w:r>
      <w:r w:rsidR="008F4116">
        <w:t xml:space="preserve"> and </w:t>
      </w:r>
      <w:r>
        <w:t xml:space="preserve">a high </w:t>
      </w:r>
      <w:r w:rsidR="001F464C">
        <w:t xml:space="preserve">level of </w:t>
      </w:r>
      <w:r>
        <w:t>dependency on import</w:t>
      </w:r>
      <w:r w:rsidR="001F464C">
        <w:t>s</w:t>
      </w:r>
      <w:r>
        <w:t xml:space="preserve"> of raw materials, such as Japan, Korea, the USA, and the European countries</w:t>
      </w:r>
      <w:r w:rsidR="00257DC9">
        <w:t>,</w:t>
      </w:r>
      <w:r>
        <w:t xml:space="preserve"> </w:t>
      </w:r>
      <w:r w:rsidR="00DB7D1C">
        <w:t>started to systematically</w:t>
      </w:r>
      <w:r w:rsidR="001F464C">
        <w:t xml:space="preserve"> </w:t>
      </w:r>
      <w:r>
        <w:t xml:space="preserve">assess the security of </w:t>
      </w:r>
      <w:r w:rsidR="001F464C">
        <w:t xml:space="preserve">their </w:t>
      </w:r>
      <w:r>
        <w:t xml:space="preserve">raw material supply chains </w:t>
      </w:r>
      <w:r>
        <w:fldChar w:fldCharType="begin" w:fldLock="1"/>
      </w:r>
      <w:r w:rsidR="00D35F6A">
        <w:instrText>ADDIN CSL_CITATION {"citationItems":[{"id":"ITEM-1","itemData":{"DOI":"10.1088/1361-6463/aa5b64","ISSN":"13616463","abstract":"The past decade has seen a resurgence of interest in the supply security of mineral raw materials. A key to the current debate is the concept of ‘criticality’. The present article reviews the criticality concept, as well as the methodologies used in its assessment, including a critical evaluation of their validity in view of classical risk theory. Furthermore, it discusses a number of risks present in global raw materials markets that are not captured by most criticality assessments. Proposed measures for the alleviation of these risks are also presented. We find that current assessments of raw material criticality are fundamentally flawed in several ways. This is mostly due to a lack of adherence to risk theory, and highly limits their applicability. Many of the raw materials generally identified as critical are probably not critical. Still, the flaws of current assessments do not mean that the general issue of supply security can simply be ignored. Rather, it implies that new assessments are required. While the basic theoretical framework for such assessments is outlined in this review, detailed method development will require a major collaborative effort between different disciplines along the raw materials value chain. In the opinion of the authors, the greatest longer-term challenge in the raw materials sector is to stop, or counteract the effects of, the escalation of unit energy costs of production. This issue is particularly pressing due to its close link with the renewable energy transition, requiring more metal and mineral raw materials per unit energy produced. The solution to this problem will require coordinated policy action, as well as the collaboration of scientists from many different fields—with physics, as well as the materials and earth sciences in the lead.","author":[{"dropping-particle":"","family":"Frenzel","given":"M.","non-dropping-particle":"","parse-names":false,"suffix":""},{"dropping-particle":"","family":"Kullik","given":"J.","non-dropping-particle":"","parse-names":false,"suffix":""},{"dropping-particle":"","family":"Reuter","given":"M. A.","non-dropping-particle":"","parse-names":false,"suffix":""},{"dropping-particle":"","family":"Gutzmer","given":"J.","non-dropping-particle":"","parse-names":false,"suffix":""}],"container-title":"Journal of Physics D: Applied Physics","id":"ITEM-1","issue":"12","issued":{"date-parts":[["2017"]]},"publisher":"IOP Publishing","title":"Raw material 'criticality' - Sense or nonsense?","type":"article-journal","volume":"50"},"uris":["http://www.mendeley.com/documents/?uuid=001fc538-2314-4451-94e6-17dfb8d125f3"]}],"mendeley":{"formattedCitation":"(Frenzel et al., 2017)","plainTextFormattedCitation":"(Frenzel et al., 2017)","previouslyFormattedCitation":"(Frenzel et al., 2017)"},"properties":{"noteIndex":0},"schema":"https://github.com/citation-style-language/schema/raw/master/csl-citation.json"}</w:instrText>
      </w:r>
      <w:r>
        <w:fldChar w:fldCharType="separate"/>
      </w:r>
      <w:r w:rsidR="002B45EF" w:rsidRPr="002B45EF">
        <w:rPr>
          <w:noProof/>
        </w:rPr>
        <w:t>(Frenzel et al., 2017)</w:t>
      </w:r>
      <w:r>
        <w:fldChar w:fldCharType="end"/>
      </w:r>
      <w:r>
        <w:t xml:space="preserve">. </w:t>
      </w:r>
      <w:r w:rsidR="001F464C">
        <w:t xml:space="preserve">Over </w:t>
      </w:r>
      <w:r w:rsidR="001F464C">
        <w:lastRenderedPageBreak/>
        <w:t>this period</w:t>
      </w:r>
      <w:r>
        <w:t>,</w:t>
      </w:r>
      <w:r w:rsidDel="003B2637">
        <w:t xml:space="preserve"> </w:t>
      </w:r>
      <w:r>
        <w:t>the USA and the European Union develop</w:t>
      </w:r>
      <w:r w:rsidR="001F464C">
        <w:t>ed</w:t>
      </w:r>
      <w:r>
        <w:t xml:space="preserve"> </w:t>
      </w:r>
      <w:r w:rsidR="00C407B5">
        <w:t>and publish</w:t>
      </w:r>
      <w:r w:rsidR="001F464C">
        <w:t>ed</w:t>
      </w:r>
      <w:r w:rsidR="00C407B5">
        <w:t xml:space="preserve"> </w:t>
      </w:r>
      <w:r>
        <w:t xml:space="preserve">criticality </w:t>
      </w:r>
      <w:r w:rsidR="00AD32DE">
        <w:t>methods</w:t>
      </w:r>
      <w:r w:rsidR="001F464C">
        <w:t>,</w:t>
      </w:r>
      <w:r w:rsidR="00AD32DE">
        <w:t xml:space="preserve"> </w:t>
      </w:r>
      <w:r w:rsidR="00DB7D1C">
        <w:t xml:space="preserve">which were </w:t>
      </w:r>
      <w:r>
        <w:t xml:space="preserve">mainly influenced by economic and geopolitical </w:t>
      </w:r>
      <w:r w:rsidR="000954BE">
        <w:t>factors</w:t>
      </w:r>
      <w:r>
        <w:t xml:space="preserve">. Such methods are designed to identify potential supply risks of materials that are important to sustain contemporary lifestyles, and for the development and growth of national or regional economies </w:t>
      </w:r>
      <w:r>
        <w:fldChar w:fldCharType="begin" w:fldLock="1"/>
      </w:r>
      <w:r w:rsidR="00D35F6A">
        <w:instrText>ADDIN CSL_CITATION {"citationItems":[{"id":"ITEM-1","itemData":{"author":[{"dropping-particle":"","family":"BGS","given":"","non-dropping-particle":"","parse-names":false,"suffix":""}],"id":"ITEM-1","issued":{"date-parts":[["2011"]]},"title":"Risk list 2011","type":"report"},"uris":["http://www.mendeley.com/documents/?uuid=f6f949fe-98df-4fa4-9fc4-cca5444a298a"]}],"mendeley":{"formattedCitation":"(BGS, 2011)","plainTextFormattedCitation":"(BGS, 2011)","previouslyFormattedCitation":"(BGS, 2011)"},"properties":{"noteIndex":0},"schema":"https://github.com/citation-style-language/schema/raw/master/csl-citation.json"}</w:instrText>
      </w:r>
      <w:r>
        <w:fldChar w:fldCharType="separate"/>
      </w:r>
      <w:r w:rsidR="002B45EF" w:rsidRPr="002B45EF">
        <w:rPr>
          <w:noProof/>
        </w:rPr>
        <w:t>(BGS, 2011)</w:t>
      </w:r>
      <w:r>
        <w:fldChar w:fldCharType="end"/>
      </w:r>
      <w:r>
        <w:t>.</w:t>
      </w:r>
      <w:r w:rsidR="00B90BF5" w:rsidRPr="00B90BF5">
        <w:t xml:space="preserve"> </w:t>
      </w:r>
      <w:r w:rsidR="001F464C">
        <w:t xml:space="preserve">National defense considerations have also remained a factor. </w:t>
      </w:r>
      <w:r w:rsidR="00B90BF5">
        <w:t xml:space="preserve">The methods that are reviewed </w:t>
      </w:r>
      <w:r w:rsidR="0089157D">
        <w:t>in this paper (</w:t>
      </w:r>
      <w:r w:rsidR="001B1D43">
        <w:fldChar w:fldCharType="begin"/>
      </w:r>
      <w:r w:rsidR="001B1D43">
        <w:instrText xml:space="preserve"> REF _Ref8405448 \h </w:instrText>
      </w:r>
      <w:r w:rsidR="00FF01D3">
        <w:instrText xml:space="preserve"> \* MERGEFORMAT </w:instrText>
      </w:r>
      <w:r w:rsidR="001B1D43">
        <w:fldChar w:fldCharType="separate"/>
      </w:r>
      <w:r w:rsidR="009F2906">
        <w:t xml:space="preserve">Table </w:t>
      </w:r>
      <w:r w:rsidR="009F2906">
        <w:rPr>
          <w:noProof/>
        </w:rPr>
        <w:t>1</w:t>
      </w:r>
      <w:r w:rsidR="001B1D43">
        <w:fldChar w:fldCharType="end"/>
      </w:r>
      <w:r w:rsidR="0089157D">
        <w:t xml:space="preserve">) have been </w:t>
      </w:r>
      <w:r w:rsidR="00B512D2">
        <w:t>published</w:t>
      </w:r>
      <w:r w:rsidR="0089157D">
        <w:t xml:space="preserve"> from this time onwards</w:t>
      </w:r>
      <w:r w:rsidR="00B512D2">
        <w:t xml:space="preserve">, </w:t>
      </w:r>
      <w:r w:rsidR="0089157D">
        <w:t xml:space="preserve">starting in 2008. </w:t>
      </w:r>
    </w:p>
    <w:p w14:paraId="5F704E58" w14:textId="52C86B3F" w:rsidR="005B61A7" w:rsidRDefault="00AD32DE" w:rsidP="00863B14">
      <w:pPr>
        <w:spacing w:line="480" w:lineRule="auto"/>
        <w:jc w:val="both"/>
      </w:pPr>
      <w:r>
        <w:t xml:space="preserve">Methods </w:t>
      </w:r>
      <w:r w:rsidR="00684DEF">
        <w:t xml:space="preserve">continued to be developed in order to assess the criticality of raw materials for specific industrial sectors, such as low-carbon energy technologies </w:t>
      </w:r>
      <w:r w:rsidR="00684DEF">
        <w:fldChar w:fldCharType="begin" w:fldLock="1"/>
      </w:r>
      <w:r w:rsidR="00D35F6A">
        <w:instrText>ADDIN CSL_CITATION {"citationItems":[{"id":"ITEM-1","itemData":{"DOI":"10.2172/1000846","ISBN":"9788578110796","ISSN":"1098-6596","PMID":"25246403","abstract":"This report examines the role of rare earth metals and other materials in the clean energy economy. It was prepared by the U.S. Department of Energy (DOE) based on data collected and research performed during 2010. Its main conclusions include: • Several clean energy technologies—including wind turbines, electric vehicles, photovoltaic cells and fluorescent lighting—use materials at risk of supply disruptions in the short term. Those risks will generally decrease in the medium and long term. • Clean energy technologies currently constitute about 20 percent of global consumption of critical materials. As clean energy technologies are deployed more widely in the decades ahead, their share of global consumption of critical materials will likely grow. • Of the materials analyzed, five rare earth metals (dysprosium, neodymium, terbium, europium and yttrium), as well as indium, are assessed as most critical in the short term. For this purpose, “criticality” is a measure that combines importance to the clean energy economy and risk of supply disruption. • Sound policies and strategic investments can reduce the risk of supply disruptions, especially in the medium and long term. • Data with respect to many of the issues considered in this report are sparse. In the report, DOE describes plans to (i) develop its first integrated research agenda addressing critical materials, building on three technical workshops convened by the Department during November and December 2010; (ii) strengthen its capacity for information-gathering on this topic; and (iii) work closely with international partners, including Japan and Europe, to reduce vulnerability to supply disruptions and address critical material needs. DOE will work with other stakeholders— including interagency colleagues, Congress and the public—to shape policy tools that strengthen the United States’ strategic capabilities. DOE also announces its plan to develop an updated critical materials strategy, based upon additional events and information, by the end of 2011.","author":[{"dropping-particle":"","family":"Bauer","given":"Diana","non-dropping-particle":"","parse-names":false,"suffix":""},{"dropping-particle":"","family":"Diamond","given":"David","non-dropping-particle":"","parse-names":false,"suffix":""},{"dropping-particle":"","family":"Li","given":"Jennifer","non-dropping-particle":"","parse-names":false,"suffix":""},{"dropping-particle":"","family":"Sandalow","given":"David","non-dropping-particle":"","parse-names":false,"suffix":""},{"dropping-particle":"","family":"Telleen","given":"Paul","non-dropping-particle":"","parse-names":false,"suffix":""},{"dropping-particle":"","family":"Wanner","given":"Brent","non-dropping-particle":"","parse-names":false,"suffix":""}],"container-title":"Agenda","id":"ITEM-1","issue":"December","issued":{"date-parts":[["2010"]]},"number-of-pages":"1-166","title":"US Department of Energy: Critical Materials Strategy, December 2010","type":"report"},"uris":["http://www.mendeley.com/documents/?uuid=4f014edf-8575-43ab-a857-a01c02427623"]},{"id":"ITEM-2","itemData":{"ISBN":"4444444444444","ISSN":"4444444444444","abstract":"The focus of this study lies on future sustainable technologies (FST), such as renewable energies and energy efficient technologies, which will make use of indium (In), germanium (Ge), tantalum (Ta), PGM [platinum group metals, such as ruthenium (Ru), platinum (Pt) and palladium (Pd)], tellurium (Te), cobalt (Co), lithium (Li), gallium (Ga) and RE (rare earths). These are also classified as ‘green minor metals’, which are the basis for cleaner technology innovation. Other interesting metals like titanium or magnesium (used for light weight applications) are not addressed by this study but should be also an issue for further UNEP investigations and activities in the future.","author":[{"dropping-particle":"","family":"Buchert","given":"Matthias","non-dropping-particle":"","parse-names":false,"suffix":""},{"dropping-particle":"","family":"Schüler","given":"Doris","non-dropping-particle":"","parse-names":false,"suffix":""},{"dropping-particle":"","family":"Bleher","given":"Daniel","non-dropping-particle":"","parse-names":false,"suffix":""}],"container-title":"UNEP","id":"ITEM-2","issued":{"date-parts":[["2009"]]},"number-of-pages":"107","title":"Critical Metals for Future Sustainable Technologies and their Recycling Potential","type":"report"},"uris":["http://www.mendeley.com/documents/?uuid=e2764928-ca62-4fff-a548-3d3232d089e9"]},{"id":"ITEM-3","itemData":{"DOI":"10.2790/35600","ISBN":"9789279206986","ISSN":"1018-5593","PMID":"25246403","abstract":"Screening des Rohstoffbedarfs unterschiedlicher Energie-Technologien, Identifikation von Bottlenecks","author":[{"dropping-particle":"","family":"Moss","given":"R. L.","non-dropping-particle":"","parse-names":false,"suffix":""},{"dropping-particle":"","family":"Tzimas","given":"E.","non-dropping-particle":"","parse-names":false,"suffix":""},{"dropping-particle":"","family":"Kara","given":"H.","non-dropping-particle":"","parse-names":false,"suffix":""},{"dropping-particle":"","family":"Willis","given":"P.","non-dropping-particle":"","parse-names":false,"suffix":""},{"dropping-particle":"","family":"Kooroshy","given":"J.","non-dropping-particle":"","parse-names":false,"suffix":""}],"container-title":"JRC-scientific and strategic reports, European Commission Joint Research Centre Institute for Energy and Transport","id":"ITEM-3","issued":{"date-parts":[["2011"]]},"number-of-pages":"43005441","title":"Critical Metals in Strategic Energy Technologies","type":"report"},"uris":["http://www.mendeley.com/documents/?uuid=61c6fb44-d828-4ebd-af3c-450909664ea6"]},{"id":"ITEM-4","itemData":{"DOI":"10.1016/j.jclepro.2017.10.122","ISSN":"09596526","abstract":"One possibility for electrification of road transport consists of battery electric vehicles in combination with carbon-free sources of electricity. It is highly likely that lithium-ion batteries will provide the basis for this development. In the present paper, we use a recently developed, semi-quantitative assessment scheme to evaluate the relative supply risks associated with the elements used in the functional materials of six different lithium-ion battery types. Eleven different indicators in four supply risk categories are applied to each element; the weighting of the indicators is determined by external experts within the framework of an Analytic Hierarchy Process. The range of supply risk values on the elemental level is distinctly narrower than in our previous work on photovoltaic materials. The highest values are obtained for lithium and cobalt; the lowest for aluminium and titanium. Copper, iron, nickel, carbon (graphite), manganese and phosphorous form the middle group. We then carry out the assessment of the six battery types, to give comparative supply risks at the technology level. For this purpose the elemental supply risk values are aggregated using four different methods. Due to the small spread at the elemental level the supply risk values in all four aggregation methods also lie in a narrow range. Removing lithium, aluminium and phosphorous from the analysis, which are present in all types of battery, improves the situation. For aggregation with the simple arithmetic mean, an uncertainty analysis shows that only lithium-iron phosphate has a measurably lower supply risk compared to the other battery types. For the “cost-share” aggregation using seven elements, lithium cobalt oxide has a substantially higher supply risk than most other types.","author":[{"dropping-particle":"","family":"Helbig","given":"Christoph","non-dropping-particle":"","parse-names":false,"suffix":""},{"dropping-particle":"","family":"Bradshaw","given":"Alex M.","non-dropping-particle":"","parse-names":false,"suffix":""},{"dropping-particle":"","family":"Wietschel","given":"Lars","non-dropping-particle":"","parse-names":false,"suffix":""},{"dropping-particle":"","family":"Thorenz","given":"Andrea","non-dropping-particle":"","parse-names":false,"suffix":""},{"dropping-particle":"","family":"Tuma","given":"Axel","non-dropping-particle":"","parse-names":false,"suffix":""}],"container-title":"Journal of Cleaner Production","id":"ITEM-4","issued":{"date-parts":[["2018"]]},"page":"274-286","publisher":"Elsevier Ltd","title":"Supply risks associated with lithium-ion battery materials","type":"article-journal","volume":"172"},"uris":["http://www.mendeley.com/documents/?uuid=88f84408-ad58-4686-bf93-a34b5eb2571d"]}],"mendeley":{"formattedCitation":"(Bauer et al., 2010; Buchert et al., 2009; Helbig et al., 2018; Moss et al., 2011)","plainTextFormattedCitation":"(Bauer et al., 2010; Buchert et al., 2009; Helbig et al., 2018; Moss et al., 2011)","previouslyFormattedCitation":"(Bauer et al., 2010; Buchert et al., 2009; Helbig et al., 2018; Moss et al., 2011)"},"properties":{"noteIndex":0},"schema":"https://github.com/citation-style-language/schema/raw/master/csl-citation.json"}</w:instrText>
      </w:r>
      <w:r w:rsidR="00684DEF">
        <w:fldChar w:fldCharType="separate"/>
      </w:r>
      <w:r w:rsidR="002B45EF" w:rsidRPr="002B45EF">
        <w:rPr>
          <w:noProof/>
          <w:lang w:val="en-GB"/>
        </w:rPr>
        <w:t>(Bauer et al., 2010; Buchert et al., 2009; Helbig et al., 2018; Moss et al., 2011)</w:t>
      </w:r>
      <w:r w:rsidR="00684DEF">
        <w:fldChar w:fldCharType="end"/>
      </w:r>
      <w:r w:rsidR="00684DEF">
        <w:t xml:space="preserve"> and other emerging technologies</w:t>
      </w:r>
      <w:r w:rsidR="001F7405">
        <w:t>.</w:t>
      </w:r>
      <w:r w:rsidR="007542F5">
        <w:t xml:space="preserve"> </w:t>
      </w:r>
      <w:r w:rsidR="00D8033B" w:rsidRPr="00D76E0E">
        <w:t>Criticality assessments</w:t>
      </w:r>
      <w:r w:rsidR="00CD2489">
        <w:t xml:space="preserve"> also</w:t>
      </w:r>
      <w:r w:rsidR="00D8033B" w:rsidRPr="00D76E0E">
        <w:t xml:space="preserve"> </w:t>
      </w:r>
      <w:r w:rsidR="00D8033B">
        <w:t xml:space="preserve">found increased application </w:t>
      </w:r>
      <w:r w:rsidR="00B62FE1">
        <w:t>in</w:t>
      </w:r>
      <w:r w:rsidR="00D8033B">
        <w:t xml:space="preserve"> compan</w:t>
      </w:r>
      <w:r w:rsidR="00B62FE1">
        <w:t xml:space="preserve">ies who began to approach the topic from their </w:t>
      </w:r>
      <w:r w:rsidR="001F464C">
        <w:t xml:space="preserve">own </w:t>
      </w:r>
      <w:r w:rsidR="00B62FE1">
        <w:t>specific perspectives</w:t>
      </w:r>
      <w:r w:rsidR="00CD3900">
        <w:t xml:space="preserve"> </w:t>
      </w:r>
      <w:r w:rsidR="00D8033B">
        <w:fldChar w:fldCharType="begin" w:fldLock="1"/>
      </w:r>
      <w:r w:rsidR="00D35F6A">
        <w:instrText>ADDIN CSL_CITATION {"citationItems":[{"id":"ITEM-1","itemData":{"DOI":"10.1016/j.jclepro.2017.12.162","ISSN":"09596526","abstract":"Since manufacturers are the main drivers in the selection of the materials used in their products, they have a special responsibility for investigating the accompanying sustainability aspects. The recently increased attention they pay to these issues is motivated not only by a sense of social responsibility, but also by pressure from customers and competitors. In particular, the three dimensions of sustainability – based on the triple bottom line of economic, environmental and social criteria – are of growing importance for sustainable supply chain management. Raw materials and their supply chains are often at the focus of attention, since manufacturers may need to diversify them for their products. Appropriate assessment models then become essential. Although raw material assessments and raw material-focused decision support schemes have recently been applied more often in the corporate context, several aspects such as indicator selection, weighting or social assessment are rarely considered. As a result, a comprehensive, sustainability-oriented raw material assessment and decision support scheme in the corporate context is not available in the scientific literature. In the design of such a scheme, four questions arise: First, how should a corporate-oriented raw material assessment model be structured? Second, how can all three sustainability dimensions be taken into account? Third, how can the application of raw material assessments in a corporate-oriented decision-making process increase the sustainability level of a company? And fourth, does a methodically structured raw material assessment model have advantages over existing models? To answer these questions, we have developed a model which takes into account state-of-the-art sustainability assessments as well as recent developments in the field of criticality analysis, life cycle impact assessment (LCIA) and social life cycle assessment (SLCA). With partners from both academia and industry we identify relevant quantitative indicators for structuring the assessment model and for calculating corresponding indicator weightings, using the analytic hierarchy process (AHP). To demonstrate the applicability of the assessment model for decision support and its benefits for companies in identifying potential hotspots in raw material supply chains, we present a case study that includes decision support for selecting capacitor technologies. A sensitivity analysis demonstrates the robustness of the assessment…","author":[{"dropping-particle":"","family":"Kolotzek","given":"Christoph","non-dropping-particle":"","parse-names":false,"suffix":""},{"dropping-particle":"","family":"Helbig","given":"Christoph","non-dropping-particle":"","parse-names":false,"suffix":""},{"dropping-particle":"","family":"Thorenz","given":"Andrea","non-dropping-particle":"","parse-names":false,"suffix":""},{"dropping-particle":"","family":"Reller","given":"Armin","non-dropping-particle":"","parse-names":false,"suffix":""},{"dropping-particle":"","family":"Tuma","given":"Axel","non-dropping-particle":"","parse-names":false,"suffix":""}],"container-title":"Journal of Cleaner Production","id":"ITEM-1","issued":{"date-parts":[["2018"]]},"page":"566-580","publisher":"Elsevier Ltd","title":"A company-oriented model for the assessment of raw material supply risks, environmental impact and social implications","type":"article-journal","volume":"176"},"uris":["http://www.mendeley.com/documents/?uuid=48f69ea7-179f-4f88-8016-7892a0fd9265"]},{"id":"ITEM-2","itemData":{"author":[{"dropping-particle":"","family":"Duclos","given":"Steven J","non-dropping-particle":"","parse-names":false,"suffix":""},{"dropping-particle":"","family":"Otto","given":"Jeffrey P","non-dropping-particle":"","parse-names":false,"suffix":""},{"dropping-particle":"","family":"Konitzer","given":"Douglas G","non-dropping-particle":"","parse-names":false,"suffix":""}],"container-title":"Mechanical Engineering","id":"ITEM-2","issue":"September","issued":{"date-parts":[["2010"]]},"page":"36-40","title":"Design in an era of constrained resources","type":"article-journal"},"uris":["http://www.mendeley.com/documents/?uuid=6a378cf7-b1d1-4049-9e98-ec73198f741b"]},{"id":"ITEM-3","itemData":{"author":[{"dropping-particle":"","family":"Goddin","given":"James","non-dropping-particle":"","parse-names":false,"suffix":""},{"dropping-particle":"","family":"O'Hare","given":"Jamie","non-dropping-particle":"","parse-names":false,"suffix":""},{"dropping-particle":"","family":"Clifton","given":"Andrew","non-dropping-particle":"","parse-names":false,"suffix":""}],"container-title":"Materials World","id":"ITEM-3","issued":{"date-parts":[["2013"]]},"title":"T</w:instrText>
      </w:r>
      <w:r w:rsidR="00D35F6A" w:rsidRPr="00AE56AD">
        <w:rPr>
          <w:lang w:val="nl-NL"/>
        </w:rPr>
        <w:instrText>he materials supply risk: digging deeper","type":"article-journal","volume":"June"},"uris":["http://www.mendeley.com/documents/?uuid=4253a7ad-7234-4ccb-88f9-d792b9b49426"]},{"id":"ITEM-4","itemData":{"author":[{"dropping-particle":"","family":"Marsden","given":"W.","non-dropping-particle":"","parse-names":false,"suffix":""},{"dropping-particle":"","family":"O'Hare","given":"J.","non-dropping-particle":"","parse-names":false,"suffix":""},{"dropping-particle":"","family":"Goddin","given":"J.","non-dropping-particle":"","parse-names":false,"suffix":""},{"dropping-particle":"","family":"Clifton","given":"A.","non-dropping-particle":"","parse-names":false,"suffix":""}],"container-title":"Aeromat 24 Conference and Exposition American Society for Metals","id":"ITEM-4","issued":{"date-parts":[["2013"]]},"page":"April","title":"Material Selection: Taking Environmental Business Risks Into Account","type":"paper-conference"},"uris":["http://www.mendeley.com/documents/?uuid=b2ec79cd-5c34-449f-928e-68cae06b4368"]}],"mendeley":{"formattedCitation":"(Duclos et al., 2010; Goddin et al., 2013; Kolotzek et al., 2018; Marsden et al., 2013)","plainTextFormattedCitation":"(Duclos et al., 2010; Goddin et al., 2013; Kolotzek et al., 2018; Marsden et al., 2013)","previouslyFormattedCitation":"(Duclos et al., 2010; Goddin et al., 2013; Kolotzek et al., 2018; Marsden et al., 2013)"},"properties":{"noteIndex":0},"schema":"https://github.com/citation-style-language/schema/raw/master/csl-citation.json"}</w:instrText>
      </w:r>
      <w:r w:rsidR="00D8033B">
        <w:fldChar w:fldCharType="separate"/>
      </w:r>
      <w:r w:rsidR="002B45EF" w:rsidRPr="002B45EF">
        <w:rPr>
          <w:noProof/>
          <w:lang w:val="nl-NL"/>
        </w:rPr>
        <w:t>(Duclos et al., 2010; Goddin et al., 2013; Kolotzek et al., 2018; Marsden et al., 2013)</w:t>
      </w:r>
      <w:r w:rsidR="00D8033B">
        <w:fldChar w:fldCharType="end"/>
      </w:r>
      <w:r w:rsidR="00D8033B" w:rsidRPr="00AE56AD">
        <w:rPr>
          <w:lang w:val="nl-NL"/>
        </w:rPr>
        <w:t>.</w:t>
      </w:r>
      <w:r w:rsidR="00E87602" w:rsidRPr="00AE56AD">
        <w:rPr>
          <w:lang w:val="nl-NL"/>
        </w:rPr>
        <w:t xml:space="preserve"> </w:t>
      </w:r>
      <w:r w:rsidR="00565948">
        <w:t xml:space="preserve">As a subset of these approaches, methods have been designed that assess whether potential supply risks could affect the raw or intermediate materials supply for a specific product </w:t>
      </w:r>
      <w:r w:rsidR="00565948">
        <w:fldChar w:fldCharType="begin" w:fldLock="1"/>
      </w:r>
      <w:r w:rsidR="00D35F6A">
        <w:instrText>ADDIN CSL_CITATION {"citationItems":[{"id":"ITEM-1","itemData":{"DOI":"10.1007/s11367-015-0917-4","ISBN":"0948-3349, 1614-7502","ISSN":"0948-3349","abstract":"PurposeIntroducing a geopolitical-related supply risk (GeoPolRisk) into the life cycle sustainability assessment (LCSA) framework adds a criticality aspect to the current life cycle assessment (LCA) framework to more meaningfully address direct impacts on Natural Resource AoP. The weakness of resource indicators in LCA has been the topic of discussion within the life cycle community for some time. This paper presents a case study on how to proceed towards the integration of resource criticality assessment into LCA under the LCSA. The paper aims at highlighting the significance of introducing the GeoPolRisk indicator to complement and extend the established environmental LCA impact categories.MethodsA newly developed GeoPolRisk indicator proposed by Gemechu et al., J Ind Ecol (2015) was applied to metals used in the life cycle of an electric vehicle, and the results are compared with an attributional LCA of the same resources. The inventory data is based on the publication by Hawkins et al., J Ind Ecol 17:53–64 (2013), which provides a current, transparent, and detailed life cycle inventory data of a European representative first-generation battery small electric vehicle.Results and discussionFrom the 14 investigated metals, copper, aluminum, and steel are the most dominant elements that pose high environmental impacts. On the other hand, magnesium and neodymium show relatively higher supply risk when geopolitical elements are considered. While, the environmental indicator results all tend to point the same hotspots which arise from the substantial use of resources in the electric vehicle’s life cycle, the GeoPolRisk highlights that there are important elements present in very small amounts but crucial to the overall LCSA. It provides a complementary sustainability dimension that can be added to conventional LCA as an important extension within LCSA.ConclusionsResource challenges in a short-term time perspective can be better addressed by including social and geopolitical factors in addition to the conventional indicators which are based on their geological availability. This is more significant for modern technologies such as electronic devices in which critical resources contribute to important components. The case study advances the use of the GeoPolRisk assessment method but does still face certain limitations that need further elaboration; however, directions for future research are promising.","author":[{"dropping-particle":"","family":"Gemechu","given":"Eskinder D.","non-dropping-particle":"","parse-names":false,"suffix":""},{"dropping-particle":"","family":"Sonnemann","given":"Guido","non-dropping-particle":"","parse-names":false,"suffix":""},{"dropping-particle":"","family":"Young","given":"Steven B.","non-dropping-particle":"","parse-names":false,"suffix":""}],"container-title":"The International Journal of Life Cycle Assessment","id":"ITEM-1","issue":"1","issued":{"date-parts":[["2017"]]},"page":"31-39","publisher":"The International Journal of Life Cycle Assessment","title":"Geopolitical-related supply risk assessment as a complement to environmental impact assessment: the case of electric vehicles","type":"article-journal","volume":"22"},"uris":["http://www.mendeley.com/documents/?uuid=7326980c-fd80-48f0-a4a5-0a36d6f8d608"]},{"id":"ITEM-2","itemData":{"DOI":"10.1016/j.jclepro.2017.06.063","ISSN":"09596526","abstract":"The diversity of materials employed in modern products and the complexity of globalized supply chains raise the importance of assessing supply risk of commodity inputs to product systems. Therefore, this article extends the Geopolitical Supply Risk methodology by proposing a characterization model to quantify product supply risk in relation to a functional unit under the Life Cycle Sustainability Assessment framework. The characterization model is based on a socio-economic cause-effect mechanism drawing upon supply chain resilience concepts. Supply risk – or “criticality” – of a given “intermediate product” is defined as the multiple of probability of supply disruption and vulnerability to supply disruption. Two embodiments of the characterization model are proposed, each supplementing the previously developed probability indicators with different indicators for vulnerability. They are demonstrated with a comparative case study of an electric vehicle and internal combustion engine vehicle. The results are highly sensitive to how vulnerability is measured, and a number of methodological complications arise. The most promising embodiment of the characterization model “cancels out” the amounts of commodity inputs, as it can be strongly argued that every input to the product system is equally important for product performance as expressed by the functional unit. Thus, the Geopolitical Supply Risk characterization model shows the importance of integrating raw material criticality considerations into Life Cycle Sustainability Assessment to better inform management decisions at a product level.","author":[{"dropping-particle":"","family":"Cimprich","given":"Alexander","non-dropping-particle":"","parse-names":false,"suffix":""},{"dropping-particle":"","family":"Young","given":"Steven B.","non-dropping-particle":"","parse-names":false,"suffix":""},{"dropping-particle":"","family":"Helbig","given":"Christoph","non-dropping-particle":"","parse-names":false,"suffix":""},{"dropping-particle":"","family":"Gemechu","given":"Eskinder D.","non-dropping-particle":"","parse-names":false,"suffix":""},{"dropping-particle":"","family":"Thorenz","given":"Andrea","non-dropping-particle":"","parse-names":false,"suffix":""},{"dropping-particle":"","family":"Tuma","given":"Axel","non-dropping-particle":"","parse-names":false,"suffix":""},{"dropping-particle":"","family":"Sonnemann","given":"Guido","non-dropping-particle":"","parse-names":false,"suffix":""}],"container-title":"Journal of Cleaner Production","id":"ITEM-2","issued":{"date-parts":[["2017"]]},"page":"754-763","publisher":"Elsevier Ltd","title":"Extension of geopolitical supply risk methodology: Characterization model applied to conventional and electric vehicles","type":"article-journal","volume":"162"},"uris":["http://www.mendeley.com/documents/?uuid=bb850fbf-e334-4b17-8073-789ea5766e04"]},{"id":"ITEM-3","itemData":{"DOI":"10.1016/j.apenergy.2016.06.102","ISSN":"03062619","abstract":"As a result of the global warming potential of fossil fuels there has been a rapid growth in the installation of photovoltaic generating capacity in the last decade. While this market is dominated by crystalline silicon, thin-film photovoltaics are still expected to make a substantial contribution to global electricity supply in future, due both to lower production costs and to recent increases in conversion efficiency. At present, cadmium telluride (CdTe) and copper-indium-gallium diselenide (CuInxGa1−xSe2) seem to be the most promising materials and currently have a share of ≈9% of the photovoltaic market. An expected stronger market penetration by these thin-film technologies raises the question as to the supply risks associated with the constituent elements. Against this background, we report here a semi-quantitative, relative assessment of mid- to long-term supply risk associated with the elements Cd, Te, Cu, In, Ga, Se and Mo. In this approach, the supply risk is measured using 11 indicators in the four categories “Risk of Supply Reduction”, “Risk of Demand Increase”, “Concentration Risk” and “Political Risk”. In a second step, the single indicator values, which are derived from publicly accessible databases, are weighted relative to each other specifically for the case of thin film photovoltaics. For this purpose, a survey among colleagues and an Analytic Hierarchy Process (AHP) approach are used, in order to obtain a relative, element-specific value for the supply risk. The aggregation of these elemental values (based on mass share, cost share, etc.) gives an overall value for each material. Both elemental and “technology material” supply risk scores are subject to an uncertainty analysis using Monte Carlo simulation. CdTe shows slightly lower supply risk values for all aggregation options.","author":[{"dropping-particle":"","family":"Helbig","given":"Christoph","non-dropping-particle":"","parse-names":false,"suffix":""},{"dropping-particle":"","family":"Bradshaw","given":"Alex M.","non-dropping-particle":"","parse-names":false,"suffix":""},{"dropping-particle":"","family":"Kolotzek","given":"Christoph","non-dropping-particle":"","parse-names":false,"suffix":""},{"dropping-particle":"","family":"Thorenz","given":"Andrea","non-dropping-particle":"","parse-names":false,"suffix":""},{"dropping-particle":"","family":"Tuma","given":"Axel","non-dropping-particle":"","parse-names":false,"suffix":""}],"container-title":"Applied Energy","id":"ITEM-3","issued":{"date-parts":[["2016"]]},"page":"422-433","title":"Supply risks associated with CdTe and CIGS thin-film photovoltaics","type":"article-journal","volume":"178"},"uris":["http://www.mendeley.com/documents/?uuid=39188c3a-4e31-458d-8692-7ffc8f740a24"]},{"id":"ITEM-4","itemData":{"DOI":"10.1016/j.jclepro.2016.07.077","ISSN":"09596526","abstract":"With increasing demand of abiotic resources also the pollution of natural resources like water and soil has risen in the last decades due to global industrial and technological development. Thus, enhancing resource efficiency is a key goal of national and international strategies. For a comprehensive assessment of all related impacts of resource extraction and use all three sustainability dimensions have to be taken into account: economic, environmental and social aspects. Furthermore, to avoid burden shifting life cycle based methods should be applied. As companies need operational tools and approaches, a comprehensive method has been developed to measure resource efficiency of products, processes and services in the context of sustainable development (ESSENZ). Overall 21 categories are established to measure impacts on the environment, physical and socio-economic availability of the used resources as well as their societal acceptance. For the categories socio-economic availability and societal acceptance new approaches are developed and characterization factors are provided for a portfolio of 36 metals and four fossil raw materials. The introduced approach has been tested on several case studies, demonstrating that it enhances the applicability of resource efficiency to assess product systems significantly by providing an overall framework that can be adopted across sectors, using indicators and methods which are applicable and can be integrated into existing life cycle assessment based schemes.","author":[{"dropping-particle":"","family":"Bach","given":"Vanessa","non-dropping-particle":"","parse-names":false,"suffix":""},{"dropping-particle":"","family":"Berger","given":"Markus","non-dropping-particle":"","parse-names":false,"suffix":""},{"dropping-particle":"","family":"Henßler","given":"Martin","non-dropping-particle":"","parse-names":false,"suffix":""},{"dropping-particle":"","family":"Kirchner","given":"Martin","non-dropping-particle":"","parse-names":false,"suffix":""},{"dropping-particle":"","family":"Leiser","given":"Stefan","non-dropping-particle":"","parse-names":false,"suffix":""},{"dropping-particle":"","family":"Mohr","given":"Lisa","non-dropping-particle":"","parse-names":false,"suffix":""},{"dropping-particle":"","family":"Rother","given":"Elmar","non-dropping-particle":"","parse-names":false,"suffix":""},{"dropping-particle":"","family":"Ruhland","given":"Kla</w:instrText>
      </w:r>
      <w:r w:rsidR="00D35F6A" w:rsidRPr="00AE56AD">
        <w:rPr>
          <w:lang w:val="nl-NL"/>
        </w:rPr>
        <w:instrText>us","non-dropping-particle":"","parse-names":false,"suffix":""},{"dropping-particle":"","family":"Schneider","given":"Laura","non-dropping-particle":"","parse-names":false,"suffix":""},{"dropping-particle":"","family":"Tikana","given":"Ladji","non-dropping-particle":"","parse-names":false,"suffix":""},{"dropping-particle":"","family":"Volkhausen","given":"Wolfgang","non-dropping-particle":"","parse-names":false,"suffix":""},{"dropping-particle":"","family":"Walachowicz","given":"Frank","non-dropping-particle":"","parse-names":false,"suffix":""},{"dropping-particle":"","family":"Finkbeiner","given":"Matthias","non-dropping-particle":"","parse-names":false,"suffix":""}],"container-title":"Journal of Cleaner Production","id":"ITEM-4","issued":{"date-parts":[["2016"]]},"page":"118-130","publisher":"Elsevier Ltd","title":"Integrated method to assess resource efficiency – ESSENZ","type":"article-journal","volume":"137"},"uris":["http://www.mendeley.com/documents/?uuid=75f2c66a-534f-4149-9063-4b8eaf0d6491"]}],"mendeley":{"formattedCitation":"(Bach et al., 2016; Cimprich et al., 2017b; Gemechu et al., 2017; Helbig et al., 2016a)","plainTextFormattedCitation":"(Bach et al., 2016; Cimprich et al., 2017b; Gemechu et al., 2017; Helbig et al., 2016a)","previouslyFormattedCitation":"(Bach et al., 2016; Cimprich et al., 2017b; Gemechu et al., 2017; Helbig et al., 2016a)"},"properties":{"noteIndex":0},"schema":"https://github.com/citation-style-language/schema/raw/master/csl-citation.json"}</w:instrText>
      </w:r>
      <w:r w:rsidR="00565948">
        <w:fldChar w:fldCharType="separate"/>
      </w:r>
      <w:r w:rsidR="002B45EF" w:rsidRPr="002B45EF">
        <w:rPr>
          <w:noProof/>
          <w:lang w:val="nl-NL"/>
        </w:rPr>
        <w:t>(Bach et al., 2016; Cimprich et al., 2017b; Gemechu et al., 2017; Helbig et al., 2016a)</w:t>
      </w:r>
      <w:r w:rsidR="00565948">
        <w:fldChar w:fldCharType="end"/>
      </w:r>
      <w:r w:rsidR="00565948" w:rsidRPr="000A1E08">
        <w:rPr>
          <w:lang w:val="nl-NL"/>
        </w:rPr>
        <w:t>.</w:t>
      </w:r>
      <w:r w:rsidR="005B61A7" w:rsidRPr="000A1E08">
        <w:rPr>
          <w:lang w:val="nl-NL"/>
        </w:rPr>
        <w:t xml:space="preserve"> </w:t>
      </w:r>
      <w:r w:rsidR="007E6267">
        <w:t>Finally, some methods assess</w:t>
      </w:r>
      <w:r w:rsidR="005B61A7">
        <w:t xml:space="preserve"> the potential supply shortage of raw materials for future generations </w:t>
      </w:r>
      <w:r w:rsidR="005B61A7">
        <w:fldChar w:fldCharType="begin" w:fldLock="1"/>
      </w:r>
      <w:r w:rsidR="00D35F6A">
        <w:instrText>ADDIN CSL_CITATION {"citationItems":[{"id":"ITEM-1","itemData":{"DOI":"10.1021/es203534z","ISSN":"1520-5851","PMID":"22191617","abstract":"A comprehensive methodology has been created to quantify the degree of criticality of the metals of the periodic table. In this paper, we present and discuss the methodology, which is comprised of three dimensions: supply risk, environmental implications, and vulnerability to supply restriction. Supply risk differs with the time scale (medium or long), and at its more complex involves several components, themselves composed of a number of distinct indicators drawn from readily available peer-reviewed indexes and public information. Vulnerability to supply restriction differs with the organizational level (i.e., global, national, and corporate). The criticality methodology, an enhancement of a United States National Research Council template, is designed to help corporate, national, and global stakeholders conduct risk evaluation and to inform resource utilization and strategic decision-making. Although we believe our methodological choices lead to the most robust results, the framework has been constructed to permit flexibility by the user. Specific indicators can be deleted or added as desired and weighted as the user deems appropriate. The value of each indicator will evolve over time, and our future research will focus on this evolution. The methodology has proven to be sufficiently robust as to make it applicable across the entire spectrum of metals and organizational levels and provides a structural approach that reflects the multifaceted factors influencing the availability of metals in the 21st century.","author":[{"dropping-particle":"","family":"Graedel","given":"T E","non-dropping-particle":"","parse-names":false,"suffix":""},{"dropping-particle":"","family":"Barr","given":"Rachel","non-dropping-particle":"","parse-names":false,"suffix":""},{"dropping-particle":"","family":"Chandler","given":"Chelsea","non-dropping-particle":"","parse-names":false,"suffix":""},{"dropping-particle":"","family":"Chase","given":"Thomas","non-dropping-particle":"","parse-names":false,"suffix":""},{"dropping-particle":"","family":"Choi","given":"Joanne","non-dropping-particle":"","parse-names":false,"suffix":""},{"dropping-particle":"","family":"Christoffersen","given":"Lee","non-dropping-particle":"","parse-names":false,"suffix":""},{"dropping-particle":"","family":"Friedlander","given":"Elizabeth","non-dropping-particle":"","parse-names":false,"suffix":""},{"dropping-particle":"","family":"Henly","given":"Claire","non-dropping-particle":"","parse-names":false,"suffix":""},{"dropping-particle":"","family":"Jun","given":"Christine","non-dropping-particle":"","parse-names":false,"suffix":""},{"dropping-particle":"","family":"Nassar","given":"Nedal T","non-dropping-particle":"","parse-names":false,"suffix":""},{"dropping-particle":"","family":"Schechner","given":"Daniel","non-dropping-particle":"","parse-names":false,"suffix":""},{"dropping-particle":"","family":"Warren","given":"Simon","non-dropping-particle":"","parse-names":false,"suffix":""},{"dropping-particle":"","family":"Yang","given":"Man-Yu","non-dropping-particle":"","parse-names":false,"suffix":""},{"dropping-particle":"","family":"Zhu","given":"Charles","non-dropping-particle":"","parse-names":false,"suffix":""}],"container-title":"Environmental science &amp; technology","id":"ITEM-1","issue":"2","issued":{"date-parts":[["2012","1","17"]]},"page":"1063-70","title":"Methodology of metal criticality determination.","type":"article-journal","volume":"46"},"uris":["http://www.mendeley.com/documents/?uuid=49fe8c5a-84cb-4122-83ad-d3acfeddefaa"]},{"id":"ITEM-2","itemData":{"DOI":"10.1111/jiec.12624","ISSN":"10881980","author":[{"dropping-particle":"","family":"Calvo","given":"Guiomar","non-dropping-particle":"","parse-names":false,"suffix":""},{"dropping-particle":"","family":"Valero","given":"Alicia","non-dropping-particle":"","parse-names":false,"suffix":""},{"dropping-particle":"","family":"Valero","given":"Antonio","non-dropping-particle":"","parse-names":false,"suffix":""}],"container-title":"Journal of Industrial Ecology","id":"ITEM-2","issue":"0","issued":{"date-parts":[["2017"]]},"title":"Thermodynamic Approach to Evaluate the Criticality of Raw Materials and Its Application through a Material Flow Analysis in Europe","type":"article-journal","volume":"00"},"uris":["http://www.mendeley.com/documents/?uuid=eb220a6d-f9d5-413c-a723-606cf0fecf8e"]}],"mendeley":{"formattedCitation":"(Calvo et al., 2017; Graedel et al., 2012)","plainTextFormattedCitation":"(Calvo et al., 2017; Graedel et al., 2012)","previouslyFormattedCitation":"(Calvo et al., 2017; Graedel et al., 2012)"},"properties":{"noteIndex":0},"schema":"https://github.com/citation-style-language/schema/raw/master/csl-citation.json"}</w:instrText>
      </w:r>
      <w:r w:rsidR="005B61A7">
        <w:fldChar w:fldCharType="separate"/>
      </w:r>
      <w:r w:rsidR="002B45EF" w:rsidRPr="002B45EF">
        <w:rPr>
          <w:noProof/>
        </w:rPr>
        <w:t>(Calvo et al., 2017; Graedel et al., 2012)</w:t>
      </w:r>
      <w:r w:rsidR="005B61A7">
        <w:fldChar w:fldCharType="end"/>
      </w:r>
      <w:r w:rsidR="005B61A7">
        <w:t xml:space="preserve">.  </w:t>
      </w:r>
    </w:p>
    <w:p w14:paraId="75533B3C" w14:textId="625194FE" w:rsidR="00D368A1" w:rsidRDefault="00FB73F1" w:rsidP="00863B14">
      <w:pPr>
        <w:spacing w:line="480" w:lineRule="auto"/>
        <w:jc w:val="both"/>
      </w:pPr>
      <w:r>
        <w:fldChar w:fldCharType="begin"/>
      </w:r>
      <w:r>
        <w:instrText xml:space="preserve"> REF _Ref11935609 \h </w:instrText>
      </w:r>
      <w:r w:rsidR="00FF01D3">
        <w:instrText xml:space="preserve"> \* MERGEFORMAT </w:instrText>
      </w:r>
      <w:r>
        <w:fldChar w:fldCharType="separate"/>
      </w:r>
      <w:r>
        <w:t xml:space="preserve">Table </w:t>
      </w:r>
      <w:r>
        <w:rPr>
          <w:noProof/>
        </w:rPr>
        <w:t>1</w:t>
      </w:r>
      <w:r>
        <w:fldChar w:fldCharType="end"/>
      </w:r>
      <w:r w:rsidR="001B1D43">
        <w:fldChar w:fldCharType="begin"/>
      </w:r>
      <w:r w:rsidR="001B1D43">
        <w:instrText xml:space="preserve"> REF _Ref8405448 \h </w:instrText>
      </w:r>
      <w:r w:rsidR="00FF01D3">
        <w:instrText xml:space="preserve"> \* MERGEFORMAT </w:instrText>
      </w:r>
      <w:r w:rsidR="001B1D43">
        <w:fldChar w:fldCharType="end"/>
      </w:r>
      <w:r w:rsidR="001B1D43">
        <w:t xml:space="preserve"> </w:t>
      </w:r>
      <w:r w:rsidR="002D0E0D">
        <w:t>shows that s</w:t>
      </w:r>
      <w:r w:rsidR="005C53DB">
        <w:t>tudies do not always</w:t>
      </w:r>
      <w:r w:rsidR="00D368A1">
        <w:t xml:space="preserve"> specify a geographical scope, except for most criticality assessments for national or regional economies. Regarding the time horizon, most studies evaluate criticality for the status quo. A few studies make future projections</w:t>
      </w:r>
      <w:r w:rsidR="00D368A1" w:rsidRPr="00DB3646">
        <w:t xml:space="preserve">, </w:t>
      </w:r>
      <w:r w:rsidR="00D368A1" w:rsidRPr="0068341E">
        <w:t>e.g. K</w:t>
      </w:r>
      <w:r w:rsidR="00D368A1">
        <w:t xml:space="preserve">IRAM/KITECH for the </w:t>
      </w:r>
      <w:r w:rsidR="003016DE">
        <w:t xml:space="preserve">Korean economy in the </w:t>
      </w:r>
      <w:r w:rsidR="00D368A1">
        <w:t xml:space="preserve">year 2020, US DOE </w:t>
      </w:r>
      <w:r w:rsidR="00246180">
        <w:t xml:space="preserve">(2010 and 2011) </w:t>
      </w:r>
      <w:r w:rsidR="00D368A1">
        <w:t xml:space="preserve">for </w:t>
      </w:r>
      <w:r w:rsidR="00981F99">
        <w:t>clean energy materials in</w:t>
      </w:r>
      <w:r w:rsidR="00246180">
        <w:t xml:space="preserve"> 2011-2016 and </w:t>
      </w:r>
      <w:r w:rsidR="00B71418">
        <w:t>2016-2026</w:t>
      </w:r>
      <w:r w:rsidR="00D368A1">
        <w:t>,</w:t>
      </w:r>
      <w:r w:rsidR="0024779E">
        <w:t xml:space="preserve"> </w:t>
      </w:r>
      <w:r w:rsidR="00D368A1">
        <w:t xml:space="preserve">OECD </w:t>
      </w:r>
      <w:r w:rsidR="00491E03">
        <w:t>(</w:t>
      </w:r>
      <w:proofErr w:type="spellStart"/>
      <w:r w:rsidR="00491E03">
        <w:t>Organisation</w:t>
      </w:r>
      <w:proofErr w:type="spellEnd"/>
      <w:r w:rsidR="00491E03">
        <w:t xml:space="preserve"> for Economic Co</w:t>
      </w:r>
      <w:r w:rsidR="009619FB">
        <w:t>-</w:t>
      </w:r>
      <w:r w:rsidR="00491E03">
        <w:t xml:space="preserve">operation and Development) </w:t>
      </w:r>
      <w:r w:rsidR="00D368A1">
        <w:t xml:space="preserve">for the </w:t>
      </w:r>
      <w:r w:rsidR="0049139D">
        <w:t xml:space="preserve">OECD economies in the </w:t>
      </w:r>
      <w:r w:rsidR="00D368A1">
        <w:t xml:space="preserve">year 2030 </w:t>
      </w:r>
      <w:r w:rsidR="00D368A1">
        <w:fldChar w:fldCharType="begin" w:fldLock="1"/>
      </w:r>
      <w:r w:rsidR="00D35F6A">
        <w:instrText>ADDIN CSL_CITATION {"citationItems":[{"id":"ITEM-1","itemData":{"DOI":"http://dx.doi.org/10.1787/5jrtknwm5hr5-en","ISBN":"91","abstract":"The purpose of this report is to perform for the first time an analysis of critical minerals for the OECD countries as a whole. In addition, this is done not only today, as previous reports have done, but also in 2030, in order to form an initial picture of how possible trends in economic development will affect which minerals are critical in the long-run future. The 51 different minerals are included in the analysis. Three measures of mineral supply risk are used: 1. substitutability, 2. recycling rates and 3. the concentration of production in countries that are judged by international datasets to be relatively politically unstable. Physical scarcity is not considered to be a source of supply risk, certainly in the short term. The analysis identifies around 12 to 20 minerals or minerals groups, which are critical in the OECD today. The results are highly mineral-specific, with some minerals requiring huge increases in substitutability and/or recycling from a low base, while others require only small improvements.","author":[{"dropping-particle":"","family":"Coulomb","given":"Renaud","non-dropping-particle":"","parse-names":false,"suffix":""},{"dropping-particle":"","family":"Dietz","given":"Simon","non-dropping-particle":"","parse-names":false,"suffix":""},{"dropping-particle":"","family":"Godunova","given":"Maria","non-dropping-particle":"","parse-names":false,"suffix":""},{"dropping-particle":"","family":"Nielsen","given":"Thomas Bligaard","non-dropping-particle":"","parse-names":false,"suffix":""}],"container-title":"OECD Environment Working Papers","id":"ITEM-1","issue":"91","issued":{"date-parts":[["2015"]]},"page":"0_1,3-5,8-49","title":"Critical Minerals Today and in 2030: AN ANALYSIS FOR OECD COUNTRIES","type":"article-journal"},"uris":["http://www.mendeley.com/documents/?uuid=54347e9d-13a9-42dc-81a3-2eaf4955e82a"]}],"mendeley":{"formattedCitation":"(Coulomb et al., 2015)","plainTextFormattedCitation":"(Coulomb et al., 2015)","previouslyFormattedCitation":"(Coulomb et al., 2015)"},"properties":{"noteIndex":0},"schema":"https://github.com/citation-style-language/schema/raw/master/csl-citation.json"}</w:instrText>
      </w:r>
      <w:r w:rsidR="00D368A1">
        <w:fldChar w:fldCharType="separate"/>
      </w:r>
      <w:r w:rsidR="002B45EF" w:rsidRPr="002B45EF">
        <w:rPr>
          <w:noProof/>
        </w:rPr>
        <w:t>(Coulomb et al., 2015)</w:t>
      </w:r>
      <w:r w:rsidR="00D368A1">
        <w:fldChar w:fldCharType="end"/>
      </w:r>
      <w:r w:rsidR="00D368A1">
        <w:t xml:space="preserve">, Habib and Wenzel for </w:t>
      </w:r>
      <w:r w:rsidR="0049139D">
        <w:t xml:space="preserve">the deployment of wind energy up to the year </w:t>
      </w:r>
      <w:r w:rsidR="00D368A1">
        <w:t xml:space="preserve">2050 </w:t>
      </w:r>
      <w:r w:rsidR="00D368A1">
        <w:fldChar w:fldCharType="begin" w:fldLock="1"/>
      </w:r>
      <w:r w:rsidR="00EA759B">
        <w:instrText>ADDIN CSL_CITATION {"citationItems":[{"id":"ITEM-1","itemData":{"DOI":"10.1016/j.jclepro.2015.07.064","ISSN":"09596526","abstract":"The recent debate on potential resource constraints for the broad scale implementation of clean energy technologies in future has led to wider concern across the board. This concern, among others, lies behind growing research in the field of so-called resource criticality. This study is a review of existing resource criticality assessment methodologies. It characterizes and analyses existing methods and identifies aspects of concern for the ability of assessment methods to provide proper guidance for strategy making in the field of energy system development. The validity of the identified concerns is, further, demonstrated by applying a case study of resource criticality assessment of the direct-drive wind turbines technology. Two key concerns are identified. The first is the need for a dynamic perspective on the supply risk dimension. This study reveals that the geological reserve estimates and geographical location of supply change significantly over time, implying that the static supply risk assessment provided by many methods gives misleading guidance. The second concern is the ability of methods to properly account for the vulnerability of the studied system to a supply disruption of the resource in question. Through the case study, the options for resource substitution are elaborated for wind turbines by applying a holistic design approach looking at all levels of design substitutions from the level of materials and components to subassemblies and whole-product concepts. This approach reveals that the dependence of substances like neodymium and dysprosium is not strong, and that they are not essential to the wider implementation of direct-drive wind turbines in general. This technology specific and product design based approach is new, and questions the ability of existing methods to properly address the impact that the risk of supply disruption of a given resource really has on the technological and economic development of a system or technology under study.","author":[{"dropping-particle":"","family":"Habib","given":"Komal","non-dropping-particle":"","parse-names":false,"suffix":""},{"dropping-particle":"","family":"Wenzel","given":"Henrik","non-dropping-particle":"","parse-names":false,"suffix":""}],"container-title":"Journal of Cleaner Production","id":"ITEM-1","issued":{"date-parts":[["2016"]]},"page":"3852-3863","publisher":"Elsevier Ltd","title":"Reviewing resource criticality assessment from a dynamic and technology specific perspective - Using the case of direct-drive wind turbines","type":"article-journal","volume":"112"},"uris":["http://www.mendeley.com/documents/?uuid=e6ac4a02-8390-4c38-94e7-864df53526dd"]}],"mendeley":{"formattedCitation":"(Habib and Wenzel, 2016)","plainTextFormattedCitation":"(Habib and Wenzel, 2016)","previouslyFormattedCitation":"(Habib and Wenzel, 2016)"},"properties":{"noteIndex":0},"schema":"https://github.com/citation-style-language/schema/raw/master/csl-citation.json"}</w:instrText>
      </w:r>
      <w:r w:rsidR="00D368A1">
        <w:fldChar w:fldCharType="separate"/>
      </w:r>
      <w:r w:rsidR="00EA759B" w:rsidRPr="00EA759B">
        <w:rPr>
          <w:noProof/>
        </w:rPr>
        <w:t>(Habib and Wenzel, 2016)</w:t>
      </w:r>
      <w:r w:rsidR="00D368A1">
        <w:fldChar w:fldCharType="end"/>
      </w:r>
      <w:r w:rsidR="00D368A1">
        <w:t xml:space="preserve">, </w:t>
      </w:r>
      <w:r w:rsidR="00043F2B">
        <w:t xml:space="preserve">Moss et al. for low-carbon energy technologies up to 2050 </w:t>
      </w:r>
      <w:r w:rsidR="00043F2B">
        <w:fldChar w:fldCharType="begin" w:fldLock="1"/>
      </w:r>
      <w:r w:rsidR="00D35F6A">
        <w:instrText>ADDIN CSL_CITATION {"citationItems":[{"id":"ITEM-1","itemData":{"DOI":"10.2790/46338","ISBN":"9789279303906","abstract":"In order to tackle climate change, to increase energy supply security and to foster the sustainability and competitiveness of the European economy, the EU has made the transition to a low-carbon economy a central policy priority. This report builds on the first study conducted by the JRC in 2011 (Critical Metals in Strategic Energy Technologies), where critical metals were identified, which could become a bottleneck to the supply-chain of the low-carbon energy technologies addressed by the Strategic Energy Technology Plan (SET-Plan), namely: wind, solar (both PV and CSP), CCS, nuclear fission, bioenergy and the electricity grid. Fourteen metals were identified to be a cause for concern. After taking into account market and geopolitical parameters, five metals were labelled ‘critical’, namely: tellurium, indium, gallium, neodymi- um and dysprosium. The potential supply chain constraints for these materials were most applicable to the deployment of wind and PV energy technologies. In the follow-up study reported here, other energy and low-carbon technologies are investigated that not only play an important role in the EU's path towards decarbonisation but also may compete for the same metals as identified in the six SET-Plan technologies. Eleven technologies are analysed including fuel cells, electricity storage, electric vehicles and lighting. As in the first report, sixty metals, i.e. metallic elements, metallic minerals and metalloids are considered; only iron, aluminium and radioactive elements (used as fuel in nuclear plants) were specifically excluded. Graphite was also included, reflecting its status as one of the critical raw materials identified by the EU Raw Materials Initiative. Where possible, the study models the implications for materials demand as a result of the scenarios described in the EU Energy Roadmap 2050. Consequently, the results obtained in the first study are updated to reflect the data that has become available in the roadmap. This second study found that eight metals have a high criticality rating and are therefore classified as ‘critical’. These are the six rare earth elements (dysprosium, europium, terbium, yttrium, praseodymium and neodymium), and the two metals gallium and tellurium. Four metals (graphite, rhenium, indium and platinum) are found to have a medium-to-high rating and are classified as 'near critical', suggesting that the market conditions for these metals should be monitored in case the markets for these metal…","author":[{"dropping-particle":"","family":"Moss","given":"R.","non-dropping-particle":"","parse-names":false,"suffix":""},{"dropping-particle":"","family":"Tzimas","given":"E.","non-dropping-particle":"","parse-names":false,"suffix":""},{"dropping-particle":"","family":"Willis","given":"P.","non-dropping-particle":"","parse-names":false,"suffix":""},{"dropping-particle":"","family":"Arendorf","given":"J.","non-dropping-particle":"","parse-names":false,"suffix":""},{"dropping-particle":"","family":"Thompson","given":"P.","non-dropping-particle":"","parse-names":false,"suffix":""},{"dropping-particle":"","family":"Chapman","given":"A.","non-dropping-particle":"","parse-names":false,"suffix":""},{"dropping-particle":"","family":"Morley","given":"N.","non-dropping-particle":"","parse-names":false,"suffix":""},{"dropping-particle":"","family":"Sims","given":"E.","non-dropping-particle":"","parse-names":false,"suffix":""},{"dropping-particle":"","family":"Bryson","given":"R.","non-dropping-particle":"","parse-names":false,"suffix":""},{"dropping-particle":"","family":"Peason","given":"J.","non-dropping-particle":"","parse-names":false,"suffix":""},{"dropping-particle":"","family":"Tercero Espinoza","given":"L.","non-dropping-particle":"","parse-names":false,"suffix":""},{"dropping-particle":"","family":"Marscheider-Weidemann","given":"F.","non-dropping-particle":"","parse-names":false,"suffix":""},{"dropping-particle":"","family":"Soulier","given":"M.","non-dropping-particle":"","parse-names":false,"suffix":""},{"dropping-particle":"","family":"Lüllmann","given":"A.","non-dropping-particle":"","parse-names":false,"suffix":""},{"dropping-particle":"","family":"Sartorius","given":"C.","non-dropping-particle":"","parse-names":false,"suffix":""},{"dropping-particle":"","family":"Ostertag","given":"K.","non-dropping-particle":"","parse-names":false,"suffix":""}],"id":"ITEM-1","issued":{"date-parts":[["2013"]]},"number-of-pages":"1-246","title":"Critical Metals in the Path towards the Decarbonisation of the EU Energy Sector.","type":"report"},"uris":["http://www.mendeley.com/documents/?uuid=a4792e81-ae7c-4103-a1e6-25140af03b8f"]}],"mendeley":{"formattedCitation":"(Moss et al., 2013)","plainTextFormattedCitation":"(Moss et al., 2013)","previouslyFormattedCitation":"(Moss et al., 2013)"},"properties":{"noteIndex":0},"schema":"https://github.com/citation-style-language/schema/raw/master/csl-citation.json"}</w:instrText>
      </w:r>
      <w:r w:rsidR="00043F2B">
        <w:fldChar w:fldCharType="separate"/>
      </w:r>
      <w:r w:rsidR="002B45EF" w:rsidRPr="002B45EF">
        <w:rPr>
          <w:noProof/>
        </w:rPr>
        <w:t>(Moss et al., 2013)</w:t>
      </w:r>
      <w:r w:rsidR="00043F2B">
        <w:fldChar w:fldCharType="end"/>
      </w:r>
      <w:r w:rsidR="00B81FFC">
        <w:t xml:space="preserve"> </w:t>
      </w:r>
      <w:r w:rsidR="00D368A1">
        <w:t xml:space="preserve">and </w:t>
      </w:r>
      <w:proofErr w:type="spellStart"/>
      <w:r w:rsidR="00D368A1">
        <w:t>Oakdene</w:t>
      </w:r>
      <w:proofErr w:type="spellEnd"/>
      <w:r w:rsidR="00D368A1">
        <w:t xml:space="preserve"> Hollins for </w:t>
      </w:r>
      <w:r w:rsidR="00413339">
        <w:t xml:space="preserve">global use up to the </w:t>
      </w:r>
      <w:r w:rsidR="00D368A1">
        <w:t xml:space="preserve">year 2050 </w:t>
      </w:r>
      <w:r w:rsidR="00D368A1">
        <w:lastRenderedPageBreak/>
        <w:fldChar w:fldCharType="begin" w:fldLock="1"/>
      </w:r>
      <w:r w:rsidR="00D35F6A">
        <w:instrText>ADDIN CSL_CITATION {"citationItems":[{"id":"ITEM-1","itemData":{"ISBN":"9781906237035","ISSN":"0040-5965","PMID":"1020016","abstract":"The climate of waste management is changing into one of resource recovery. The public awareness of ‘green issues’ means that many companies are including real environmental targets within their corporate social responsibility statements, an approach supported by BERR. End of life and indeed ‘second life’ issues of products such as cars and electronics are now becoming eco-design development criteria. The larger waste handling companies are becoming recycling organisations as opposed to logistic specialists and increasing their portfolio of innovation technologies in everything from thermal recovery unit to advanced material separation plants. It has been demonstrated many times that good design can aid recovery of materials for them to be used again. Good design complemented by effective collection, reuse and recycling of the materials we already have will help ensure their long-term availability. The conclusion of this report not only points out the size of challenge facing us but also the opportunity for UK companies to take a world wide lead to avert a material supply crisis.","author":[{"dropping-particle":"","family":"Morley","given":"Nick","non-dropping-particle":"","parse-names":false,"suffix":""},{"dropping-particle":"","family":"Eatherley","given":"Dan","non-dropping-particle":"","parse-names":false,"suffix":""}],"id":"ITEM-1","issued":{"date-parts":[["2008"]]},"number-of-pages":"288","title":"Material Security - Ensuring Resource Availability for the UK Economy","type":"book"},"uris":["http://www.mendeley.com/documents/?uuid=cf8cd3f3-218f-4bfa-8ff3-51ba9da58247"]}],"mendeley":{"formattedCitation":"(Morley and Eatherley, 2008)","plainTextFormattedCitation":"(Morley and Eatherley, 2008)","previouslyFormattedCitation":"(Morley and Eatherley, 2008)"},"properties":{"noteIndex":0},"schema":"https://github.com/citation-style-language/schema/raw/master/csl-citation.json"}</w:instrText>
      </w:r>
      <w:r w:rsidR="00D368A1">
        <w:fldChar w:fldCharType="separate"/>
      </w:r>
      <w:r w:rsidR="002B45EF" w:rsidRPr="002B45EF">
        <w:rPr>
          <w:noProof/>
        </w:rPr>
        <w:t>(Morley and Eatherley, 2008)</w:t>
      </w:r>
      <w:r w:rsidR="00D368A1">
        <w:fldChar w:fldCharType="end"/>
      </w:r>
      <w:r w:rsidR="00D368A1">
        <w:t>.</w:t>
      </w:r>
      <w:r w:rsidR="00DB6031">
        <w:t xml:space="preserve"> </w:t>
      </w:r>
      <w:r w:rsidR="00154D33">
        <w:t xml:space="preserve">Studies classified as “dynamic criticality studies” </w:t>
      </w:r>
      <w:r w:rsidR="00690FDF">
        <w:t>investigate</w:t>
      </w:r>
      <w:r w:rsidR="00154D33">
        <w:t xml:space="preserve"> the development of criticality indicators in the past, with the purpose </w:t>
      </w:r>
      <w:r w:rsidR="00CD2489">
        <w:t>of identifying</w:t>
      </w:r>
      <w:r w:rsidR="00154D33">
        <w:t xml:space="preserve"> trends of increasing or decreasing criticality</w:t>
      </w:r>
      <w:r w:rsidR="00B457B0">
        <w:t xml:space="preserve"> </w:t>
      </w:r>
      <w:r w:rsidR="00B457B0">
        <w:fldChar w:fldCharType="begin" w:fldLock="1"/>
      </w:r>
      <w:r w:rsidR="00E7237E">
        <w:instrText>ADDIN CSL_CITATION {"citationItems":[{"id":"ITEM-1","itemData":{"DOI":"10.1007/s13563-017-0119-6","ISSN":"21912211","abstract":"Increasing reliance on non-renewable mineral resources reinforces the need for identifying potential supply constraints before they occur. The US National Science and Technology Council recently released a report that outlines a methodology for screening potentially critical minerals based on three indicators: supply risk (R), production growth (G), and market dynamics (M). This early-warning screening was initially applied to 78 minerals across the years 1996 to 2013 and identified a subset of minerals as “potentially critical” based on the geometric average of these indicators—designated as criticality potential (C). In this study, the screening methodology has been updated to include data for 2014, as well as to incorporate revisions and modifications to the data, where applicable. Overall, C declined in 2014 for the majority of minerals examined largely due to decreases in production concentration and price volatility. However, the results vary considerably across minerals, with some minerals, such as gallium, recording increases for all three indicators. In addition to assessing magnitudinal changes, this analysis also examines the significance of the change relative to historical variation for each mineral. For example, although mined nickel’s R declined modestly in 2014 in comparison to that of other minerals, it was by far the largest annual change recorded for mined nickel across all years examined and is attributable to Indonesia’s ban on the export of unprocessed minerals. Based on the 2014 results, 20 minerals with the highest C values have been identified for further study including the rare earths, gallium, germanium, rhodium, tantalum, and tungsten.","author":[{"dropping-particle":"","family":"McCullough","given":"Erin","non-dropping-particle":"","parse-names":false,"suffix":""},{"dropping-particle":"","family":"Nassar","given":"Nedal T.","non-dropping-particle":"","parse-names":false,"suffix":""}],"container-title":"Mineral Economics","id":"ITEM-1","issue":"3","issued":{"date-parts":[["2017"]]},"page":"257-272","publisher":"Mineral Economics","title":"Assessment of critical minerals: updated application of an early-warning screening methodology","type":"article-journal","volume":"30"},"uris":["http://www.mendeley.com/documents/?uuid=8182ba90-5cce-4265-8eaf-af581e1fcb8a"]},{"id":"ITEM-2","itemData":{"author":[{"dropping-particle":"","family":"Goddin","given":"James R.J.","non-dropping-particle":"","parse-names":false,"suffix":""}],"container-title":"Critical Materials - Underlying Causes and Sustainable Mitigation Strategies","editor":[{"dropping-particle":"","family":"Offerman","given":"S. Erik","non-dropping-particle":"","parse-names":false,"suffix":""}],"id":"ITEM-2","issued":{"date-parts":[["2019"]]},"page":"117-150","publisher":"World Scientific Publishing Co. Pte. Ltd.","publisher-place":"Singapore","title":"Identifying Supply Chain Risks for Critical and Strategic Materials","type":"chapter"},"uris":["http://www.mendeley.com/documents/?uuid=362dc362-ed9f-48f1-99c0-6853aeb1454d"]},{"id":"ITEM-3","itemData":{"DOI":"10.1016/j.apenergy.2014.01.052","ISBN":"0306-2619","ISSN":"03062619","abstract":"Decarbonisation of existing infrastructure systems requires a dynamic roll-out of technology at an unprecedented scale. The potential disruption in supply of critical materials could endanger such a transition to low-carbon infrastructure and, by extension, compromise energy security more broadly because low carbon technologies are reliant on these materials in a way that fossil-fuelled energy infrastructure is not. Criticality is currently defined as the combination of the potential for supply disruption and the exposure of a system of interest to that disruption. We build on this definition and develop a dynamic approach to quantifying criticality, which monitors the change in criticality during the transition towards a low-carbon infrastructure goal. This allows us to assess the relative risk of different technology pathways to reach a particular goal and reduce the probability of being 'locked in' to currently attractive but potentially future-critical technologies. To demonstrate, we apply our method to criticality of the proposed UK electricity system transition, with a focus on neodymium. We anticipate that the supply disruption potential of neodymium will decrease by almost 30% by 2050; however, our results show the criticality of low carbon electricity production increases ninefold over this period, as a result of increasing exposure to neodymium-reliant technologies. © 2014 The Authors.","author":[{"dropping-particle":"","family":"Roelich","given":"Katy","non-dropping-particle":"","parse-names":false,"suffix":""},{"dropping-particle":"","family":"Dawson","given":"David A.","non-dropping-particle":"","parse-names":false,"suffix":""},{"dropping-particle":"","family":"Purnell","given":"Phil","non-dropping-particle":"","parse-names":false,"suffix":""},{"dropping-particle":"","family":"Knoeri","given":"Christof","non-dropping-particle":"","parse-names":false,"suffix":""},{"dropping-particle":"","family":"Revell","given":"Ruairi","non-dropping-particle":"","parse-names":false,"suffix":""},{"dropping-particle":"","family":"Busch","given":"Jonathan","non-dropping-particle":"","parse-names":false,"suffix":""},{"dropping-particle":"","family":"Steinberger","given":"Julia K.","non-dropping-particle":"","parse-names":false,"suffix":""}],"container-title":"Applied Energy","id":"ITEM-3","issued":{"date-parts":[["2014"]]},"page":"378-386","publisher":"Elsevier Ltd","title":"Assessing the dynamic material criticality of infrastructure transitions: A case of low carbon electricity","type":"article-journal","volume":"123"},"uris":["http://www.mendeley.com/documents/?uuid=9821f7dd-c85f-49a3-9519-89014b8a81f9"]},{"id":"ITEM-4","itemData":{"DOI":"10.1016/j.jclepro.2016.05.118","ISSN":"09596526","abstract":"Metals are distributed in the earth's crust in varying amounts and ore concentrations, implying that some countries have more metal resources than others. This inequality in geological resource distribution may lead to potential constraints and bottlenecks of a steady resource supply. In the context of strategic planning and innovation, and in scientific literature, this aspect is often referred to as geopolitical supply risk. In the past few decades, cobalt crisis, the oil embargo, and the more recent Rare Earth Elements (REEs) issue are the best examples regarding the geopolitical supply risk of mineral resources. The aim of this study is to present a historical overview of the development in geopolitical supply risk of 52 metals during the past two decades and to support an assessment of such risk in the future, i.e. 2050. A geographical mapping of metals primary production in 1994 and 2013 is included which shows a shift from developed economies to developing economies over this time period. Our analysis demonstrates that the geopolitical supply risk of metals has been fluctuating during the past two decades due to change in the number and production share of producing countries. During this time period, Chinese share of global metals production has increased from 23% to 44%. China, today, is also the dominant supplier of 34 metals, out of which 23 are considered as critical resources by the European Commission. The future geopolitical supply risk is less dependent on the present production distribution and more dependent on the location of current geological resources and the future discoveries, as well as on the technological development to improve profitability of mining the currently sub-economical resources.","author":[{"dropping-particle":"","family":"Habib","given":"Komal","non-dropping-particle":"","parse-names":false,"suffix":""},{"dropping-particle":"","family":"Hamelin","given":"Lorie","non-dropping-particle":"","parse-names":false,"suffix":""},{"dropping-particle":"","family":"Wenzel","given":"Henrik","non-dropping-particle":"","parse-names":false,"suffix":""}],"container-title":"Journal of Cleaner Production","id":"ITEM-4","issued":{"date-parts":[["2016"]]},"page":"850-858","publisher":"Elsevier Ltd","title":"A dynamic perspective of the geopolitical supply risk of metals","type":"article-journal","volume":"133"},"uris":["http://www.mendeley.com/documents/?uuid=2edb13fa-0bbf-4dc8-b831-0285fd779919"]},{"id":"ITEM-5","itemData":{"DOI":"10.1016/j.jclepro.2015.07.064","ISSN":"09596526","abstract":"The recent debate on potential resource constraints for the broad scale implementation of clean energy technologies in future has led to wider concern across the board. This concern, among others, lies behind growing research in the field of so-called resource criticality. This study is a review of existing resource criticality assessment methodologies. It characterizes and analyses existing methods and identifies aspects of concern for the ability of assessment methods to provide proper guidance for strategy making in the field of energy system development. The validity of the identified concerns is, further, demonstrated by applying a case study of resource criticality assessment of the direct-drive wind turbines technology. Two key concerns are identified. The first is the need for a dynamic perspective on the supply risk dimension. This study reveals that the geological reserve estimates and geographical location of supply change significantly over time, implying that the static supply risk assessment provided by many methods gives misleading guidance. The second concern is the ability of methods to properly account for the vulnerability of the studied system to a supply disruption of the resource in question. Through the case study, the options for resource substitution are elaborated for wind turbines by applying a holistic design approach looking at all levels of design substitutions from the level of materials and components to subassemblies and whole-product concepts. This approach reveals that the dependence of substances like neodymium and dysprosium is not strong, and that they are not essential to the wider implementation of direct-drive wind turbines in general. This technology specific and product design based approach is new, and questions the ability of existing methods to properly address the impact that the risk of supply disruption of a given resource really has on the technological and economic development of a system or technology under study.","author":[{"dropping-particle":"","family":"Habib","given":"Komal","non-dropping-particle":"","parse-names":false,"suffix":""},{"dropping-particle":"","family":"Wenzel","given":"Henrik","non-dropping-particle":"","parse-names":false,"suffix":""}],"container-title":"Journal of Cleaner Production","id":"ITEM-5","issued":{"date-parts":[["2016"]]},"page":"3852-3863","publisher":"Elsevier Ltd","title":"Reviewing resource criticality assessment from a dynamic and technology specific perspective - Using the case of direct-drive wind turbines","type":"article-journal","volume":"112"},"uris":["http://www.mendeley.com/documents/?uuid=e6ac4a02-8390-4c38-94e7-864df53526dd"]}],"mendeley":{"formattedCitation":"(Goddin, 2019; Habib et al., 2016; Habib and Wenzel, 2016; McCullough and Nassar, 2017; Roelich et al., 2014)","plainTextFormattedCitation":"(Goddin, 2019; Habib et al., 2016; Habib and Wenzel, 2016; McCullough and Nassar, 2017; Roelich et al., 2014)","previouslyFormattedCitation":"(Goddin, 2019; Habib et al., 2016; Habib and Wenzel, 2016; McCullough and Nassar, 2017; Roelich et al., 2014)"},"properties":{"noteIndex":0},"schema":"https://github.com/citation-style-language/schema/raw/master/csl-citation.json"}</w:instrText>
      </w:r>
      <w:r w:rsidR="00B457B0">
        <w:fldChar w:fldCharType="separate"/>
      </w:r>
      <w:r w:rsidR="00EA759B" w:rsidRPr="00EA759B">
        <w:rPr>
          <w:noProof/>
        </w:rPr>
        <w:t>(Goddin, 2019; Habib et al., 2016; Habib and Wenzel, 2016; McCullough and Nassar, 2017; Roelich et al., 2014)</w:t>
      </w:r>
      <w:r w:rsidR="00B457B0">
        <w:fldChar w:fldCharType="end"/>
      </w:r>
      <w:r w:rsidR="00115893">
        <w:t>)</w:t>
      </w:r>
      <w:r w:rsidR="00690FDF">
        <w:t xml:space="preserve">. </w:t>
      </w:r>
    </w:p>
    <w:p w14:paraId="5088C92C" w14:textId="77777777" w:rsidR="00CF0E53" w:rsidRDefault="00CF0E53" w:rsidP="00863B14">
      <w:pPr>
        <w:spacing w:line="480" w:lineRule="auto"/>
        <w:jc w:val="both"/>
      </w:pPr>
    </w:p>
    <w:p w14:paraId="6063679C" w14:textId="2653BC9E" w:rsidR="00AB13CD" w:rsidRPr="00000B19" w:rsidRDefault="00EF77CF" w:rsidP="004520D4">
      <w:pPr>
        <w:pStyle w:val="Heading4"/>
        <w:numPr>
          <w:ilvl w:val="2"/>
          <w:numId w:val="58"/>
        </w:numPr>
      </w:pPr>
      <w:bookmarkStart w:id="36" w:name="_Toc10458659"/>
      <w:r w:rsidRPr="00000B19">
        <w:t>What type of risk is anticipated</w:t>
      </w:r>
      <w:r w:rsidR="007204EF" w:rsidRPr="00000B19">
        <w:t>?</w:t>
      </w:r>
      <w:bookmarkEnd w:id="36"/>
    </w:p>
    <w:p w14:paraId="5762267F" w14:textId="11C33748" w:rsidR="00E56CA1" w:rsidRDefault="00004C68" w:rsidP="00863B14">
      <w:pPr>
        <w:spacing w:line="480" w:lineRule="auto"/>
        <w:jc w:val="both"/>
      </w:pPr>
      <w:r>
        <w:rPr>
          <w:lang w:val="en-GB"/>
        </w:rPr>
        <w:t>C</w:t>
      </w:r>
      <w:r w:rsidRPr="001775A6">
        <w:rPr>
          <w:lang w:val="en-GB"/>
        </w:rPr>
        <w:t>hanges in the demand and supply of materials ha</w:t>
      </w:r>
      <w:r w:rsidR="000F5A22">
        <w:rPr>
          <w:lang w:val="en-GB"/>
        </w:rPr>
        <w:t>ve</w:t>
      </w:r>
      <w:r w:rsidR="00CF0E53">
        <w:rPr>
          <w:lang w:val="en-GB"/>
        </w:rPr>
        <w:t xml:space="preserve"> </w:t>
      </w:r>
      <w:r w:rsidRPr="001775A6">
        <w:rPr>
          <w:lang w:val="en-GB"/>
        </w:rPr>
        <w:t>led</w:t>
      </w:r>
      <w:bookmarkStart w:id="37" w:name="_GoBack"/>
      <w:bookmarkEnd w:id="37"/>
      <w:r w:rsidR="001F464C">
        <w:rPr>
          <w:lang w:val="en-GB"/>
        </w:rPr>
        <w:t>,</w:t>
      </w:r>
      <w:r w:rsidR="008F4116">
        <w:rPr>
          <w:lang w:val="en-GB"/>
        </w:rPr>
        <w:t xml:space="preserve"> at least locally</w:t>
      </w:r>
      <w:r w:rsidR="001F464C">
        <w:rPr>
          <w:lang w:val="en-GB"/>
        </w:rPr>
        <w:t>,</w:t>
      </w:r>
      <w:r w:rsidR="008F4116">
        <w:rPr>
          <w:lang w:val="en-GB"/>
        </w:rPr>
        <w:t xml:space="preserve"> </w:t>
      </w:r>
      <w:r w:rsidRPr="001775A6">
        <w:rPr>
          <w:lang w:val="en-GB"/>
        </w:rPr>
        <w:t>to</w:t>
      </w:r>
      <w:r w:rsidRPr="00F17A5A">
        <w:rPr>
          <w:lang w:val="en-GB"/>
        </w:rPr>
        <w:t xml:space="preserve"> periods of </w:t>
      </w:r>
      <w:r w:rsidRPr="00F17A5A">
        <w:t xml:space="preserve">material scarcity </w:t>
      </w:r>
      <w:r w:rsidR="008F4116">
        <w:t>and</w:t>
      </w:r>
      <w:r w:rsidR="008F4116" w:rsidRPr="00F17A5A">
        <w:t xml:space="preserve"> </w:t>
      </w:r>
      <w:r w:rsidRPr="00F17A5A">
        <w:t xml:space="preserve">shortage </w:t>
      </w:r>
      <w:r w:rsidR="000C5BB3">
        <w:fldChar w:fldCharType="begin" w:fldLock="1"/>
      </w:r>
      <w:r w:rsidR="00D35F6A">
        <w:instrText>ADDIN CSL_CITATION {"citationItems":[{"id":"ITEM-1","itemData":{"author":[{"dropping-particle":"","family":"Tilton","given":"John E","non-dropping-particle":"","parse-names":false,"suffix":""}],"id":"ITEM-1","issued":{"date-parts":[["2003"]]},"number-of-pages":"10","publisher":"RFF Press","publisher-place":"Washington, DC","title":"On borrowed time? Assessing the threat of mineral depletion","type":"book"},"uris":["http://www.mendeley.com/documents/?uuid=d7dd1892-5fb2-4aaf-beac-7220f163a36e"]},{"id":"ITEM-2","itemData":{"DOI":"https://doi.org/10.1016/C2014-0-01670-X","ISBN":"978-0-08-100176-9","author":[{"dropping-particle":"","family":"Ashby","given":"M. F.","non-dropping-particle":"","parse-names":false,"suffix":""}],"id":"ITEM-2","issued":{"date-parts":[["2016"]]},"number-of-pages":"328","publisher":"Butterworth-Heinemann Ltd","title":"Materials and Sustainable Development","type":"book"},"uris":["http://www.mendeley.com/documents/?uuid=8db20f88-4421-4ca9-a67e-12e6ef825567"]},{"id":"ITEM-3","itemData":{"author":[{"dropping-particle":"","family":"Ashby","given":"M.F.","non-dropping-particle":"","parse-names":false,"suffix":""}],"edition":"2nd editio","id":"ITEM-3","issued":{"date-parts":[["2013"]]},"number-of-pages":"1-616","publisher":"Butterworth-Heinemann","title":"Materials and the Environment - Eco-Informed Material Choice","type":"book"},"uris":["http://www.mendeley.com/documents/?uuid=c7dc2979-47c1-4edc-8ae3-265f19326bea"]},{"id":"ITEM-4","itemData":{"DOI":"10.1021/es060736h","ISSN":"0013936X","abstract":"A correlation between the prices of a variety of substances and their dilutions in their initial matrices was shown in 1959 by T.K. Sherwood. The research presented here shows that the relationship holds for engineering metals today, which we termed the metals-specific Sherwood plot. The concentrations of metals in products (e.g., printed wiring boards and automobiles) and waste streams (e.g., municipal solid waste, and construction and demolition debris) were plotted with this correlation. In addition, for the products and waste streams that undergo disassembly at end-of-life, the metals concentrations of the disassembled components were also plotted. It was found that most of the metals that are currently targeted for recycling have post-disassembly concentrations that lie above the metals-specific Sherwood plot (i.e., have concentrations that are more enriched than minimum profitable ore grades). This suggests that material concentration plays a role in the viability of recycling at end-of-life. As products grow in complexity and the variety of materials used, analyses such as this one-provide insight for policymakers and those interested in material sustainability into macro-level trends of material use and future recycling practices. ? 2007 American Chemical Society.","author":[{"dropping-particle":"","family":"Johnson","given":"Jeremiah","non-dropping-particle":"","parse-names":false,"suffix":""},{"dropping-particle":"","family":"Harper","given":"E. M.","non-dropping-particle":"","parse-names":false,"suffix":""},{"dropping-particle":"","family":"Lifset","given":"Reid","non-dropping-particle":"","parse-names":false,"suffix":""},{"dropping-particle":"","family":"Graedel","given":"T. E.","non-dropping-particle":"","parse-names":false,"suffix":""}],"container-title":"Environmental Science and Technology","id":"ITEM-4","issue":"5","issued":{"date-parts":[["2007"]]},"page":"1759-1765","title":"Dining at the periodic table: Metals concentrations as they relate to recycling","type":"article-journal","volume":"41"},"uris":["http://www.mendeley.com/documents/?uuid=192603cb-ec02-4e19-8e26-fc40ab707d06"]}],"mendeley":{"formattedCitation":"(Ashby, 2016, 2013; Johnson et al., 2007; Tilton, 2003)","plainTextFormattedCitation":"(Ashby, 2016, 2013; Johnson et al., 2007; Tilton, 2003)","previouslyFormattedCitation":"(Ashby, 2016, 2013; Johnson et al., 2007; Tilton, 2003)"},"properties":{"noteIndex":0},"schema":"https://github.com/citation-style-language/schema/raw/master/csl-citation.json"}</w:instrText>
      </w:r>
      <w:r w:rsidR="000C5BB3">
        <w:fldChar w:fldCharType="separate"/>
      </w:r>
      <w:r w:rsidR="002B45EF" w:rsidRPr="002B45EF">
        <w:rPr>
          <w:noProof/>
        </w:rPr>
        <w:t>(Ashby, 2016, 2013; Johnson et al., 2007; Tilton, 2003)</w:t>
      </w:r>
      <w:r w:rsidR="000C5BB3">
        <w:fldChar w:fldCharType="end"/>
      </w:r>
      <w:r w:rsidRPr="00F17A5A">
        <w:t xml:space="preserve">. </w:t>
      </w:r>
      <w:r w:rsidR="00F71BED" w:rsidRPr="00D96986">
        <w:rPr>
          <w:highlight w:val="yellow"/>
        </w:rPr>
        <w:t>Relevant changes in supply</w:t>
      </w:r>
      <w:r w:rsidR="006C4545" w:rsidRPr="00D96986">
        <w:rPr>
          <w:highlight w:val="yellow"/>
        </w:rPr>
        <w:t xml:space="preserve"> </w:t>
      </w:r>
      <w:r w:rsidR="009003FD" w:rsidRPr="00D96986">
        <w:rPr>
          <w:highlight w:val="yellow"/>
        </w:rPr>
        <w:t xml:space="preserve">can have the form of </w:t>
      </w:r>
      <w:r w:rsidRPr="00D96986">
        <w:rPr>
          <w:highlight w:val="yellow"/>
        </w:rPr>
        <w:t>supply disruptions</w:t>
      </w:r>
      <w:r w:rsidR="0072244A" w:rsidRPr="00D96986">
        <w:rPr>
          <w:highlight w:val="yellow"/>
        </w:rPr>
        <w:t xml:space="preserve"> (short-term</w:t>
      </w:r>
      <w:r w:rsidR="006F6E73" w:rsidRPr="00D96986">
        <w:rPr>
          <w:highlight w:val="yellow"/>
        </w:rPr>
        <w:t>) or declines (long-term</w:t>
      </w:r>
      <w:r w:rsidR="0072244A" w:rsidRPr="00D96986">
        <w:rPr>
          <w:highlight w:val="yellow"/>
        </w:rPr>
        <w:t xml:space="preserve"> – </w:t>
      </w:r>
      <w:r w:rsidR="006C4545" w:rsidRPr="00D96986">
        <w:rPr>
          <w:highlight w:val="yellow"/>
        </w:rPr>
        <w:t>for a distinction see Sprecher et al., 2015)</w:t>
      </w:r>
      <w:r w:rsidRPr="00D96986">
        <w:rPr>
          <w:highlight w:val="yellow"/>
        </w:rPr>
        <w:t xml:space="preserve">. </w:t>
      </w:r>
      <w:r w:rsidR="006C4545" w:rsidRPr="00D96986">
        <w:rPr>
          <w:highlight w:val="yellow"/>
        </w:rPr>
        <w:t>Changes in demand</w:t>
      </w:r>
      <w:r w:rsidR="009003FD" w:rsidRPr="00D96986">
        <w:rPr>
          <w:highlight w:val="yellow"/>
        </w:rPr>
        <w:t xml:space="preserve"> </w:t>
      </w:r>
      <w:r w:rsidR="006C4545" w:rsidRPr="00D96986">
        <w:rPr>
          <w:highlight w:val="yellow"/>
        </w:rPr>
        <w:t xml:space="preserve">can be relevant both in </w:t>
      </w:r>
      <w:r w:rsidRPr="00D96986">
        <w:rPr>
          <w:highlight w:val="yellow"/>
        </w:rPr>
        <w:t xml:space="preserve">positive </w:t>
      </w:r>
      <w:r w:rsidR="00D96986" w:rsidRPr="00D96986">
        <w:rPr>
          <w:highlight w:val="yellow"/>
        </w:rPr>
        <w:t>and</w:t>
      </w:r>
      <w:r w:rsidRPr="00D96986">
        <w:rPr>
          <w:highlight w:val="yellow"/>
        </w:rPr>
        <w:t xml:space="preserve"> negative</w:t>
      </w:r>
      <w:r w:rsidR="006C4545" w:rsidRPr="00D96986">
        <w:rPr>
          <w:highlight w:val="yellow"/>
        </w:rPr>
        <w:t xml:space="preserve"> </w:t>
      </w:r>
      <w:r w:rsidR="00EB40BA" w:rsidRPr="00D96986">
        <w:rPr>
          <w:highlight w:val="yellow"/>
        </w:rPr>
        <w:t>terms</w:t>
      </w:r>
      <w:r w:rsidRPr="00D96986">
        <w:rPr>
          <w:highlight w:val="yellow"/>
        </w:rPr>
        <w:t>.</w:t>
      </w:r>
      <w:r>
        <w:t xml:space="preserve"> </w:t>
      </w:r>
      <w:r w:rsidRPr="00D96986">
        <w:rPr>
          <w:highlight w:val="yellow"/>
        </w:rPr>
        <w:t xml:space="preserve">A positive </w:t>
      </w:r>
      <w:r w:rsidR="006C4545" w:rsidRPr="00D96986">
        <w:rPr>
          <w:highlight w:val="yellow"/>
        </w:rPr>
        <w:t>change in demand</w:t>
      </w:r>
      <w:r w:rsidR="009003FD" w:rsidRPr="00D96986">
        <w:rPr>
          <w:highlight w:val="yellow"/>
        </w:rPr>
        <w:t xml:space="preserve"> </w:t>
      </w:r>
      <w:r w:rsidRPr="00D96986">
        <w:rPr>
          <w:highlight w:val="yellow"/>
        </w:rPr>
        <w:t xml:space="preserve">refers to a </w:t>
      </w:r>
      <w:r w:rsidR="009003FD" w:rsidRPr="00D96986">
        <w:rPr>
          <w:highlight w:val="yellow"/>
        </w:rPr>
        <w:t>(frequently sudden) increase</w:t>
      </w:r>
      <w:r w:rsidRPr="00D96986">
        <w:rPr>
          <w:highlight w:val="yellow"/>
        </w:rPr>
        <w:t xml:space="preserve"> in demand in a</w:t>
      </w:r>
      <w:r w:rsidR="009003FD" w:rsidRPr="00D96986">
        <w:rPr>
          <w:highlight w:val="yellow"/>
        </w:rPr>
        <w:t xml:space="preserve"> possibly</w:t>
      </w:r>
      <w:r w:rsidRPr="00D96986">
        <w:rPr>
          <w:highlight w:val="yellow"/>
        </w:rPr>
        <w:t xml:space="preserve"> relative</w:t>
      </w:r>
      <w:r w:rsidR="009B4F47" w:rsidRPr="00D96986">
        <w:rPr>
          <w:highlight w:val="yellow"/>
        </w:rPr>
        <w:t>ly</w:t>
      </w:r>
      <w:r w:rsidRPr="00D96986">
        <w:rPr>
          <w:highlight w:val="yellow"/>
        </w:rPr>
        <w:t xml:space="preserve"> short period of time, e.g. by </w:t>
      </w:r>
      <w:r w:rsidR="001F464C" w:rsidRPr="00D96986">
        <w:rPr>
          <w:highlight w:val="yellow"/>
        </w:rPr>
        <w:t>the rapid dissemination</w:t>
      </w:r>
      <w:r w:rsidRPr="00D96986">
        <w:rPr>
          <w:highlight w:val="yellow"/>
        </w:rPr>
        <w:t xml:space="preserve"> of a new technology</w:t>
      </w:r>
      <w:r w:rsidRPr="00D96986">
        <w:rPr>
          <w:highlight w:val="yellow"/>
          <w:lang w:val="en-GB"/>
        </w:rPr>
        <w:t>.</w:t>
      </w:r>
      <w:r w:rsidRPr="00D96986">
        <w:rPr>
          <w:highlight w:val="yellow"/>
        </w:rPr>
        <w:t xml:space="preserve"> A negative </w:t>
      </w:r>
      <w:r w:rsidR="006C4545" w:rsidRPr="00D96986">
        <w:rPr>
          <w:highlight w:val="yellow"/>
        </w:rPr>
        <w:t>change in demand</w:t>
      </w:r>
      <w:r w:rsidR="009003FD" w:rsidRPr="00D96986">
        <w:rPr>
          <w:highlight w:val="yellow"/>
        </w:rPr>
        <w:t xml:space="preserve"> </w:t>
      </w:r>
      <w:r w:rsidR="006F6E73" w:rsidRPr="00D96986">
        <w:rPr>
          <w:highlight w:val="yellow"/>
        </w:rPr>
        <w:t xml:space="preserve">describes a </w:t>
      </w:r>
      <w:r w:rsidR="006C4545" w:rsidRPr="00D96986">
        <w:rPr>
          <w:highlight w:val="yellow"/>
        </w:rPr>
        <w:t>demand drop</w:t>
      </w:r>
      <w:r w:rsidRPr="00D96986">
        <w:rPr>
          <w:highlight w:val="yellow"/>
        </w:rPr>
        <w:t>, for example when a technology becomes superfluous</w:t>
      </w:r>
      <w:r w:rsidR="001928F2" w:rsidRPr="00D96986">
        <w:rPr>
          <w:highlight w:val="yellow"/>
        </w:rPr>
        <w:t xml:space="preserve"> </w:t>
      </w:r>
      <w:r w:rsidR="00B42768" w:rsidRPr="00D96986">
        <w:rPr>
          <w:highlight w:val="yellow"/>
        </w:rPr>
        <w:fldChar w:fldCharType="begin" w:fldLock="1"/>
      </w:r>
      <w:r w:rsidR="00D35F6A" w:rsidRPr="00D96986">
        <w:rPr>
          <w:highlight w:val="yellow"/>
        </w:rPr>
        <w:instrText>ADDIN CSL_CITATION {"citationItems":[{"id":"ITEM-1","itemData":{"DOI":"10.1016/j.susmat.2018.02.001","ISSN":"22149937","abstract":"This paper contributes to the understanding of metal demand development over time by illustrating the impacts of different aspects of technological change using historical data. We provide a direct, quantitative comparison of relative change in global primary production for 30 metals over 21 years (1993–2013), capturing the range and variation of demand development for different metals within this period. The aspects of technological change contributing to this variation are investigated in more depth for nine metals. Demand for 15 of the 30 metals increased significantly more than GDP between 1993 and 2013. For five metals, demand in 2013 was about or more than 400% of their demand in 1993. All of these metals had a total primary production of &lt;100 kt in 2013. Concerning the metals under detailed investigation, comparatively high growth (demand2013&gt; 500% demand1993) could be attributed to emerging technologies in the case of indium and cobalt. Comparatively low growth (demand2013&lt; 200% demand1993) was due to substitution of a technology in case of silver and caused by improvements regarding material efficiency and recycling in case of tin, palladium and platinum.","author":[{"dropping-particle":"","family":"Langkau","given":"Sabine","non-dropping-particle":"","parse-names":false,"suffix":""},{"dropping-particle":"","family":"Tercero Espinoza","given":"Luis A.","non-dropping-particle":"","parse-names":false,"suffix":""}],"container-title":"Sustainable Materials and Technologies","id":"ITEM-1","issue":"July 2017","issued":{"date-parts":[["2018"]]},"page":"54-59","publisher":"Elsevier","title":"Technological change and metal demand over time: What can we learn from the past?","type":"article-journal","volume":"16"},"uris":["http://www.mendeley.com/documents/?uuid=1ac30314-20bb-4bd2-8ab7-3624295304a7"]}],"mendeley":{"formattedCitation":"(Langkau and Tercero Espinoza, 2018)","plainTextFormattedCitation":"(Langkau and Tercero Espinoza, 2018)","previouslyFormattedCitation":"(Langkau and Tercero Espinoza, 2018)"},"properties":{"noteIndex":0},"schema":"https://github.com/citation-style-language/schema/raw/master/csl-citation.json"}</w:instrText>
      </w:r>
      <w:r w:rsidR="00B42768" w:rsidRPr="00D96986">
        <w:rPr>
          <w:highlight w:val="yellow"/>
        </w:rPr>
        <w:fldChar w:fldCharType="separate"/>
      </w:r>
      <w:r w:rsidR="002B45EF" w:rsidRPr="00D96986">
        <w:rPr>
          <w:noProof/>
          <w:highlight w:val="yellow"/>
        </w:rPr>
        <w:t>(Langkau and Tercero Espinoza, 2018)</w:t>
      </w:r>
      <w:r w:rsidR="00B42768" w:rsidRPr="00D96986">
        <w:rPr>
          <w:highlight w:val="yellow"/>
        </w:rPr>
        <w:fldChar w:fldCharType="end"/>
      </w:r>
      <w:r w:rsidR="0072244A" w:rsidRPr="00D96986">
        <w:rPr>
          <w:highlight w:val="yellow"/>
        </w:rPr>
        <w:t xml:space="preserve">, which can </w:t>
      </w:r>
      <w:r w:rsidR="006D5A1F" w:rsidRPr="00D96986">
        <w:rPr>
          <w:highlight w:val="yellow"/>
        </w:rPr>
        <w:t xml:space="preserve">be a risk for </w:t>
      </w:r>
      <w:r w:rsidR="004645E0" w:rsidRPr="00D96986">
        <w:rPr>
          <w:highlight w:val="yellow"/>
        </w:rPr>
        <w:t xml:space="preserve">the company or (regional) economy relying </w:t>
      </w:r>
      <w:r w:rsidR="00B97B89" w:rsidRPr="00D96986">
        <w:rPr>
          <w:highlight w:val="yellow"/>
        </w:rPr>
        <w:t>o</w:t>
      </w:r>
      <w:r w:rsidR="004645E0" w:rsidRPr="00D96986">
        <w:rPr>
          <w:highlight w:val="yellow"/>
        </w:rPr>
        <w:t xml:space="preserve">n </w:t>
      </w:r>
      <w:r w:rsidR="00D96986" w:rsidRPr="00D96986">
        <w:rPr>
          <w:highlight w:val="yellow"/>
        </w:rPr>
        <w:t xml:space="preserve">the </w:t>
      </w:r>
      <w:r w:rsidR="00D96986">
        <w:rPr>
          <w:highlight w:val="yellow"/>
        </w:rPr>
        <w:t>adoption</w:t>
      </w:r>
      <w:r w:rsidR="00D96986" w:rsidRPr="00D96986">
        <w:rPr>
          <w:highlight w:val="yellow"/>
        </w:rPr>
        <w:t xml:space="preserve"> of </w:t>
      </w:r>
      <w:r w:rsidR="004645E0" w:rsidRPr="00D96986">
        <w:rPr>
          <w:highlight w:val="yellow"/>
        </w:rPr>
        <w:t>this technology</w:t>
      </w:r>
      <w:r w:rsidRPr="00D96986">
        <w:rPr>
          <w:highlight w:val="yellow"/>
        </w:rPr>
        <w:t>.</w:t>
      </w:r>
      <w:r>
        <w:t xml:space="preserve"> </w:t>
      </w:r>
      <w:r w:rsidRPr="00D96986">
        <w:rPr>
          <w:highlight w:val="yellow"/>
        </w:rPr>
        <w:t xml:space="preserve">Most criticality assessments evaluate either the probability of </w:t>
      </w:r>
      <w:r w:rsidR="006C4545" w:rsidRPr="00D96986">
        <w:rPr>
          <w:highlight w:val="yellow"/>
        </w:rPr>
        <w:t xml:space="preserve">a </w:t>
      </w:r>
      <w:r w:rsidR="00A46C7B" w:rsidRPr="00D96986">
        <w:rPr>
          <w:highlight w:val="yellow"/>
        </w:rPr>
        <w:t>decrease</w:t>
      </w:r>
      <w:r w:rsidR="006C4545" w:rsidRPr="00D96986">
        <w:rPr>
          <w:highlight w:val="yellow"/>
        </w:rPr>
        <w:t xml:space="preserve"> in supply</w:t>
      </w:r>
      <w:r w:rsidRPr="00D96986">
        <w:rPr>
          <w:highlight w:val="yellow"/>
        </w:rPr>
        <w:t>, the probability of a</w:t>
      </w:r>
      <w:r w:rsidR="009003FD" w:rsidRPr="00D96986">
        <w:rPr>
          <w:highlight w:val="yellow"/>
        </w:rPr>
        <w:t>n increase in demand</w:t>
      </w:r>
      <w:r w:rsidRPr="00D96986">
        <w:rPr>
          <w:highlight w:val="yellow"/>
        </w:rPr>
        <w:t>, or a combination of both</w:t>
      </w:r>
      <w:r w:rsidR="001F464C" w:rsidRPr="00D96986">
        <w:rPr>
          <w:highlight w:val="yellow"/>
        </w:rPr>
        <w:t>,</w:t>
      </w:r>
      <w:r w:rsidRPr="00D96986">
        <w:rPr>
          <w:highlight w:val="yellow"/>
        </w:rPr>
        <w:t xml:space="preserve"> which c</w:t>
      </w:r>
      <w:r w:rsidR="001F464C" w:rsidRPr="00D96986">
        <w:rPr>
          <w:highlight w:val="yellow"/>
        </w:rPr>
        <w:t>an</w:t>
      </w:r>
      <w:r w:rsidRPr="00D96986">
        <w:rPr>
          <w:highlight w:val="yellow"/>
        </w:rPr>
        <w:t xml:space="preserve"> be generalized by the risk of </w:t>
      </w:r>
      <w:r w:rsidR="009003FD" w:rsidRPr="00D96986">
        <w:rPr>
          <w:highlight w:val="yellow"/>
        </w:rPr>
        <w:t>price increase</w:t>
      </w:r>
      <w:r w:rsidRPr="00D96986">
        <w:rPr>
          <w:highlight w:val="yellow"/>
        </w:rPr>
        <w:t xml:space="preserve"> </w:t>
      </w:r>
      <w:r w:rsidRPr="00D96986">
        <w:rPr>
          <w:highlight w:val="yellow"/>
        </w:rPr>
        <w:fldChar w:fldCharType="begin" w:fldLock="1"/>
      </w:r>
      <w:r w:rsidR="00D35F6A" w:rsidRPr="00D96986">
        <w:rPr>
          <w:highlight w:val="yellow"/>
        </w:rPr>
        <w:instrText>ADDIN CSL_CITATION {"citationItems":[{"id":"ITEM-1","itemData":{"DOI":"10.1088/1361-6463/aa5b64","ISSN":"13616463","abstract":"The past decade has seen a resurgence of interest in the supply security of mineral raw materials. A key to the current debate is the concept of ‘criticality’. The present article reviews the criticality concept, as well as the methodologies used in its assessment, including a critical evaluation of their validity in view of classical risk theory. Furthermore, it discusses a number of risks present in global raw materials markets that are not captured by most criticality assessments. Proposed measures for the alleviation of these risks are also presented. We find that current assessments of raw material criticality are fundamentally flawed in several ways. This is mostly due to a lack of adherence to risk theory, and highly limits their applicability. Many of the raw materials generally identified as critical are probably not critical. Still, the flaws of current assessments do not mean that the general issue of supply security can simply be ignored. Rather, it implies that new assessments are required. While the basic theoretical framework for such assessments is outlined in this review, detailed method development will require a major collaborative effort between different disciplines along the raw materials value chain. In the opinion of the authors, the greatest longer-term challenge in the raw materials sector is to stop, or counteract the effects of, the escalation of unit energy costs of production. This issue is particularly pressing due to its close link with the renewable energy transition, requiring more metal and mineral raw materials per unit energy produced. The solution to this problem will require coordinated policy action, as well as the collaboration of scientists from many different fields—with physics, as well as the materials and earth sciences in the lead.","author":[{"dropping-particle":"","family":"Frenzel","given":"M.","non-dropping-particle":"","parse-names":false,"suffix":""},{"dropping-particle":"","family":"Kullik","given":"J.","non-dropping-particle":"","parse-names":false,"suffix":""},{"dropping-particle":"","family":"Reuter","given":"M. A.","non-dropping-particle":"","parse-names":false,"suffix":""},{"dropping-particle":"","family":"Gutzmer","given":"J.","non-dropping-particle":"","parse-names":false,"suffix":""}],"container-title":"Journal of Physics D: Applied Physics","id":"ITEM-1","issue":"12","issued":{"date-parts":[["2017"]]},"publisher":"IOP Publishing","title":"Raw material 'criticality' - Sense or nonsense?","type":"article-journal","volume":"50"},"uris":["http://www.mendeley.com/documents/?uuid=001fc538-2314-4451-94e6-17dfb8d125f3"]}],"mendeley":{"formattedCitation":"(Frenzel et al., 2017)","plainTextFormattedCitation":"(Frenzel et al., 2017)","previouslyFormattedCitation":"(Frenzel et al., 2017)"},"properties":{"noteIndex":0},"schema":"https://github.com/citation-style-language/schema/raw/master/csl-citation.json"}</w:instrText>
      </w:r>
      <w:r w:rsidRPr="00D96986">
        <w:rPr>
          <w:highlight w:val="yellow"/>
        </w:rPr>
        <w:fldChar w:fldCharType="separate"/>
      </w:r>
      <w:r w:rsidR="002B45EF" w:rsidRPr="00D96986">
        <w:rPr>
          <w:noProof/>
          <w:highlight w:val="yellow"/>
        </w:rPr>
        <w:t>(Frenzel et al., 2017)</w:t>
      </w:r>
      <w:r w:rsidRPr="00D96986">
        <w:rPr>
          <w:highlight w:val="yellow"/>
        </w:rPr>
        <w:fldChar w:fldCharType="end"/>
      </w:r>
      <w:r w:rsidRPr="00D96986">
        <w:rPr>
          <w:highlight w:val="yellow"/>
        </w:rPr>
        <w:t>,</w:t>
      </w:r>
      <w:r>
        <w:t xml:space="preserve"> or price fluctuations</w:t>
      </w:r>
      <w:r w:rsidR="00F90F81">
        <w:t xml:space="preserve"> </w:t>
      </w:r>
      <w:r w:rsidR="00F90F81">
        <w:fldChar w:fldCharType="begin" w:fldLock="1"/>
      </w:r>
      <w:r w:rsidR="0096725C">
        <w:instrText>ADDIN CSL_CITATION {"citationItems":[{"id":"ITEM-1","itemData":{"author":[{"dropping-particle":"","family":"Lee","given":"Mi-Hye","non-dropping-particle":"","parse-names":false,"suffix":""},{"dropping-particle":"","family":"Hool","given":"Alessandra","non-dropping-particle":"","parse-names":false,"suffix":""},{"dropping-particle":"","family":"Young","given":"Steven B.","non-dropping-particle":"","parse-names":false,"suffix":""},{"dropping-particle":"","family":"Kim","given":"Song-Yi","non-dropping-particle":"","parse-names":false,"suffix":""},{"dropping-particle":"","family":"Park","given":"Tae-Gyu","non-dropping-particle":"","parse-names":false,"suffix":""},{"dropping-particle":"","family":"Lee","given":"Min-Ha","non-dropping-particle":"","parse-names":false,"suffix":""}],"container-title":"submitted to Minerals","id":"ITEM-1","issued":{"date-parts":[["2019"]]},"title":"Understanding material criticality: Korean methodology for critical raw materials assessment.","type":"article-journal"},"uris":["http://www.mendeley.com/documents/?uuid=add2f0a9-a849-4c62-afa1-f5cb05fae958"]}],"mendeley":{"formattedCitation":"(Lee et al., 2019)","plainTextFormattedCitation":"(Lee et al., 2019)","previouslyFormattedCitation":"(Lee et al., 2019)"},"properties":{"noteIndex":0},"schema":"https://github.com/citation-style-language/schema/raw/master/csl-citation.json"}</w:instrText>
      </w:r>
      <w:r w:rsidR="00F90F81">
        <w:fldChar w:fldCharType="separate"/>
      </w:r>
      <w:r w:rsidR="002B45EF" w:rsidRPr="002B45EF">
        <w:rPr>
          <w:noProof/>
        </w:rPr>
        <w:t>(Lee et al., 2019)</w:t>
      </w:r>
      <w:r w:rsidR="00F90F81">
        <w:fldChar w:fldCharType="end"/>
      </w:r>
      <w:r>
        <w:t>.</w:t>
      </w:r>
      <w:r w:rsidR="00A36AB1">
        <w:t xml:space="preserve"> </w:t>
      </w:r>
      <w:r w:rsidR="00FB73F1">
        <w:fldChar w:fldCharType="begin"/>
      </w:r>
      <w:r w:rsidR="00FB73F1">
        <w:instrText xml:space="preserve"> REF _Ref11935609 \h </w:instrText>
      </w:r>
      <w:r w:rsidR="00CF0E53">
        <w:instrText xml:space="preserve"> \* MERGEFORMAT </w:instrText>
      </w:r>
      <w:r w:rsidR="00FB73F1">
        <w:fldChar w:fldCharType="separate"/>
      </w:r>
      <w:r w:rsidR="00FB73F1">
        <w:t xml:space="preserve">Table </w:t>
      </w:r>
      <w:r w:rsidR="00FB73F1">
        <w:rPr>
          <w:noProof/>
        </w:rPr>
        <w:t>1</w:t>
      </w:r>
      <w:r w:rsidR="00FB73F1">
        <w:fldChar w:fldCharType="end"/>
      </w:r>
      <w:r w:rsidR="001B1D43">
        <w:fldChar w:fldCharType="begin"/>
      </w:r>
      <w:r w:rsidR="001B1D43">
        <w:instrText xml:space="preserve"> REF _Ref8405448 \h </w:instrText>
      </w:r>
      <w:r w:rsidR="00CF0E53">
        <w:instrText xml:space="preserve"> \* MERGEFORMAT </w:instrText>
      </w:r>
      <w:r w:rsidR="001B1D43">
        <w:fldChar w:fldCharType="end"/>
      </w:r>
      <w:r w:rsidR="001B1D43">
        <w:t xml:space="preserve"> </w:t>
      </w:r>
      <w:r w:rsidR="00A36AB1">
        <w:t xml:space="preserve">shows an overview of </w:t>
      </w:r>
      <w:r w:rsidR="00DA79F4">
        <w:t xml:space="preserve">the anticipated risk of the reviewed methods, </w:t>
      </w:r>
      <w:r w:rsidR="00A36AB1">
        <w:t xml:space="preserve">which </w:t>
      </w:r>
      <w:r w:rsidR="000C0A66">
        <w:t>illustrates</w:t>
      </w:r>
      <w:r w:rsidR="00973BBA">
        <w:t xml:space="preserve"> that </w:t>
      </w:r>
      <w:r w:rsidR="00973BBA" w:rsidRPr="00D96986">
        <w:rPr>
          <w:highlight w:val="yellow"/>
        </w:rPr>
        <w:t xml:space="preserve">supply </w:t>
      </w:r>
      <w:r w:rsidR="006F6E73" w:rsidRPr="00D96986">
        <w:rPr>
          <w:highlight w:val="yellow"/>
        </w:rPr>
        <w:t>and demand changes</w:t>
      </w:r>
      <w:r w:rsidR="00973BBA">
        <w:t xml:space="preserve"> can be intertwined</w:t>
      </w:r>
      <w:r w:rsidR="00F51B1F">
        <w:t xml:space="preserve">, such as </w:t>
      </w:r>
      <w:r w:rsidR="00DB7D1C">
        <w:t>in the case of</w:t>
      </w:r>
      <w:r w:rsidR="00F51B1F">
        <w:t xml:space="preserve"> </w:t>
      </w:r>
      <w:r w:rsidR="00DC6826">
        <w:t>decreased availability of a material due to a growing demand (</w:t>
      </w:r>
      <w:r w:rsidR="000F5A22">
        <w:t xml:space="preserve">e.g. </w:t>
      </w:r>
      <w:r w:rsidR="00DC6826">
        <w:t>NSTC)</w:t>
      </w:r>
      <w:r w:rsidR="00973BBA">
        <w:t>.</w:t>
      </w:r>
      <w:r w:rsidR="008F4116">
        <w:t xml:space="preserve"> S</w:t>
      </w:r>
      <w:r w:rsidR="00BE41E4">
        <w:t xml:space="preserve">everal studies only consider </w:t>
      </w:r>
      <w:r w:rsidR="00BE41E4" w:rsidRPr="00D96986">
        <w:rPr>
          <w:highlight w:val="yellow"/>
        </w:rPr>
        <w:t xml:space="preserve">supply </w:t>
      </w:r>
      <w:r w:rsidR="006F6E73" w:rsidRPr="00D96986">
        <w:rPr>
          <w:highlight w:val="yellow"/>
        </w:rPr>
        <w:t>and demand changes</w:t>
      </w:r>
      <w:r w:rsidR="00BE41E4" w:rsidRPr="00D96986">
        <w:rPr>
          <w:highlight w:val="yellow"/>
        </w:rPr>
        <w:t xml:space="preserve"> as a risk when </w:t>
      </w:r>
      <w:r w:rsidR="00170D6C" w:rsidRPr="00D96986">
        <w:rPr>
          <w:highlight w:val="yellow"/>
        </w:rPr>
        <w:t>the system at risk is vulnerable to these</w:t>
      </w:r>
      <w:r w:rsidR="00170D6C">
        <w:t xml:space="preserve"> (e.g. USDOE and OECD).</w:t>
      </w:r>
      <w:r w:rsidR="00E56CA1">
        <w:t xml:space="preserve"> </w:t>
      </w:r>
      <w:r w:rsidR="00780F79">
        <w:t>V</w:t>
      </w:r>
      <w:r w:rsidR="00E56CA1">
        <w:t>ulnerability is</w:t>
      </w:r>
      <w:r w:rsidR="00780F79">
        <w:t xml:space="preserve"> </w:t>
      </w:r>
      <w:r w:rsidR="008F4116">
        <w:t xml:space="preserve">frequently </w:t>
      </w:r>
      <w:r w:rsidR="00E56CA1">
        <w:t xml:space="preserve">marked by a lack of available substitutes or a lack of options to adapt supply or demand to the anticipated </w:t>
      </w:r>
      <w:r w:rsidR="006F6E73" w:rsidRPr="00D96986">
        <w:rPr>
          <w:highlight w:val="yellow"/>
        </w:rPr>
        <w:t>change</w:t>
      </w:r>
      <w:r w:rsidR="00780F79">
        <w:t>, leading to</w:t>
      </w:r>
      <w:r w:rsidR="009B651B">
        <w:t xml:space="preserve">, for example, decreased competitiveness </w:t>
      </w:r>
      <w:r w:rsidR="00780F79">
        <w:t>when supply is disrupted</w:t>
      </w:r>
      <w:r w:rsidR="00A07554">
        <w:t>.</w:t>
      </w:r>
      <w:r w:rsidR="005B31F5">
        <w:t xml:space="preserve"> Even if </w:t>
      </w:r>
      <w:r w:rsidR="00030AC7">
        <w:t xml:space="preserve">vulnerability is not always </w:t>
      </w:r>
      <w:r w:rsidR="00030AC7">
        <w:lastRenderedPageBreak/>
        <w:t>mentioned in the anticipated risk, as summarized in</w:t>
      </w:r>
      <w:r w:rsidR="001B1D43">
        <w:t xml:space="preserve"> </w:t>
      </w:r>
      <w:r w:rsidR="001B1D43">
        <w:fldChar w:fldCharType="begin"/>
      </w:r>
      <w:r w:rsidR="001B1D43">
        <w:instrText xml:space="preserve"> REF _Ref8405448 \h </w:instrText>
      </w:r>
      <w:r w:rsidR="00CF0E53">
        <w:instrText xml:space="preserve"> \* MERGEFORMAT </w:instrText>
      </w:r>
      <w:r w:rsidR="001B1D43">
        <w:fldChar w:fldCharType="separate"/>
      </w:r>
      <w:r w:rsidR="009F2906">
        <w:t xml:space="preserve">Table </w:t>
      </w:r>
      <w:r w:rsidR="009F2906">
        <w:rPr>
          <w:noProof/>
        </w:rPr>
        <w:t>1</w:t>
      </w:r>
      <w:r w:rsidR="001B1D43">
        <w:fldChar w:fldCharType="end"/>
      </w:r>
      <w:r w:rsidR="00030AC7">
        <w:t xml:space="preserve">, it is </w:t>
      </w:r>
      <w:r w:rsidR="00764FB0">
        <w:t>often implicitly considered in criticality assessments via the selection of vulnerability indicators (see Section 3.2.1.2.).</w:t>
      </w:r>
    </w:p>
    <w:p w14:paraId="3D939F04" w14:textId="77777777" w:rsidR="00CF0E53" w:rsidRPr="00F90F81" w:rsidRDefault="00CF0E53" w:rsidP="00863B14">
      <w:pPr>
        <w:spacing w:line="480" w:lineRule="auto"/>
        <w:jc w:val="both"/>
        <w:rPr>
          <w:lang w:val="en-GB"/>
        </w:rPr>
      </w:pPr>
    </w:p>
    <w:p w14:paraId="2C428AAE" w14:textId="4D0A8EF6" w:rsidR="00AB13CD" w:rsidRPr="00000B19" w:rsidRDefault="00AB13CD" w:rsidP="00D96986">
      <w:pPr>
        <w:pStyle w:val="Heading4"/>
        <w:numPr>
          <w:ilvl w:val="2"/>
          <w:numId w:val="58"/>
        </w:numPr>
      </w:pPr>
      <w:bookmarkStart w:id="38" w:name="_Toc10458660"/>
      <w:r w:rsidRPr="00000B19">
        <w:t>What is the objective of the assessment?</w:t>
      </w:r>
      <w:bookmarkEnd w:id="38"/>
      <w:r w:rsidR="003C1BA7" w:rsidRPr="00000B19">
        <w:t xml:space="preserve"> </w:t>
      </w:r>
    </w:p>
    <w:p w14:paraId="2485C1C9" w14:textId="47DCC757" w:rsidR="00D15FC7" w:rsidRDefault="00CF0E53" w:rsidP="00863B14">
      <w:pPr>
        <w:spacing w:line="480" w:lineRule="auto"/>
        <w:jc w:val="both"/>
      </w:pPr>
      <w:r>
        <w:t>T</w:t>
      </w:r>
      <w:r w:rsidR="005566AD">
        <w:t xml:space="preserve">hree main </w:t>
      </w:r>
      <w:r w:rsidR="00A0501E">
        <w:t xml:space="preserve">objectives </w:t>
      </w:r>
      <w:r>
        <w:t xml:space="preserve">could be distinguished </w:t>
      </w:r>
      <w:r w:rsidR="00A0501E">
        <w:t>that were addressed in the reviewed criticality methods</w:t>
      </w:r>
      <w:r w:rsidR="004D2EA9">
        <w:t xml:space="preserve"> of</w:t>
      </w:r>
      <w:r w:rsidR="001B1D43">
        <w:t xml:space="preserve"> </w:t>
      </w:r>
      <w:r w:rsidR="001B1D43">
        <w:fldChar w:fldCharType="begin"/>
      </w:r>
      <w:r w:rsidR="001B1D43">
        <w:instrText xml:space="preserve"> REF _Ref8405448 \h </w:instrText>
      </w:r>
      <w:r>
        <w:instrText xml:space="preserve"> \* MERGEFORMAT </w:instrText>
      </w:r>
      <w:r w:rsidR="001B1D43">
        <w:fldChar w:fldCharType="separate"/>
      </w:r>
      <w:r w:rsidR="009F2906">
        <w:t xml:space="preserve">Table </w:t>
      </w:r>
      <w:r w:rsidR="009F2906">
        <w:rPr>
          <w:noProof/>
        </w:rPr>
        <w:t>1</w:t>
      </w:r>
      <w:r w:rsidR="001B1D43">
        <w:fldChar w:fldCharType="end"/>
      </w:r>
      <w:r w:rsidR="00A0501E">
        <w:t xml:space="preserve">. Firstly, </w:t>
      </w:r>
      <w:r w:rsidR="00D15FC7">
        <w:t xml:space="preserve">criticality studies are generally performed to raise the attention of decision makers in government and industry </w:t>
      </w:r>
      <w:r w:rsidR="008F4116">
        <w:t xml:space="preserve">towards </w:t>
      </w:r>
      <w:r w:rsidR="00D15FC7">
        <w:t xml:space="preserve">issues related to raw materials supply and demand. There is no apparent or reasonable interest on the side of the funders or performers of such studies to either create panic or instigate tension among countries or companies. On the contrary: for example, </w:t>
      </w:r>
      <w:r w:rsidR="00D15FC7" w:rsidRPr="008F4116">
        <w:fldChar w:fldCharType="begin" w:fldLock="1"/>
      </w:r>
      <w:r w:rsidR="00D35F6A">
        <w:instrText>ADDIN CSL_CITATION {"citationItems":[{"id":"ITEM-1","itemData":{"DOI":"10.1021/acs.est.5b00206","ISBN":"1520-5851 (Electronic) 0013-936X (Linking)","ISSN":"15205851","PMID":"25965803","abstract":"In 2010, Chinese export restrictions caused the price of the rare earth element neodymium to increase by a factor of 10, only to return to almost normal levels in the following months. This despite the fact that the restrictions were not lifted. The significant price peak shows that this material supply chain was only weakly resistant to a major supply disruption. However, the fact that prices rapidly returned to lower levels implies a certain resilience. With the help of a novel approach, based on resilience theory combined with a material flow analysis (MFA) based representation of the neodymium magnet (NdFeB) supply chain, we show that supply chain resilience is composed of various mechanisms, including (a) resistance, (b) rapidity, and (c) flexibility, that originate from different parts of the supply chain. We make recommendations to improve the capacity of the NdFeB system to deal with future disruptions and discuss potential generalities for the resilience of other material supply chains.","author":[{"dropping-particle":"","family":"Sprecher","given":"Benjamin","non-dropping-particle":"","parse-names":false,"suffix":""},{"dropping-particle":"","family":"Daigo","given":"Ichiro","non-dropping-particle":"","parse-names":false,"suffix":""},{"dropping-particle":"","family":"Murakami","given":"Shinsuke","non-dropping-particle":"","parse-names":false,"suffix":""},{"dropping-particle":"","family":"Kleijn","given":"Rene","non-dropping-particle":"","parse-names":false,"suffix":""},{"dropping-particle":"","family":"Vos","given":"Matthijs","non-dropping-particle":"","parse-names":false,"suffix":""},{"dropping-particle":"","family":"Kramer","given":"Gert Jan","non-dropping-particle":"","parse-names":false,"suffix":""}],"container-title":"Environmental Science and Technology","id":"ITEM-1","issue":"11","issued":{"date-parts":[["2015"]]},"page":"6740-6750","title":"Framework for resilience in material supply chains, with a case study from the 2010 rare earth crisis","type":"article-journal","volume":"49"},"uris":["http://www.mendeley.com/documents/?uuid=048e2ea5-e0d2-4f06-8a4b-9aff003d7a16"]}],"mendeley":{"formattedCitation":"(Sprecher et al., 2015)","manualFormatting":"Sprecher et al. (2015)","plainTextFormattedCitation":"(Sprecher et al., 2015)","previouslyFormattedCitation":"(Sprecher et al., 2015)"},"properties":{"noteIndex":0},"schema":"https://github.com/citation-style-language/schema/raw/master/csl-citation.json"}</w:instrText>
      </w:r>
      <w:r w:rsidR="00D15FC7" w:rsidRPr="008F4116">
        <w:fldChar w:fldCharType="separate"/>
      </w:r>
      <w:r w:rsidR="00F147C6" w:rsidRPr="008F4116">
        <w:rPr>
          <w:noProof/>
        </w:rPr>
        <w:t xml:space="preserve">Sprecher et al. </w:t>
      </w:r>
      <w:r w:rsidR="000F5A22">
        <w:rPr>
          <w:noProof/>
        </w:rPr>
        <w:t>(</w:t>
      </w:r>
      <w:r w:rsidR="00F147C6" w:rsidRPr="008F4116">
        <w:rPr>
          <w:noProof/>
        </w:rPr>
        <w:t>2015)</w:t>
      </w:r>
      <w:r w:rsidR="00D15FC7" w:rsidRPr="008F4116">
        <w:fldChar w:fldCharType="end"/>
      </w:r>
      <w:r w:rsidR="00D15FC7" w:rsidRPr="008F4116">
        <w:t xml:space="preserve"> show that the stockpiling activity of Japan amid the REE crisis </w:t>
      </w:r>
      <w:r w:rsidR="001F464C">
        <w:t>raised</w:t>
      </w:r>
      <w:r w:rsidR="00D15FC7" w:rsidRPr="008F4116">
        <w:t xml:space="preserve"> prices even further. </w:t>
      </w:r>
      <w:r w:rsidR="00454096" w:rsidRPr="00F90F81">
        <w:t>Also</w:t>
      </w:r>
      <w:r w:rsidR="008F4116">
        <w:t>,</w:t>
      </w:r>
      <w:r w:rsidR="00454096" w:rsidRPr="00F90F81">
        <w:t xml:space="preserve"> </w:t>
      </w:r>
      <w:r w:rsidR="00DD26B2" w:rsidRPr="00F90F81">
        <w:t xml:space="preserve">a </w:t>
      </w:r>
      <w:r w:rsidR="005A5D55" w:rsidRPr="00F90F81">
        <w:t xml:space="preserve">10-fold increase in the price of iridium (one of the </w:t>
      </w:r>
      <w:r w:rsidR="001C3713">
        <w:t>Platin</w:t>
      </w:r>
      <w:r w:rsidR="00CD2489">
        <w:t>um</w:t>
      </w:r>
      <w:r w:rsidR="001C3713">
        <w:t xml:space="preserve"> Group Metals (</w:t>
      </w:r>
      <w:r w:rsidR="005A5D55" w:rsidRPr="00F90F81">
        <w:t>PGMs</w:t>
      </w:r>
      <w:r w:rsidR="001C3713">
        <w:t>)</w:t>
      </w:r>
      <w:r w:rsidR="005A5D55" w:rsidRPr="00F90F81">
        <w:t xml:space="preserve">) </w:t>
      </w:r>
      <w:r w:rsidR="002F0799" w:rsidRPr="00F90F81">
        <w:t xml:space="preserve">over the last 15 years has motivated industrial users, such as the </w:t>
      </w:r>
      <w:r w:rsidR="00454096" w:rsidRPr="00F90F81">
        <w:t>magnetic</w:t>
      </w:r>
      <w:r w:rsidR="008F4116">
        <w:t xml:space="preserve"> storage</w:t>
      </w:r>
      <w:r w:rsidR="00454096" w:rsidRPr="00F90F81">
        <w:t xml:space="preserve"> sector,</w:t>
      </w:r>
      <w:r w:rsidR="002F0799" w:rsidRPr="00F90F81">
        <w:t xml:space="preserve"> </w:t>
      </w:r>
      <w:r w:rsidR="00283760" w:rsidRPr="00F90F81">
        <w:t>to develop their own stockpiles, which further stimulate</w:t>
      </w:r>
      <w:r w:rsidR="00494241" w:rsidRPr="00F90F81">
        <w:t>d</w:t>
      </w:r>
      <w:r w:rsidR="00283760" w:rsidRPr="00F90F81">
        <w:t xml:space="preserve"> speculation by investors</w:t>
      </w:r>
      <w:r w:rsidR="006E33F2">
        <w:t xml:space="preserve"> </w:t>
      </w:r>
      <w:r w:rsidR="006E33F2">
        <w:fldChar w:fldCharType="begin" w:fldLock="1"/>
      </w:r>
      <w:r w:rsidR="005653A5">
        <w:instrText>ADDIN CSL_CITATION {"citationItems":[{"id":"ITEM-1","itemData":{"URL":"http://ec.europa.eu/research/infocentre/article_en.cfm?id=/research/headlines/news/article_16_08_31_en.html?infocentre&amp;item=Infocentre&amp;artid=40996","accessed":{"date-parts":[["2019","6","24"]]},"author":[{"dropping-particle":"","family":"European Commission","given":"","non-dropping-particle":"","parse-names":false,"suffix":""}],"id":"ITEM-1","issued":{"date-parts":[["2016"]]},"title":"Replacing iridium in magnetic storage devices","type":"webpage"},"uris":["http://www.mendeley.com/documents/?uuid=05a7aeab-afa5-457f-83eb-eef5e715e82c"]}],"mendeley":{"formattedCitation":"(European Commission, 2016)","plainTextFormattedCitation":"(European Commission, 2016)","previouslyFormattedCitation":"(European Commission, 2016)"},"properties":{"noteIndex":0},"schema":"https://github.com/citation-style-language/schema/raw/master/csl-citation.json"}</w:instrText>
      </w:r>
      <w:r w:rsidR="006E33F2">
        <w:fldChar w:fldCharType="separate"/>
      </w:r>
      <w:r w:rsidR="006E33F2" w:rsidRPr="006E33F2">
        <w:rPr>
          <w:noProof/>
        </w:rPr>
        <w:t>(European Commission, 2016)</w:t>
      </w:r>
      <w:r w:rsidR="006E33F2">
        <w:fldChar w:fldCharType="end"/>
      </w:r>
      <w:r w:rsidR="00283760" w:rsidRPr="00F90F81">
        <w:t>.</w:t>
      </w:r>
      <w:r w:rsidR="00454096" w:rsidRPr="008F4116">
        <w:t xml:space="preserve"> </w:t>
      </w:r>
      <w:r w:rsidR="00D15FC7" w:rsidRPr="008F4116">
        <w:t>Calm</w:t>
      </w:r>
      <w:r w:rsidR="001F464C">
        <w:t>, stable</w:t>
      </w:r>
      <w:r w:rsidR="00D15FC7" w:rsidRPr="008F4116">
        <w:t xml:space="preserve"> raw materials markets are at the core of effectively facing the challenges related to the secure supply of raw materials</w:t>
      </w:r>
      <w:r w:rsidR="00D15FC7">
        <w:t xml:space="preserve"> for industries worldwide. </w:t>
      </w:r>
    </w:p>
    <w:p w14:paraId="133A512C" w14:textId="545D0905" w:rsidR="00B2768E" w:rsidRPr="00D96986" w:rsidRDefault="00B2768E" w:rsidP="00863B14">
      <w:pPr>
        <w:spacing w:line="480" w:lineRule="auto"/>
        <w:jc w:val="both"/>
      </w:pPr>
      <w:r>
        <w:t xml:space="preserve">Secondly, </w:t>
      </w:r>
      <w:r w:rsidR="005305C9">
        <w:rPr>
          <w:lang w:val="en-GB"/>
        </w:rPr>
        <w:t>studies often aim to provide information to policymakers, industry, and/or consumers on mitigating criticality. Mitigation measure</w:t>
      </w:r>
      <w:r w:rsidR="003F3268">
        <w:rPr>
          <w:lang w:val="en-GB"/>
        </w:rPr>
        <w:t>s</w:t>
      </w:r>
      <w:r w:rsidR="005305C9">
        <w:rPr>
          <w:lang w:val="en-GB"/>
        </w:rPr>
        <w:t xml:space="preserve"> could be focused on decreasing criticality </w:t>
      </w:r>
      <w:r w:rsidR="00CD2489">
        <w:rPr>
          <w:lang w:val="en-GB"/>
        </w:rPr>
        <w:t>i</w:t>
      </w:r>
      <w:r w:rsidR="005305C9">
        <w:rPr>
          <w:lang w:val="en-GB"/>
        </w:rPr>
        <w:t>n the short term</w:t>
      </w:r>
      <w:r w:rsidR="000F5A22">
        <w:rPr>
          <w:lang w:val="en-GB"/>
        </w:rPr>
        <w:t xml:space="preserve">, </w:t>
      </w:r>
      <w:r w:rsidR="005305C9">
        <w:rPr>
          <w:lang w:val="en-GB"/>
        </w:rPr>
        <w:t xml:space="preserve">such as pointing out the need for stockpiling of raw materials or </w:t>
      </w:r>
      <w:r w:rsidR="005305C9" w:rsidRPr="00C47A47">
        <w:rPr>
          <w:lang w:val="en-GB"/>
        </w:rPr>
        <w:t>challenging trade-distortive measures</w:t>
      </w:r>
      <w:r w:rsidR="000F5A22">
        <w:rPr>
          <w:lang w:val="en-GB"/>
        </w:rPr>
        <w:t xml:space="preserve">. </w:t>
      </w:r>
      <w:r w:rsidR="006149A0">
        <w:rPr>
          <w:lang w:val="en-GB"/>
        </w:rPr>
        <w:t>Also,</w:t>
      </w:r>
      <w:r w:rsidR="000F5A22">
        <w:rPr>
          <w:lang w:val="en-GB"/>
        </w:rPr>
        <w:t xml:space="preserve"> mitigation measures on the medium to long term could be proposed, such as </w:t>
      </w:r>
      <w:r w:rsidR="005305C9">
        <w:rPr>
          <w:lang w:val="en-GB"/>
        </w:rPr>
        <w:t>by diversifying supply, for example by increasing recycling,</w:t>
      </w:r>
      <w:r w:rsidR="005305C9" w:rsidRPr="007A14D8">
        <w:rPr>
          <w:lang w:val="en-GB"/>
        </w:rPr>
        <w:t xml:space="preserve"> </w:t>
      </w:r>
      <w:r w:rsidR="005305C9">
        <w:rPr>
          <w:lang w:val="en-GB"/>
        </w:rPr>
        <w:t xml:space="preserve">launching </w:t>
      </w:r>
      <w:r w:rsidR="005305C9" w:rsidRPr="00C47A47">
        <w:rPr>
          <w:lang w:val="en-GB"/>
        </w:rPr>
        <w:t>new mining activities</w:t>
      </w:r>
      <w:r w:rsidR="005305C9">
        <w:rPr>
          <w:lang w:val="en-GB"/>
        </w:rPr>
        <w:t xml:space="preserve">, finding </w:t>
      </w:r>
      <w:r w:rsidR="005305C9" w:rsidRPr="00C47A47">
        <w:rPr>
          <w:lang w:val="en-GB"/>
        </w:rPr>
        <w:t>substitution</w:t>
      </w:r>
      <w:r w:rsidR="005305C9">
        <w:rPr>
          <w:lang w:val="en-GB"/>
        </w:rPr>
        <w:t xml:space="preserve"> alternatives, developing new technologies</w:t>
      </w:r>
      <w:r w:rsidR="000F5A22">
        <w:rPr>
          <w:lang w:val="en-GB"/>
        </w:rPr>
        <w:t>,</w:t>
      </w:r>
      <w:r w:rsidR="005305C9">
        <w:rPr>
          <w:lang w:val="en-GB"/>
        </w:rPr>
        <w:t xml:space="preserve"> or </w:t>
      </w:r>
      <w:r w:rsidR="005305C9" w:rsidRPr="00C47A47">
        <w:rPr>
          <w:lang w:val="en-GB"/>
        </w:rPr>
        <w:t>negotiating trade agreements</w:t>
      </w:r>
      <w:r w:rsidR="00D27C7A">
        <w:rPr>
          <w:lang w:val="en-GB"/>
        </w:rPr>
        <w:t>.</w:t>
      </w:r>
      <w:r w:rsidR="00260FB1">
        <w:rPr>
          <w:lang w:val="en-GB"/>
        </w:rPr>
        <w:t xml:space="preserve"> For most economies, different mitigation strategies may be considered in parallel, such as the exploration of </w:t>
      </w:r>
      <w:r w:rsidR="00260FB1">
        <w:rPr>
          <w:lang w:val="en-GB"/>
        </w:rPr>
        <w:lastRenderedPageBreak/>
        <w:t>new mining sites, increased recycling, finding substitutes, and increased investments in material processing</w:t>
      </w:r>
      <w:r w:rsidR="00E26282">
        <w:rPr>
          <w:lang w:val="en-GB"/>
        </w:rPr>
        <w:t xml:space="preserve"> </w:t>
      </w:r>
      <w:r w:rsidR="00E26282">
        <w:rPr>
          <w:lang w:val="en-GB"/>
        </w:rPr>
        <w:fldChar w:fldCharType="begin" w:fldLock="1"/>
      </w:r>
      <w:r w:rsidR="0096725C">
        <w:rPr>
          <w:lang w:val="en-GB"/>
        </w:rPr>
        <w:instrText>ADDIN CSL_CITATION {"citationItems":[{"id":"ITEM-1","itemData":{"author":[{"dropping-particle":"","family":"Lee","given":"Mi-Hye","non-dropping-particle":"","parse-names":false,"suffix":""},{"dropping-particle":"","family":"Hool","given":"Alessandra","non-dropping-particle":"","parse-names":false,"suffix":""},{"dropping-particle":"","family":"Young","given":"Steven B.","non-dropping-particle":"","parse-names":false,"suffix":""},{"dropping-particle":"","family":"Kim","given":"Song-Yi","non-dropping-particle":"","parse-names":false,"suffix":""},{"dropping-particle":"","family":"Park","given":"Tae-Gyu","non-dropping-particle":"","parse-names":false,"suffix":""},{"dropping-particle":"","family":"Lee","given":"Min-Ha","non-dropping-particle":"","parse-names":false,"suffix":""}],"container-title":"submitted to Minerals","id":"ITEM-1","issued":{"date-parts":[["2019"]]},"title":"Understanding material criticality: Korean methodology for critical raw materials assessment.","type":"article-journal"},"uris":["http://www.mendeley.com/documents/?uuid=add2f0a9-a849-4c62-afa1-f5cb05fae958"]}],"mendeley":{"formattedCitation":"(Lee et al., 2019)","manualFormatting":"(see also Lee et al. (2019))","plainTextFormattedCitation":"(Lee et al., 2019)","previouslyFormattedCitation":"(Lee et al., 2019)"},"properties":{"noteIndex":0},"schema":"https://github.com/citation-style-language/schema/raw/master/csl-citation.json"}</w:instrText>
      </w:r>
      <w:r w:rsidR="00E26282">
        <w:rPr>
          <w:lang w:val="en-GB"/>
        </w:rPr>
        <w:fldChar w:fldCharType="separate"/>
      </w:r>
      <w:r w:rsidR="002B7D9B" w:rsidRPr="002B7D9B">
        <w:rPr>
          <w:noProof/>
          <w:lang w:val="en-GB"/>
        </w:rPr>
        <w:t>(</w:t>
      </w:r>
      <w:r w:rsidR="0015634E">
        <w:rPr>
          <w:noProof/>
          <w:lang w:val="en-GB"/>
        </w:rPr>
        <w:t xml:space="preserve">see also </w:t>
      </w:r>
      <w:r w:rsidR="002B7D9B" w:rsidRPr="002B7D9B">
        <w:rPr>
          <w:noProof/>
          <w:lang w:val="en-GB"/>
        </w:rPr>
        <w:t xml:space="preserve">Lee et al. </w:t>
      </w:r>
      <w:r w:rsidR="0015634E">
        <w:rPr>
          <w:noProof/>
          <w:lang w:val="en-GB"/>
        </w:rPr>
        <w:t>(</w:t>
      </w:r>
      <w:r w:rsidR="002B7D9B" w:rsidRPr="002B7D9B">
        <w:rPr>
          <w:noProof/>
          <w:lang w:val="en-GB"/>
        </w:rPr>
        <w:t>2019</w:t>
      </w:r>
      <w:r w:rsidR="0015634E">
        <w:rPr>
          <w:noProof/>
          <w:lang w:val="en-GB"/>
        </w:rPr>
        <w:t>)</w:t>
      </w:r>
      <w:r w:rsidR="002B7D9B" w:rsidRPr="002B7D9B">
        <w:rPr>
          <w:noProof/>
          <w:lang w:val="en-GB"/>
        </w:rPr>
        <w:t>)</w:t>
      </w:r>
      <w:r w:rsidR="00E26282">
        <w:rPr>
          <w:lang w:val="en-GB"/>
        </w:rPr>
        <w:fldChar w:fldCharType="end"/>
      </w:r>
      <w:r w:rsidR="00260FB1">
        <w:rPr>
          <w:lang w:val="en-GB"/>
        </w:rPr>
        <w:t xml:space="preserve">. </w:t>
      </w:r>
    </w:p>
    <w:p w14:paraId="11D0A595" w14:textId="00095E0D" w:rsidR="00CD1532" w:rsidRDefault="00D9212A" w:rsidP="00863B14">
      <w:pPr>
        <w:spacing w:line="480" w:lineRule="auto"/>
        <w:jc w:val="both"/>
      </w:pPr>
      <w:r>
        <w:rPr>
          <w:lang w:val="en-GB"/>
        </w:rPr>
        <w:t>Thirdly</w:t>
      </w:r>
      <w:r w:rsidR="00057BB4">
        <w:t>,</w:t>
      </w:r>
      <w:r w:rsidR="00CD1532">
        <w:t xml:space="preserve"> </w:t>
      </w:r>
      <w:r w:rsidR="00CD1532">
        <w:rPr>
          <w:lang w:val="en-GB"/>
        </w:rPr>
        <w:t xml:space="preserve">generic criticality assessments could be used as “pre-screenings” for </w:t>
      </w:r>
      <w:r w:rsidR="00605A83">
        <w:rPr>
          <w:lang w:val="en-GB"/>
        </w:rPr>
        <w:t>in-depth</w:t>
      </w:r>
      <w:r w:rsidR="00CD1532">
        <w:rPr>
          <w:lang w:val="en-GB"/>
        </w:rPr>
        <w:t xml:space="preserve"> studies with a more specific focus</w:t>
      </w:r>
      <w:r w:rsidR="00032B02">
        <w:rPr>
          <w:lang w:val="en-GB"/>
        </w:rPr>
        <w:t xml:space="preserve"> (e.g. NSTC)</w:t>
      </w:r>
      <w:r w:rsidR="00CD1532">
        <w:rPr>
          <w:lang w:val="en-GB"/>
        </w:rPr>
        <w:t>.</w:t>
      </w:r>
      <w:r w:rsidR="00CD1532">
        <w:t xml:space="preserve"> Screening studies help to prioritize the type of information that needs to be gathered for more detailed criticality studies.</w:t>
      </w:r>
      <w:r w:rsidR="0016595E">
        <w:t xml:space="preserve"> </w:t>
      </w:r>
      <w:r w:rsidR="007644DA">
        <w:t xml:space="preserve">Dynamic criticality studies could be considered as a subset of screening studies in which </w:t>
      </w:r>
      <w:r w:rsidR="009152A8">
        <w:t xml:space="preserve">materials are followed over </w:t>
      </w:r>
      <w:r w:rsidR="00A1204B">
        <w:t xml:space="preserve">multiple years considering a limited number of </w:t>
      </w:r>
      <w:r w:rsidR="00A1204B" w:rsidRPr="008F6B41">
        <w:t>indicators.</w:t>
      </w:r>
    </w:p>
    <w:p w14:paraId="6B4D3523" w14:textId="77777777" w:rsidR="006149A0" w:rsidRPr="008F6B41" w:rsidRDefault="006149A0" w:rsidP="00863B14">
      <w:pPr>
        <w:spacing w:line="480" w:lineRule="auto"/>
        <w:jc w:val="both"/>
        <w:rPr>
          <w:lang w:val="en-GB"/>
        </w:rPr>
      </w:pPr>
    </w:p>
    <w:p w14:paraId="2EB10FC5" w14:textId="48B5F2B5" w:rsidR="00AB13CD" w:rsidRPr="00000B19" w:rsidRDefault="00D856B3" w:rsidP="00D96986">
      <w:pPr>
        <w:pStyle w:val="Heading4"/>
        <w:numPr>
          <w:ilvl w:val="2"/>
          <w:numId w:val="58"/>
        </w:numPr>
      </w:pPr>
      <w:bookmarkStart w:id="39" w:name="_Toc10458661"/>
      <w:r w:rsidRPr="00000B19">
        <w:t>Wh</w:t>
      </w:r>
      <w:r w:rsidR="00950DDA" w:rsidRPr="00000B19">
        <w:t>ich</w:t>
      </w:r>
      <w:r w:rsidRPr="00000B19">
        <w:t xml:space="preserve"> materials are evaluated</w:t>
      </w:r>
      <w:r w:rsidR="00C33F33" w:rsidRPr="00000B19">
        <w:t>?</w:t>
      </w:r>
      <w:bookmarkEnd w:id="39"/>
      <w:r w:rsidR="00D3374F" w:rsidRPr="00000B19">
        <w:t xml:space="preserve"> </w:t>
      </w:r>
    </w:p>
    <w:p w14:paraId="4496B967" w14:textId="2231A70C" w:rsidR="006031FB" w:rsidRDefault="0077742C" w:rsidP="00863B14">
      <w:pPr>
        <w:spacing w:line="480" w:lineRule="auto"/>
        <w:jc w:val="both"/>
        <w:rPr>
          <w:noProof/>
        </w:rPr>
      </w:pPr>
      <w:r>
        <w:rPr>
          <w:noProof/>
        </w:rPr>
        <w:fldChar w:fldCharType="begin"/>
      </w:r>
      <w:r>
        <w:rPr>
          <w:noProof/>
          <w:highlight w:val="yellow"/>
        </w:rPr>
        <w:instrText xml:space="preserve"> REF _Ref4494126 \h </w:instrText>
      </w:r>
      <w:r w:rsidR="006149A0">
        <w:rPr>
          <w:noProof/>
        </w:rPr>
        <w:instrText xml:space="preserve"> \* MERGEFORMAT </w:instrText>
      </w:r>
      <w:r>
        <w:rPr>
          <w:noProof/>
        </w:rPr>
      </w:r>
      <w:r>
        <w:rPr>
          <w:noProof/>
        </w:rPr>
        <w:fldChar w:fldCharType="separate"/>
      </w:r>
      <w:r w:rsidR="009F2906">
        <w:t xml:space="preserve">Figure </w:t>
      </w:r>
      <w:r w:rsidR="009F2906">
        <w:rPr>
          <w:noProof/>
        </w:rPr>
        <w:t>1</w:t>
      </w:r>
      <w:r>
        <w:rPr>
          <w:noProof/>
        </w:rPr>
        <w:fldChar w:fldCharType="end"/>
      </w:r>
      <w:r>
        <w:rPr>
          <w:noProof/>
        </w:rPr>
        <w:t xml:space="preserve"> </w:t>
      </w:r>
      <w:r w:rsidR="00B62FE1">
        <w:rPr>
          <w:noProof/>
        </w:rPr>
        <w:t xml:space="preserve">provides </w:t>
      </w:r>
      <w:r w:rsidR="006031FB">
        <w:rPr>
          <w:noProof/>
        </w:rPr>
        <w:t xml:space="preserve">an overview of the frequency </w:t>
      </w:r>
      <w:r w:rsidR="00CD2489">
        <w:rPr>
          <w:noProof/>
        </w:rPr>
        <w:t>with</w:t>
      </w:r>
      <w:r w:rsidR="006031FB">
        <w:rPr>
          <w:noProof/>
        </w:rPr>
        <w:t xml:space="preserve"> which materials are included in</w:t>
      </w:r>
      <w:r w:rsidR="0015634E">
        <w:rPr>
          <w:noProof/>
        </w:rPr>
        <w:t xml:space="preserve"> a selection of the reviewed</w:t>
      </w:r>
      <w:r w:rsidR="006031FB">
        <w:rPr>
          <w:noProof/>
        </w:rPr>
        <w:t xml:space="preserve"> criticality assessments. </w:t>
      </w:r>
      <w:r w:rsidR="006031FB">
        <w:t>Most recent criticality assessment</w:t>
      </w:r>
      <w:r w:rsidR="00CD2489">
        <w:t>s</w:t>
      </w:r>
      <w:r w:rsidR="006031FB">
        <w:t xml:space="preserve"> only include</w:t>
      </w:r>
      <w:r w:rsidR="000F5A22">
        <w:t>d</w:t>
      </w:r>
      <w:r w:rsidR="006031FB">
        <w:t xml:space="preserve"> non-energy minerals, as the supply of fossil fuels </w:t>
      </w:r>
      <w:r w:rsidR="006031FB" w:rsidRPr="00CD5D56">
        <w:t>has been widely covered in earlier analyses</w:t>
      </w:r>
      <w:r w:rsidR="00AB79F9" w:rsidRPr="00CD5D56">
        <w:t xml:space="preserve"> </w:t>
      </w:r>
      <w:r w:rsidR="006A4DDA" w:rsidRPr="00CD5D56">
        <w:fldChar w:fldCharType="begin" w:fldLock="1"/>
      </w:r>
      <w:r w:rsidR="00D35F6A">
        <w:instrText>ADDIN CSL_CITATION {"citationItems":[{"id":"ITEM-1","itemData":{"DOI":"10.1002/eji.200839120.IL-17-Producing","ISBN":"0169-1368","ISSN":"1521-4141","PMID":"19283718","abstract":"Although raw materials are essential for the EU economy, their availability is increasingly under pressure. Within the framework of the EU Raw Materials Initiative, it was decided to identify a list of critical raw materials at EU level, in close cooperation with Member States and stakeholders. The attached report presents the outcome of this cooperation achieved through an expert working group (\"the Group\") which was active between April 2009 and June 2010 under the umbrella of the Raw Materials Supply Group. With regards to geological availability, the Group observes that, as geological scarcity is not considered as an issue for determining criticality of raw materials within the considered time horizon of the study, e.g. ten years, global reserve figures are not reliable indicators of long term availability. Of greater relevance are changes in the geopolitical-economic framework that impact on the supply and demand of raw materials. These changes relate to the growing demand for raw materials, which in turn is driven by the growth of developing economies and new emerging technologies. Moreover, many emerging economies are pursuing industrial development strategies by means of trade, taxation and investment instruments aimed at reserving their resource base for their exclusive use. This trend has become apparent through an increasing number of government measures such as export taxes, quotas, subsidies etc. In some cases, the situation is further compounded by a high level of concentration of the production in a few countries. This report analyses a selection of 41 minerals and metals. In line with other studies, the report puts forward a relative concept of criticality. This means that raw material is labelled critical when the risks of supply shortage and their impacts on the economy are higher compared with most of the other raw materials. Two types of risks are considered: a) the \"supply risk\" taking into account the political-economic stability of the producing countries, the level of concentration of production, the potential for substitution and the recycling rate; and b) the \"environmental country risk\" assessing the risks that measures might be taken by countries with weak environmental performance in order to protect the environment and, in doing so, endanger the supply of raw materials to the EU. Building on existing approaches, this report sets out an innovative and pragmatic approach to determining criticality.","author":[{"dropping-particle":"","family":"European Commission","given":"","non-dropping-particle":"","parse-names":false,"suffix":""}],"container-title":"Eucom","id":"ITEM-1","issue":"July","issued":{"date-parts":[["2010"]]},"number-of-pages":"1-84","title":"Critical raw materials for the EU, Report of the Ad-hoc Working Group on defining critical raw materials","type":"report","volume":"39"},"uris":["http://www.mendeley.com/documents/?uuid=818a8ad6-2248-4bba-9243-ab66e518266e"]},{"id":"ITEM-2","itemData":{"ISBN":"9783816779575","author":[{"dropping-particle":"","family":"Angerer","given":"Gerhard","non-dropping-particle":"","parse-names":false,"suffix":""},{"dropping-particle":"","family":"Marscheider-Weidemann","given":"Frank","non-dropping-particle":"","parse-names":false,"suffix":""},{"dropping-particle":"","family":"Lüllmann","given":"Arne","non-dropping-particle":"","parse-names":false,"suffix":""},{"dropping-particle":"","family":"Scharp","given":"Michael","non-dropping-particle":"","parse-names":false,"suffix":""},{"dropping-particle":"","family":"Handke","given":"Volker","non-dropping-particle":"","parse-names":false,"suffix":""},{"dropping-particle":"","family":"Marwede","given":"Max","non-dropping-particle":"","parse-names":false,"suffix":""}],"id":"ITEM-2","issue":"February","issued":{"date-parts":[["2009"]]},"page":"1-15","title":"Raw materials for emerging technologies","type":"article-journal"},"uris":["http://www.mendeley.com/documents/?uuid=206a82f4-0661-43c0-8cb1-6037cf34fdfb"]}],"mendeley":{"formattedCitation":"(Angerer et al., 2009; European Commission, 2010)","plainTextFormattedCitation":"(Angerer et al., 2009; European Commission, 2010)","previouslyFormattedCitation":"(Angerer et al., 2009; European Commission, 2010)"},"properties":{"noteIndex":0},"schema":"https://github.com/citation-style-language/schema/raw/master/csl-citation.json"}</w:instrText>
      </w:r>
      <w:r w:rsidR="006A4DDA" w:rsidRPr="00CD5D56">
        <w:fldChar w:fldCharType="separate"/>
      </w:r>
      <w:r w:rsidR="002B45EF" w:rsidRPr="002B45EF">
        <w:rPr>
          <w:noProof/>
        </w:rPr>
        <w:t>(Angerer et al., 2009; European Commission, 2010)</w:t>
      </w:r>
      <w:r w:rsidR="006A4DDA" w:rsidRPr="00CD5D56">
        <w:fldChar w:fldCharType="end"/>
      </w:r>
      <w:r w:rsidR="006031FB" w:rsidRPr="00424AC1">
        <w:t>.</w:t>
      </w:r>
      <w:r w:rsidR="006031FB" w:rsidRPr="00CD5D56">
        <w:t xml:space="preserve"> </w:t>
      </w:r>
      <w:r w:rsidR="006031FB" w:rsidRPr="00CD5D56">
        <w:rPr>
          <w:noProof/>
        </w:rPr>
        <w:t>Some</w:t>
      </w:r>
      <w:r w:rsidR="006031FB">
        <w:rPr>
          <w:noProof/>
        </w:rPr>
        <w:t xml:space="preserve"> studies only included metals </w:t>
      </w:r>
      <w:r w:rsidR="006031FB">
        <w:rPr>
          <w:noProof/>
        </w:rPr>
        <w:fldChar w:fldCharType="begin" w:fldLock="1"/>
      </w:r>
      <w:r w:rsidR="00D35F6A">
        <w:rPr>
          <w:noProof/>
        </w:rPr>
        <w:instrText>ADDIN CSL_CITATION {"citationItems":[{"id":"ITEM-1","itemData":{"DOI":"10.1073/pnas.1500415112","ISBN":"1215421109","ISSN":"0027-8424","PMID":"22393313","abstract":"Imbalances between metal supply and demand, real or anticipated, have inspired the concept of metal criticality. We here characterize the criticality of 62 metals and metalloids in a 3D “criticality space” consisting of supply risk, environmental implications, and vulnerability to supply restriction. Contributing factors that lead to extreme values include high geopolitical concentration of primary production, lack of available suitable substitutes, and political instability. The results show that the limitations for many metals important in emerging electronics (e.g., gallium and selenium) are largely those related to supply risk; those of platinum group metals, gold, and mercury, to environmental implications; and steel alloying elements (e.g., chromium and niobium) as well as elements used in high-temperature alloys (e.g., tungsten and molybdenum), to vulnerability to supply restriction. The metals of most concern tend to be those available largely or entirely as byproducts, used in small quantities for highly specialized applications, and possessing no effective substitutes.","author":[{"dropping-particle":"","family":"Graedel","given":"T. E.","non-dropping-particle":"","parse-names":false,"suffix":""},{"dropping-particle":"","family":"Harper","given":"E. M.","non-dropping-particle":"","parse-names":false,"suffix":""},{"dropping-particle":"","family":"Nassar","given":"N. T.","non-dropping-particle":"","parse-names":false,"suffix":""},{"dropping-particle":"","family":"Nuss","given":"Philip","non-dropping-particle":"","parse-names":false,"suffix":""},{"dropping-particle":"","family":"Reck","given":"Barbara K.","non-dropping-particle":"","parse-names":false,"suffix":""}],"container-title":"Proceedings of the National Academy of Sciences","id":"ITEM-1","issue":"14","issued":{"date-parts":[["2015"]]},"page":"4257-4262","title":"Criticality of metals and metalloids","type":"article-journal","volume":"112"},"uris":["http://www.mendeley.com/documents/?uuid=83c0c02d-0435-4804-808e-1175ac849a60"]}],"mendeley":{"formattedCitation":"(Graedel et al., 2015)","manualFormatting":"(e.g. Graedel et al 2015)","plainTextFormattedCitation":"(Graedel et al., 2015)","previouslyFormattedCitation":"(Graedel et al., 2015)"},"properties":{"noteIndex":0},"schema":"https://github.com/citation-style-language/schema/raw/master/csl-citation.json"}</w:instrText>
      </w:r>
      <w:r w:rsidR="006031FB">
        <w:rPr>
          <w:noProof/>
        </w:rPr>
        <w:fldChar w:fldCharType="separate"/>
      </w:r>
      <w:r w:rsidR="006031FB" w:rsidRPr="00F56BED">
        <w:rPr>
          <w:noProof/>
        </w:rPr>
        <w:t>(</w:t>
      </w:r>
      <w:r w:rsidR="006F0D9D">
        <w:rPr>
          <w:noProof/>
        </w:rPr>
        <w:t>e</w:t>
      </w:r>
      <w:r w:rsidR="003B33C9">
        <w:rPr>
          <w:noProof/>
        </w:rPr>
        <w:t xml:space="preserve">.g. </w:t>
      </w:r>
      <w:r w:rsidR="006031FB" w:rsidRPr="00F56BED">
        <w:rPr>
          <w:noProof/>
        </w:rPr>
        <w:t>Graedel et al 2015)</w:t>
      </w:r>
      <w:r w:rsidR="006031FB">
        <w:rPr>
          <w:noProof/>
        </w:rPr>
        <w:fldChar w:fldCharType="end"/>
      </w:r>
      <w:r w:rsidR="006031FB">
        <w:rPr>
          <w:noProof/>
        </w:rPr>
        <w:t>,</w:t>
      </w:r>
      <w:r w:rsidR="009D73A5">
        <w:rPr>
          <w:noProof/>
        </w:rPr>
        <w:t xml:space="preserve"> or only biotic materials </w:t>
      </w:r>
      <w:r w:rsidR="009D73A5">
        <w:rPr>
          <w:noProof/>
        </w:rPr>
        <w:fldChar w:fldCharType="begin" w:fldLock="1"/>
      </w:r>
      <w:r w:rsidR="00D35F6A">
        <w:rPr>
          <w:noProof/>
        </w:rPr>
        <w:instrText>ADDIN CSL_CITATION {"citationItems":[{"id":"ITEM-1","itemData":{"DOI":"10.3390/su9010137","ISSN":"20711050","abstract":"Availability of abiotic resources has been a topic of concern in recent years, resulting in several approaches being published to determine their availability on country and product level. However, the availability of biotic materials has not been analyzed to this extent yet. Therefore, an approach to determine possible limitations to availability of terrestrial biotic materials over the entire supply chain is introduced. The approach considers 24 categories overall as well as associated category indicators for the five dimensions: physical, socio-economic, abiotic, social and environmental constraints. This ensures a comprehensive availability assessment of bio-based product systems. The approach is applied to a case study comparing biodiesel produced from rapeseed and soy beans. The study shows that the determination of indicator values is feasible for most categories and their interpretation leads to meaningful conclusions. Thus, the approach leads to a more comprehensive assessment of availability aspects and supports better informed decision making in industry and policy.","author":[{"dropping-particle":"","family":"Bach","given":"Vanessa","non-dropping-particle":"","parse-names":false,"suffix":""},{"dropping-particle":"","family":"Berger","given":"Markus","non-dropping-particle":"","parse-names":false,"suffix":""},{"dropping-particle":"","family":"Finogenova","given":"Natalia","non-dropping-particle":"","parse-names":false,"suffix":""},{"dropping-particle":"","family":"Finkbeiner","given":"Matthias","non-dropping-particle":"","parse-names":false,"suffix":""}],"container-title":"Sustainability (Switzerland)","id":"ITEM-1","issue":"1","issued":{"date-parts":[["2017"]]},"title":"Assessing the availability of terrestrial Biotic Materials in Product Systems (BIRD)","type":"article-journal","volume":"9"},"uris":["http://www.mendeley.com/documents/?uuid=98c28a9c-0237-4eff-8eb4-c7a0c21fee0f"]}],"mendeley":{"formattedCitation":"(Bach et al., 2017a)","plainTextFormattedCitation":"(Bach et al., 2017a)","previouslyFormattedCitation":"(Bach et al., 2017a)"},"properties":{"noteIndex":0},"schema":"https://github.com/citation-style-language/schema/raw/master/csl-citation.json"}</w:instrText>
      </w:r>
      <w:r w:rsidR="009D73A5">
        <w:rPr>
          <w:noProof/>
        </w:rPr>
        <w:fldChar w:fldCharType="separate"/>
      </w:r>
      <w:r w:rsidR="002B45EF" w:rsidRPr="002B45EF">
        <w:rPr>
          <w:noProof/>
        </w:rPr>
        <w:t>(Bach et al., 2017a)</w:t>
      </w:r>
      <w:r w:rsidR="009D73A5">
        <w:rPr>
          <w:noProof/>
        </w:rPr>
        <w:fldChar w:fldCharType="end"/>
      </w:r>
      <w:r w:rsidR="009D73A5">
        <w:rPr>
          <w:noProof/>
        </w:rPr>
        <w:t>,</w:t>
      </w:r>
      <w:r w:rsidR="006031FB">
        <w:rPr>
          <w:noProof/>
        </w:rPr>
        <w:t xml:space="preserve"> while others were very comprehensive and included all elements of the periodic table</w:t>
      </w:r>
      <w:r w:rsidR="009065FF">
        <w:rPr>
          <w:noProof/>
        </w:rPr>
        <w:t xml:space="preserve"> </w:t>
      </w:r>
      <w:r w:rsidR="001F464C">
        <w:rPr>
          <w:noProof/>
        </w:rPr>
        <w:t>and/</w:t>
      </w:r>
      <w:r w:rsidR="006031FB">
        <w:rPr>
          <w:noProof/>
        </w:rPr>
        <w:t xml:space="preserve">or other types of materials, such as industrial minerals or biotic materials </w:t>
      </w:r>
      <w:r w:rsidR="006031FB">
        <w:rPr>
          <w:noProof/>
        </w:rPr>
        <w:fldChar w:fldCharType="begin" w:fldLock="1"/>
      </w:r>
      <w:r w:rsidR="00D35F6A">
        <w:rPr>
          <w:noProof/>
        </w:rPr>
        <w:instrText>ADDIN CSL_CITATION {"citationItems":[{"id":"ITEM-1","itemData":{"DOI":"10.2873/876644","ISBN":"978-92-79-47937-3","abstract":"Criticality Assessments","author":[{"dropping-particle":"","family":"European Commission","given":"","non-dropping-particle":"","parse-names":false,"suffix":""}],"container-title":"European Commission","id":"ITEM-1","issue":"June","issued":{"date-parts":[["2017"]]},"number-of-pages":"42","title":"Study on the review of the list of critical raw materials - Criticality Assessments","type":"book"},"uris":["http://www.mendeley.com/documents/?uuid=930c44e1-24a7-4b6f-9518-77ae9daf839d"]}],"mendeley":{"formattedCitation":"(European Commission, 2017b)","plainTextFormattedCitation":"(European Commission, 2017b)","previouslyFormattedCitation":"(European Commission, 2017b)"},"properties":{"noteIndex":0},"schema":"https://github.com/citation-style-language/schema/raw/master/csl-citation.json"}</w:instrText>
      </w:r>
      <w:r w:rsidR="006031FB">
        <w:rPr>
          <w:noProof/>
        </w:rPr>
        <w:fldChar w:fldCharType="separate"/>
      </w:r>
      <w:r w:rsidR="002B45EF" w:rsidRPr="002B45EF">
        <w:rPr>
          <w:noProof/>
        </w:rPr>
        <w:t>(European Commission, 2017b)</w:t>
      </w:r>
      <w:r w:rsidR="006031FB">
        <w:rPr>
          <w:noProof/>
        </w:rPr>
        <w:fldChar w:fldCharType="end"/>
      </w:r>
      <w:r w:rsidR="006031FB">
        <w:rPr>
          <w:noProof/>
        </w:rPr>
        <w:t>.</w:t>
      </w:r>
      <w:r w:rsidR="0091777D">
        <w:rPr>
          <w:noProof/>
        </w:rPr>
        <w:t xml:space="preserve"> A few studies focus only on one specific material or element (e.g.</w:t>
      </w:r>
      <w:r w:rsidR="0068171E">
        <w:rPr>
          <w:noProof/>
        </w:rPr>
        <w:t xml:space="preserve"> </w:t>
      </w:r>
      <w:r w:rsidR="0068171E">
        <w:rPr>
          <w:noProof/>
        </w:rPr>
        <w:fldChar w:fldCharType="begin" w:fldLock="1"/>
      </w:r>
      <w:r w:rsidR="00D35F6A">
        <w:rPr>
          <w:noProof/>
        </w:rPr>
        <w:instrText>ADDIN CSL_CITATION {"citationItems":[{"id":"ITEM-1","itemData":{"DOI":"10.1016/j.resourpol.2009.07.001","ISBN":"0301-4207","ISSN":"03014207","abstract":"This paper develops a method for identifying and assessing long-term supply risks for mineral raw materials. The method is based on a combined evaluation of past and future supply and demand trends. By analysing raw material boom and bust cycles over the past 50 years, we have quantified indicators and defined benchmarks for identifying critical market situations. By applying the method, risks for supply shortage may be identified at an early stage. In addition, a numerical evaluation model has been developed for better comparison between various mineral raw materials. Compared to other assessment methods this method uses specific benchmarks for each raw material to better assess supply risks. The method is embedded within a systematic and comprehensive analytical approach. Based on this model, companies can make better informed decisions for their market assessment and may use suitable risk mitigation instruments to counteract problematic developments. Understanding future supply conditions is especially useful when selecting new technologies for products which require an intensive use of raw materials. As an example, the method is applied to the copper market as of 2006. It is important to emphasise that nobody can foresee the future of raw material prices. But we may aim to better understand the weaknesses of these markets which may lead to future supply shortages thus influencing price. © 2009 Elsevier Ltd. All rights reserved.","author":[{"dropping-particle":"","family":"Rosenau-Tornow","given":"Dirk","non-dropping-particle":"","parse-names":false,"suffix":""},{"dropping-particle":"","family":"Buchholz","given":"Peter","non-dropping-particle":"","parse-names":false,"suffix":""},{"dropping-particle":"","family":"Riemann","given":"Axel","non-dropping-particle":"","parse-names":false,"suffix":""},{"dropping-particle":"","family":"Wagner","given":"Markus","non-dropping-particle":"","parse-names":false,"suffix":""}],"container-title":"Resources Policy","id":"ITEM-1","issue":"4","issued":{"date-parts":[["2009"]]},"page":"161-175","publisher":"Elsevier","title":"Assessing the long-term supply risks for mineral raw materials-a combined evaluation of past and future trends","type":"article-journal","volume":"34"},"uris":["http://www.mendeley.com/documents/?uuid=f2fcd178-db1f-4f22-b08e-844d0285a86a"]}],"mendeley":{"formattedCitation":"(Rosenau-Tornow et al., 2009)","manualFormatting":"Rosenau-Tornow et al. (2009)","plainTextFormattedCitation":"(Rosenau-Tornow et al., 2009)","previouslyFormattedCitation":"(Rosenau-Tornow et al., 2009)"},"properties":{"noteIndex":0},"schema":"https://github.com/citation-style-language/schema/raw/master/csl-citation.json"}</w:instrText>
      </w:r>
      <w:r w:rsidR="0068171E">
        <w:rPr>
          <w:noProof/>
        </w:rPr>
        <w:fldChar w:fldCharType="separate"/>
      </w:r>
      <w:r w:rsidR="0068171E" w:rsidRPr="0068171E">
        <w:rPr>
          <w:noProof/>
        </w:rPr>
        <w:t xml:space="preserve">Rosenau-Tornow et al. </w:t>
      </w:r>
      <w:r w:rsidR="0068171E">
        <w:rPr>
          <w:noProof/>
        </w:rPr>
        <w:t>(</w:t>
      </w:r>
      <w:r w:rsidR="0068171E" w:rsidRPr="0068171E">
        <w:rPr>
          <w:noProof/>
        </w:rPr>
        <w:t>2009)</w:t>
      </w:r>
      <w:r w:rsidR="0068171E">
        <w:rPr>
          <w:noProof/>
        </w:rPr>
        <w:fldChar w:fldCharType="end"/>
      </w:r>
      <w:r w:rsidR="00BF1AF7">
        <w:rPr>
          <w:noProof/>
        </w:rPr>
        <w:t>)</w:t>
      </w:r>
      <w:r w:rsidR="0091777D">
        <w:rPr>
          <w:noProof/>
        </w:rPr>
        <w:t>.</w:t>
      </w:r>
      <w:r w:rsidR="00D868FC">
        <w:rPr>
          <w:noProof/>
        </w:rPr>
        <w:t xml:space="preserve"> </w:t>
      </w:r>
      <w:r w:rsidR="006031FB">
        <w:rPr>
          <w:noProof/>
        </w:rPr>
        <w:t xml:space="preserve">Materials that are most frequently included are </w:t>
      </w:r>
      <w:r w:rsidR="0068171E">
        <w:rPr>
          <w:noProof/>
        </w:rPr>
        <w:t>indium, gallium, cobalt, lithium, nickel, tellurium, copper, the PGMs and the REEs</w:t>
      </w:r>
      <w:r w:rsidR="006031FB" w:rsidRPr="007E4A0C">
        <w:rPr>
          <w:noProof/>
        </w:rPr>
        <w:t xml:space="preserve"> (see </w:t>
      </w:r>
      <w:r w:rsidR="00D45B35" w:rsidRPr="007E4A0C">
        <w:rPr>
          <w:noProof/>
        </w:rPr>
        <w:fldChar w:fldCharType="begin"/>
      </w:r>
      <w:r w:rsidR="00D45B35" w:rsidRPr="007E4A0C">
        <w:rPr>
          <w:noProof/>
        </w:rPr>
        <w:instrText xml:space="preserve"> REF _Ref4494126 \h </w:instrText>
      </w:r>
      <w:r w:rsidR="007E4A0C">
        <w:rPr>
          <w:noProof/>
        </w:rPr>
        <w:instrText xml:space="preserve"> \* MERGEFORMAT </w:instrText>
      </w:r>
      <w:r w:rsidR="00D45B35" w:rsidRPr="007E4A0C">
        <w:rPr>
          <w:noProof/>
        </w:rPr>
      </w:r>
      <w:r w:rsidR="00D45B35" w:rsidRPr="007E4A0C">
        <w:rPr>
          <w:noProof/>
        </w:rPr>
        <w:fldChar w:fldCharType="separate"/>
      </w:r>
      <w:r w:rsidR="009F2906" w:rsidRPr="007E4A0C">
        <w:t xml:space="preserve">Figure </w:t>
      </w:r>
      <w:r w:rsidR="009F2906" w:rsidRPr="007E4A0C">
        <w:rPr>
          <w:noProof/>
        </w:rPr>
        <w:t>1</w:t>
      </w:r>
      <w:r w:rsidR="00D45B35" w:rsidRPr="007E4A0C">
        <w:rPr>
          <w:noProof/>
        </w:rPr>
        <w:fldChar w:fldCharType="end"/>
      </w:r>
      <w:r w:rsidR="006031FB" w:rsidRPr="007E4A0C">
        <w:rPr>
          <w:noProof/>
        </w:rPr>
        <w:t>). Materials that are only included in a single study are, among others,</w:t>
      </w:r>
      <w:r w:rsidR="0068171E">
        <w:rPr>
          <w:noProof/>
        </w:rPr>
        <w:t xml:space="preserve"> aggregates, ammonia, cork, carbon fiber, and a few branded products (e.g. Nomex</w:t>
      </w:r>
      <w:r w:rsidR="00DB7D1C">
        <w:sym w:font="Symbol" w:char="F0E2"/>
      </w:r>
      <w:r w:rsidR="0068171E">
        <w:t xml:space="preserve"> and Kevlar</w:t>
      </w:r>
      <w:r w:rsidR="00DB7D1C">
        <w:sym w:font="Symbol" w:char="F0E2"/>
      </w:r>
      <w:r w:rsidR="0068171E">
        <w:t>)</w:t>
      </w:r>
      <w:r w:rsidR="006031FB" w:rsidRPr="007E4A0C">
        <w:t>.</w:t>
      </w:r>
      <w:r w:rsidR="006031FB">
        <w:rPr>
          <w:noProof/>
        </w:rPr>
        <w:t xml:space="preserve"> </w:t>
      </w:r>
    </w:p>
    <w:p w14:paraId="56BEDAC9" w14:textId="3E96658B" w:rsidR="0083333D" w:rsidRDefault="0083333D" w:rsidP="00863B14">
      <w:pPr>
        <w:spacing w:line="480" w:lineRule="auto"/>
        <w:jc w:val="both"/>
      </w:pPr>
      <w:r>
        <w:t xml:space="preserve">While most studies look at material supply at the mining stage (e.g. </w:t>
      </w:r>
      <w:r>
        <w:fldChar w:fldCharType="begin" w:fldLock="1"/>
      </w:r>
      <w:r w:rsidR="00D35F6A">
        <w:instrText>ADDIN CSL_CITATION {"citationItems":[{"id":"ITEM-1","itemData":{"author":[{"dropping-particle":"","family":"BGS","given":"","non-dropping-particle":"","parse-names":false,"suffix":""}],"id":"ITEM-1","issued":{"date-parts":[["2011"]]},"title":"Risk list 2011","type":"report"},"uris":["http://www.mendeley.com/documents/?uuid=f6f949fe-98df-4fa4-9fc4-cca5444a298a"]}],"mendeley":{"formattedCitation":"(BGS, 2011)","manualFormatting":"BGS (2012a)","plainTextFormattedCitation":"(BGS, 2011)","previouslyFormattedCitation":"(BGS, 2011)"},"properties":{"noteIndex":0},"schema":"https://github.com/citation-style-language/schema/raw/master/csl-citation.json"}</w:instrText>
      </w:r>
      <w:r>
        <w:fldChar w:fldCharType="separate"/>
      </w:r>
      <w:r w:rsidR="00F147C6" w:rsidRPr="00F147C6">
        <w:rPr>
          <w:noProof/>
        </w:rPr>
        <w:t xml:space="preserve">BGS </w:t>
      </w:r>
      <w:r w:rsidR="006027E9">
        <w:rPr>
          <w:noProof/>
        </w:rPr>
        <w:t>(</w:t>
      </w:r>
      <w:r w:rsidR="00F147C6" w:rsidRPr="00F147C6">
        <w:rPr>
          <w:noProof/>
        </w:rPr>
        <w:t>2012a)</w:t>
      </w:r>
      <w:r>
        <w:fldChar w:fldCharType="end"/>
      </w:r>
      <w:r>
        <w:t xml:space="preserve">), several studies evaluate criticality at </w:t>
      </w:r>
      <w:r>
        <w:rPr>
          <w:noProof/>
        </w:rPr>
        <w:t xml:space="preserve">different points in the supply chain of a material (e.g. </w:t>
      </w:r>
      <w:r>
        <w:rPr>
          <w:noProof/>
        </w:rPr>
        <w:fldChar w:fldCharType="begin" w:fldLock="1"/>
      </w:r>
      <w:r w:rsidR="00D35F6A">
        <w:rPr>
          <w:noProof/>
        </w:rPr>
        <w:instrText>ADDIN CSL_CITATION {"citationItems":[{"id":"ITEM-1","itemData":{"author":[{"dropping-particle":"","family":"NSTC","given":"","non-dropping-particle":"","parse-names":false,"suffix":""}],"container-title":"National Science and Technology Council","id":"ITEM-1","issue":"March","issued":{"date-parts":[["2016"]]},"title":"CSMSC Assessment of Critical Minerals Report 2016-03-16 FINAL","type":"article-journal"},"uris":["http://www.mendeley.com/documents/?uuid=a60bd61e-2a57-4cef-82c1-df9e5055e2c7"]},{"id":"ITEM-2","itemData":{"author":[{"dropping-particle":"","family":"European Commission","given":"","non-dropping-particle":"","parse-names":false,"suffix":""}],"id":"ITEM-2","issued":{"date-parts":[["2017"]]},"title":"COMMUNICATION FROM THE COMMISSION TO THE EUROPEAN PARLIAMENT, THE COUNCIL, THE EUROPEAN ECONOMIC AND SOCIAL COMMITTEE AND THE COMMITTEE OF THE REGIONS on the 2017 list of Critical Raw Materials for the EU","type":"report"},"uris":["http://www.mendeley.com/documents/?uuid=cb36a5ec-4175-4c35-b665-ac799bf53b6b"]},{"id":"ITEM-3","itemData":{"URL":"https://grantadesign.com/industry/products/data/product-risk/restricted-substances-data-module/","accessed":{"date-parts":[["2019","6","14"]]},"author":[{"dropping-particle":"","family":"Granta Design","given":"","non-dropping-particle":"","parse-names":false,"suffix":""}],"id":"ITEM-3","issued":{"date-parts":[["2019"]]},"title":"Restricted Substances Data Module","type":"webpage"},"uris":["http://www.mendeley.com/documents/?uuid=c721bc97-48a6-4f7f-b775-121e34c31b96"]}],"mendeley":{"formattedCitation":"(European Commission, 2017c; Granta Design, 2019; NSTC, 2016)","manualFormatting":"European Commission (2017c), Granta Design (2019), NSTC (2016)","plainTextFormattedCitation":"(European Commission, 2017c; Granta Design, 2019; NSTC, 2016)","previouslyFormattedCitation":"(European Commission, 2017c; Granta Design, 2019; NSTC, 2016)"},"properties":{"noteIndex":0},"schema":"https://github.com/citation-style-language/schema/raw/master/csl-citation.json"}</w:instrText>
      </w:r>
      <w:r>
        <w:rPr>
          <w:noProof/>
        </w:rPr>
        <w:fldChar w:fldCharType="separate"/>
      </w:r>
      <w:r w:rsidR="00391778" w:rsidRPr="00391778">
        <w:rPr>
          <w:noProof/>
        </w:rPr>
        <w:t xml:space="preserve">European Commission </w:t>
      </w:r>
      <w:r w:rsidR="00391778">
        <w:rPr>
          <w:noProof/>
        </w:rPr>
        <w:t>(</w:t>
      </w:r>
      <w:r w:rsidR="00391778" w:rsidRPr="00391778">
        <w:rPr>
          <w:noProof/>
        </w:rPr>
        <w:t>2017c</w:t>
      </w:r>
      <w:r w:rsidR="00391778">
        <w:rPr>
          <w:noProof/>
        </w:rPr>
        <w:t>),</w:t>
      </w:r>
      <w:r w:rsidR="00391778" w:rsidRPr="00391778">
        <w:rPr>
          <w:noProof/>
        </w:rPr>
        <w:t xml:space="preserve"> Granta Design </w:t>
      </w:r>
      <w:r w:rsidR="00391778">
        <w:rPr>
          <w:noProof/>
        </w:rPr>
        <w:t>(</w:t>
      </w:r>
      <w:r w:rsidR="00391778" w:rsidRPr="00391778">
        <w:rPr>
          <w:noProof/>
        </w:rPr>
        <w:t>2019</w:t>
      </w:r>
      <w:r w:rsidR="00391778">
        <w:rPr>
          <w:noProof/>
        </w:rPr>
        <w:t>),</w:t>
      </w:r>
      <w:r w:rsidR="00391778" w:rsidRPr="00391778">
        <w:rPr>
          <w:noProof/>
        </w:rPr>
        <w:t xml:space="preserve"> NSTC </w:t>
      </w:r>
      <w:r w:rsidR="00391778">
        <w:rPr>
          <w:noProof/>
        </w:rPr>
        <w:t>(</w:t>
      </w:r>
      <w:r w:rsidR="00391778" w:rsidRPr="00391778">
        <w:rPr>
          <w:noProof/>
        </w:rPr>
        <w:t>2016)</w:t>
      </w:r>
      <w:r>
        <w:rPr>
          <w:noProof/>
        </w:rPr>
        <w:fldChar w:fldCharType="end"/>
      </w:r>
      <w:r>
        <w:rPr>
          <w:noProof/>
        </w:rPr>
        <w:t xml:space="preserve">). For example, the EU study identifies the bottleneck </w:t>
      </w:r>
      <w:r>
        <w:rPr>
          <w:noProof/>
        </w:rPr>
        <w:lastRenderedPageBreak/>
        <w:t xml:space="preserve">in the supply chain and quantifies supply risks at that point. </w:t>
      </w:r>
      <w:r w:rsidR="00086132">
        <w:rPr>
          <w:noProof/>
        </w:rPr>
        <w:fldChar w:fldCharType="begin" w:fldLock="1"/>
      </w:r>
      <w:r w:rsidR="00D35F6A">
        <w:rPr>
          <w:noProof/>
        </w:rPr>
        <w:instrText>ADDIN CSL_CITATION {"citationItems":[{"id":"ITEM-1","itemData":{"DOI":"10.1111/jiec.12865","author":[{"dropping-particle":"","family":"Cimprich","given":"Alexander","non-dropping-particle":"","parse-names":false,"suffix":""},{"dropping-particle":"","family":"Bach","given":"Vanessa","non-dropping-particle":"","parse-names":false,"suffix":""},{"dropping-particle":"","family":"Helbig","given":"Christoph","non-dropping-particle":"","parse-names":false,"suffix":""},{"dropping-particle":"","family":"Thorenz","given":"Andrea","non-dropping-particle":"","parse-names":false,"suffix":""},{"dropping-particle":"","family":"Schrijvers","given":"Dieuwertje","non-dropping-particle":"","parse-names":false,"suffix":""},{"dropping-particle":"","family":"Sonnemann","given":"Guido","non-dropping-particle":"","parse-names":false,"suffix":""},{"dropping-particle":"","family":"Young","given":"Steven","non-dropping-particle":"","parse-names":false,"suffix":""},{"dropping-particle":"","family":"Sonderegger","given":"Thomas","non-dropping-particle":"","parse-names":false,"suffix":""},{"dropping-particle":"","family":"Berger","given":"Markus","non-dropping-particle":"","parse-names":false,"suffix":""}],"container-title":"Journal of Industrial Ecology","id":"ITEM-1","issue":"accepted","issued":{"date-parts":[["2019"]]},"page":"1-11","title":"Resource criticality assessment as a complement to environmental life cycle assessment: examining methods for product-level supply risk assessment","type":"article-journal"},"uris":["http://www.mendeley.com/documents/?uuid=4f048bac-d0fe-418b-b09e-11b537f0d39a"]}],"mendeley":{"formattedCitation":"(Cimprich et al., 2019)","manualFormatting":"Cimprich et al. (2019)","plainTextFormattedCitation":"(Cimprich et al., 2019)","previouslyFormattedCitation":"(Cimprich et al., 2019)"},"properties":{"noteIndex":0},"schema":"https://github.com/citation-style-language/schema/raw/master/csl-citation.json"}</w:instrText>
      </w:r>
      <w:r w:rsidR="00086132">
        <w:rPr>
          <w:noProof/>
        </w:rPr>
        <w:fldChar w:fldCharType="separate"/>
      </w:r>
      <w:r w:rsidR="00086132" w:rsidRPr="00086132">
        <w:rPr>
          <w:noProof/>
        </w:rPr>
        <w:t xml:space="preserve">Cimprich et al. </w:t>
      </w:r>
      <w:r w:rsidR="00086132">
        <w:rPr>
          <w:noProof/>
        </w:rPr>
        <w:t>(</w:t>
      </w:r>
      <w:r w:rsidR="00086132" w:rsidRPr="00086132">
        <w:rPr>
          <w:noProof/>
        </w:rPr>
        <w:t>2019)</w:t>
      </w:r>
      <w:r w:rsidR="00086132">
        <w:rPr>
          <w:noProof/>
        </w:rPr>
        <w:fldChar w:fldCharType="end"/>
      </w:r>
      <w:r w:rsidR="00086132">
        <w:rPr>
          <w:noProof/>
        </w:rPr>
        <w:t xml:space="preserve"> </w:t>
      </w:r>
      <w:r>
        <w:rPr>
          <w:noProof/>
        </w:rPr>
        <w:t xml:space="preserve">apply a life cycle perspective and </w:t>
      </w:r>
      <w:r w:rsidR="007D73A9">
        <w:rPr>
          <w:noProof/>
        </w:rPr>
        <w:t xml:space="preserve">aim to </w:t>
      </w:r>
      <w:r>
        <w:rPr>
          <w:noProof/>
        </w:rPr>
        <w:t xml:space="preserve">include all the resources extracted from nature, as well as all the intermediate products (including </w:t>
      </w:r>
      <w:r w:rsidR="0014751C">
        <w:rPr>
          <w:noProof/>
        </w:rPr>
        <w:t>ancilliary</w:t>
      </w:r>
      <w:r>
        <w:rPr>
          <w:noProof/>
        </w:rPr>
        <w:t xml:space="preserve"> products) that are required to produce the product under study. </w:t>
      </w:r>
      <w:r>
        <w:fldChar w:fldCharType="begin" w:fldLock="1"/>
      </w:r>
      <w:r w:rsidR="00D35F6A">
        <w:instrText>ADDIN CSL_CITATION {"citationItems":[{"id":"ITEM-1","itemData":{"DOI":"10.1016/j.resourpol.2013.06.003","ISBN":"0301-4207","ISSN":"03014207","abstract":"Some strategic raw materials do have an extremely unsecure supply situation. Several working groups around the world have made criticality assessments for metallic raw materials to analyze the driving impact factors for this instability. However, the influences on raw material availability are manifold and therefore criticality assessment methods are very heterogeneous. Here we give an overview about the differences and similarities of supply risk evaluation in 15 criticality assessment methods. We take the example of Indium, which has been rated in 60% of these criticality studies, and show which data base is used for supply risk evaluation. Our results show a lack of consensus about which indicators give reliable information for raw material supply risk and how these indicators should be aggregated. We anticipate our essay to be a starting point for more justified indicator selection and weighting in criticality assessments. © 2013 Elsevier Ltd.","author":[{"dropping-particle":"","family":"Achzet","given":"Benjamin","non-dropping-particle":"","parse-names":false,"suffix":""},{"dropping-particle":"","family":"Helbig","given":"Christoph","non-dropping-particle":"","parse-names":false,"suffix":""}],"container-title":"Resources Policy","id":"ITEM-1","issue":"4","issued":{"date-parts":[["2013"]]},"page":"435-447","publisher":"Elsevier","title":"How to evaluate raw material supply risks-an overview","type":"article-journal","volume":"38"},"uris":["http://www.mendeley.com/documents/?uuid=a1d30f5b-28e2-486a-b33f-561bd8cec6af"]}],"mendeley":{"formattedCitation":"(Achzet and Helbig, 2013)","manualFormatting":"Achzet and Helbig (2013)","plainTextFormattedCitation":"(Achzet and Helbig, 2013)","previouslyFormattedCitation":"(Achzet and Helbig, 2013)"},"properties":{"noteIndex":0},"schema":"https://github.com/citation-style-language/schema/raw/master/csl-citation.json"}</w:instrText>
      </w:r>
      <w:r>
        <w:fldChar w:fldCharType="separate"/>
      </w:r>
      <w:r w:rsidR="00F147C6" w:rsidRPr="00F147C6">
        <w:rPr>
          <w:noProof/>
        </w:rPr>
        <w:t xml:space="preserve">Achzet and Helbig </w:t>
      </w:r>
      <w:r w:rsidR="006027E9">
        <w:rPr>
          <w:noProof/>
        </w:rPr>
        <w:t>(</w:t>
      </w:r>
      <w:r w:rsidR="00F147C6" w:rsidRPr="00F147C6">
        <w:rPr>
          <w:noProof/>
        </w:rPr>
        <w:t>2013)</w:t>
      </w:r>
      <w:r>
        <w:fldChar w:fldCharType="end"/>
      </w:r>
      <w:r>
        <w:t xml:space="preserve"> stress the differences in the supply chains of materials in different forms, which are used in different applications, such as high-grade lithium for batteries and low-grade lithium for lubricants. </w:t>
      </w:r>
      <w:r>
        <w:fldChar w:fldCharType="begin" w:fldLock="1"/>
      </w:r>
      <w:r w:rsidR="00D35F6A">
        <w:instrText>ADDIN CSL_CITATION {"citationItems":[{"id":"ITEM-1","itemData":{"author":[{"dropping-particle":"","family":"Thomason","given":"James S.","non-dropping-particle":"","parse-names":false,"suffix":""},{"dropping-particle":"","family":"Atwell, Robert","given":"J.","non-dropping-particle":"","parse-names":false,"suffix":""},{"dropping-particle":"","family":"Bajraktari","given":"Ylli","non-dropping-particle":"","parse-names":false,"suffix":""},{"dropping-particle":"","family":"Bell","given":"James P.","non-dropping-particle":"","parse-names":false,"suffix":""},{"dropping-particle":"","family":"Barnett","given":"D. Sean","non-dropping-particle":"","parse-names":false,"suffix":""},{"dropping-particle":"","family":"Karvonides","given":"Nicholas S.J.","non-dropping-particle":"","parse-names":false,"suffix":""},{"dropping-particle":"","family":"Niles","given":"Michael F.","non-dropping-particle":"","parse-names":false,"suffix":""},{"dropping-particle":"","family":"Schwartz","given":"Eleanor L.","non-dropping-particle":"","parse-names":false,"suffix":""}],"container-title":"IDA: Institute for Defense Analyses","id":"ITEM-1","issue":"May","issued":{"date-parts":[["2010"]]},"title":"From National Defense Stockpile (NDS) to Strategic Materials Security Program (SMSP): Evidence and Analytic Support","type":"article-journal","volume":"I"},"uris":["http://www.mendeley.com/documents/?uuid=8badcd14-f86f-4873-b650-00073cdda20b"]}],"mendeley":{"formattedCitation":"(Thomason et al., 2010)","manualFormatting":"Thomason et al. (2010)","plainTextFormattedCitation":"(Thomason et al., 2010)","previouslyFormattedCitation":"(Thomason et al., 2010)"},"properties":{"noteIndex":0},"schema":"https://github.com/citation-style-language/schema/raw/master/csl-citation.json"}</w:instrText>
      </w:r>
      <w:r>
        <w:fldChar w:fldCharType="separate"/>
      </w:r>
      <w:r w:rsidR="00F147C6" w:rsidRPr="00F147C6">
        <w:rPr>
          <w:noProof/>
        </w:rPr>
        <w:t xml:space="preserve">Thomason et al. </w:t>
      </w:r>
      <w:r w:rsidR="006027E9">
        <w:rPr>
          <w:noProof/>
        </w:rPr>
        <w:t>(</w:t>
      </w:r>
      <w:r w:rsidR="00F147C6" w:rsidRPr="00F147C6">
        <w:rPr>
          <w:noProof/>
        </w:rPr>
        <w:t>2010)</w:t>
      </w:r>
      <w:r>
        <w:fldChar w:fldCharType="end"/>
      </w:r>
      <w:r>
        <w:t xml:space="preserve"> differentiate five types of carbon fib</w:t>
      </w:r>
      <w:r w:rsidR="006027E9">
        <w:t>er</w:t>
      </w:r>
      <w:r>
        <w:t xml:space="preserve"> for use in national defense technologies, of which only one is identified as being critical. Also, among five different forms of manganese (battery-grade manganese dioxide (natural and synthetic), ferromanganese, metallurgical-grade manganese ore, and electrolytic manganese metal), only electrolytic manganese metal was evaluated as </w:t>
      </w:r>
      <w:r w:rsidR="00B62FE1">
        <w:t xml:space="preserve">being </w:t>
      </w:r>
      <w:r>
        <w:t xml:space="preserve">critical </w:t>
      </w:r>
      <w:r>
        <w:fldChar w:fldCharType="begin" w:fldLock="1"/>
      </w:r>
      <w:r w:rsidR="00D35F6A">
        <w:instrText>ADDIN CSL_CITATION {"citationItems":[{"id":"ITEM-1","itemData":{"author":[{"dropping-particle":"","family":"Thomason","given":"James S.","non-dropping-particle":"","parse-names":false,"suffix":""},{"dropping-particle":"","family":"Atwell, Robert","given":"J.","non-dropping-particle":"","parse-names":false,"suffix":""},{"dropping-particle":"","family":"Bajraktari","given":"Ylli","non-dropping-particle":"","parse-names":false,"suffix":""},{"dropping-particle":"","family":"Bell","given":"James P.","non-dropping-particle":"","parse-names":false,"suffix":""},{"dropping-particle":"","family":"Barnett","given":"D. Sean","non-dropping-particle":"","parse-names":false,"suffix":""},{"dropping-particle":"","family":"Karvonides","given":"Nicholas S.J.","non-dropping-particle":"","parse-names":false,"suffix":""},{"dropping-particle":"","family":"Niles","given":"Michael F.","non-dropping-particle":"","parse-names":false,"suffix":""},{"dropping-particle":"","family":"Schwartz","given":"Eleanor L.","non-dropping-particle":"","parse-names":false,"suffix":""}],"container-title":"IDA: Institute for Defense Analyses","id":"ITEM-1","issue":"May","issued":{"date-parts":[["2010"]]},"title":"From National Defense Stockpile (NDS) to Strategic Materials Security Program (SMSP): Evidence and Analytic Support","type":"article-journal","volume":"I"},"uris":["http://www.mendeley.com/documents/?uuid=8badcd14-f86f-4873-b650-00073cdda20b"]}],"mendeley":{"formattedCitation":"(Thomason et al., 2010)","plainTextFormattedCitation":"(Thomason et al., 2010)","previouslyFormattedCitation":"(Thomason et al., 2010)"},"properties":{"noteIndex":0},"schema":"https://github.com/citation-style-language/schema/raw/master/csl-citation.json"}</w:instrText>
      </w:r>
      <w:r>
        <w:fldChar w:fldCharType="separate"/>
      </w:r>
      <w:r w:rsidR="002B45EF" w:rsidRPr="002B45EF">
        <w:rPr>
          <w:noProof/>
        </w:rPr>
        <w:t>(Thomason et al., 2010)</w:t>
      </w:r>
      <w:r>
        <w:fldChar w:fldCharType="end"/>
      </w:r>
      <w:r>
        <w:t>. Such precision is not provided in most other studies.</w:t>
      </w:r>
    </w:p>
    <w:p w14:paraId="0F707CD0" w14:textId="63412DB2" w:rsidR="00200AA9" w:rsidRDefault="00DD7476" w:rsidP="00863B14">
      <w:pPr>
        <w:spacing w:line="480" w:lineRule="auto"/>
        <w:jc w:val="both"/>
      </w:pPr>
      <w:r>
        <w:fldChar w:fldCharType="begin" w:fldLock="1"/>
      </w:r>
      <w:r w:rsidR="00D35F6A">
        <w:rPr>
          <w:lang w:val="en-GB"/>
        </w:rPr>
        <w:instrText>ADDIN CSL_CITATION {"citationItems":[{"id":"ITEM-1","itemData":{"DOI":"10.1021/es200563g","ISBN":"0013-936X","ISSN":"0013936X","PMID":"21834560","abstract":"The criticality of nonfuel minerals is an emerging research subject that captures both the supply risks and the vulnerability of a system to a potential supply disruption. The significance of material criticality for the mass deployment of sustainable and other key technologies is currently obscured by diverse, often immature, and still evolving methodologies. This review explores why principal studies agree or disagree in designating the criticality of certain nonfuel minerals. We survey the literature and analyze several well documented studies in depth, demonstrating that the platinum group metals (e.g., essential for catalytic reduction of air pollutants), and the rare earth elements (e.g., essential for efficient electricity generation in wind turbines) are frequently singled out as critical, albeit by differing criteria. We also discuss the impacts of methodological choices on the designation of raw materials as critical. The treatment of substitutability, time horizons, and the aggregation level of criticality indicators are shown to be significant in this regard. We determine several important issues that have thus far been largely disregarded, especially the justification of methodological components, and policy responses to criticality designation.","author":[{"dropping-particle":"","family":"Erdmann","given":"Lorenz","non-dropping-particle":"","parse-names":false,"suffix":""},{"dropping-particle":"","family":"Graedel","given":"Thomas E.","non-dropping-particle":"","parse-names":false,"suffix":""}],"container-title":"Environmental Science and Technology","id":"ITEM-1","issue":"18","issued":{"date-parts":[["2011"]]},"page":"7620-7630","title":"Criticality of non-fuel minerals: A review of major approaches and analyses","type":"article-journal","volume":"45"},"uris":["http://www.mendeley.com/documents/?uuid=ea49267d-627e-45b6-b5e1-18597454bf2d"]}],"mendeley":{"formattedCitation":"(Erdmann and Graedel, 2011)","manualFormatting":"Erdmann and Graedel (2011)","plainTextFormattedCitation":"(Erdmann and Graedel, 2011)","previouslyFormattedCitation":"(Erdmann and Graedel, 2011)"},"properties":{"noteIndex":0},"schema":"https://github.com/citation-style-language/schema/raw/master/csl-citation.json"}</w:instrText>
      </w:r>
      <w:r>
        <w:fldChar w:fldCharType="separate"/>
      </w:r>
      <w:r w:rsidR="00F147C6" w:rsidRPr="00F147C6">
        <w:rPr>
          <w:noProof/>
          <w:lang w:val="en-GB"/>
        </w:rPr>
        <w:t xml:space="preserve">Erdmann and Graedel </w:t>
      </w:r>
      <w:r w:rsidR="006027E9">
        <w:rPr>
          <w:noProof/>
          <w:lang w:val="en-GB"/>
        </w:rPr>
        <w:t>(</w:t>
      </w:r>
      <w:r w:rsidR="00F147C6" w:rsidRPr="00F147C6">
        <w:rPr>
          <w:noProof/>
          <w:lang w:val="en-GB"/>
        </w:rPr>
        <w:t>2011)</w:t>
      </w:r>
      <w:r>
        <w:fldChar w:fldCharType="end"/>
      </w:r>
      <w:r w:rsidRPr="00B63FFC">
        <w:rPr>
          <w:lang w:val="en-GB"/>
        </w:rPr>
        <w:t xml:space="preserve"> already </w:t>
      </w:r>
      <w:r>
        <w:rPr>
          <w:lang w:val="en-GB"/>
        </w:rPr>
        <w:t>noticed</w:t>
      </w:r>
      <w:r w:rsidRPr="00B63FFC">
        <w:rPr>
          <w:lang w:val="en-GB"/>
        </w:rPr>
        <w:t xml:space="preserve"> that the reason</w:t>
      </w:r>
      <w:r w:rsidR="00B62FE1">
        <w:rPr>
          <w:lang w:val="en-GB"/>
        </w:rPr>
        <w:t>s</w:t>
      </w:r>
      <w:r w:rsidRPr="00B63FFC">
        <w:rPr>
          <w:lang w:val="en-GB"/>
        </w:rPr>
        <w:t xml:space="preserve"> to include or exclude materials in </w:t>
      </w:r>
      <w:r w:rsidR="00B62FE1">
        <w:rPr>
          <w:lang w:val="en-GB"/>
        </w:rPr>
        <w:t xml:space="preserve">criticality </w:t>
      </w:r>
      <w:r w:rsidRPr="00B63FFC">
        <w:rPr>
          <w:lang w:val="en-GB"/>
        </w:rPr>
        <w:t>assessment</w:t>
      </w:r>
      <w:r w:rsidR="00B62FE1">
        <w:rPr>
          <w:lang w:val="en-GB"/>
        </w:rPr>
        <w:t>s</w:t>
      </w:r>
      <w:r w:rsidRPr="00B63FFC">
        <w:rPr>
          <w:lang w:val="en-GB"/>
        </w:rPr>
        <w:t xml:space="preserve"> </w:t>
      </w:r>
      <w:r w:rsidR="00077C46">
        <w:rPr>
          <w:lang w:val="en-GB"/>
        </w:rPr>
        <w:t>are</w:t>
      </w:r>
      <w:r w:rsidRPr="00B63FFC">
        <w:rPr>
          <w:lang w:val="en-GB"/>
        </w:rPr>
        <w:t xml:space="preserve"> not always explained.</w:t>
      </w:r>
      <w:r>
        <w:rPr>
          <w:lang w:val="en-GB"/>
        </w:rPr>
        <w:t xml:space="preserve"> </w:t>
      </w:r>
      <w:r w:rsidR="006149A0">
        <w:rPr>
          <w:noProof/>
        </w:rPr>
        <w:t>Material selection</w:t>
      </w:r>
      <w:r w:rsidR="00DB6222">
        <w:rPr>
          <w:noProof/>
        </w:rPr>
        <w:t xml:space="preserve"> can be based </w:t>
      </w:r>
      <w:r w:rsidR="005E6A13">
        <w:rPr>
          <w:noProof/>
        </w:rPr>
        <w:t xml:space="preserve">on a </w:t>
      </w:r>
      <w:r w:rsidR="00E93ADD">
        <w:rPr>
          <w:noProof/>
        </w:rPr>
        <w:t xml:space="preserve">first identification of materials that are vulnerable to a supply disruption </w:t>
      </w:r>
      <w:r w:rsidR="005E6A13">
        <w:rPr>
          <w:noProof/>
        </w:rPr>
        <w:t>(</w:t>
      </w:r>
      <w:r w:rsidR="005E6A13" w:rsidRPr="006F5AAD">
        <w:rPr>
          <w:noProof/>
        </w:rPr>
        <w:fldChar w:fldCharType="begin" w:fldLock="1"/>
      </w:r>
      <w:r w:rsidR="0096725C">
        <w:rPr>
          <w:noProof/>
        </w:rPr>
        <w:instrText>ADDIN CSL_CITATION {"citationItems":[{"id":"ITEM-1","itemData":{"DOI":"10.1016/j.jclepro.2017.12.162","ISSN":"09596526","abstract":"Since manufacturers are the main drivers in the selection of the materials used in their products, they have a special responsibility for investigating the accompanying sustainability aspects. The recently increased attention they pay to these issues is motivated not only by a sense of social responsibility, but also by pressure from customers and competitors. In particular, the three dimensions of sustainability – based on the triple bottom line of economic, environmental and social criteria – are of growing importance for sustainable supply chain management. Raw materials and their supply chains are often at the focus of attention, since manufacturers may need to diversify them for their products. Appropriate assessment models then become essential. Although raw material assessments and raw material-focused decision support schemes have recently been applied more often in the corporate context, several aspects such as indicator selection, weighting or social assessment are rarely considered. As a result, a comprehensive, sustainability-oriented raw material assessment and decision support scheme in the corporate context is not available in the scientific literature. In the design of such a scheme, four questions arise: First, how should a corporate-oriented raw material assessment model be structured? Second, how can all three sustainability dimensions be taken into account? Third, how can the application of raw material assessments in a corporate-oriented decision-making process increase the sustainability level of a company? And fourth, does a methodically structured raw material assessment model have advantages over existing models? To answer these questions, we have developed a model which takes into account state-of-the-art sustainability assessments as well as recent developments in the field of criticality analysis, life cycle impact assessment (LCIA) and social life cycle assessment (SLCA). With partners from both academia and industry we identify relevant quantitative indicators for structuring the assessment model and for calculating corresponding indicator weightings, using the analytic hierarchy process (AHP). To demonstrate the applicability of the assessment model for decision support and its benefits for companies in identifying potential hotspots in raw material supply chains, we present a case study that includes decision support for selecting capacitor technologies. A sensitivity analysis demonstrates the robustness of the assessment…","author":[{"dropping-particle":"","family":"Kolotzek","given":"Christoph","non-dropping-particle":"","parse-names":false,"suffix":""},{"dropping-particle":"","family":"Helbig","given":"Christoph","non-dropping-particle":"","parse-names":false,"suffix":""},{"dropping-particle":"","family":"Thorenz","given":"Andrea","non-dropping-particle":"","parse-names":false,"suffix":""},{"dropping-particle":"","family":"Reller","given":"Armin","non-dropping-particle":"","parse-names":false,"suffix":""},{"dropping-particle":"","family":"Tuma","given":"Axel","non-dropping-particle":"","parse-names":false,"suffix":""}],"container-title":"Journal of Cleaner Production","id":"ITEM-1","issued":{"date-parts":[["2018"]]},"page":"566-580","publisher":"Elsevier Ltd","title":"A company-oriented model for the assessment of raw material supply risks, environmental impact and social implications","type":"article-journal","volume":"176"},"uris":["http://www.mendeley.com/documents/?uuid=48f69ea7-179f-4f88-8016-7892a0fd9265"]}],"mendeley":{"formattedCitation":"(Kolotzek et al., 2018)","manualFormatting":"compare, e.g., Kolotzek et al. (2018)","plainTextFormattedCitation":"(Kolotzek et al., 2018)","previouslyFormattedCitation":"(Kolotzek et al., 2018)"},"properties":{"noteIndex":0},"schema":"https://github.com/citation-style-language/schema/raw/master/csl-citation.json"}</w:instrText>
      </w:r>
      <w:r w:rsidR="005E6A13" w:rsidRPr="006F5AAD">
        <w:rPr>
          <w:noProof/>
        </w:rPr>
        <w:fldChar w:fldCharType="separate"/>
      </w:r>
      <w:r w:rsidR="00DB7D1C">
        <w:rPr>
          <w:noProof/>
        </w:rPr>
        <w:t>compare,</w:t>
      </w:r>
      <w:r w:rsidR="00DB7D1C">
        <w:rPr>
          <w:noProof/>
          <w:lang w:val="en-GB"/>
        </w:rPr>
        <w:t xml:space="preserve"> e.g.,</w:t>
      </w:r>
      <w:r w:rsidR="00163C59">
        <w:rPr>
          <w:noProof/>
          <w:lang w:val="en-GB"/>
        </w:rPr>
        <w:t xml:space="preserve"> </w:t>
      </w:r>
      <w:r w:rsidR="001A025C" w:rsidRPr="006F5AAD">
        <w:rPr>
          <w:noProof/>
          <w:lang w:val="en-GB"/>
        </w:rPr>
        <w:t>Kolotzek et al</w:t>
      </w:r>
      <w:r w:rsidR="006027E9">
        <w:rPr>
          <w:noProof/>
          <w:lang w:val="en-GB"/>
        </w:rPr>
        <w:t>.</w:t>
      </w:r>
      <w:r w:rsidR="001A025C" w:rsidRPr="006F5AAD">
        <w:rPr>
          <w:noProof/>
          <w:lang w:val="en-GB"/>
        </w:rPr>
        <w:t xml:space="preserve"> </w:t>
      </w:r>
      <w:r w:rsidR="00163C59">
        <w:rPr>
          <w:noProof/>
          <w:lang w:val="en-GB"/>
        </w:rPr>
        <w:t>(</w:t>
      </w:r>
      <w:r w:rsidR="001A025C" w:rsidRPr="006F5AAD">
        <w:rPr>
          <w:noProof/>
          <w:lang w:val="en-GB"/>
        </w:rPr>
        <w:t>2018)</w:t>
      </w:r>
      <w:r w:rsidR="005E6A13" w:rsidRPr="006F5AAD">
        <w:rPr>
          <w:noProof/>
        </w:rPr>
        <w:fldChar w:fldCharType="end"/>
      </w:r>
      <w:r w:rsidR="005E6A13" w:rsidRPr="00B63FFC">
        <w:rPr>
          <w:noProof/>
          <w:lang w:val="en-GB"/>
        </w:rPr>
        <w:t>).</w:t>
      </w:r>
      <w:r w:rsidR="0083333D" w:rsidRPr="00B63FFC">
        <w:rPr>
          <w:noProof/>
          <w:lang w:val="en-GB"/>
        </w:rPr>
        <w:t xml:space="preserve"> BGS excludes e</w:t>
      </w:r>
      <w:proofErr w:type="spellStart"/>
      <w:r w:rsidR="0083333D">
        <w:t>lements</w:t>
      </w:r>
      <w:proofErr w:type="spellEnd"/>
      <w:r w:rsidR="0083333D">
        <w:t xml:space="preserve"> with little or no commercial use, synthetic elements, and elements naturally occurring in a gaseous state </w:t>
      </w:r>
      <w:r w:rsidR="0083333D">
        <w:fldChar w:fldCharType="begin" w:fldLock="1"/>
      </w:r>
      <w:r w:rsidR="00D35F6A">
        <w:instrText>ADDIN CSL_CITATION {"citationItems":[{"id":"ITEM-1","itemData":{"author":[{"dropping-particle":"","family":"BGS","given":"","non-dropping-particle":"","parse-names":false,"suffix":""}],"id":"ITEM-1","issued":{"date-parts":[["2011"]]},"title":"Risk list 2011","type":"report"},"uris":["http://www.mendeley.com/documents/?uuid=f6f949fe-98df-4fa4-9fc4-cca5444a298a"]}],"mendeley":{"formattedCitation":"(BGS, 2011)","plainTextFormattedCitation":"(BGS, 2011)","previouslyFormattedCitation":"(BGS, 2011)"},"properties":{"noteIndex":0},"schema":"https://github.com/citation-style-language/schema/raw/master/csl-citation.json"}</w:instrText>
      </w:r>
      <w:r w:rsidR="0083333D">
        <w:fldChar w:fldCharType="separate"/>
      </w:r>
      <w:r w:rsidR="002B45EF" w:rsidRPr="002B45EF">
        <w:rPr>
          <w:noProof/>
        </w:rPr>
        <w:t>(BGS, 2011)</w:t>
      </w:r>
      <w:r w:rsidR="0083333D">
        <w:fldChar w:fldCharType="end"/>
      </w:r>
      <w:r w:rsidR="0083333D">
        <w:t xml:space="preserve">. </w:t>
      </w:r>
      <w:r>
        <w:rPr>
          <w:lang w:val="en-GB"/>
        </w:rPr>
        <w:t xml:space="preserve">Initial material selection </w:t>
      </w:r>
      <w:r w:rsidR="0083333D">
        <w:rPr>
          <w:lang w:val="en-GB"/>
        </w:rPr>
        <w:t>is very relevant, as materials that are not included in the assessment cannot be identified as being critical.</w:t>
      </w:r>
      <w:r w:rsidR="0083333D">
        <w:rPr>
          <w:noProof/>
        </w:rPr>
        <w:t xml:space="preserve"> </w:t>
      </w:r>
      <w:r w:rsidR="00CB2473" w:rsidRPr="001206E6">
        <w:t xml:space="preserve">If data on </w:t>
      </w:r>
      <w:r w:rsidR="00CB2473" w:rsidRPr="007E4A0C">
        <w:t>specific materials are not available, these materials are sometimes excluded from the assessment</w:t>
      </w:r>
      <w:r w:rsidR="001C3713">
        <w:t xml:space="preserve"> as well</w:t>
      </w:r>
      <w:r w:rsidR="002548BA" w:rsidRPr="007E4A0C">
        <w:t xml:space="preserve">, which </w:t>
      </w:r>
      <w:r w:rsidR="001C3713">
        <w:t>reinforces</w:t>
      </w:r>
      <w:r w:rsidR="002548BA" w:rsidRPr="007E4A0C">
        <w:t xml:space="preserve"> </w:t>
      </w:r>
      <w:r w:rsidR="00A23934" w:rsidRPr="007E4A0C">
        <w:t>the influence that data availability exerts on the goal and scope</w:t>
      </w:r>
      <w:r w:rsidR="001C3713">
        <w:t xml:space="preserve">. </w:t>
      </w:r>
      <w:r w:rsidR="00CD2489" w:rsidRPr="007E4A0C">
        <w:t>This strategy is</w:t>
      </w:r>
      <w:r w:rsidR="00EF77CF">
        <w:t>,</w:t>
      </w:r>
      <w:r w:rsidR="00CD2489" w:rsidRPr="007E4A0C">
        <w:t xml:space="preserve"> </w:t>
      </w:r>
      <w:r w:rsidR="00CD2489">
        <w:t>for example</w:t>
      </w:r>
      <w:r w:rsidR="00EF77CF">
        <w:t>,</w:t>
      </w:r>
      <w:r w:rsidR="00CD2489" w:rsidRPr="007E4A0C">
        <w:t xml:space="preserve"> applied in the BGS studies: </w:t>
      </w:r>
      <w:r w:rsidR="00CD2489">
        <w:t>due to a lack of available data,</w:t>
      </w:r>
      <w:r w:rsidR="00CD2489" w:rsidRPr="007E4A0C">
        <w:t xml:space="preserve"> </w:t>
      </w:r>
      <w:r w:rsidR="001C3713">
        <w:t>the studies exclude</w:t>
      </w:r>
      <w:r w:rsidR="00CB2473" w:rsidRPr="007E4A0C">
        <w:t xml:space="preserve"> </w:t>
      </w:r>
      <w:r w:rsidR="00CB2473" w:rsidRPr="007E4A0C">
        <w:rPr>
          <w:lang w:val="en-GB"/>
        </w:rPr>
        <w:t>boron, bromine, calcium, carbon (coal), chlorine, helium, phosphorous,</w:t>
      </w:r>
      <w:r w:rsidR="00CB2473">
        <w:rPr>
          <w:lang w:val="en-GB"/>
        </w:rPr>
        <w:t xml:space="preserve"> potassium, sodium, sulphur, and iodine </w:t>
      </w:r>
      <w:r w:rsidR="00CB2473">
        <w:rPr>
          <w:lang w:val="en-GB"/>
        </w:rPr>
        <w:fldChar w:fldCharType="begin" w:fldLock="1"/>
      </w:r>
      <w:r w:rsidR="00D35F6A">
        <w:rPr>
          <w:lang w:val="en-GB"/>
        </w:rPr>
        <w:instrText>ADDIN CSL_CITATION {"citationItems":[{"id":"ITEM-1","itemData":{"abstract":"The updated risk list gives a quick indication of the relative risk in 2012 to the supply of the chemical elements or element groups which we need to maintain our economy and lifestyle. The position of an element on this list is determined by a number of factors which might affect availability. These include the abundance of elements in the Earth's crust, the location of current production and reserves, and the political stability of those locations. New for the 2012 risk list, the recycling rate and substitutability of these elements has been used in the analysis. The risk list highlights a group of elements where global production is concentrated in a few countries. The restricted reserve distribution combined with the relatively low political stability ratings for some major producing countries significantly increase risk to supply. This is compounded by low rates of recycling and limited substitutes for many of these elements. The list highlights economically important metals which are at risk of supply disruption including rare earths, platinum group metals, niobium and tungsten. The list also shows the current importance of China in production of many metals and minerals.","author":[{"dropping-particle":"","family":"BGS","given":"","non-dropping-particle":"","parse-names":false,"suffix":""}],"container-title":"British Geological Survey","id":"ITEM-1","issued":{"date-parts":[["2012"]]},"number-of-pages":"12","title":"Risk List 2012","type":"report","volume":"1"},"uris":["http://www.mendeley.com/documents/?uuid=24a2887f-cd00-4629-affe-d9ec83418939"]},{"id":"ITEM-2","itemData":{"DOI":"10.1017/CBO9781107415324.004","ISBN":"0169-1368","ISSN":"01691368","PMID":"25246403","abstract":"The ranking system was based on seven criteria scored between one and three. 1. Production concentration 2. Reserve distribution 3. Recycling Rate 4. Substitutability 5. Governance (top producing nation) 6. Governance (top reserve-hosting nation) 7. Companion metal fraction. A score of one indicates that a particular criterion has a low contribution to supply risk, while a score of three indicates a high risk. The scores for each criterion were summed to determine an overall risk to supply, the larger the score the greater the potential risk to supply. Each criterion was given equal weight. The elements were ranked according to their score and a gradational colour scale applied such that increased risk is indicated by hotter colours.","author":[{"dropping-particle":"","family":"BGS","given":"","non-dropping-particle":"","parse-names":false,"suffix":""}],"container-title":"British Geological Survey","id":"ITEM-2","issued":{"date-parts":[["2015"]]},"number-of-pages":"11","title":"Risk List 2015 - An update to the supply risk index for elements or element groups that are of economic value","type":"report","volume":"1"},"uris":["http://www.mendeley.com/documents/?uuid=49dc5929-f230-452d-b750-862a528fe56f"]}],"mendeley":{"formattedCitation":"(BGS, 2015, 2012)","plainTextFormattedCitation":"(BGS, 2015, 2012)","previouslyFormattedCitation":"(BGS, 2015, 2012)"},"properties":{"noteIndex":0},"schema":"https://github.com/citation-style-language/schema/raw/master/csl-citation.json"}</w:instrText>
      </w:r>
      <w:r w:rsidR="00CB2473">
        <w:rPr>
          <w:lang w:val="en-GB"/>
        </w:rPr>
        <w:fldChar w:fldCharType="separate"/>
      </w:r>
      <w:r w:rsidR="002B45EF" w:rsidRPr="002B45EF">
        <w:rPr>
          <w:noProof/>
          <w:lang w:val="en-GB"/>
        </w:rPr>
        <w:t>(BGS, 2015, 2012)</w:t>
      </w:r>
      <w:r w:rsidR="00CB2473">
        <w:rPr>
          <w:lang w:val="en-GB"/>
        </w:rPr>
        <w:fldChar w:fldCharType="end"/>
      </w:r>
      <w:r w:rsidR="00CB2473">
        <w:rPr>
          <w:lang w:val="en-GB"/>
        </w:rPr>
        <w:t>.</w:t>
      </w:r>
      <w:r w:rsidR="00200AA9">
        <w:rPr>
          <w:lang w:val="en-GB"/>
        </w:rPr>
        <w:t xml:space="preserve"> </w:t>
      </w:r>
      <w:r w:rsidR="00B53AC1">
        <w:rPr>
          <w:lang w:val="en-GB"/>
        </w:rPr>
        <w:t xml:space="preserve">NSTC exclude hafnium and osmium due to unavailable data </w:t>
      </w:r>
      <w:r w:rsidR="00B53AC1">
        <w:rPr>
          <w:lang w:val="en-GB"/>
        </w:rPr>
        <w:fldChar w:fldCharType="begin" w:fldLock="1"/>
      </w:r>
      <w:r w:rsidR="00D35F6A">
        <w:rPr>
          <w:lang w:val="en-GB"/>
        </w:rPr>
        <w:instrText>ADDIN CSL_CITATION {"citationItems":[{"id":"ITEM-1","itemData":{"author":[{"dropping-particle":"","family":"NSTC","given":"","non-dropping-particle":"","parse-names":false,"suffix":""}],"container-title":"National Science and Technology Council","id":"ITEM-1","issue":"March","issued":{"date-parts":[["2016"]]},"title":"CSMSC Assessment of Critical Minerals Report 2016-03-16 FINAL","type":"article-journal"},"uris":["http://www.mendeley.com/documents/?uuid=a60bd61e-2a57-4cef-82c1-df9e5055e2c7"]}],"mendeley":{"formattedCitation":"(NSTC, 2016)","plainTextFormattedCitation":"(NSTC, 2016)","previouslyFormattedCitation":"(NSTC, 2016)"},"properties":{"noteIndex":0},"schema":"https://github.com/citation-style-language/schema/raw/master/csl-citation.json"}</w:instrText>
      </w:r>
      <w:r w:rsidR="00B53AC1">
        <w:rPr>
          <w:lang w:val="en-GB"/>
        </w:rPr>
        <w:fldChar w:fldCharType="separate"/>
      </w:r>
      <w:r w:rsidR="002B45EF" w:rsidRPr="002B45EF">
        <w:rPr>
          <w:noProof/>
          <w:lang w:val="en-GB"/>
        </w:rPr>
        <w:t>(NSTC, 2016)</w:t>
      </w:r>
      <w:r w:rsidR="00B53AC1">
        <w:rPr>
          <w:lang w:val="en-GB"/>
        </w:rPr>
        <w:fldChar w:fldCharType="end"/>
      </w:r>
      <w:r w:rsidR="006149A0">
        <w:rPr>
          <w:lang w:val="en-GB"/>
        </w:rPr>
        <w:t xml:space="preserve">. </w:t>
      </w:r>
      <w:r w:rsidR="00200AA9">
        <w:t>For some materials, available data are very scarce for a large range of indicators</w:t>
      </w:r>
      <w:r w:rsidR="008B579F">
        <w:t xml:space="preserve"> – such as </w:t>
      </w:r>
      <w:r w:rsidR="00200AA9">
        <w:t>calcium, helium, barium, boron, magnesia, wood, graphite, and clay</w:t>
      </w:r>
      <w:r w:rsidR="008B579F">
        <w:t xml:space="preserve"> – or data are</w:t>
      </w:r>
      <w:r w:rsidR="00200AA9">
        <w:t xml:space="preserve"> limited </w:t>
      </w:r>
      <w:r w:rsidR="00200AA9">
        <w:lastRenderedPageBreak/>
        <w:t xml:space="preserve">on specific </w:t>
      </w:r>
      <w:r w:rsidR="00200AA9" w:rsidRPr="001C3713">
        <w:t xml:space="preserve">material grades or material forms, such as coking coal </w:t>
      </w:r>
      <w:r w:rsidR="00200AA9" w:rsidRPr="001C3713">
        <w:fldChar w:fldCharType="begin" w:fldLock="1"/>
      </w:r>
      <w:r w:rsidR="00D35F6A">
        <w:instrText>ADDIN CSL_CITATION {"citationItems":[{"id":"ITEM-1","itemData":{"DOI":"10.2873/876644","ISBN":"978-92-79-47937-3","abstract":"Criticality Assessments","author":[{"dropping-particle":"","family":"European Commission","given":"","non-dropping-particle":"","parse-names":false,"suffix":""}],"container-title":"European Commission","id":"ITEM-1","issue":"June","issued":{"date-parts":[["2017"]]},"number-of-pages":"42","title":"Study on the review of the list of critical raw materials - Critical Raw Materials Factsheets","type":"book"},"uris":["http://www.mendeley.com/documents/?uuid=aec07006-dceb-4f89-94fc-addd5d9b693a"]}],"mendeley":{"formattedCitation":"(European Commission, 2017d)","plainTextFormattedCitation":"(European Commission, 2017d)","previouslyFormattedCitation":"(European Commission, 2017d)"},"properties":{"noteIndex":0},"schema":"https://github.com/citation-style-language/schema/raw/master/csl-citation.json"}</w:instrText>
      </w:r>
      <w:r w:rsidR="00200AA9" w:rsidRPr="001C3713">
        <w:fldChar w:fldCharType="separate"/>
      </w:r>
      <w:r w:rsidR="002B45EF" w:rsidRPr="002B45EF">
        <w:rPr>
          <w:noProof/>
        </w:rPr>
        <w:t>(European Commission, 2017d)</w:t>
      </w:r>
      <w:r w:rsidR="00200AA9" w:rsidRPr="001C3713">
        <w:fldChar w:fldCharType="end"/>
      </w:r>
      <w:r w:rsidR="00200AA9" w:rsidRPr="001C3713">
        <w:t>. The REEs and</w:t>
      </w:r>
      <w:r w:rsidR="00872285" w:rsidRPr="001C3713">
        <w:t xml:space="preserve"> </w:t>
      </w:r>
      <w:r w:rsidR="001C3713">
        <w:t xml:space="preserve">PGMs </w:t>
      </w:r>
      <w:r w:rsidR="00200AA9" w:rsidRPr="001C3713">
        <w:t xml:space="preserve">suffer from a lack of differentiation between the individual elements belonging to these groups, </w:t>
      </w:r>
      <w:r w:rsidR="001C3713">
        <w:t>although they can have very different uses and supply situations (e.g.</w:t>
      </w:r>
      <w:r w:rsidR="00200AA9" w:rsidRPr="001C3713">
        <w:t xml:space="preserve"> the REE cerium </w:t>
      </w:r>
      <w:r w:rsidR="007C6D01">
        <w:t>is mostly used in</w:t>
      </w:r>
      <w:r w:rsidR="000C3A2B">
        <w:t xml:space="preserve"> catalysts and produced in surplus, while</w:t>
      </w:r>
      <w:r w:rsidR="009E5231">
        <w:t xml:space="preserve"> the REE</w:t>
      </w:r>
      <w:r w:rsidR="000C3A2B">
        <w:t xml:space="preserve"> </w:t>
      </w:r>
      <w:r w:rsidR="006B2D5C">
        <w:t>neodymium</w:t>
      </w:r>
      <w:r w:rsidR="000C3A2B">
        <w:t xml:space="preserve"> is mostly used in magnets and </w:t>
      </w:r>
      <w:r w:rsidR="009E5231">
        <w:t xml:space="preserve">the market is </w:t>
      </w:r>
      <w:r w:rsidR="001F464C">
        <w:t xml:space="preserve">comparatively </w:t>
      </w:r>
      <w:r w:rsidR="009E5231">
        <w:t xml:space="preserve">tight </w:t>
      </w:r>
      <w:r w:rsidR="009E5231">
        <w:fldChar w:fldCharType="begin" w:fldLock="1"/>
      </w:r>
      <w:r w:rsidR="00D35F6A">
        <w:instrText>ADDIN CSL_CITATION {"citationItems":[{"id":"ITEM-1","itemData":{"author":[{"dropping-particle":"","family":"European Commission","given":"","non-dropping-particle":"","parse-names":false,"suffix":""}],"id":"ITEM-1","issued":{"date-parts":[["2014"]]},"number-of-pages":"1-205","title":"Report on Critical Raw Materials for the EU - Critical Raw Materials Profiles","type":"report"},"uris":["http://www.mendeley.com/documents/?uuid=05e1a123-0b0a-4d9a-8bde-c92f1a6b516d"]}],"mendeley":{"formattedCitation":"(European Commission, 2014b)","plainTextFormattedCitation":"(European Commission, 2014b)","previouslyFormattedCitation":"(European Commission, 2014b)"},"properties":{"noteIndex":0},"schema":"https://github.com/citation-style-language/schema/raw/master/csl-citation.json"}</w:instrText>
      </w:r>
      <w:r w:rsidR="009E5231">
        <w:fldChar w:fldCharType="separate"/>
      </w:r>
      <w:r w:rsidR="002B45EF" w:rsidRPr="002B45EF">
        <w:rPr>
          <w:noProof/>
        </w:rPr>
        <w:t>(European Commission, 2014b)</w:t>
      </w:r>
      <w:r w:rsidR="009E5231">
        <w:fldChar w:fldCharType="end"/>
      </w:r>
      <w:r w:rsidR="001C3713">
        <w:t>)</w:t>
      </w:r>
      <w:r w:rsidR="00200AA9" w:rsidRPr="001C3713">
        <w:t>.</w:t>
      </w:r>
      <w:r w:rsidR="00366901" w:rsidRPr="001C3713">
        <w:t xml:space="preserve"> </w:t>
      </w:r>
      <w:r w:rsidR="00366901" w:rsidRPr="00741F80">
        <w:t xml:space="preserve">Besides lacking data on specific materials, there are large data gaps </w:t>
      </w:r>
      <w:r w:rsidR="006B2D5C">
        <w:t>concerning</w:t>
      </w:r>
      <w:r w:rsidR="00366901" w:rsidRPr="00741F80">
        <w:t xml:space="preserve"> the intermediate products of critical materials and the</w:t>
      </w:r>
      <w:r w:rsidR="006B2D5C">
        <w:t>ir</w:t>
      </w:r>
      <w:r w:rsidR="00366901" w:rsidRPr="00741F80">
        <w:t xml:space="preserve"> indirect trade in intermediate and final products, which hinders a full understanding of the criticality challenges for different countries or regions and at different life cycle stages (like in a trade-linked global value chain</w:t>
      </w:r>
      <w:r w:rsidR="00A26CFD" w:rsidRPr="00741F80">
        <w:t xml:space="preserve"> </w:t>
      </w:r>
      <w:r w:rsidR="00BF70AC" w:rsidRPr="00741F80">
        <w:fldChar w:fldCharType="begin" w:fldLock="1"/>
      </w:r>
      <w:r w:rsidR="00D35F6A">
        <w:instrText>ADDIN CSL_CITATION {"citationItems":[{"id":"ITEM-1","itemData":{"DOI":"10.1021/es4024404","ISSN":"0013936X","abstract":"Material cycles have become increasingly coupled and interconnected in a globalizing era. While material flow analysis (MFA) has been widely used to characterize stocks and flows along technological life cycle within a specific geographical area, trade networks among individual cycles have remained largely unexplored. Here we developed a trade-linked multilevel MFA model to map the contemporary global journey of anthropogenic aluminum. We demonstrate that the anthropogenic aluminum cycle depends substantially on international trade of aluminum in all forms and becomes highly interconnected in nature. While the Southern hemisphere is the main primary resource supplier, aluminum production and consumption concentrate in the Northern hemisphere, where we also find the largest potential for recycling. The more developed countries tend to have a substantial and increasing presence throughout the stages after bauxite refining and possess highly consumption-based cycles, thus maintaining advantages both economically and environmentally. A small group of countries plays a key role in the global redistribution of aluminum and in the connectivity of the network, which may render some countries vulnerable to supply disruption. The model provides potential insights to inform government and industry policies in resource criticality, supply chain security, value chain management, and cross-boundary environmental impacts mitigation. © 2013 American Chemical Society.","author":[{"dropping-particle":"","family":"Liu","given":"Gang","non-dropping-particle":"","parse-names":false,"suffix":""},{"dropping-particle":"","family":"Müller","given":"Daniel B.","non-dropping-particle":"","parse-names":false,"suffix":""}],"container-title":"Environmental Science and Technology","id":"ITEM-1","issue":"20","issued":{"date-parts":[["2013"]]},"page":"11873-11881","title":"Mapping the global journey of anthropogenic aluminum: A trade-linked multilevel material flow analysis","type":"article-journal","volume":"47"},"uris":["http://www.mendeley.com/documents/?uuid=469714bb-1432-42b7-a647-e0819525ed54"]}],"mendeley":{"formattedCitation":"(Liu and Müller, 2013a)","plainTextFormattedCitation":"(Liu and Müller, 2013a)","previouslyFormattedCitation":"(Liu and Müller, 2013a)"},"properties":{"noteIndex":0},"schema":"https://github.com/citation-style-language/schema/raw/master/csl-citation.json"}</w:instrText>
      </w:r>
      <w:r w:rsidR="00BF70AC" w:rsidRPr="00741F80">
        <w:fldChar w:fldCharType="separate"/>
      </w:r>
      <w:r w:rsidR="002B45EF" w:rsidRPr="002B45EF">
        <w:rPr>
          <w:noProof/>
        </w:rPr>
        <w:t>(Liu and Müller, 2013a)</w:t>
      </w:r>
      <w:r w:rsidR="00BF70AC" w:rsidRPr="00741F80">
        <w:fldChar w:fldCharType="end"/>
      </w:r>
      <w:r w:rsidR="006B2D5C">
        <w:t>)</w:t>
      </w:r>
      <w:r w:rsidR="00A26CFD" w:rsidRPr="00741F80">
        <w:t xml:space="preserve">. </w:t>
      </w:r>
      <w:r w:rsidR="002F35AA" w:rsidRPr="00741F80">
        <w:t xml:space="preserve">This can explain </w:t>
      </w:r>
      <w:r w:rsidR="006B2D5C">
        <w:t xml:space="preserve">the fact </w:t>
      </w:r>
      <w:r w:rsidR="002F35AA" w:rsidRPr="00741F80">
        <w:t>that</w:t>
      </w:r>
      <w:r w:rsidR="00366901" w:rsidRPr="00741F80">
        <w:t xml:space="preserve"> most studies focus on </w:t>
      </w:r>
      <w:r w:rsidR="002F35AA" w:rsidRPr="00741F80">
        <w:t xml:space="preserve">materials at an </w:t>
      </w:r>
      <w:r w:rsidR="00366901" w:rsidRPr="00741F80">
        <w:t>element</w:t>
      </w:r>
      <w:r w:rsidR="002F35AA" w:rsidRPr="00741F80">
        <w:t xml:space="preserve"> level</w:t>
      </w:r>
      <w:r w:rsidR="00366901" w:rsidRPr="00741F80">
        <w:t>.</w:t>
      </w:r>
    </w:p>
    <w:p w14:paraId="5682E499" w14:textId="77777777" w:rsidR="007F4B0B" w:rsidRDefault="007F4B0B" w:rsidP="00863B14">
      <w:pPr>
        <w:spacing w:line="480" w:lineRule="auto"/>
        <w:jc w:val="both"/>
      </w:pPr>
    </w:p>
    <w:p w14:paraId="042A822B" w14:textId="05C9FFD6" w:rsidR="00562AF4" w:rsidRPr="00D96986" w:rsidRDefault="00562AF4" w:rsidP="00D96986">
      <w:pPr>
        <w:pStyle w:val="Heading4"/>
        <w:numPr>
          <w:ilvl w:val="2"/>
          <w:numId w:val="61"/>
        </w:numPr>
        <w:rPr>
          <w:highlight w:val="green"/>
        </w:rPr>
      </w:pPr>
      <w:r w:rsidRPr="00D96986">
        <w:rPr>
          <w:highlight w:val="green"/>
        </w:rPr>
        <w:t>Data requirements</w:t>
      </w:r>
    </w:p>
    <w:p w14:paraId="6DD05F05" w14:textId="5319FD8F" w:rsidR="00562AF4" w:rsidRPr="00D96986" w:rsidRDefault="00562AF4" w:rsidP="00562AF4">
      <w:pPr>
        <w:spacing w:line="480" w:lineRule="auto"/>
        <w:jc w:val="both"/>
        <w:rPr>
          <w:highlight w:val="green"/>
          <w:lang w:eastAsia="ja-JP"/>
        </w:rPr>
      </w:pPr>
      <w:r w:rsidRPr="00D96986">
        <w:rPr>
          <w:highlight w:val="green"/>
          <w:lang w:eastAsia="ja-JP"/>
        </w:rPr>
        <w:t xml:space="preserve">Several aspects of the goal and scope of a criticality assessment </w:t>
      </w:r>
      <w:r w:rsidR="002E07BF" w:rsidRPr="00D96986">
        <w:rPr>
          <w:highlight w:val="green"/>
          <w:lang w:eastAsia="ja-JP"/>
        </w:rPr>
        <w:t>determine</w:t>
      </w:r>
      <w:r w:rsidRPr="00D96986">
        <w:rPr>
          <w:highlight w:val="green"/>
          <w:lang w:eastAsia="ja-JP"/>
        </w:rPr>
        <w:t xml:space="preserve"> the type of data that can be used, i.e. data requirements. Studies should be defendable, especially if the results are used to decide on public expenditure. This is relevant for government assessments (e.g., EC, NSTC, BGS) and studies conducted by academics (e.g., Yale). Public studies have a general preference for quantitative data, as they are perceived as being more objective (Coulomb et al 2015). Furthermore, these data should be, ideally, publicly available, which contributes to the transparency and reproducibility of the study. Relying on such data is defendable against potential criticism that qualitative assessments reflect the biases of the researchers – a criticism that is especially important to avoid for government assessments. </w:t>
      </w:r>
      <w:r w:rsidRPr="00D96986">
        <w:rPr>
          <w:highlight w:val="green"/>
        </w:rPr>
        <w:t xml:space="preserve">The EU method has been slightly revised for the 2017 assessment </w:t>
      </w:r>
      <w:r w:rsidRPr="00D96986">
        <w:rPr>
          <w:highlight w:val="green"/>
        </w:rPr>
        <w:fldChar w:fldCharType="begin" w:fldLock="1"/>
      </w:r>
      <w:r w:rsidRPr="00D96986">
        <w:rPr>
          <w:highlight w:val="green"/>
        </w:rPr>
        <w:instrText>ADDIN CSL_CITATION {"citationItems":[{"id":"ITEM-1","itemData":{"DOI":"10.2873/769526","ISBN":"9789279680519","abstract":"This is a prescriptive document containing the guidelines and the ‘ready-to-apply’ methodology for the EU criticality assessment and the revision of the list of critical raw materials (CRM) for the EU. These synthesised guidelines build on the methodology used to establish the lists of CRM in 2011 (1 ) and 2014 (2 ) and integrate the methodological improvements identified by the European Commission in the project ‘Assessment of the methodology on the list of critical raw materials’, in close consultation with the ad hoc working group ‘Defining critical raw materials’. Additional information regarding the methodology, including justification and discussion, can be found in the background report (3 ) developed by the Directorate General Joint Research Centre (JRC) and in related annexes. These guidelines also contain recommendations on how to reorganise and improve the single fact sheets of the assessed raw materials. (1)","author":[{"dropping-particle":"","family":"European Commission","given":"","non-dropping-particle":"","parse-names":false,"suffix":""}],"id":"ITEM-1","issued":{"date-parts":[["2017"]]},"page":"30","title":"Methodology for establishing the EU list of Critical Raw Materials","type":"article-journal"},"uris":["http://www.mendeley.com/documents/?uuid=73ab7610-15cc-40a5-8297-dca3ef930846"]}],"mendeley":{"formattedCitation":"(European Commission, 2017a)","plainTextFormattedCitation":"(European Commission, 2017a)","previouslyFormattedCitation":"(European Commission, 2017a)"},"properties":{"noteIndex":0},"schema":"https://github.com/citation-style-language/schema/raw/master/csl-citation.json"}</w:instrText>
      </w:r>
      <w:r w:rsidRPr="00D96986">
        <w:rPr>
          <w:highlight w:val="green"/>
        </w:rPr>
        <w:fldChar w:fldCharType="separate"/>
      </w:r>
      <w:r w:rsidRPr="00D96986">
        <w:rPr>
          <w:noProof/>
          <w:highlight w:val="green"/>
        </w:rPr>
        <w:t>(European Commission, 2017a)</w:t>
      </w:r>
      <w:r w:rsidRPr="00D96986">
        <w:rPr>
          <w:highlight w:val="green"/>
        </w:rPr>
        <w:fldChar w:fldCharType="end"/>
      </w:r>
      <w:r w:rsidRPr="00D96986">
        <w:rPr>
          <w:highlight w:val="green"/>
        </w:rPr>
        <w:t xml:space="preserve"> to decrease the influence of expert judgement, e.g. by a more precise calculation of substitution or economic importance and establishing the priority of data to be used. </w:t>
      </w:r>
      <w:r w:rsidRPr="00D96986">
        <w:rPr>
          <w:highlight w:val="green"/>
          <w:lang w:eastAsia="ja-JP"/>
        </w:rPr>
        <w:t xml:space="preserve">Companies also must be able to defend their results, although mostly internally. </w:t>
      </w:r>
      <w:r w:rsidRPr="00D96986">
        <w:rPr>
          <w:highlight w:val="green"/>
          <w:lang w:eastAsia="ja-JP"/>
        </w:rPr>
        <w:lastRenderedPageBreak/>
        <w:t xml:space="preserve">Therefore, for these, it will be easier to use confidential data. On the other hand, </w:t>
      </w:r>
      <w:r w:rsidRPr="00D96986">
        <w:rPr>
          <w:highlight w:val="green"/>
          <w:lang w:eastAsia="ja-JP"/>
        </w:rPr>
        <w:fldChar w:fldCharType="begin" w:fldLock="1"/>
      </w:r>
      <w:r w:rsidRPr="00D96986">
        <w:rPr>
          <w:highlight w:val="green"/>
          <w:lang w:eastAsia="ja-JP"/>
        </w:rPr>
        <w:instrText>ADDIN CSL_CITATION {"citationItems":[{"id":"ITEM-1","itemData":{"DOI":"10.1016/j.jclepro.2017.12.162","ISSN":"09596526","abstract":"Since manufacturers are the main drivers in the selection of the materials used in their products, they have a special responsibility for investigating the accompanying sustainability aspects. The recently increased attention they pay to these issues is motivated not only by a sense of social responsibility, but also by pressure from customers and competitors. In particular, the three dimensions of sustainability – based on the triple bottom line of economic, environmental and social criteria – are of growing importance for sustainable supply chain management. Raw materials and their supply chains are often at the focus of attention, since manufacturers may need to diversify them for their products. Appropriate assessment models then become essential. Although raw material assessments and raw material-focused decision support schemes have recently been applied more often in the corporate context, several aspects such as indicator selection, weighting or social assessment are rarely considered. As a result, a comprehensive, sustainability-oriented raw material assessment and decision support scheme in the corporate context is not available in the scientific literature. In the design of such a scheme, four questions arise: First, how should a corporate-oriented raw material assessment model be structured? Second, how can all three sustainability dimensions be taken into account? Third, how can the application of raw material assessments in a corporate-oriented decision-making process increase the sustainability level of a company? And fourth, does a methodically structured raw material assessment model have advantages over existing models? To answer these questions, we have developed a model which takes into account state-of-the-art sustainability assessments as well as recent developments in the field of criticality analysis, life cycle impact assessment (LCIA) and social life cycle assessment (SLCA). With partners from both academia and industry we identify relevant quantitative indicators for structuring the assessment model and for calculating corresponding indicator weightings, using the analytic hierarchy process (AHP). To demonstrate the applicability of the assessment model for decision support and its benefits for companies in identifying potential hotspots in raw material supply chains, we present a case study that includes decision support for selecting capacitor technologies. A sensitivity analysis demonstrates the robustness of the assessment…","author":[{"dropping-particle":"","family":"Kolotzek","given":"Christoph","non-dropping-particle":"","parse-names":false,"suffix":""},{"dropping-particle":"","family":"Helbig","given":"Christoph","non-dropping-particle":"","parse-names":false,"suffix":""},{"dropping-particle":"","family":"Thorenz","given":"Andrea","non-dropping-particle":"","parse-names":false,"suffix":""},{"dropping-particle":"","family":"Reller","given":"Armin","non-dropping-particle":"","parse-names":false,"suffix":""},{"dropping-particle":"","family":"Tuma","given":"Axel","non-dropping-particle":"","parse-names":false,"suffix":""}],"container-title":"Journal of Cleaner Production","id":"ITEM-1","issued":{"date-parts":[["2018"]]},"page":"566-580","publisher":"Elsevier Ltd","title":"A company-oriented model for the assessment of raw material supply risks, environmental impact and social implications","type":"article-journal","volume":"176"},"uris":["http://www.mendeley.com/documents/?uuid=48f69ea7-179f-4f88-8016-7892a0fd9265"]}],"mendeley":{"formattedCitation":"(Kolotzek et al., 2018)","manualFormatting":"Kolotzek et al. (2018)","plainTextFormattedCitation":"(Kolotzek et al., 2018)","previouslyFormattedCitation":"(Kolotzek et al., 2018)"},"properties":{"noteIndex":0},"schema":"https://github.com/citation-style-language/schema/raw/master/csl-citation.json"}</w:instrText>
      </w:r>
      <w:r w:rsidRPr="00D96986">
        <w:rPr>
          <w:highlight w:val="green"/>
          <w:lang w:eastAsia="ja-JP"/>
        </w:rPr>
        <w:fldChar w:fldCharType="separate"/>
      </w:r>
      <w:r w:rsidRPr="00D96986">
        <w:rPr>
          <w:noProof/>
          <w:highlight w:val="green"/>
          <w:lang w:eastAsia="ja-JP"/>
        </w:rPr>
        <w:t>Kolotzek et al. (2018)</w:t>
      </w:r>
      <w:r w:rsidRPr="00D96986">
        <w:rPr>
          <w:highlight w:val="green"/>
          <w:lang w:eastAsia="ja-JP"/>
        </w:rPr>
        <w:fldChar w:fldCharType="end"/>
      </w:r>
      <w:r w:rsidRPr="00D96986">
        <w:rPr>
          <w:highlight w:val="green"/>
          <w:lang w:eastAsia="ja-JP"/>
        </w:rPr>
        <w:t xml:space="preserve"> eliminate expert judgment in order to keep indicators more quantitative, which they consider to better serve decision-making. Also, Granta aims with their proprietary software at quantifying  multi-faceted parameters such as substitutability </w:t>
      </w:r>
      <w:r w:rsidRPr="00D96986">
        <w:rPr>
          <w:highlight w:val="green"/>
          <w:lang w:eastAsia="ja-JP"/>
        </w:rPr>
        <w:fldChar w:fldCharType="begin" w:fldLock="1"/>
      </w:r>
      <w:r w:rsidRPr="00D96986">
        <w:rPr>
          <w:highlight w:val="green"/>
          <w:lang w:eastAsia="ja-JP"/>
        </w:rPr>
        <w:instrText>ADDIN CSL_CITATION {"citationItems":[{"id":"ITEM-1","itemData":{"URL":"https://grantadesign.com/news_articles/how-honeywell-aerospace-use-ces-selector-to-support-material-substitution-and-reduce-costs/","accessed":{"date-parts":[["2019","6","14"]]},"author":[{"dropping-particle":"","family":"Granta Design","given":"","non-dropping-particle":"","parse-names":false,"suffix":""}],"id":"ITEM-1","issued":{"date-parts":[["2014"]]},"title":"How Honeywell Aerospace use CES Selector to support material substitution and reduce costs","type":"webpage"},"uris":["http://www.mendeley.com/documents/?uuid=3f311879-61b6-4a81-a219-29a7e6b39728"]}],"mendeley":{"formattedCitation":"(Granta Design, 2014)","plainTextFormattedCitation":"(Granta Design, 2014)","previouslyFormattedCitation":"(Granta Design, 2014)"},"properties":{"noteIndex":0},"schema":"https://github.com/citation-style-language/schema/raw/master/csl-citation.json"}</w:instrText>
      </w:r>
      <w:r w:rsidRPr="00D96986">
        <w:rPr>
          <w:highlight w:val="green"/>
          <w:lang w:eastAsia="ja-JP"/>
        </w:rPr>
        <w:fldChar w:fldCharType="separate"/>
      </w:r>
      <w:r w:rsidRPr="00D96986">
        <w:rPr>
          <w:noProof/>
          <w:highlight w:val="green"/>
          <w:lang w:eastAsia="ja-JP"/>
        </w:rPr>
        <w:t>(Granta Design, 2014)</w:t>
      </w:r>
      <w:r w:rsidRPr="00D96986">
        <w:rPr>
          <w:highlight w:val="green"/>
          <w:lang w:eastAsia="ja-JP"/>
        </w:rPr>
        <w:fldChar w:fldCharType="end"/>
      </w:r>
      <w:r w:rsidRPr="00D96986">
        <w:rPr>
          <w:highlight w:val="green"/>
          <w:lang w:eastAsia="ja-JP"/>
        </w:rPr>
        <w:t>.</w:t>
      </w:r>
      <w:r w:rsidR="00C57C5D" w:rsidRPr="00D96986">
        <w:rPr>
          <w:highlight w:val="green"/>
          <w:lang w:eastAsia="ja-JP"/>
        </w:rPr>
        <w:t xml:space="preserve"> </w:t>
      </w:r>
    </w:p>
    <w:p w14:paraId="6DDA33E1" w14:textId="26A63218" w:rsidR="00562AF4" w:rsidRDefault="00562AF4" w:rsidP="00562AF4">
      <w:pPr>
        <w:spacing w:line="480" w:lineRule="auto"/>
        <w:jc w:val="both"/>
        <w:rPr>
          <w:lang w:eastAsia="ja-JP"/>
        </w:rPr>
      </w:pPr>
      <w:r w:rsidRPr="00D96986">
        <w:rPr>
          <w:highlight w:val="green"/>
        </w:rPr>
        <w:t xml:space="preserve">As stated in </w:t>
      </w:r>
      <w:r w:rsidRPr="00D96986">
        <w:rPr>
          <w:rStyle w:val="CommentReference"/>
          <w:highlight w:val="green"/>
        </w:rPr>
        <w:t/>
      </w:r>
      <w:r w:rsidRPr="00D96986">
        <w:rPr>
          <w:highlight w:val="green"/>
        </w:rPr>
        <w:t xml:space="preserve">Section 3.1.4., data availability has a direct influence on the materials and life cycle stages included in a criticality assessment. </w:t>
      </w:r>
      <w:r w:rsidRPr="00D96986">
        <w:rPr>
          <w:highlight w:val="green"/>
          <w:lang w:eastAsia="ja-JP"/>
        </w:rPr>
        <w:t xml:space="preserve">Constraints in the availability of resources (time, money, and personnel) can put a limit on the type of assessment that can be done. Especially public entities do not have the time or the staff to invest in data collection before conducting a criticality assessment, and they usually are missing the deep market insights which are necessary to understand especially the markets for specialty metals, limiting therefore the assessment factors to data that are readily available </w:t>
      </w:r>
      <w:r w:rsidRPr="00D96986">
        <w:rPr>
          <w:highlight w:val="green"/>
          <w:lang w:eastAsia="ja-JP"/>
        </w:rPr>
        <w:fldChar w:fldCharType="begin" w:fldLock="1"/>
      </w:r>
      <w:r w:rsidRPr="00D96986">
        <w:rPr>
          <w:highlight w:val="green"/>
          <w:lang w:eastAsia="ja-JP"/>
        </w:rPr>
        <w:instrText>ADDIN CSL_CITATION {"citationItems":[{"id":"ITEM-1","itemData":{"DOI":"http://dx.doi.org/10.1787/5jrtknwm5hr5-en","ISBN":"91","abstract":"The purpose of this report is to perform for the first time an analysis of critical minerals for the OECD countries as a whole. In addition, this is done not only today, as previous reports have done, but also in 2030, in order to form an initial picture of how possible trends in economic development will affect which minerals are critical in the long-run future. The 51 different minerals are included in the analysis. Three measures of mineral supply risk are used: 1. substitutability, 2. recycling rates and 3. the concentration of production in countries that are judged by international datasets to be relatively politically unstable. Physical scarcity is not considered to be a source of supply risk, certainly in the short term. The analysis identifies around 12 to 20 minerals or minerals groups, which are critical in the OECD today. The results are highly mineral-specific, with some minerals requiring huge increases in substitutability and/or recycling from a low base, while others require only small improvements.","author":[{"dropping-particle":"","family":"Coulomb","given":"Renaud","non-dropping-particle":"","parse-names":false,"suffix":""},{"dropping-particle":"","family":"Dietz","given":"Simon","non-dropping-particle":"","parse-names":false,"suffix":""},{"dropping-particle":"","family":"Godunova","given":"Maria","non-dropping-particle":"","parse-names":false,"suffix":""},{"dropping-particle":"","family":"Nielsen","given":"Thomas Bligaard","non-dropping-particle":"","parse-names":false,"suffix":""}],"container-title":"OECD Environment Working Papers","id":"ITEM-1","issue":"91","issued":{"date-parts":[["2015"]]},"page":"0_1,3-5,8-49","title":"Critical Minerals Today and in 2030: AN ANALYSIS FOR OECD COUNTRIES","type":"article-journal"},"uris":["http://www.mendeley.com/documents/?uuid=54347e9d-13a9-42dc-81a3-2eaf4955e82a"]}],"mendeley":{"formattedCitation":"(Coulomb et al., 2015)","plainTextFormattedCitation":"(Coulomb et al., 2015)","previouslyFormattedCitation":"(Coulomb et al., 2015)"},"properties":{"noteIndex":0},"schema":"https://github.com/citation-style-language/schema/raw/master/csl-citation.json"}</w:instrText>
      </w:r>
      <w:r w:rsidRPr="00D96986">
        <w:rPr>
          <w:highlight w:val="green"/>
          <w:lang w:eastAsia="ja-JP"/>
        </w:rPr>
        <w:fldChar w:fldCharType="separate"/>
      </w:r>
      <w:r w:rsidRPr="00D96986">
        <w:rPr>
          <w:noProof/>
          <w:highlight w:val="green"/>
          <w:lang w:eastAsia="ja-JP"/>
        </w:rPr>
        <w:t>(Coulomb et al., 2015)</w:t>
      </w:r>
      <w:r w:rsidRPr="00D96986">
        <w:rPr>
          <w:highlight w:val="green"/>
          <w:lang w:eastAsia="ja-JP"/>
        </w:rPr>
        <w:fldChar w:fldCharType="end"/>
      </w:r>
      <w:r w:rsidRPr="00D96986">
        <w:rPr>
          <w:highlight w:val="green"/>
          <w:lang w:eastAsia="ja-JP"/>
        </w:rPr>
        <w:t>. Readily available data is also a requirement for assessments that have to be repeated regularly or that assess the evolvement of criticality over time.</w:t>
      </w:r>
      <w:r w:rsidR="00162997">
        <w:rPr>
          <w:lang w:eastAsia="ja-JP"/>
        </w:rPr>
        <w:t xml:space="preserve"> </w:t>
      </w:r>
      <w:r w:rsidR="00162997" w:rsidRPr="00D96986">
        <w:rPr>
          <w:highlight w:val="yellow"/>
          <w:lang w:eastAsia="ja-JP"/>
        </w:rPr>
        <w:t xml:space="preserve">The use of quantitative </w:t>
      </w:r>
      <w:r w:rsidR="00A40159" w:rsidRPr="00D96986">
        <w:rPr>
          <w:highlight w:val="yellow"/>
          <w:lang w:eastAsia="ja-JP"/>
        </w:rPr>
        <w:t xml:space="preserve">or readily available </w:t>
      </w:r>
      <w:r w:rsidR="00162997" w:rsidRPr="00D96986">
        <w:rPr>
          <w:highlight w:val="yellow"/>
          <w:lang w:eastAsia="ja-JP"/>
        </w:rPr>
        <w:t>data might compromise the quality of the data regarding the representativeness of the available data for the specific material, technology, geographical area, and time frame under study. The requirements for the quality of the data should therefore be anticipated by the study commissioners.</w:t>
      </w:r>
    </w:p>
    <w:p w14:paraId="003EF11F" w14:textId="77777777" w:rsidR="006149A0" w:rsidRDefault="006149A0" w:rsidP="00863B14">
      <w:pPr>
        <w:spacing w:line="480" w:lineRule="auto"/>
        <w:jc w:val="both"/>
      </w:pPr>
    </w:p>
    <w:p w14:paraId="522DA803" w14:textId="39D4C4A5" w:rsidR="002E003A" w:rsidRDefault="002E003A" w:rsidP="00D96986">
      <w:pPr>
        <w:pStyle w:val="Heading3"/>
        <w:numPr>
          <w:ilvl w:val="1"/>
          <w:numId w:val="61"/>
        </w:numPr>
        <w:spacing w:line="480" w:lineRule="auto"/>
      </w:pPr>
      <w:bookmarkStart w:id="40" w:name="_Toc415758574"/>
      <w:bookmarkStart w:id="41" w:name="_Toc10458662"/>
      <w:bookmarkStart w:id="42" w:name="_Toc19016230"/>
      <w:r>
        <w:t>Indicator evaluation</w:t>
      </w:r>
      <w:bookmarkEnd w:id="40"/>
      <w:bookmarkEnd w:id="41"/>
      <w:bookmarkEnd w:id="42"/>
    </w:p>
    <w:p w14:paraId="7C47581C" w14:textId="28730D9F" w:rsidR="0092644D" w:rsidRDefault="00476B22" w:rsidP="00863B14">
      <w:pPr>
        <w:spacing w:line="480" w:lineRule="auto"/>
        <w:jc w:val="both"/>
      </w:pPr>
      <w:r w:rsidRPr="002A505D">
        <w:fldChar w:fldCharType="begin"/>
      </w:r>
      <w:r w:rsidRPr="002A505D">
        <w:instrText xml:space="preserve"> REF _Ref4489029 \h </w:instrText>
      </w:r>
      <w:r w:rsidR="002A505D">
        <w:instrText xml:space="preserve"> \* MERGEFORMAT </w:instrText>
      </w:r>
      <w:r w:rsidRPr="002A505D">
        <w:fldChar w:fldCharType="separate"/>
      </w:r>
      <w:r w:rsidR="009F2906" w:rsidRPr="002A505D">
        <w:t xml:space="preserve">Figure </w:t>
      </w:r>
      <w:r w:rsidR="009F2906" w:rsidRPr="002A505D">
        <w:rPr>
          <w:noProof/>
        </w:rPr>
        <w:t>2</w:t>
      </w:r>
      <w:r w:rsidRPr="002A505D">
        <w:fldChar w:fldCharType="end"/>
      </w:r>
      <w:r w:rsidRPr="002A505D">
        <w:t xml:space="preserve"> shows that the </w:t>
      </w:r>
      <w:r w:rsidR="0054750D" w:rsidRPr="002A505D">
        <w:t xml:space="preserve">evaluation of indicators is a key parameter </w:t>
      </w:r>
      <w:r w:rsidR="001D0670">
        <w:t xml:space="preserve">which </w:t>
      </w:r>
      <w:r w:rsidR="0054750D" w:rsidRPr="002A505D">
        <w:t>affects the outcome of a criticality study</w:t>
      </w:r>
      <w:r w:rsidR="0054750D">
        <w:t xml:space="preserve">. </w:t>
      </w:r>
      <w:r w:rsidR="00B0723D">
        <w:t>Indicator evaluation is based on</w:t>
      </w:r>
      <w:r w:rsidR="006149A0">
        <w:t xml:space="preserve"> </w:t>
      </w:r>
      <w:r w:rsidR="00B0723D">
        <w:t>two components</w:t>
      </w:r>
      <w:r w:rsidR="006149A0">
        <w:t>:</w:t>
      </w:r>
      <w:r w:rsidR="00B0723D">
        <w:t xml:space="preserve"> indicator selection and indicator scoring. </w:t>
      </w:r>
      <w:r w:rsidR="008840B4">
        <w:t>As</w:t>
      </w:r>
      <w:r w:rsidR="0092644D">
        <w:t xml:space="preserve"> there is no adequate databas</w:t>
      </w:r>
      <w:r w:rsidR="00E32281">
        <w:t>e</w:t>
      </w:r>
      <w:r w:rsidR="0092644D">
        <w:t xml:space="preserve"> </w:t>
      </w:r>
      <w:r w:rsidR="00715A52">
        <w:t xml:space="preserve">specifically </w:t>
      </w:r>
      <w:r w:rsidR="0092644D">
        <w:t xml:space="preserve">created </w:t>
      </w:r>
      <w:r w:rsidR="008840B4">
        <w:t xml:space="preserve">for criticality studies, </w:t>
      </w:r>
      <w:r w:rsidR="00741F80">
        <w:t xml:space="preserve">criticality evaluators </w:t>
      </w:r>
      <w:r w:rsidR="0092644D">
        <w:t xml:space="preserve">have to resort to idealized constructs more or less fitting their situation, and relate these </w:t>
      </w:r>
      <w:r w:rsidR="0092644D">
        <w:lastRenderedPageBreak/>
        <w:t>to available indicators</w:t>
      </w:r>
      <w:r w:rsidR="00064E3B">
        <w:t xml:space="preserve"> and </w:t>
      </w:r>
      <w:r w:rsidR="0092644D">
        <w:t xml:space="preserve">data </w:t>
      </w:r>
      <w:r w:rsidR="00064E3B">
        <w:t xml:space="preserve">sources </w:t>
      </w:r>
      <w:r w:rsidR="0092644D">
        <w:fldChar w:fldCharType="begin"/>
      </w:r>
      <w:r w:rsidR="0092644D">
        <w:instrText>ADDIN CITAVI.PLACEHOLDER f6212633-560b-4d23-a058-c791425ebce3 PFBsYWNlaG9sZGVyPg0KICA8QWRkSW5WZXJzaW9uPjUuNy4xLjA8L0FkZEluVmVyc2lvbj4NCiAgPElkPmY2MjEyNjMzLTU2MGItNGQyMy1hMDU4LWM3OTE0MjVlYmNlMzwvSWQ+DQogIDxFbnRyaWVzPg0KICAgIDxFbnRyeT4NCiAgICAgIDxJZD42OGQ2NjdmYi1kNDNmLTRlNDktODZlYi0xOGVjMzM0MzQ3YWU8L0lkPg0KICAgICAgPFJlZmVyZW5jZUlkPmQ3YTU2NGEyLWI1N2QtNDlkZS05MzVlLTM3MDRlODQzNzY1YjwvUmVmZXJlbmNlSWQ+DQogICAgICA8UmFuZ2U+DQogICAgICAgIDxTdGFydD4wPC9TdGFydD4NCiAgICAgICAgPExlbmd0aD4xODwvTGVuZ3RoPg0KICAgICAgPC9SYW5nZT4NCiAgICAgIDxSZWZlcmVuY2U+DQogICAgICAgIDxSZWZlcmVuY2VUeXBlSWQ+Sm91cm5hbEFydGljbGU8L1JlZmVyZW5jZVR5cGVJZD4NCiAgICAgICAgPEF1dGhvcnM+DQogICAgICAgICAgPFBlcnNvbj4NCiAgICAgICAgICAgIDxGaXJzdE5hbWU+QnJhbTwvRmlyc3ROYW1lPg0KICAgICAgICAgICAgPExhc3ROYW1lPkJ1aWpzPC9MYXN0TmFtZT4NCiAgICAgICAgICAgIDxTZXg+TWFsZTwvU2V4Pg0KICAgICAgICAgIDwvUGVyc29uPg0KICAgICAgICAgIDxQZXJzb24+DQogICAgICAgICAgICA8Rmlyc3ROYW1lPkhlbnJpa2U8L0ZpcnN0TmFtZT4NCiAgICAgICAgICAgIDxMYXN0TmFtZT5TaWV2ZXJzPC9MYXN0TmFtZT4NCiAgICAgICAgICAgIDxTZXg+RmVtYWxlPC9TZXg+DQogICAgICAgICAgPC9QZXJzb24+DQogICAgICAgICAgPFBlcnNvbj4NCiAgICAgICAgICAgIDxGaXJzdE5hbWU+THVpczwvRmlyc3ROYW1lPg0KICAgICAgICAgICAgPExhc3ROYW1lPlRlcmNlcm8gRXNwaW5vemE8L0xhc3ROYW1lPg0KICAgICAgICAgICAgPE1pZGRsZU5hbWU+QS48L01pZGRsZU5hbWU+DQogICAgICAgICAgICA8U2V4Pk1hbGU8L1NleD4NCiAgICAgICAgICA8L1BlcnNvbj4NCiAgICAgICAgPC9BdXRob3JzPg0KICAgICAgICA8RG9pPjEwLjE2ODAvd2FybS4xMi4wMDAxMDwvRG9pPg0KICAgICAgICA8SWQ+ZDdhNTY0YTItYjU3ZC00OWRlLTkzNWUtMzcwNGU4NDM3NjViPC9JZD4NCiAgICAgICAgPExvY2F0aW9ucz4NCiAgICAgICAgICA8TG9jYXRpb24+DQogICAgICAgICAgICA8QWRkcmVzcz5TaWV2ZXJzLCBCdWlqcyBldCBhbCAyMDEyIC0gTGltaXRzIHRvIHRoZSBjcml0aWNhbCByYXcucGRmPC9BZGRyZXNzPg0KICAgICAgICAgICAgPExvY2F0aW9uVHlwZT5FbGVjdHJvbmljQWRkcmVzczwvTG9jYXRpb25UeXBlPg0KICAgICAgICAgIDwvTG9jYXRpb24+DQogICAgICAgICAgPExvY2F0aW9uPg0KICAgICAgICAgICAgPEFkZHJlc3M+MTAuMTY4MC93YXJtLjEyLjAwMDEwPC9BZGRyZXNzPg0KICAgICAgICAgICAgPExvY2F0aW9uVHlwZT5FbGVjdHJvbmljQWRkcmVzczwvTG9jYXRpb25UeXBlPg0KICAgICAgICAgIDwvTG9jYXRpb24+DQogICAgICAgIDwvTG9jYXRpb25zPg0KICAgICAgICA8TnVtYmVyPjQ8L051bWJlcj4NCiAgICAgICAgPFBhZ2VSYW5nZT48IVtDREFUQVs8c3A+DQogIDxuPjIwMTwvbj4NCiAgPGluPnRydWU8L2luPg0KICA8b3M+MjAxPC9vcz4NCiAgPHBzPjIwMTwvcHM+DQo8L3NwPg0KPGVwPg0KICA8bj4yMDg8L24+DQogIDxpbj50cnVlPC9pbj4NCiAgPG9zPjIwODwvb3M+DQogIDxwcz4yMDg8L3BzPg0KPC9lcD4NCjxvcz4yMDHigJMyMDg8L29zPl1dPjwvUGFnZVJhbmdlPg0KICAgICAgICA8RW5kUGFnZT4yMDg8L0VuZFBhZ2U+DQogICAgICAgIDxTdGFydFBhZ2U+MjAxPC9TdGFydFBhZ2U+DQogICAgICAgIDxQZXJpb2RpY2FsPg0KICAgICAgICAgIDxJc3NuPjE3NDctNjUyNjwvSXNzbj4NCiAgICAgICAgICA8TmFtZT5Qcm9jZWVkaW5ncyBvZiB0aGUgSUNFIC0gV2FzdGUgYW5kIFJlc291cmNlIE1hbmFnZW1lbnQ8L05hbWU+DQogICAgICAgIDwvUGVyaW9kaWNhbD4NCiAgICAgICAgPFNlcXVlbmNlTnVtYmVyPjgwMTwvU2VxdWVuY2VOdW1iZXI+DQogICAgICAgIDxTaG9ydFRpdGxlPlNpZXZlcnMsIEJ1aWpzIGV0IGFsLiAyMDEyIOKAkyBMaW1pdHMgdG8gdGhlIGNyaXRpY2FsIHJhdzwvU2hvcnRUaXRsZT4NCiAgICAgICAgPFNvdXJjZU9mQmlibGlvZ3JhcGhpY0luZm9ybWF0aW9uPkNyb3NzUmVmPC9Tb3VyY2VPZkJpYmxpb2dyYXBoaWNJbmZvcm1hdGlvbj4NCiAgICAgICAgPFRpdGxlPkxpbWl0cyB0byB0aGUgY3JpdGljYWwgcmF3IG1hdGVyaWFscyBhcHByb2FjaDwvVGl0bGU+DQogICAgICAgIDxWb2x1bWU+MTY1PC9Wb2x1bWU+DQogICAgICAgIDxZZWFyPjIwMTI8L1llYXI+DQogICAgICA8L1JlZmVyZW5jZT4NCiAgICA8L0VudHJ5Pg0KICAgIDxFbnRyeT4NCiAgICAgIDxJZD5hMDQ1MWE2MS0wYWUxLTRlNjYtODQ5Zi0zMDYxMGUwZjkxMWU8L0lkPg0KICAgICAgPFJlZmVyZW5jZUlkPjQ2NTA0ZTI2LWI2ZDQtNDJhOC04NmEwLTY3ZDE4NGZiMzVmYzwvUmVmZXJlbmNlSWQ+DQogICAgICA8UmFuZ2U+DQogICAgICAgIDxTdGFydD4zOTwvU3RhcnQ+DQogICAgICAgIDxMZW5ndGg+MjQ8L0xlbmd0aD4NCiAgICAgIDwvUmFuZ2U+DQogICAgICA8UmVmZXJlbmNlPg0KICAgICAgICA8UmVmZXJlbmNlVHlwZUlkPkNvbnRyaWJ1dGlvbjwvUmVmZXJlbmNlVHlwZUlkPg0KICAgICAgICA8QXV0aG9ycz4NCiAgICAgICAgICA8UGVyc29uPg0KICAgICAgICAgICAgPEZpcnN0TmFtZT5MdWlzPC9GaXJzdE5hbWU+DQogICAgICAgICAgICA8TGFzdE5hbWU+VGVyY2VybyBFc3Bpbm96YTwvTGFzdE5hbWU+DQogICAgICAgICAgICA8TWlkZGxlTmFtZT5BLjwvTWlkZGxlTmFtZT4NCiAgICAgICAgICAgIDxTZXg+TWFsZTwvU2V4Pg0KICAgICAgICAgIDwvUGVyc29uPg0KICAgICAgICA8L0F1dGhvcnM+DQogICAgICAgIDxJZD40NjUwNGUyNi1iNmQ0LTQyYTgtODZhMC02N2QxODRmYjM1ZmM8L0lkPg0KICAgICAgICA8TG9jYXRpb25zPg0KICAgICAgICAgIDxMb2NhdGlvbj4NCiAgICAgICAgICAgIDxBZGRyZXNzPlRlcmNlcm8gRXNwaW5vemEgMjAxMyAtIENyaXRpY2FsaXR5IG9mIG1pbmVyYWwgcmF3IG1hdGVyaWFscy5wZGY8L0FkZHJlc3M+DQogICAgICAgICAgICA8TG9jYXRpb25UeXBlPkVsZWN0cm9uaWNBZGRyZXNzPC9Mb2NhdGlvblR5cGU+DQogICAgICAgICAgPC9Mb2NhdGlvbj4NCiAgICAgICAgPC9Mb2NhdGlvbnM+DQogICAgICAgIDxQYWdlUmFuZ2U+PCFbQ0RBVEFbPHNwPg0KICA8bj41MTwvbj4NCiAgPGluPnRydWU8L2luPg0KICA8b3M+NTE8L29zPg0KICA8cHM+NTE8L3BzPg0KPC9zcD4NCjxlcD4NCiAgPG4+NTI8L24+DQogIDxpbj50cnVlPC9pbj4NCiAgPG9zPjUyPC9vcz4NCiAgPHBzPjUyPC9wcz4NCjwvZXA+DQo8b3M+NTHigJM1Mjwvb3M+XV0+PC9QYWdlUmFuZ2U+DQogICAgICAgIDxFbmRQYWdlPjUyPC9FbmRQYWdlPg0KICAgICAgICA8U3RhcnRQYWdlPjUxPC9TdGFydFBhZ2U+DQogICAgICAgIDxQYXJlbnRSZWZlcmVuY2U+PFJlZmVyZW5jZT48UmVmZXJlbmNlVHlwZUlkPkJvb2tFZGl0ZWQ8L1JlZmVyZW5jZVR5cGVJZD48RWRpdG9ycz48UGVyc29uPjxGaXJzdE5hbWU+THVjaWE8L0ZpcnN0TmFtZT48TGFzdE5hbWU+TWFuY2luaTwvTGFzdE5hbWU+PFNleD5GZW1hbGU8L1NleD48L1BlcnNvbj48UGVyc29uPjxGaXJzdE5hbWU+Q2FtaWxsbzwvRmlyc3ROYW1lPjxMYXN0TmFtZT5DYW1pbGxpczwvTGFzdE5hbWU+PFByZWZpeD5kZTwvUHJlZml4PjxTZXg+TWFsZTwvU2V4PjwvUGVyc29uPjxQZXJzb24+PEZpcnN0TmFtZT5EYXZpZDwvRmlyc3ROYW1lPjxMYXN0TmFtZT5QZW5uaW5ndG9uPC9MYXN0TmFtZT48U2V4Pk1hbGU8L1NleD48L1BlcnNvbj48L0VkaXRvcnM+PElkPjk1MzQxNDUxLTEwNjEtNGM4YS05YmQ3LTU4YmE2MTM3N2E5NzwvSWQ+PElzYm4+OTc4LTkyLTc5LTMyNTIwLTU8L0lzYm4+PExvY2F0aW9ucz48TG9jYXRpb24+PEFkZHJlc3M+TWFuY2luaSwgQ2FtaWxsaXMgZXQgYWwuIChIZy4pIDIwMTMgLSBTZWN1cml0eSBvZiBzdXBwbHkgYW5kIHNjYXJjaXR5LnBkZjwvQWRkcmVzcz48TG9jYXRpb25UeXBlPkVsZWN0cm9uaWNBZGRyZXNzPC9Mb2NhdGlvblR5cGU+PC9Mb2NhdGlvbj48L0xvY2F0aW9ucz48Tm90ZXM+aHR0cDovL2R4LmRvaS5vcmcvMTAuMjc4OC85NDkyNjwvTm90ZXM+PE9yZ2FuaXphdGlvbnM+PFBlcnNvbj48TGFzdE5hbWU+RXVyb3BlYW4gQ29tbWlzc2lvbjwvTGFzdE5hbWU+PFNleD5OZXV0cmFsPC9TZXg+PC9QZXJzb24+PC9Pcmdhbml6YXRpb25zPjxQYWdlQ291bnRDNT48IVtDREFUQVs8Yz43MjwvYz4NCjxpbj50cnVlPC9pbj4NCjxvcz43Mjwvb3M+DQo8cHM+NzI8L3BzPl1dPjwvUGFnZUNvdW50QzU+PFBhZ2VDb3VudD43MjwvUGFnZUNvdW50PjxQbGFjZU9mUHVibGljYXRpb24+THV4ZW1ib3VyZzwvUGxhY2VPZlB1YmxpY2F0aW9uPjxQdWJsaXNoZXJzPjxQdWJsaXNoZXI+PE5hbWU+UHVibGljYXRpb25zIE9mZmljZSBvZiB0aGUgRXVyb3BlYW4gVW5pb248L05hbWU+PC9QdWJsaXNoZXI+PC9QdWJsaXNoZXJzPjxTZXJpZXNUaXRsZT48TmFtZT5KUkMgU2NpZW50aWZpYyBhbmQgUG9saWN5IFJlcG9ydHM8L05hbWU+PC9TZXJpZXNUaXRsZT48U2VxdWVuY2VOdW1iZXI+MTE2MDwvU2VxdWVuY2VOdW1iZXI+PFNob3J0VGl0bGU+TWFuY2luaSwgQ2FtaWxsaXMgZXQgYWwuIChIZy4pIDIwMTMg4oCTIFNlY3VyaXR5IG9mIHN1cHBseSBhbmQgc2NhcmNpdHk8L1Nob3J0VGl0bGU+PFN1YnRpdGxlPlRvd2FyZHMgYSBtZXRob2RvbG9naWNhbCBmcmFtZXdvcmsgZm9yIHN1c3RhaW5hYmlsaXR5IGFzc2Vzc21lbnQ8L1N1YnRpdGxlPjxUaXRsZT5TZWN1cml0eSBvZiBzdXBwbHkgYW5kIHNjYXJjaXR5IG9mIHJhdyBtYXRlcmlhbHM8L1RpdGxlPjxZZWFyPjIwMTM8L1llYXI+PC9SZWZlcmVuY2U+PC9QYXJlbnRSZWZlcmVuY2U+DQogICAgICAgIDxTZXF1ZW5jZU51bWJlcj4xMTYxPC9TZXF1ZW5jZU51bWJlcj4NCiAgICAgICAgPFNob3J0VGl0bGU+VGVyY2VybyBFc3Bpbm96YSAyMDEzIOKAkyBDcml0aWNhbGl0eSBvZiBtaW5lcmFsIHJhdyBtYXRlcmlhbHM8L1Nob3J0VGl0bGU+DQogICAgICAgIDxUaXRsZT5Dcml0aWNhbGl0eSBvZiBtaW5lcmFsIHJhdyBtYXRlcmlhbHMgYW5kIHN1c3RhaW5hYmlsaXR5IGFzc2Vzc21lbnQ8L1RpdGxlPg0KICAgICAgPC9SZWZlcmVuY2U+DQogICAgPC9FbnRyeT4NCiAgICA8RW50cnk+DQogICAgICA8SWQ+ZjhlZWZmMGMtMzc4Mi00ODk4LWJkMmEtMzMwZDEwYzc5ZjhkPC9JZD4NCiAgICAgIDxSZWZlcmVuY2VJZD44NzRkZTMzOS1kZmUxLTQxZDAtOTMwZC0wMDE5N2YyYTY2MWQ8L1JlZmVyZW5jZUlkPg0KICAgICAgPFJhbmdlPg0KICAgICAgICA8U3RhcnQ+MTg8L1N0YXJ0Pg0KICAgICAgICA8TGVuZ3RoPjIxPC9MZW5ndGg+DQogICAgICA8L1JhbmdlPg0KICAgICAgPFJlZmVyZW5jZT4NCiAgICAgICAgPFJlZmVyZW5jZVR5cGVJZD5Kb3VybmFsQXJ0aWNsZTwvUmVmZXJlbmNlVHlwZUlkPg0KICAgICAgICA8QXV0aG9ycz4NCiAgICAgICAgICA8UGVyc29uPg0KICAgICAgICAgICAgPEZpcnN0TmFtZT5ULjwvRmlyc3ROYW1lPg0KICAgICAgICAgICAgPExhc3ROYW1lPkdyYWVkZWw8L0xhc3ROYW1lPg0KICAgICAgICAgICAgPE1pZGRsZU5hbWU+RS48L01pZGRsZU5hbWU+DQogICAgICAgICAgPC9QZXJzb24+DQogICAgICAgICAgPFBlcnNvbj4NCiAgICAgICAgICAgIDxGaXJzdE5hbWU+UmFjaGVsPC9GaXJzdE5hbWU+DQogICAgICAgICAgICA8TGFzdE5hbWU+QmFycjwvTGFzdE5hbWU+DQogICAgICAgICAgICA8U2V4PkZlbWFsZTwvU2V4Pg0KICAgICAgICAgIDwvUGVyc29uPg0KICAgICAgICAgIDxQZXJzb24+DQogICAgICAgICAgICA8Rmlyc3ROYW1lPkNoZWxzZWE8L0ZpcnN0TmFtZT4NCiAgICAgICAgICAgIDxMYXN0TmFtZT5DaGFuZGxlcjwvTGFzdE5hbWU+DQogICAgICAgICAgICA8U2V4PkZlbWFsZTwvU2V4Pg0KICAgICAgICAgIDwvUGVyc29uPg0KICAgICAgICAgIDxQZXJzb24+DQogICAgICAgICAgICA8Rmlyc3ROYW1lPlRob21hczwvRmlyc3ROYW1lPg0KICAgICAgICAgICAgPExhc3ROYW1lPkNoYXNlPC9MYXN0TmFtZT4NCiAgICAgICAgICAgIDxTZXg+TWFsZTwvU2V4Pg0KICAgICAgICAgIDwvUGVyc29uPg0KICAgICAgICAgIDxQZXJzb24+DQogICAgICAgICAgICA8Rmlyc3ROYW1lPkpvYW5uZTwvRmlyc3ROYW1lPg0KICAgICAgICAgICAgPExhc3ROYW1lPkNob2k8L0xhc3ROYW1lPg0KICAgICAgICAgICAgPFNleD5GZW1hbGU8L1NleD4NCiAgICAgICAgICA8L1BlcnNvbj4NCiAgICAgICAgICA8UGVyc29uPg0KICAgICAgICAgICAgPEZpcnN0TmFtZT5MZWU8L0ZpcnN0TmFtZT4NCiAgICAgICAgICAgIDxMYXN0TmFtZT5DaHJpc3RvZmZlcnNlbjwvTGFzdE5hbWU+DQogICAgICAgICAgICA8U2V4Pk1hbGU8L1NleD4NCiAgICAgICAgICA8L1BlcnNvbj4NCiAgICAgICAgICA8UGVyc29uPg0KICAgICAgICAgICAgPEZpcnN0TmFtZT5FbGl6YWJldGg8L0ZpcnN0TmFtZT4NCiAgICAgICAgICAgIDxMYXN0TmFtZT5GcmllZGxhbmRlcjwvTGFzdE5hbWU+DQogICAgICAgICAgICA8U2V4PkZlbWFsZTwvU2V4Pg0KICAgICAgICAgIDwvUGVyc29uPg0KICAgICAgICAgIDxQZXJzb24+DQogICAgICAgICAgICA8Rmlyc3ROYW1lPkNsYWlyZTwvRmlyc3ROYW1lPg0KICAgICAgICAgICAgPExhc3ROYW1lPkhlbmx5PC9MYXN0TmFtZT4NCiAgICAgICAgICAgIDxTZXg+RmVtYWxlPC9TZXg+DQogICAgICAgICAgPC9QZXJzb24+DQogICAgICAgICAgPFBlcnNvbj4NCiAgICAgICAgICAgIDxGaXJzdE5hbWU+Q2hyaXN0aW5lPC9GaXJzdE5hbWU+DQogICAgICAgICAgICA8TGFzdE5hbWU+SnVuPC9MYXN0TmFtZT4NCiAgICAgICAgICAgIDxTZXg+RmVtYWxlPC9TZXg+DQogICAgICAgICAgPC9QZXJzb24+DQogICAgICAgICAgPFBlcnNvbj4NCiAgICAgICAgICAgIDxGaXJzdE5hbWU+TmVkYWw8L0ZpcnN0TmFtZT4NCiAgICAgICAgICAgIDxMYXN0TmFtZT5OYXNzYXI8L0xhc3ROYW1lPg0KICAgICAgICAgICAgPE1pZGRsZU5hbWU+VC48L01pZGRsZU5hbWU+DQogICAgICAgICAgPC9QZXJzb24+DQogICAgICAgICAgPFBlcnNvbj4NCiAgICAgICAgICAgIDxGaXJzdE5hbWU+RGFuaWVsPC9GaXJzdE5hbWU+DQogICAgICAgICAgICA8TGFzdE5hbWU+U2NoZWNobmVyPC9MYXN0TmFtZT4NCiAgICAgICAgICAgIDxTZXg+TWFsZTwvU2V4Pg0KICAgICAgICAgIDwvUGVyc29uPg0KICAgICAgICAgIDxQZXJzb24+DQogICAgICAgICAgICA8Rmlyc3ROYW1lPlNpbW9uPC9GaXJzdE5hbWU+DQogICAgICAgICAgICA8TGFzdE5hbWU+V2FycmVuPC9MYXN0TmFtZT4NCiAgICAgICAgICAgIDxTZXg+TWFsZTwvU2V4Pg0KICAgICAgICAgIDwvUGVyc29uPg0KICAgICAgICAgIDxQZXJzb24+DQogICAgICAgICAgICA8Rmlyc3ROYW1lPk1hbi1ZdTwvRmlyc3ROYW1lPg0KICAgICAgICAgICAgPExhc3ROYW1lPllhbmc8L0xhc3ROYW1lPg0KICAgICAgICAgIDwvUGVyc29uPg0KICAgICAgICAgIDxQZXJzb24+DQogICAgICAgICAgICA8Rmlyc3ROYW1lPkNoYXJsZXM8L0ZpcnN0TmFtZT4NCiAgICAgICAgICAgIDxMYXN0TmFtZT5aaHU8L0xhc3ROYW1lPg0KICAgICAgICAgICAgPFNleD5NYWxlPC9TZXg+DQogICAgICAgICAgPC9QZXJzb24+DQogICAgICAgIDwvQXV0aG9ycz4NCiAgICAgICAgPEFjY2Vzc0RhdGU+MjQuMTEuMjAxMjwvQWNjZXNzRGF0ZT4NCiAgICAgICAgPERhdGU+MDkuMTIuMjAxMTwvRGF0ZT4NCiAgICAgICAgPERvaT4xMC4xMDIxL2VzMjAzNTM0ejwvRG9pPg0KICAgICAgICA8SWQ+ODc0ZGUzMzktZGZlMS00MWQwLTkzMGQtMDAxOTdmMmE2NjFkPC9JZD4NCiAgICAgICAgPExhbmd1YWdlPmVuZzwvTGFuZ3VhZ2U+DQogICAgICAgIDxMYW5ndWFnZUNvZGU+ZW48L0xhbmd1YWdlQ29kZT4NCiAgICAgICAgPExvY2F0aW9ucz4NCiAgICAgICAgICA8TG9jYXRpb24+DQogICAgICAgICAgICA8QWRkcmVzcz5HcmFlZGVsLCBCYXJyIGV0IGFsLiAyMDEyIC0gTWV0aG9kb2xvZ3kgb2YgbWV0YWwgY3JpdGljYWxpdHkgZGV0ZXJtaW5hdGlvbiAoMikucGRmPC9BZGRyZXNzPg0KICAgICAgICAgICAgPExvY2F0aW9uVHlwZT5FbGVjdHJvbmljQWRkcmVzczwvTG9jYXRpb25UeXBlPg0KICAgICAgICAgIDwvTG9jYXRpb24+DQogICAgICAgICAgPExvY2F0aW9uPg0KICAgICAgICAgICAgPEFkZHJlc3M+R3JhZWRlbCwgQmFyciBldCBhbC4gMjAxMiAtIE1ldGhvZG9sb2d5IG9mIG1ldGFsIGNyaXRpY2FsaXR5IGRldGVybWluYXRpb24gKDMpLnBkZjwvQWRkcmVzcz4NCiAgICAgICAgICAgIDxMb2NhdGlvblR5cGU+RWxlY3Ryb25pY0FkZHJlc3M8L0xvY2F0aW9uVHlwZT4NCiAgICAgICAgICA8L0xvY2F0aW9uPg0KICAgICAgICAgIDxMb2NhdGlvbj4NCiAgICAgICAgICAgIDxBZGRyZXNzPjEwLjEwMjEvZXMyMDM1MzR6PC9BZGRyZXNzPg0KICAgICAgICAgICAgPExvY2F0aW9uVHlwZT5FbGVjdHJvbmljQWRkcmVzczwvTG9jYXRpb25UeXBlPg0KICAgICAgICAgIDwvTG9jYXRpb24+DQogICAgICAgICAgPExvY2F0aW9uPg0KICAgICAgICAgICAgPEFkZHJlc3M+MjIxOTE2MTc8L0FkZHJlc3M+DQogICAgICAgICAgICA8TG9jYXRpb25UeXBlPkVsZWN0cm9uaWNBZGRyZXNzPC9Mb2NhdGlvblR5cGU+DQogICAgICAgICAgPC9Mb2NhdGlvbj4NCiAgICAgICAgPC9Mb2NhdGlvbnM+DQogICAgICAgIDxOb3Rlcz5Kb3VybmFsIEFydGljbGUNClJlc2VhcmNoIFN1cHBvcnQsIE5vbi1VLlMuIEdvdid0DQpSZXNlYXJjaCBTdXBwb3J0LCBVLlMuIEdvdid0LCBOb24tUC5ILlMuPC9Ob3Rlcz4NCiAgICAgICAgPE51bWJlcj4yPC9OdW1iZXI+DQogICAgICAgIDxQYWdlUmFuZ2U+PCFbQ0RBVEFbPHNwPg0KICA8bj4xMDYzPC9uPg0KICA8aW4+dHJ1ZTwvaW4+DQogIDxvcz4xMDYzPC9vcz4NCiAgPHBzPjEwNjM8L3BzPg0KPC9zcD4NCjxlcD4NCiAgPG4+MTA3MDwvbj4NCiAgPGluPnRydWU8L2luPg0KICA8b3M+MTA3MDwvb3M+DQogIDxwcz4xMDcwPC9wcz4NCjwvZXA+DQo8b3M+MTA2M+KAkzEwNzA8L29zPl1dPjwvUGFnZVJhbmdlPg0KICAgICAgICA8RW5kUGFnZT4xMDcwPC9FbmRQYWdlPg0KICAgICAgICA8U3RhcnRQYWdlPjEwNjM8L1N0YXJ0UGFnZT4NCiAgICAgICAgPFBhZ2VDb3VudEM1PjwhW0NEQVRBWzxjPjU4PC9jPg0KPGluPnRydWU8L2luPg0KPG9zPjU4PC9vcz4NCjxwcz41ODwvcHM+XV0+PC9QYWdlQ291bnRDNT4NCiAgICAgICAgPFBhZ2VDb3VudD41ODwvUGFnZUNvdW50Pg0KICAgICAgICA8UGVyaW9kaWNhbD4NCiAgICAgICAgICA8SXNzbj4xNTIwLTU4NTE8L0lzc24+DQogICAgICAgICAgPE5hbWU+RW52aXJvbm1lbnRhbCBzY2llbmNlICZhbXA7IHRlY2hub2xvZ3k8L05hbWU+DQogICAgICAgICAgPFVzZXJBYmJyZXZpYXRpb24xPkVudmlyb24gU2NpIFRlY2hub2w8L1VzZXJBYmJyZXZpYXRpb24xPg0KICAgICAgICA8L1BlcmlvZGljYWw+DQogICAgICAgIDxQdWJNZWRJZD4yMjE5MTYxNzwvUHViTWVkSWQ+DQogICAgICAgIDxTZXF1ZW5jZU51bWJlcj43NTU8L1NlcXVlbmNlTnVtYmVyPg0KICAgICAgICA8U2hvcnRUaXRsZT5HcmFlZGVsLCBCYXJyIGV0IGFsLiAyMDEyIOKAkyBNZXRob2RvbG9neSBvZiBtZXRhbCBjcml0aWNhbGl0eSBkZXRlcm1pbmF0aW9uPC9TaG9ydFRpdGxlPg0KICAgICAgICA8U291cmNlT2ZCaWJsaW9ncmFwaGljSW5mb3JtYXRpb24+UHViTWVkPC9Tb3VyY2VPZkJpYmxpb2dyYXBoaWNJbmZvcm1hdGlvbj4NCiAgICAgICAgPFRpdGxlPk1ldGhvZG9sb2d5IG9mIG1ldGFsIGNyaXRpY2FsaXR5IGRldGVybWluYXRpb248L1RpdGxlPg0KICAgICAgICA8Vm9sdW1lPjQ2PC9Wb2x1bWU+DQogICAgICAgIDxZZWFyPjIwMTI8L1llYXI+DQogICAgICA8L1JlZmVyZW5jZT4NCiAgICA8L0VudHJ5Pg0KICA8L0VudHJpZXM+DQogIDxUZXh0PihCdWlqcyBldCBhbC4gMjAxMjsgR3JhZWRlbCBldCBhbC4gMjAxMjsgVGVyY2VybyBFc3Bpbm96YSAyMDEz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QnVpanMgZXQgYWwuIDIwMTI7IEdyYWVkZWwgZXQgYWwuIDIwMTI7IFRlcmNlcm8gRXNwaW5vemEgMjAxMyk8L1RleHQ+DQogICAgPC9UZXh0VW5pdD4NCiAgPC9UZXh0VW5pdHM+DQo8L1BsYWNlaG9sZGVyPg==</w:instrText>
      </w:r>
      <w:r w:rsidR="0092644D">
        <w:fldChar w:fldCharType="separate"/>
      </w:r>
      <w:bookmarkStart w:id="43" w:name="_CTVP001f6212633560b4d23a058c791425ebce3"/>
      <w:r w:rsidR="0092644D">
        <w:t>(Buijs et al. 2012; Graedel et al. 2012; Tercero Espinoza 2013)</w:t>
      </w:r>
      <w:bookmarkEnd w:id="43"/>
      <w:r w:rsidR="0092644D">
        <w:fldChar w:fldCharType="end"/>
      </w:r>
      <w:r w:rsidR="0092644D">
        <w:t xml:space="preserve">. </w:t>
      </w:r>
    </w:p>
    <w:p w14:paraId="118285BA" w14:textId="77777777" w:rsidR="00B0723D" w:rsidRDefault="00B0723D" w:rsidP="00863B14">
      <w:pPr>
        <w:spacing w:line="480" w:lineRule="auto"/>
      </w:pPr>
    </w:p>
    <w:p w14:paraId="30E4777B" w14:textId="5750E026" w:rsidR="00B0723D" w:rsidRDefault="00B0723D" w:rsidP="00863B14">
      <w:pPr>
        <w:keepNext/>
        <w:spacing w:line="480" w:lineRule="auto"/>
      </w:pPr>
      <w:r>
        <w:rPr>
          <w:noProof/>
          <w:lang w:val="de-DE" w:eastAsia="de-DE"/>
        </w:rPr>
        <w:drawing>
          <wp:inline distT="0" distB="0" distL="0" distR="0" wp14:anchorId="2C6C8F1A" wp14:editId="5BBA9523">
            <wp:extent cx="3552825" cy="347181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569580" cy="3488187"/>
                    </a:xfrm>
                    <a:prstGeom prst="rect">
                      <a:avLst/>
                    </a:prstGeom>
                    <a:noFill/>
                  </pic:spPr>
                </pic:pic>
              </a:graphicData>
            </a:graphic>
          </wp:inline>
        </w:drawing>
      </w:r>
    </w:p>
    <w:p w14:paraId="1EF8265D" w14:textId="090E455F" w:rsidR="00B0723D" w:rsidRDefault="00B0723D" w:rsidP="00461A6A">
      <w:pPr>
        <w:pStyle w:val="Caption"/>
        <w:spacing w:line="480" w:lineRule="auto"/>
      </w:pPr>
      <w:bookmarkStart w:id="44" w:name="_Ref409353492"/>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bookmarkEnd w:id="44"/>
      <w:r>
        <w:t xml:space="preserve"> Classical criticality assessment, combining a supply risk dimension and an importance/vulnerability dimension </w:t>
      </w:r>
      <w:r>
        <w:fldChar w:fldCharType="begin" w:fldLock="1"/>
      </w:r>
      <w:r w:rsidR="00D35F6A">
        <w:instrText>ADDIN CSL_CITATION {"citationItems":[{"id":"ITEM-1","itemData":{"ISBN":"9780309112826","author":[{"dropping-particle":"","family":"NRC","given":"","non-dropping-particle":"","parse-names":false,"suffix":""}],"id":"ITEM-1","issued":{"date-parts":[["2008"]]},"title":"Minerals, Critical Minerals, and the U.S. Economy","type":"book"},"uris":["http://www.mendeley.com/documents/?uuid=c497332d-bffb-4542-bab0-356058aaa020"]}],"mendeley":{"formattedCitation":"(NRC, 2008)","plainTextFormattedCitation":"(NRC, 2008)","previouslyFormattedCitation":"(NRC, 2008)"},"properties":{"noteIndex":0},"schema":"https://github.com/citation-style-language/schema/raw/master/csl-citation.json"}</w:instrText>
      </w:r>
      <w:r>
        <w:fldChar w:fldCharType="separate"/>
      </w:r>
      <w:r w:rsidR="002B45EF" w:rsidRPr="002B45EF">
        <w:rPr>
          <w:i w:val="0"/>
          <w:noProof/>
        </w:rPr>
        <w:t>(NRC, 2008)</w:t>
      </w:r>
      <w:r>
        <w:fldChar w:fldCharType="end"/>
      </w:r>
      <w:r w:rsidR="002B5168">
        <w:t>.</w:t>
      </w:r>
    </w:p>
    <w:p w14:paraId="12804885" w14:textId="6210E8C9" w:rsidR="00354FDE" w:rsidRPr="00CF3090" w:rsidRDefault="002E003A" w:rsidP="00461A6A">
      <w:pPr>
        <w:pStyle w:val="Heading4"/>
        <w:numPr>
          <w:ilvl w:val="2"/>
          <w:numId w:val="59"/>
        </w:numPr>
      </w:pPr>
      <w:r w:rsidRPr="00CF3090">
        <w:t xml:space="preserve"> </w:t>
      </w:r>
      <w:bookmarkStart w:id="45" w:name="_Toc10458663"/>
      <w:r w:rsidR="00354FDE" w:rsidRPr="00CF3090">
        <w:t>Indicator</w:t>
      </w:r>
      <w:r w:rsidR="00370868" w:rsidRPr="00CF3090">
        <w:t xml:space="preserve"> selection</w:t>
      </w:r>
      <w:bookmarkEnd w:id="45"/>
      <w:r w:rsidRPr="00CF3090">
        <w:t xml:space="preserve"> </w:t>
      </w:r>
    </w:p>
    <w:p w14:paraId="4FB08CB0" w14:textId="0166D265" w:rsidR="0006133F" w:rsidRDefault="004A75E4" w:rsidP="00863B14">
      <w:pPr>
        <w:spacing w:line="480" w:lineRule="auto"/>
        <w:jc w:val="both"/>
      </w:pPr>
      <w:r>
        <w:t>M</w:t>
      </w:r>
      <w:r w:rsidRPr="008C1012">
        <w:t xml:space="preserve">any </w:t>
      </w:r>
      <w:r>
        <w:t xml:space="preserve">of today’s criticality </w:t>
      </w:r>
      <w:r w:rsidR="00AD32DE">
        <w:t>methods</w:t>
      </w:r>
      <w:r w:rsidR="00AD32DE" w:rsidRPr="008C1012">
        <w:t xml:space="preserve"> </w:t>
      </w:r>
      <w:r w:rsidRPr="008C1012">
        <w:t xml:space="preserve">have </w:t>
      </w:r>
      <w:r>
        <w:t>emerged</w:t>
      </w:r>
      <w:r w:rsidRPr="008C1012">
        <w:t xml:space="preserve"> from the approach</w:t>
      </w:r>
      <w:r>
        <w:t xml:space="preserve"> developed by the </w:t>
      </w:r>
      <w:r w:rsidR="006B2D5C">
        <w:t xml:space="preserve">US </w:t>
      </w:r>
      <w:r>
        <w:t xml:space="preserve">National Research Council in 2008 </w:t>
      </w:r>
      <w:r>
        <w:fldChar w:fldCharType="begin" w:fldLock="1"/>
      </w:r>
      <w:r w:rsidR="00D35F6A">
        <w:instrText>ADDIN CSL_CITATION {"citationItems":[{"id":"ITEM-1","itemData":{"ISBN":"9780309112826","author":[{"dropping-particle":"","family":"NRC","given":"","non-dropping-particle":"","parse-names":false,"suffix":""}],"id":"ITEM-1","issued":{"date-parts":[["2008"]]},"title":"Minerals, Critical Minerals, and the U.S. Economy","type":"book"},"uris":["http://www.mendeley.com/documents/?uuid=c497332d-bffb-4542-bab0-356058aaa020"]}],"mendeley":{"formattedCitation":"(NRC, 2008)","plainTextFormattedCitation":"(NRC, 2008)","previouslyFormattedCitation":"(NRC, 2008)"},"properties":{"noteIndex":0},"schema":"https://github.com/citation-style-language/schema/raw/master/csl-citation.json"}</w:instrText>
      </w:r>
      <w:r>
        <w:fldChar w:fldCharType="separate"/>
      </w:r>
      <w:r w:rsidR="002B45EF" w:rsidRPr="002B45EF">
        <w:rPr>
          <w:noProof/>
        </w:rPr>
        <w:t>(NRC, 2008)</w:t>
      </w:r>
      <w:r>
        <w:fldChar w:fldCharType="end"/>
      </w:r>
      <w:r w:rsidRPr="008C1012">
        <w:t>, which was the very first systematic</w:t>
      </w:r>
      <w:r>
        <w:t xml:space="preserve"> </w:t>
      </w:r>
      <w:r w:rsidRPr="008C1012">
        <w:t xml:space="preserve">take on measuring criticality. </w:t>
      </w:r>
      <w:r>
        <w:t xml:space="preserve">As part of the NRC methodology, the criticality matrix was introduced containing axes for supply risk </w:t>
      </w:r>
      <w:r w:rsidR="00AF6D61">
        <w:t>(</w:t>
      </w:r>
      <w:r w:rsidR="00D800C3">
        <w:t>later often referred to as</w:t>
      </w:r>
      <w:r w:rsidR="00AF6D61">
        <w:t xml:space="preserve"> “probability</w:t>
      </w:r>
      <w:r w:rsidR="006149A0">
        <w:t>/likelihood</w:t>
      </w:r>
      <w:r w:rsidR="00AF6D61">
        <w:t xml:space="preserve"> of a supply disruption”</w:t>
      </w:r>
      <w:r w:rsidR="00D638EC">
        <w:t xml:space="preserve">) </w:t>
      </w:r>
      <w:r>
        <w:t>and impact of supply restriction (</w:t>
      </w:r>
      <w:r w:rsidR="00671589">
        <w:fldChar w:fldCharType="begin"/>
      </w:r>
      <w:r w:rsidR="00671589">
        <w:instrText xml:space="preserve"> REF _Ref409353492 \h </w:instrText>
      </w:r>
      <w:r w:rsidR="00863B14">
        <w:instrText xml:space="preserve"> \* MERGEFORMAT </w:instrText>
      </w:r>
      <w:r w:rsidR="00671589">
        <w:fldChar w:fldCharType="separate"/>
      </w:r>
      <w:r w:rsidR="009F2906">
        <w:t xml:space="preserve">Figure </w:t>
      </w:r>
      <w:r w:rsidR="009F2906">
        <w:rPr>
          <w:noProof/>
        </w:rPr>
        <w:t>3</w:t>
      </w:r>
      <w:r w:rsidR="00671589">
        <w:fldChar w:fldCharType="end"/>
      </w:r>
      <w:r>
        <w:t>)</w:t>
      </w:r>
      <w:r w:rsidR="00832F01">
        <w:t xml:space="preserve"> – also referred to as “vulnerability to </w:t>
      </w:r>
      <w:r w:rsidR="00AF6D61">
        <w:t>a supply disruption”</w:t>
      </w:r>
      <w:r>
        <w:t>.</w:t>
      </w:r>
      <w:r w:rsidR="00F1085A">
        <w:t xml:space="preserve"> </w:t>
      </w:r>
      <w:r w:rsidRPr="008C1012">
        <w:t>Starting from there, new approaches have developed, taking parts of established methods as well as adding new aspects.</w:t>
      </w:r>
      <w:r>
        <w:t xml:space="preserve"> Thus, there are certain similarities as well as significant differences between the </w:t>
      </w:r>
      <w:r>
        <w:lastRenderedPageBreak/>
        <w:t xml:space="preserve">approaches. </w:t>
      </w:r>
      <w:r w:rsidR="00D800C3">
        <w:t xml:space="preserve">This section </w:t>
      </w:r>
      <w:r w:rsidR="00EF367B">
        <w:t xml:space="preserve">discusses indicator selection for these </w:t>
      </w:r>
      <w:r w:rsidR="00090300">
        <w:t>two criticality</w:t>
      </w:r>
      <w:r w:rsidR="00EF367B">
        <w:t xml:space="preserve"> axes, i</w:t>
      </w:r>
      <w:r w:rsidR="0069638C">
        <w:t>llustrated by the examples of substitutability and environmental and social factors.</w:t>
      </w:r>
      <w:r w:rsidR="0006133F">
        <w:t xml:space="preserve"> </w:t>
      </w:r>
    </w:p>
    <w:p w14:paraId="757744F3" w14:textId="0F79D36C" w:rsidR="004A75E4" w:rsidRDefault="004A75E4" w:rsidP="00863B14">
      <w:pPr>
        <w:spacing w:line="480" w:lineRule="auto"/>
      </w:pPr>
    </w:p>
    <w:p w14:paraId="08333B64" w14:textId="460699D2" w:rsidR="00FB1035" w:rsidRDefault="00382BA2" w:rsidP="00461A6A">
      <w:pPr>
        <w:pStyle w:val="Heading5"/>
        <w:numPr>
          <w:ilvl w:val="3"/>
          <w:numId w:val="61"/>
        </w:numPr>
        <w:spacing w:line="480" w:lineRule="auto"/>
      </w:pPr>
      <w:r>
        <w:t>Supply disruption</w:t>
      </w:r>
    </w:p>
    <w:p w14:paraId="29215AB1" w14:textId="3E6CDA93" w:rsidR="00B442ED" w:rsidRPr="006B2D5C" w:rsidRDefault="00C677DF" w:rsidP="00863B14">
      <w:pPr>
        <w:spacing w:line="480" w:lineRule="auto"/>
        <w:jc w:val="both"/>
      </w:pPr>
      <w:r w:rsidRPr="00FF5084">
        <w:t xml:space="preserve">An overview of </w:t>
      </w:r>
      <w:r w:rsidR="00BC79FF" w:rsidRPr="00FF5084">
        <w:t xml:space="preserve">indicators </w:t>
      </w:r>
      <w:r w:rsidR="002D6F0E">
        <w:t xml:space="preserve">for the probability of </w:t>
      </w:r>
      <w:r w:rsidR="00584C33">
        <w:t xml:space="preserve">a </w:t>
      </w:r>
      <w:r w:rsidR="002D6F0E">
        <w:t xml:space="preserve">supply disruption </w:t>
      </w:r>
      <w:r w:rsidR="00BC79FF" w:rsidRPr="00FF5084">
        <w:t>that are used in different criticality methods with different scopes is provided in</w:t>
      </w:r>
      <w:r w:rsidR="00AA73CA" w:rsidRPr="00FF5084">
        <w:t xml:space="preserve"> </w:t>
      </w:r>
      <w:r w:rsidR="00CC0304">
        <w:fldChar w:fldCharType="begin"/>
      </w:r>
      <w:r w:rsidR="00CC0304">
        <w:instrText xml:space="preserve"> REF _Ref9507622 \h </w:instrText>
      </w:r>
      <w:r w:rsidR="00863B14">
        <w:instrText xml:space="preserve"> \* MERGEFORMAT </w:instrText>
      </w:r>
      <w:r w:rsidR="00CC0304">
        <w:fldChar w:fldCharType="separate"/>
      </w:r>
      <w:r w:rsidR="00CC0304">
        <w:t xml:space="preserve">Figure </w:t>
      </w:r>
      <w:r w:rsidR="00CC0304">
        <w:rPr>
          <w:noProof/>
        </w:rPr>
        <w:t>4</w:t>
      </w:r>
      <w:r w:rsidR="00CC0304">
        <w:fldChar w:fldCharType="end"/>
      </w:r>
      <w:r w:rsidR="00D7001E">
        <w:t xml:space="preserve"> and </w:t>
      </w:r>
      <w:r w:rsidR="009835C5">
        <w:t>Section S2</w:t>
      </w:r>
      <w:r w:rsidR="00D7001E">
        <w:t xml:space="preserve"> of SI-D</w:t>
      </w:r>
      <w:r w:rsidR="00BC79FF" w:rsidRPr="00FF5084">
        <w:t>.</w:t>
      </w:r>
      <w:r w:rsidR="00BC79FF">
        <w:t xml:space="preserve"> </w:t>
      </w:r>
      <w:r w:rsidR="00652051">
        <w:fldChar w:fldCharType="begin"/>
      </w:r>
      <w:r w:rsidR="00652051">
        <w:instrText xml:space="preserve"> REF _Ref9507622 \h </w:instrText>
      </w:r>
      <w:r w:rsidR="00863B14">
        <w:instrText xml:space="preserve"> \* MERGEFORMAT </w:instrText>
      </w:r>
      <w:r w:rsidR="00652051">
        <w:fldChar w:fldCharType="separate"/>
      </w:r>
      <w:r w:rsidR="00652051">
        <w:t xml:space="preserve">Figure </w:t>
      </w:r>
      <w:r w:rsidR="00652051">
        <w:rPr>
          <w:noProof/>
        </w:rPr>
        <w:t>4</w:t>
      </w:r>
      <w:r w:rsidR="00652051">
        <w:fldChar w:fldCharType="end"/>
      </w:r>
      <w:r w:rsidR="00652051">
        <w:t xml:space="preserve"> </w:t>
      </w:r>
      <w:r w:rsidR="00E94E63">
        <w:t>shows that t</w:t>
      </w:r>
      <w:r w:rsidR="00B442ED">
        <w:t xml:space="preserve">he most widely used indicator is the </w:t>
      </w:r>
      <w:r w:rsidR="000A71CE">
        <w:t xml:space="preserve">diversity </w:t>
      </w:r>
      <w:r w:rsidR="00B442ED">
        <w:t xml:space="preserve">of producing or supplying countries, measured by the Herfindahl-Hirschman-Index (HHI), </w:t>
      </w:r>
      <w:r w:rsidR="00DF64CA">
        <w:t xml:space="preserve">often </w:t>
      </w:r>
      <w:r w:rsidR="00B442ED">
        <w:t>in combination with the political stability of this country, measured by one or more sub-indicators of the Worldwide Governance Indicator</w:t>
      </w:r>
      <w:r w:rsidR="00DB7D1C">
        <w:t>s</w:t>
      </w:r>
      <w:r w:rsidR="00B442ED">
        <w:t xml:space="preserve"> (WGI) </w:t>
      </w:r>
      <w:r w:rsidR="00B442ED">
        <w:fldChar w:fldCharType="begin" w:fldLock="1"/>
      </w:r>
      <w:r w:rsidR="00D35F6A">
        <w:instrText>ADDIN CSL_CITATION {"citationItems":[{"id":"ITEM-1","itemData":{"DOI":"10.1016/j.resourpol.2013.06.003","ISBN":"0301-4207","ISSN":"03014207","abstract":"Some strategic raw materials do have an extremely unsecure supply situation. Several working groups around the world have made criticality assessments for metallic raw materials to analyze the driving impact factors for this instability. However, the influences on raw material availability are manifold and therefore criticality assessment methods are very heterogeneous. Here we give an overview about the differences and similarities of supply risk evaluation in 15 criticality assessment methods. We take the example of Indium, which has been rated in 60% of these criticality studies, and show which data base is used for supply risk evaluation. Our results show a lack of consensus about which indicators give reliable information for raw material supply risk and how these indicators should be aggregated. We anticipate our essay to be a starting point for more justified indicator selection and weighting in criticality assessments. © 2013 Elsevier Ltd.","author":[{"dropping-particle":"","family":"Achzet","given":"Benjamin","non-dropping-particle":"","parse-names":false,"suffix":""},{"dropping-particle":"","family":"Helbig","given":"Christoph","non-dropping-particle":"","parse-names":false,"suffix":""}],"container-title":"Resources Policy","id":"ITEM-1","issue":"4","issued":{"date-parts":[["2013"]]},"page":"435-447","publisher":"Elsevier","title":"How to evaluate raw material supply risks-an overview","type":"article-journal","volume":"38"},"uris":["http://www.mendeley.com/documents/?uuid=a1d30f5b-28e2-486a-b33f-561bd8cec6af"]},{"id":"ITEM-2","itemData":{"DOI":"10.1088/1361-6463/aa5b64","ISSN":"13616463","abstract":"The past decade has seen a resurgence of interest in the supply security of mineral raw materials. A key to the current debate is the concept of ‘criticality’. The present article reviews the criticality concept, as well as the methodologies used in its assessment, including a critical evaluation of their validity in view of classical risk theory. Furthermore, it discusses a number of risks present in global raw materials markets that are not captured by most criticality assessments. Proposed measures for the alleviation of these risks are also presented. We find that current assessments of raw material criticality are fundamentally flawed in several ways. This is mostly due to a lack of adherence to risk theory, and highly limits their applicability. Many of the raw materials generally identified as critical are probably not critical. Still, the flaws of current assessments do not mean that the general issue of supply security can simply be ignored. Rather, it implies that new assessments are required. While the basic theoretical framework for such assessments is outlined in this review, detailed method development will require a major collaborative effort between different disciplines along the raw materials value chain. In the opinion of the authors, the greatest longer-term challenge in the raw materials sector is to stop, or counteract the effects of, the escalation of unit energy costs of production. This issue is particularly pressing due to its close link with the renewable energy transition, requiring more metal and mineral raw materials per unit energy produced. The solution to this problem will require coordinated policy action, as well as the collaboration of scientists from many different fields—with physics, as well as the materials and earth sciences in the lead.","author":[{"dropping-particle":"","family":"Frenzel","given":"M.","non-dropping-particle":"","parse-names":false,"suffix":""},{"dropping-particle":"","family":"Kullik","given":"J.","non-dropping-particle":"","parse-names":false,"suffix":""},{"dropping-particle":"","family":"Reuter","given":"M. A.","non-dropping-particle":"","parse-names":false,"suffix":""},{"dropping-particle":"","family":"Gutzmer","given":"J.","non-dropping-particle":"","parse-names":false,"suffix":""}],"container-title":"Journal of Physics D: Applied Physics","id":"ITEM-2","issue":"12","issued":{"date-parts":[["2017"]]},"publisher":"IOP Publishing","title":"Raw material 'criticality' - Sense or nonsense?","type":"article-journal","volume":"50"},"uris":["http://www.mendeley.com/documents/?uuid=001fc538-2314-4451-94e6-17dfb8d125f3"]}],"mendeley":{"formattedCitation":"(Achzet and Helbig, 2013; Frenzel et al., 2017)","plainTextFormattedCitation":"(Achzet and Helbig, 2013; Frenzel et al., 2017)","previouslyFormattedCitation":"(Achzet and Helbig, 2013; Frenzel et al., 2017)"},"properties":{"noteIndex":0},"schema":"https://github.com/citation-style-language/schema/raw/master/csl-citation.json"}</w:instrText>
      </w:r>
      <w:r w:rsidR="00B442ED">
        <w:fldChar w:fldCharType="separate"/>
      </w:r>
      <w:r w:rsidR="002B45EF" w:rsidRPr="002B45EF">
        <w:rPr>
          <w:noProof/>
        </w:rPr>
        <w:t>(Achzet and Helbig, 2013; Frenzel et al., 2017)</w:t>
      </w:r>
      <w:r w:rsidR="00B442ED">
        <w:fldChar w:fldCharType="end"/>
      </w:r>
      <w:r w:rsidR="00B442ED">
        <w:t xml:space="preserve">. These indicators aim to capture the probability of </w:t>
      </w:r>
      <w:r w:rsidR="00584C33">
        <w:t xml:space="preserve">a </w:t>
      </w:r>
      <w:r w:rsidR="00B442ED">
        <w:t>supply disruption within current</w:t>
      </w:r>
      <w:r w:rsidR="00FB1AFA">
        <w:t xml:space="preserve"> or future</w:t>
      </w:r>
      <w:r w:rsidR="00B442ED">
        <w:t xml:space="preserve"> supply structures</w:t>
      </w:r>
      <w:r w:rsidR="00615338">
        <w:t xml:space="preserve">, either from the </w:t>
      </w:r>
      <w:r w:rsidR="00706C88">
        <w:t xml:space="preserve">perspective of global </w:t>
      </w:r>
      <w:r w:rsidR="00706C88" w:rsidRPr="006B2D5C">
        <w:t>supply or the country-specific import mix</w:t>
      </w:r>
      <w:r w:rsidR="00B442ED" w:rsidRPr="006B2D5C">
        <w:t>. Other frequently used indicators are depletion time</w:t>
      </w:r>
      <w:r w:rsidR="009D3E0E" w:rsidRPr="006B2D5C">
        <w:t>, recycling</w:t>
      </w:r>
      <w:r w:rsidR="006B2D5C">
        <w:t xml:space="preserve"> rates</w:t>
      </w:r>
      <w:r w:rsidR="009D3E0E" w:rsidRPr="006B2D5C">
        <w:t>, environmental and social regulations,</w:t>
      </w:r>
      <w:r w:rsidR="00B442ED" w:rsidRPr="006B2D5C">
        <w:t xml:space="preserve"> and by-product dependency. </w:t>
      </w:r>
    </w:p>
    <w:p w14:paraId="3ABD84E4" w14:textId="3B5F862A" w:rsidR="009C1E5C" w:rsidRPr="006B2D5C" w:rsidRDefault="009C1E5C" w:rsidP="00863B14">
      <w:pPr>
        <w:spacing w:line="480" w:lineRule="auto"/>
        <w:jc w:val="both"/>
      </w:pPr>
      <w:r w:rsidRPr="005362A3">
        <w:t xml:space="preserve">Some indicators </w:t>
      </w:r>
      <w:r w:rsidR="00E41DA4" w:rsidRPr="005362A3">
        <w:t>reflect</w:t>
      </w:r>
      <w:r w:rsidR="00F422C6" w:rsidRPr="005362A3">
        <w:t xml:space="preserve"> potential </w:t>
      </w:r>
      <w:r w:rsidR="003F1725" w:rsidRPr="005362A3">
        <w:t xml:space="preserve">supply disruptions </w:t>
      </w:r>
      <w:r w:rsidRPr="005362A3">
        <w:t xml:space="preserve">only for certain time </w:t>
      </w:r>
      <w:r w:rsidR="00AA0CB8" w:rsidRPr="005362A3">
        <w:t>horizons</w:t>
      </w:r>
      <w:r w:rsidRPr="005362A3">
        <w:t xml:space="preserve">. For example, it is unlikely that physical scarcity will limit the accessibility to any material in the </w:t>
      </w:r>
      <w:r w:rsidR="006B2D5C">
        <w:t>foreseeable future</w:t>
      </w:r>
      <w:r w:rsidRPr="006B2D5C">
        <w:t xml:space="preserve">, which is why depletion is not considered a relevant factor in </w:t>
      </w:r>
      <w:r w:rsidR="00E41DA4" w:rsidRPr="006B2D5C">
        <w:t>several</w:t>
      </w:r>
      <w:r w:rsidRPr="006B2D5C">
        <w:t xml:space="preserve"> criticality studies </w:t>
      </w:r>
      <w:r w:rsidRPr="006B2D5C">
        <w:rPr>
          <w:lang w:val="nl-NL"/>
        </w:rPr>
        <w:fldChar w:fldCharType="begin" w:fldLock="1"/>
      </w:r>
      <w:r w:rsidR="00584C33">
        <w:instrText>ADDIN CSL_CITATION {"citationItems":[{"id":"ITEM-1","itemData":{"DOI":"http://dx.doi.org/10.1787/5jrtknwm5hr5-en","ISBN":"91","abstract":"The purpose of this report is to perform for the first time an analysis of critical minerals for the OECD countries as a whole. In addition, this is done not only today, as previous reports have done, but also in 2030, in order to form an initial picture of how possible trends in economic development will affect which minerals are critical in the long-run future. The 51 different minerals are included in the analysis. Three measures of mineral supply risk are used: 1. substitutability, 2. recycling rates and 3. the concentration of production in countries that are judged by international datasets to be relatively politically unstable. Physical scarcity is not considered to be a source of supply risk, certainly in the short term. The analysis identifies around 12 to 20 minerals or minerals groups, which are critical in the OECD today. The results are highly mineral-specific, with some minerals requiring huge increases in substitutability and/or recycling from a low base, while others require only small improvements.","author":[{"dropping-particle":"","family":"Coulomb","given":"Renaud","non-dropping-particle":"","parse-names":false,"suffix":""},{"dropping-particle":"","family":"Dietz","given":"Simon","non-dropping-particle":"","parse-names":false,"suffix":""},{"dropping-particle":"","family":"Godunova","given":"Maria","non-dropping-particle":"","parse-names":false,"suffix":""},{"dropping-particle":"","family":"Nielsen","given":"Thomas Bligaard","non-dropping-particle":"","parse-names":false,"suffix":""}],"container-title":"OECD Environment Working Papers","id":"ITEM-1","issue":"91","issued":{"date-parts":[["2015"]]},"page":"0_1,3-5,8-49","title":"Critical Minerals Today and in 2030: AN ANALYSIS FOR OECD COUNTRIES","type":"article-journal"},"uris":["http://www.mendeley.com/documents/?uuid=54347e9d-13a9-42dc-81a3-2eaf4955e82a"]}],"mendeley":{"formattedCitation":"(Coulomb et al., 2015)","manualFormatting":"(e.g. Coulomb et al. (2015)","plainTextFormattedCitation":"(Coulomb et al., 2015)","previouslyFormattedCitation":"(Coulomb et al., 2015)"},"properties":{"noteIndex":0},"schema":"https://github.com/citation-style-language/schema/raw/master/csl-citation.json"}</w:instrText>
      </w:r>
      <w:r w:rsidRPr="006B2D5C">
        <w:rPr>
          <w:lang w:val="nl-NL"/>
        </w:rPr>
        <w:fldChar w:fldCharType="separate"/>
      </w:r>
      <w:r w:rsidR="002B45EF" w:rsidRPr="002B45EF">
        <w:rPr>
          <w:noProof/>
        </w:rPr>
        <w:t>(</w:t>
      </w:r>
      <w:r w:rsidR="00584C33">
        <w:rPr>
          <w:noProof/>
        </w:rPr>
        <w:t xml:space="preserve">e.g. </w:t>
      </w:r>
      <w:r w:rsidR="002B45EF" w:rsidRPr="002B45EF">
        <w:rPr>
          <w:noProof/>
        </w:rPr>
        <w:t xml:space="preserve">Coulomb et al. </w:t>
      </w:r>
      <w:r w:rsidR="00584C33">
        <w:rPr>
          <w:noProof/>
        </w:rPr>
        <w:t>(</w:t>
      </w:r>
      <w:r w:rsidR="002B45EF" w:rsidRPr="002B45EF">
        <w:rPr>
          <w:noProof/>
        </w:rPr>
        <w:t>2015)</w:t>
      </w:r>
      <w:r w:rsidRPr="006B2D5C">
        <w:fldChar w:fldCharType="end"/>
      </w:r>
      <w:r w:rsidR="00584C33">
        <w:t>)</w:t>
      </w:r>
      <w:r w:rsidRPr="006B2D5C">
        <w:t xml:space="preserve">. </w:t>
      </w:r>
      <w:r w:rsidR="001A7AEB">
        <w:t>In others, the indicators</w:t>
      </w:r>
      <w:r w:rsidR="009B52FC" w:rsidRPr="00741F80">
        <w:t xml:space="preserve"> depletion time </w:t>
      </w:r>
      <w:r w:rsidR="001A7AEB">
        <w:t xml:space="preserve">is </w:t>
      </w:r>
      <w:r w:rsidR="009B52FC" w:rsidRPr="00741F80">
        <w:t xml:space="preserve">calculated using different sub-indicators that represent different time horizons. For example, </w:t>
      </w:r>
      <w:r w:rsidR="008B004C" w:rsidRPr="00741F80">
        <w:t xml:space="preserve">the </w:t>
      </w:r>
      <w:r w:rsidR="009B52FC" w:rsidRPr="00741F80">
        <w:t xml:space="preserve">Yale </w:t>
      </w:r>
      <w:r w:rsidR="008B004C" w:rsidRPr="00741F80">
        <w:t>approach considers</w:t>
      </w:r>
      <w:r w:rsidR="009B52FC" w:rsidRPr="00741F80">
        <w:t xml:space="preserve"> depletion time based on reserves for the short/medium term and based on</w:t>
      </w:r>
      <w:r w:rsidR="00584C33">
        <w:t xml:space="preserve"> the</w:t>
      </w:r>
      <w:r w:rsidR="009B52FC" w:rsidRPr="00741F80">
        <w:t xml:space="preserve"> reserve base for the long term. </w:t>
      </w:r>
      <w:r w:rsidR="001A7AEB">
        <w:t>Also the indicator “</w:t>
      </w:r>
      <w:r w:rsidR="009B52FC" w:rsidRPr="00741F80">
        <w:t>Diversity of supply</w:t>
      </w:r>
      <w:r w:rsidR="001A7AEB">
        <w:t>”</w:t>
      </w:r>
      <w:r w:rsidR="009B52FC" w:rsidRPr="00741F80">
        <w:t xml:space="preserve"> </w:t>
      </w:r>
      <w:r w:rsidR="001A7AEB" w:rsidRPr="00741F80">
        <w:t>c</w:t>
      </w:r>
      <w:r w:rsidR="001A7AEB">
        <w:t>an</w:t>
      </w:r>
      <w:r w:rsidR="001A7AEB" w:rsidRPr="00741F80">
        <w:t xml:space="preserve"> </w:t>
      </w:r>
      <w:r w:rsidR="001A7AEB">
        <w:t xml:space="preserve">on one hand </w:t>
      </w:r>
      <w:r w:rsidR="009B52FC" w:rsidRPr="00741F80">
        <w:t xml:space="preserve">be based </w:t>
      </w:r>
      <w:r w:rsidR="00470B9B" w:rsidRPr="00741F80">
        <w:t xml:space="preserve">on current production or import structures, </w:t>
      </w:r>
      <w:r w:rsidR="001A7AEB">
        <w:t xml:space="preserve">and on the other </w:t>
      </w:r>
      <w:r w:rsidR="009B52FC" w:rsidRPr="00741F80">
        <w:t xml:space="preserve">on the geological distribution of the material, reflecting the flexibility to change supply routes either on the </w:t>
      </w:r>
      <w:r w:rsidR="00470B9B" w:rsidRPr="00741F80">
        <w:t>short/medium term or on the l</w:t>
      </w:r>
      <w:r w:rsidR="009B52FC" w:rsidRPr="00741F80">
        <w:t xml:space="preserve">ong term, respectively </w:t>
      </w:r>
      <w:r w:rsidR="009B52FC" w:rsidRPr="00741F80">
        <w:fldChar w:fldCharType="begin" w:fldLock="1"/>
      </w:r>
      <w:r w:rsidR="00D35F6A">
        <w:instrText>ADDIN CSL_CITATION {"citationItems":[{"id":"ITEM-1","itemData":{"DOI":"10.1016/j.apenergy.2014.01.052","ISBN":"0306-2619","ISSN":"03062619","abstract":"Decarbonisation of existing infrastructure systems requires a dynamic roll-out of technology at an unprecedented scale. The potential disruption in supply of critical materials could endanger such a transition to low-carbon infrastructure and, by extension, compromise energy security more broadly because low carbon technologies are reliant on these materials in a way that fossil-fuelled energy infrastructure is not. Criticality is currently defined as the combination of the potential for supply disruption and the exposure of a system of interest to that disruption. We build on this definition and develop a dynamic approach to quantifying criticality, which monitors the change in criticality during the transition towards a low-carbon infrastructure goal. This allows us to assess the relative risk of different technology pathways to reach a particular goal and reduce the probability of being 'locked in' to currently attractive but potentially future-critical technologies. To demonstrate, we apply our method to criticality of the proposed UK electricity system transition, with a focus on neodymium. We anticipate that the supply disruption potential of neodymium will decrease by almost 30% by 2050; however, our results show the criticality of low carbon electricity production increases ninefold over this period, as a result of increasing exposure to neodymium-reliant technologies. © 2014 The Authors.","author":[{"dropping-particle":"","family":"Roelich","given":"Katy","non-dropping-particle":"","parse-names":false,"suffix":""},{"dropping-particle":"","family":"Dawson","given":"David A.","non-dropping-particle":"","parse-names":false,"suffix":""},{"dropping-particle":"","family":"Purnell","given":"Phil","non-dropping-particle":"","parse-names":false,"suffix":""},{"dropping-particle":"","family":"Knoeri","given":"Christof","non-dropping-particle":"","parse-names":false,"suffix":""},{"dropping-particle":"","family":"Revell","given":"Ruairi","non-dropping-particle":"","parse-names":false,"suffix":""},{"dropping-particle":"","family":"Busch","given":"Jonathan","non-dropping-particle":"","parse-names":false,"suffix":""},{"dropping-particle":"","family":"Steinberger","given":"Julia K.","non-dropping-particle":"","parse-names":false,"suffix":""}],"container-title":"Applied Energy","id":"ITEM-1","issued":{"date-parts":[["2014"]]},"page":"378-386","publisher":"Elsevier Ltd","title":"Assessing the dynamic material criticality of infrastructure transitions: A case of low carbon electricity","type":"article-journal","volume":"123"},"uris":["http://www.mendeley.com/documents/?uuid=c244d464-8f84-4f37-a276-57ec3ad3537e"]}],"mendeley":{"formattedCitation":"(Roelich et al., 2014)","plainTextFormattedCitation":"(Roelich et al., 2014)","previouslyFormattedCitation":"(Roelich et al., 2014)"},"properties":{"noteIndex":0},"schema":"https://github.com/citation-style-language/schema/raw/master/csl-citation.json"}</w:instrText>
      </w:r>
      <w:r w:rsidR="009B52FC" w:rsidRPr="00741F80">
        <w:fldChar w:fldCharType="separate"/>
      </w:r>
      <w:r w:rsidR="002B45EF" w:rsidRPr="002B45EF">
        <w:rPr>
          <w:noProof/>
        </w:rPr>
        <w:t>(Roelich et al., 2014)</w:t>
      </w:r>
      <w:r w:rsidR="009B52FC" w:rsidRPr="00741F80">
        <w:fldChar w:fldCharType="end"/>
      </w:r>
      <w:r w:rsidR="009B52FC" w:rsidRPr="00741F80">
        <w:t>. Furthermore,</w:t>
      </w:r>
      <w:r w:rsidR="009B52FC" w:rsidRPr="006B2D5C">
        <w:t xml:space="preserve"> </w:t>
      </w:r>
      <w:r w:rsidRPr="006B2D5C">
        <w:t>it is not always clear in wh</w:t>
      </w:r>
      <w:r w:rsidR="00037C9F">
        <w:t>at</w:t>
      </w:r>
      <w:r w:rsidRPr="006B2D5C">
        <w:t xml:space="preserve"> time </w:t>
      </w:r>
      <w:r w:rsidR="007A23A5" w:rsidRPr="006B2D5C">
        <w:t>horizon</w:t>
      </w:r>
      <w:r w:rsidRPr="006B2D5C">
        <w:t xml:space="preserve"> </w:t>
      </w:r>
      <w:r w:rsidRPr="00461A6A">
        <w:rPr>
          <w:highlight w:val="yellow"/>
        </w:rPr>
        <w:t xml:space="preserve">supply or demand </w:t>
      </w:r>
      <w:r w:rsidR="006F6E73" w:rsidRPr="00461A6A">
        <w:rPr>
          <w:highlight w:val="yellow"/>
        </w:rPr>
        <w:lastRenderedPageBreak/>
        <w:t>changes</w:t>
      </w:r>
      <w:r w:rsidR="006F6E73" w:rsidRPr="006B2D5C">
        <w:t xml:space="preserve"> </w:t>
      </w:r>
      <w:r w:rsidRPr="006B2D5C">
        <w:t>are anticipated, which is</w:t>
      </w:r>
      <w:r w:rsidR="00037C9F">
        <w:t xml:space="preserve"> sometimes</w:t>
      </w:r>
      <w:r w:rsidRPr="006B2D5C">
        <w:t xml:space="preserve"> illustrated by</w:t>
      </w:r>
      <w:r w:rsidR="00D763C3">
        <w:t xml:space="preserve"> the</w:t>
      </w:r>
      <w:r w:rsidR="00037C9F">
        <w:t xml:space="preserve"> parallel</w:t>
      </w:r>
      <w:r w:rsidRPr="006B2D5C">
        <w:t xml:space="preserve"> inclusio</w:t>
      </w:r>
      <w:r w:rsidR="00037C9F">
        <w:t>n</w:t>
      </w:r>
      <w:r w:rsidRPr="006B2D5C">
        <w:t xml:space="preserve"> of indicators that are relevant </w:t>
      </w:r>
      <w:r w:rsidR="00037C9F">
        <w:t>i</w:t>
      </w:r>
      <w:r w:rsidRPr="006B2D5C">
        <w:t xml:space="preserve">n the short term (e.g. import shares, current production rates) as well as indicators that provide information about resource availability </w:t>
      </w:r>
      <w:r w:rsidR="00037C9F">
        <w:t>i</w:t>
      </w:r>
      <w:r w:rsidRPr="006B2D5C">
        <w:t>n the long term (e.g. reserve base</w:t>
      </w:r>
      <w:r w:rsidR="00356967">
        <w:t>,</w:t>
      </w:r>
      <w:r w:rsidRPr="006B2D5C">
        <w:t xml:space="preserve"> crustal content). Evaluation on an indicator level – i.e. without aggregation – would provide valuable information on, for example, in what time </w:t>
      </w:r>
      <w:r w:rsidR="007A23A5" w:rsidRPr="006B2D5C">
        <w:t>horizon</w:t>
      </w:r>
      <w:r w:rsidRPr="006B2D5C">
        <w:t xml:space="preserve"> a supply might be disrupted (e.g. as applied by</w:t>
      </w:r>
      <w:r w:rsidR="00BB28E5" w:rsidRPr="00BB28E5">
        <w:rPr>
          <w:rFonts w:ascii="Calibri" w:hAnsi="Calibri"/>
          <w:color w:val="000000"/>
          <w:sz w:val="16"/>
          <w:szCs w:val="16"/>
          <w:lang w:val="en-GB"/>
        </w:rPr>
        <w:t xml:space="preserve"> </w:t>
      </w:r>
      <w:proofErr w:type="spellStart"/>
      <w:r w:rsidR="00BB28E5" w:rsidRPr="00BB28E5">
        <w:rPr>
          <w:lang w:val="en-GB"/>
        </w:rPr>
        <w:t>Öko-</w:t>
      </w:r>
      <w:r w:rsidR="00497462">
        <w:rPr>
          <w:lang w:val="en-GB"/>
        </w:rPr>
        <w:t>I</w:t>
      </w:r>
      <w:r w:rsidR="00BB28E5" w:rsidRPr="00BB28E5">
        <w:rPr>
          <w:lang w:val="en-GB"/>
        </w:rPr>
        <w:t>nstitut</w:t>
      </w:r>
      <w:proofErr w:type="spellEnd"/>
      <w:r w:rsidR="00BB28E5" w:rsidRPr="00BB28E5">
        <w:rPr>
          <w:lang w:val="en-GB"/>
        </w:rPr>
        <w:t xml:space="preserve"> </w:t>
      </w:r>
      <w:r w:rsidR="00BB28E5">
        <w:rPr>
          <w:lang w:val="en-GB"/>
        </w:rPr>
        <w:fldChar w:fldCharType="begin" w:fldLock="1"/>
      </w:r>
      <w:r w:rsidR="00D35F6A">
        <w:rPr>
          <w:lang w:val="en-GB"/>
        </w:rPr>
        <w:instrText>ADDIN CSL_CITATION {"citationItems":[{"id":"ITEM-1","itemData":{"ISBN":"4444444444444","ISSN":"4444444444444","abstract":"The focus of this study lies on future sustainable technologies (FST), such as renewable energies and energy efficient technologies, which will make use of indium (In), germanium (Ge), tantalum (Ta), PGM [platinum group metals, such as ruthenium (Ru), platinum (Pt) and palladium (Pd)], tellurium (Te), cobalt (Co), lithium (Li), gallium (Ga) and RE (rare earths). These are also classified as ‘green minor metals’, which are the basis for cleaner technology innovation. Other interesting metals like titanium or magnesium (used for light weight applications) are not addressed by this study but should be also an issue for further UNEP investigations and activities in the future.","author":[{"dropping-particle":"","family":"Buchert","given":"Matthias","non-dropping-particle":"","parse-names":false,"suffix":""},{"dropping-particle":"","family":"Schüler","given":"Doris","non-dropping-particle":"","parse-names":false,"suffix":""},{"dropping-particle":"","family":"Bleher","given":"Daniel","non-dropping-particle":"","parse-names":false,"suffix":""}],"container-title":"UNEP","id":"ITEM-1","issued":{"date-parts":[["2009"]]},"number-of-pages":"107","title":"Critical Metals for Future Sustainable Technologies and their Recycling Potential","type":"report"},"uris":["http://www.mendeley.com/documents/?uuid=e2764928-ca62-4fff-a548-3d3232d089e9"]}],"mendeley":{"formattedCitation":"(Buchert et al., 2009)","plainTextFormattedCitation":"(Buchert et al., 2009)","previouslyFormattedCitation":"(Buchert et al., 2009)"},"properties":{"noteIndex":0},"schema":"https://github.com/citation-style-language/schema/raw/master/csl-citation.json"}</w:instrText>
      </w:r>
      <w:r w:rsidR="00BB28E5">
        <w:rPr>
          <w:lang w:val="en-GB"/>
        </w:rPr>
        <w:fldChar w:fldCharType="separate"/>
      </w:r>
      <w:r w:rsidR="002B45EF" w:rsidRPr="002B45EF">
        <w:rPr>
          <w:noProof/>
          <w:lang w:val="en-GB"/>
        </w:rPr>
        <w:t>(Buchert et al., 2009)</w:t>
      </w:r>
      <w:r w:rsidR="00BB28E5">
        <w:rPr>
          <w:lang w:val="en-GB"/>
        </w:rPr>
        <w:fldChar w:fldCharType="end"/>
      </w:r>
      <w:r w:rsidR="00BB28E5">
        <w:rPr>
          <w:lang w:val="en-GB"/>
        </w:rPr>
        <w:t>)</w:t>
      </w:r>
      <w:r w:rsidRPr="006B2D5C">
        <w:t>, or which risk mitigation options might be of interest for the specific material.</w:t>
      </w:r>
      <w:r w:rsidR="006A1DC4" w:rsidRPr="006B2D5C">
        <w:t xml:space="preserve"> </w:t>
      </w:r>
    </w:p>
    <w:p w14:paraId="2C7BBA44" w14:textId="5F7F930A" w:rsidR="00660113" w:rsidRPr="00741F80" w:rsidRDefault="00450431" w:rsidP="00863B14">
      <w:pPr>
        <w:spacing w:line="480" w:lineRule="auto"/>
        <w:jc w:val="both"/>
      </w:pPr>
      <w:r w:rsidRPr="00741F80">
        <w:t>It is noteworthy that</w:t>
      </w:r>
      <w:r w:rsidR="008C0FF0" w:rsidRPr="00741F80">
        <w:t>, despite the different scopes of the</w:t>
      </w:r>
      <w:r w:rsidR="006B2D5C">
        <w:t xml:space="preserve"> different</w:t>
      </w:r>
      <w:r w:rsidR="008C0FF0" w:rsidRPr="00741F80">
        <w:t xml:space="preserve"> stud</w:t>
      </w:r>
      <w:r w:rsidR="006B2D5C">
        <w:t>ies</w:t>
      </w:r>
      <w:r w:rsidR="008C0FF0" w:rsidRPr="00741F80">
        <w:t xml:space="preserve">, </w:t>
      </w:r>
      <w:r w:rsidR="006B2D5C">
        <w:t>frequently</w:t>
      </w:r>
      <w:r w:rsidR="005362A3">
        <w:t xml:space="preserve"> the</w:t>
      </w:r>
      <w:r w:rsidR="008C0FF0" w:rsidRPr="00741F80">
        <w:t xml:space="preserve"> same</w:t>
      </w:r>
      <w:r w:rsidR="005362A3">
        <w:t xml:space="preserve"> or similar</w:t>
      </w:r>
      <w:r w:rsidR="008C0FF0" w:rsidRPr="00741F80">
        <w:t xml:space="preserve"> indicators are selected</w:t>
      </w:r>
      <w:r w:rsidR="00E64C5D">
        <w:t xml:space="preserve"> for the evaluation of the probability of a supply disruption</w:t>
      </w:r>
      <w:r w:rsidR="008C0FF0" w:rsidRPr="00741F80">
        <w:t>.</w:t>
      </w:r>
      <w:r w:rsidR="00C1698D" w:rsidRPr="00741F80">
        <w:t xml:space="preserve"> </w:t>
      </w:r>
      <w:r w:rsidR="00652051">
        <w:fldChar w:fldCharType="begin"/>
      </w:r>
      <w:r w:rsidR="00652051">
        <w:instrText xml:space="preserve"> REF _Ref9507622 \h </w:instrText>
      </w:r>
      <w:r w:rsidR="006149A0">
        <w:instrText xml:space="preserve"> \* MERGEFORMAT </w:instrText>
      </w:r>
      <w:r w:rsidR="00652051">
        <w:fldChar w:fldCharType="separate"/>
      </w:r>
      <w:r w:rsidR="00652051">
        <w:t xml:space="preserve">Figure </w:t>
      </w:r>
      <w:r w:rsidR="00652051">
        <w:rPr>
          <w:noProof/>
        </w:rPr>
        <w:t>4</w:t>
      </w:r>
      <w:r w:rsidR="00652051">
        <w:fldChar w:fldCharType="end"/>
      </w:r>
      <w:r w:rsidR="00652051">
        <w:t xml:space="preserve"> </w:t>
      </w:r>
      <w:r w:rsidR="00C1698D" w:rsidRPr="00741F80">
        <w:t xml:space="preserve">shows that the indicators most </w:t>
      </w:r>
      <w:r w:rsidR="00037C9F">
        <w:t>frequently</w:t>
      </w:r>
      <w:r w:rsidR="00037C9F" w:rsidRPr="00741F80">
        <w:t xml:space="preserve"> </w:t>
      </w:r>
      <w:r w:rsidR="006B2D5C">
        <w:t>used</w:t>
      </w:r>
      <w:r w:rsidR="006B2D5C" w:rsidRPr="00741F80">
        <w:t xml:space="preserve"> </w:t>
      </w:r>
      <w:r w:rsidR="00C1698D" w:rsidRPr="00741F80">
        <w:t xml:space="preserve">in studies </w:t>
      </w:r>
      <w:r w:rsidR="00900E63" w:rsidRPr="00741F80">
        <w:t xml:space="preserve">focusing on a national economy are also often </w:t>
      </w:r>
      <w:r w:rsidR="006B2D5C">
        <w:t>chosen</w:t>
      </w:r>
      <w:r w:rsidR="006B2D5C" w:rsidRPr="00741F80">
        <w:t xml:space="preserve"> </w:t>
      </w:r>
      <w:r w:rsidR="00900E63" w:rsidRPr="00741F80">
        <w:t xml:space="preserve">in studies with a </w:t>
      </w:r>
      <w:r w:rsidR="00E773BB" w:rsidRPr="00741F80">
        <w:t xml:space="preserve">technology, </w:t>
      </w:r>
      <w:r w:rsidR="00900E63" w:rsidRPr="00741F80">
        <w:t>company</w:t>
      </w:r>
      <w:r w:rsidR="00E773BB" w:rsidRPr="00741F80">
        <w:t>,</w:t>
      </w:r>
      <w:r w:rsidR="00900E63" w:rsidRPr="00741F80">
        <w:t xml:space="preserve"> or product focus. </w:t>
      </w:r>
      <w:r w:rsidR="009244AC" w:rsidRPr="00741F80">
        <w:t xml:space="preserve">A few indicators are </w:t>
      </w:r>
      <w:r w:rsidR="00AC34D6" w:rsidRPr="00741F80">
        <w:t xml:space="preserve">indirectly reflected by other, more </w:t>
      </w:r>
      <w:r w:rsidR="006B2D5C">
        <w:t>frequently</w:t>
      </w:r>
      <w:r w:rsidR="006B2D5C" w:rsidRPr="00741F80">
        <w:t xml:space="preserve"> </w:t>
      </w:r>
      <w:r w:rsidR="00AC34D6" w:rsidRPr="00741F80">
        <w:t xml:space="preserve">used indicators (such as market price, price increase, or elasticity of supply </w:t>
      </w:r>
      <w:r w:rsidR="00DB091E" w:rsidRPr="00741F80">
        <w:t xml:space="preserve">that could be represented </w:t>
      </w:r>
      <w:r w:rsidR="00AC34D6" w:rsidRPr="00741F80">
        <w:t xml:space="preserve">by price volatility or by-product dependency). </w:t>
      </w:r>
      <w:r w:rsidR="004650EF" w:rsidRPr="00741F80">
        <w:t xml:space="preserve">Some indicators are </w:t>
      </w:r>
      <w:r w:rsidR="005362A3">
        <w:t xml:space="preserve">mainly </w:t>
      </w:r>
      <w:r w:rsidR="004650EF" w:rsidRPr="00741F80">
        <w:t xml:space="preserve">used by methods </w:t>
      </w:r>
      <w:r w:rsidR="005362A3">
        <w:t>which</w:t>
      </w:r>
      <w:r w:rsidR="005362A3" w:rsidRPr="00741F80">
        <w:t xml:space="preserve"> </w:t>
      </w:r>
      <w:r w:rsidR="004650EF" w:rsidRPr="00741F80">
        <w:t xml:space="preserve">aim to provide a holistic sustainability </w:t>
      </w:r>
      <w:r w:rsidR="00741F80" w:rsidRPr="00741F80">
        <w:t>approach,</w:t>
      </w:r>
      <w:r w:rsidR="00B91738" w:rsidRPr="00741F80">
        <w:t xml:space="preserve"> or </w:t>
      </w:r>
      <w:r w:rsidR="005362A3">
        <w:t>which</w:t>
      </w:r>
      <w:r w:rsidR="00B91738" w:rsidRPr="00741F80">
        <w:t xml:space="preserve"> </w:t>
      </w:r>
      <w:r w:rsidR="003273FB" w:rsidRPr="00741F80">
        <w:t xml:space="preserve">consider technical limitations, including environmental impacts, geological </w:t>
      </w:r>
      <w:r w:rsidR="00990C94" w:rsidRPr="00741F80">
        <w:t xml:space="preserve">properties, or natural disasters. </w:t>
      </w:r>
      <w:r w:rsidR="002A0C66" w:rsidRPr="00741F80">
        <w:t xml:space="preserve">Only a few studies </w:t>
      </w:r>
      <w:r w:rsidR="00BC6FF4" w:rsidRPr="00741F80">
        <w:t>include indicators that reflect potential bottlenecks in the supply chain downstream from the mining activity, such as restrictions regarding storage and transport</w:t>
      </w:r>
      <w:r w:rsidR="000917D2" w:rsidRPr="00741F80">
        <w:t xml:space="preserve"> and </w:t>
      </w:r>
      <w:r w:rsidR="00A46FF1" w:rsidRPr="00741F80">
        <w:t>material processing capacity</w:t>
      </w:r>
      <w:r w:rsidR="000917D2" w:rsidRPr="00741F80">
        <w:t xml:space="preserve">. </w:t>
      </w:r>
      <w:r w:rsidR="00FA2915" w:rsidRPr="00741F80">
        <w:t>Finally, a few</w:t>
      </w:r>
      <w:r w:rsidR="00444ED2" w:rsidRPr="00741F80">
        <w:t xml:space="preserve"> indicators refer to mitigation measures (e.g. stockpiling, exploration, </w:t>
      </w:r>
      <w:r w:rsidR="00DC5CF5" w:rsidRPr="00741F80">
        <w:t xml:space="preserve">or resource efficiency). </w:t>
      </w:r>
      <w:r w:rsidR="005116FD" w:rsidRPr="00741F80">
        <w:t xml:space="preserve">A key difference between methods seems </w:t>
      </w:r>
      <w:r w:rsidR="007E0831">
        <w:t xml:space="preserve">to be </w:t>
      </w:r>
      <w:r w:rsidR="005116FD" w:rsidRPr="00741F80">
        <w:t xml:space="preserve">the consideration of demand growth. </w:t>
      </w:r>
      <w:r w:rsidR="007E0831">
        <w:t>Not all the s</w:t>
      </w:r>
      <w:r w:rsidR="00652051">
        <w:t>t</w:t>
      </w:r>
      <w:r w:rsidR="005116FD" w:rsidRPr="00741F80">
        <w:t>udies focusing on a national economy</w:t>
      </w:r>
      <w:r w:rsidR="003E3C1F" w:rsidRPr="006B2D5C">
        <w:t xml:space="preserve"> </w:t>
      </w:r>
      <w:r w:rsidR="00652051">
        <w:t>consider demand growth, which is however</w:t>
      </w:r>
      <w:r w:rsidR="005116FD" w:rsidRPr="00741F80">
        <w:t xml:space="preserve"> more often</w:t>
      </w:r>
      <w:r w:rsidR="00652051">
        <w:t xml:space="preserve"> included</w:t>
      </w:r>
      <w:r w:rsidR="005116FD" w:rsidRPr="00741F80">
        <w:t xml:space="preserve"> in technology-oriented methods. This implies that the criticality of material use for an economy is </w:t>
      </w:r>
      <w:r w:rsidR="00652051">
        <w:t>often</w:t>
      </w:r>
      <w:r w:rsidR="005116FD" w:rsidRPr="00741F80">
        <w:t xml:space="preserve"> considered</w:t>
      </w:r>
      <w:r w:rsidR="007E0831">
        <w:t xml:space="preserve"> only in the context of the</w:t>
      </w:r>
      <w:r w:rsidR="005116FD" w:rsidRPr="00741F80">
        <w:t xml:space="preserve"> current economic </w:t>
      </w:r>
      <w:r w:rsidR="007E0831">
        <w:t>situation</w:t>
      </w:r>
      <w:r w:rsidR="005116FD" w:rsidRPr="00741F80">
        <w:t>, disregarding the future development of the economy.</w:t>
      </w:r>
      <w:r w:rsidR="00660113" w:rsidRPr="00741F80">
        <w:t xml:space="preserve"> Indicator selection is sometimes dependent on only a few </w:t>
      </w:r>
      <w:r w:rsidR="006A179C">
        <w:t>aspects</w:t>
      </w:r>
      <w:r w:rsidR="006A179C" w:rsidRPr="00741F80">
        <w:t xml:space="preserve"> </w:t>
      </w:r>
      <w:r w:rsidR="00660113" w:rsidRPr="00741F80">
        <w:t xml:space="preserve">of the goal and scope. For example, </w:t>
      </w:r>
      <w:r w:rsidR="00660113" w:rsidRPr="00741F80">
        <w:fldChar w:fldCharType="begin" w:fldLock="1"/>
      </w:r>
      <w:r w:rsidR="00D35F6A">
        <w:instrText>ADDIN CSL_CITATION {"citationItems":[{"id":"ITEM-1","itemData":{"DOI":"10.1016/j.jclepro.2017.12.162","ISSN":"09596526","abstract":"Since manufacturers are the main drivers in the selection of the materials used in their products, they have a special responsibility for investigating the accompanying sustainability aspects. The recently increased attention they pay to these issues is motivated not only by a sense of social responsibility, but also by pressure from customers and competitors. In particular, the three dimensions of sustainability – based on the triple bottom line of economic, environmental and social criteria – are of growing importance for sustainable supply chain management. Raw materials and their supply chains are often at the focus of attention, since manufacturers may need to diversify them for their products. Appropriate assessment models then become essential. Although raw material assessments and raw material-focused decision support schemes have recently been applied more often in the corporate context, several aspects such as indicator selection, weighting or social assessment are rarely considered. As a result, a comprehensive, sustainability-oriented raw material assessment and decision support scheme in the corporate context is not available in the scientific literature. In the design of such a scheme, four questions arise: First, how should a corporate-oriented raw material assessment model be structured? Second, how can all three sustainability dimensions be taken into account? Third, how can the application of raw material assessments in a corporate-oriented decision-making process increase the sustainability level of a company? And fourth, does a methodically structured raw material assessment model have advantages over existing models? To answer these questions, we have developed a model which takes into account state-of-the-art sustainability assessments as well as recent developments in the field of criticality analysis, life cycle impact assessment (LCIA) and social life cycle assessment (SLCA). With partners from both academia and industry we identify relevant quantitative indicators for structuring the assessment model and for calculating corresponding indicator weightings, using the analytic hierarchy process (AHP). To demonstrate the applicability of the assessment model for decision support and its benefits for companies in identifying potential hotspots in raw material supply chains, we present a case study that includes decision support for selecting capacitor technologies. A sensitivity analysis demonstrates the robustness of the assessment…","author":[{"dropping-particle":"","family":"Kolotzek","given":"Christoph","non-dropping-particle":"","parse-names":false,"suffix":""},{"dropping-particle":"","family":"Helbig","given":"Christoph","non-dropping-particle":"","parse-names":false,"suffix":""},{"dropping-particle":"","family":"Thorenz","given":"Andrea","non-dropping-particle":"","parse-names":false,"suffix":""},{"dropping-particle":"","family":"Reller","given":"Armin","non-dropping-particle":"","parse-names":false,"suffix":""},{"dropping-particle":"","family":"Tuma","given":"Axel","non-dropping-particle":"","parse-names":false,"suffix":""}],"container-title":"Journal of Cleaner Production","id":"ITEM-1","issued":{"date-parts":[["2018"]]},"page":"566-580","publisher":"Elsevier Ltd","title":"A company-oriented model for the assessment of raw material supply risks, environmental impact and social implications","type":"article-journal","volume":"176"},"uris":["http://www.mendeley.com/documents/?uuid=48f69ea7-179f-4f88-8016-7892a0fd9265"]}],"mendeley":{"formattedCitation":"(Kolotzek et al., 2018)","manualFormatting":"Kolotzek et al. (2018)","plainTextFormattedCitation":"(Kolotzek et al., 2018)","previouslyFormattedCitation":"(Kolotzek et al., 2018)"},"properties":{"noteIndex":0},"schema":"https://github.com/citation-style-language/schema/raw/master/csl-citation.json"}</w:instrText>
      </w:r>
      <w:r w:rsidR="00660113" w:rsidRPr="00741F80">
        <w:fldChar w:fldCharType="separate"/>
      </w:r>
      <w:r w:rsidR="00F147C6" w:rsidRPr="00741F80">
        <w:rPr>
          <w:noProof/>
        </w:rPr>
        <w:t xml:space="preserve">Kolotzek et al. </w:t>
      </w:r>
      <w:r w:rsidR="00652051">
        <w:rPr>
          <w:noProof/>
        </w:rPr>
        <w:t>(</w:t>
      </w:r>
      <w:r w:rsidR="00F147C6" w:rsidRPr="00741F80">
        <w:rPr>
          <w:noProof/>
        </w:rPr>
        <w:t>2018)</w:t>
      </w:r>
      <w:r w:rsidR="00660113" w:rsidRPr="00741F80">
        <w:fldChar w:fldCharType="end"/>
      </w:r>
      <w:r w:rsidR="00660113" w:rsidRPr="00741F80">
        <w:t xml:space="preserve"> select indicators based on their perceived relevance by company </w:t>
      </w:r>
      <w:r w:rsidR="00660113" w:rsidRPr="00741F80">
        <w:lastRenderedPageBreak/>
        <w:t xml:space="preserve">actors, established via a survey. Hence, indicator selection implicitly depends on the experience and anticipated risks of the individual stakeholders that filled in the survey. </w:t>
      </w:r>
    </w:p>
    <w:p w14:paraId="68DED837" w14:textId="5E7C08D5" w:rsidR="003F3BD4" w:rsidRPr="009C4C2F" w:rsidRDefault="001B0265" w:rsidP="00863B14">
      <w:pPr>
        <w:spacing w:line="480" w:lineRule="auto"/>
        <w:jc w:val="both"/>
      </w:pPr>
      <w:r w:rsidRPr="00741F80">
        <w:t>I</w:t>
      </w:r>
      <w:r w:rsidR="00C84D21" w:rsidRPr="00741F80">
        <w:t>t also</w:t>
      </w:r>
      <w:r w:rsidR="003F3BD4" w:rsidRPr="006B2D5C">
        <w:t xml:space="preserve"> happens that studies with a similar scope </w:t>
      </w:r>
      <w:r w:rsidR="005362A3">
        <w:t>use</w:t>
      </w:r>
      <w:r w:rsidR="003F3BD4" w:rsidRPr="006B2D5C">
        <w:t xml:space="preserve"> different indicators </w:t>
      </w:r>
      <w:r w:rsidR="003F3BD4" w:rsidRPr="006B2D5C">
        <w:fldChar w:fldCharType="begin" w:fldLock="1"/>
      </w:r>
      <w:r w:rsidR="00D35F6A">
        <w:instrText>ADDIN CSL_CITATION {"citationItems":[{"id":"ITEM-1","itemData":{"DOI":"10.1088/1361-6463/aa5b64","ISSN":"13616463","abstract":"The past decade has seen a resurgence of interest in the supply security of mineral raw materials. A key to the current debate is the concept of ‘criticality’. The present article reviews the criticality concept, as well as the methodologies used in its assessment, including a critical evaluation of their validity in view of classical risk theory. Furthermore, it discusses a number of risks present in global raw materials markets that are not captured by most criticality assessments. Proposed measures for the alleviation of these risks are also presented. We find that current assessments of raw material criticality are fundamentally flawed in several ways. This is mostly due to a lack of adherence to risk theory, and highly limits their applicability. Many of the raw materials generally identified as critical are probably not critical. Still, the flaws of current assessments do not mean that the general issue of supply security can simply be ignored. Rather, it implies that new assessments are required. While the basic theoretical framework for such assessments is outlined in this review, detailed method development will require a major collaborative effort between different disciplines along the raw materials value chain. In the opinion of the authors, the greatest longer-term challenge in the raw materials sector is to stop, or counteract the effects of, the escalation of unit energy costs of production. This issue is particularly pressing due to its close link with the renewable energy transition, requiring more metal and mineral raw materials per unit energy produced. The solution to this problem will require coordinated policy action, as well as the collaboration of scientists from many different fields—with physics, as well as the materials and earth sciences in the lead.","author":[{"dropping-particle":"","family":"Frenzel","given":"M.","non-dropping-particle":"","parse-names":false,"suffix":""},{"dropping-particle":"","family":"Kullik","given":"J.","non-dropping-particle":"","parse-names":false,"suffix":""},{"dropping-particle":"","family":"Reuter","given":"M. A.","non-dropping-particle":"","parse-names":false,"suffix":""},{"dropping-particle":"","family":"Gutzmer","given":"J.","non-dropping-particle":"","parse-names":false,"suffix":""}],"container-title":"Journal of Physics D: Applied Physics","id":"ITEM-1","issue":"12","issued":{"date-parts":[["2017"]]},"publisher":"IOP Publishing","title":"Raw material 'criticality' - Sense or nonsense?","type":"article-journal","volume":"50"},"uris":["http://www.mendeley.com/documents/?uuid=001fc538-2314-4451-94e6-17dfb8d125f3"]}],"mendeley":{"formattedCitation":"(Frenzel et al., 2017)","plainTextFormattedCitation":"(Frenzel et al., 2017)","previouslyFormattedCitation":"(Frenzel et al., 2017)"},"properties":{"noteIndex":0},"schema":"https://github.com/citation-style-language/schema/raw/master/csl-citation.json"}</w:instrText>
      </w:r>
      <w:r w:rsidR="003F3BD4" w:rsidRPr="006B2D5C">
        <w:fldChar w:fldCharType="separate"/>
      </w:r>
      <w:r w:rsidR="002B45EF" w:rsidRPr="002B45EF">
        <w:rPr>
          <w:noProof/>
        </w:rPr>
        <w:t>(Frenzel et al., 2017)</w:t>
      </w:r>
      <w:r w:rsidR="003F3BD4" w:rsidRPr="006B2D5C">
        <w:fldChar w:fldCharType="end"/>
      </w:r>
      <w:r w:rsidR="00037C9F">
        <w:t>, for example</w:t>
      </w:r>
      <w:r w:rsidR="003F3BD4" w:rsidRPr="006B2D5C">
        <w:t xml:space="preserve"> illustrated by the evolvement of the methods applied by the EC and BGS over the years</w:t>
      </w:r>
      <w:r w:rsidR="00E11432" w:rsidRPr="005362A3">
        <w:t xml:space="preserve">, which is further specified in </w:t>
      </w:r>
      <w:r w:rsidR="009835C5">
        <w:t xml:space="preserve">Section S2.2 in </w:t>
      </w:r>
      <w:r w:rsidR="00E11432" w:rsidRPr="005362A3">
        <w:t>SI</w:t>
      </w:r>
      <w:r w:rsidR="009835C5">
        <w:t>-D</w:t>
      </w:r>
      <w:r w:rsidR="003F3BD4" w:rsidRPr="00F36A81">
        <w:t>.</w:t>
      </w:r>
      <w:r w:rsidR="00CE3819" w:rsidRPr="00F36A81">
        <w:t xml:space="preserve"> This demonstrates that, over time, the relevance of indicators can be perceived differently, which can b</w:t>
      </w:r>
      <w:r w:rsidR="00CE3819" w:rsidRPr="00C6704F">
        <w:t>e influenced by discussions in the scientific arena on indicator selection, as well as by indicator choices of newly published studies with similar scopes.</w:t>
      </w:r>
      <w:r w:rsidR="00C701BB" w:rsidRPr="00C61349">
        <w:t xml:space="preserve"> </w:t>
      </w:r>
    </w:p>
    <w:p w14:paraId="057197E4" w14:textId="068CEE7C" w:rsidR="003B5F0F" w:rsidRDefault="009835C5" w:rsidP="00863B14">
      <w:pPr>
        <w:spacing w:line="480" w:lineRule="auto"/>
        <w:jc w:val="both"/>
      </w:pPr>
      <w:r>
        <w:t>N</w:t>
      </w:r>
      <w:r w:rsidRPr="00741F80">
        <w:t>either dissipation nor rebound effects have been considered as potential risk indicators. This could be due to the difficulty of quantifying such effects, or, regarding rebound effects, due to the delay of occurrence: they are often an unforeseen, unintended, but relevant side effect after the implementation of an innovative functional material or process.</w:t>
      </w:r>
      <w:r w:rsidRPr="006B2D5C">
        <w:t xml:space="preserve"> </w:t>
      </w:r>
      <w:r w:rsidR="000D0C1D" w:rsidRPr="006B2D5C">
        <w:fldChar w:fldCharType="begin" w:fldLock="1"/>
      </w:r>
      <w:r w:rsidR="00D35F6A">
        <w:instrText>ADDIN CSL_CITATION {"citationItems":[{"id":"ITEM-1","itemData":{"DOI":"10.1088/1361-6463/aa5b64","ISSN":"13616463","abstract":"The past decade has seen a resurgence of interest in the supply security of mineral raw materials. A key to the current debate is the concept of ‘criticality’. The present article reviews the criticality concept, as well as the methodologies used in its assessment, including a critical evaluation of their validity in view of classical risk theory. Furthermore, it discusses a number of risks present in global raw materials markets that are not captured by most criticality assessments. Proposed measures for the alleviation of these risks are also presented. We find that current assessments of raw material criticality are fundamentally flawed in several ways. This is mostly due to a lack of adherence to risk theory, and highly limits their applicability. Many of the raw materials generally identified as critical are probably not critical. Still, the flaws of current assessments do not mean that the general issue of supply security can simply be ignored. Rather, it implies that new assessments are required. While the basic theoretical framework for such assessments is outlined in this review, detailed method development will require a major collaborative effort between different disciplines along the raw materials value chain. In the opinion of the authors, the greatest longer-term challenge in the raw materials sector is to stop, or counteract the effects of, the escalation of unit energy costs of production. This issue is particularly pressing due to its close link with the renewable energy transition, requiring more metal and mineral raw materials per unit energy produced. The solution to this problem will require coordinated policy action, as well as the collaboration of scientists from many different fields—with physics, as well as the materials and earth sciences in the lead.","author":[{"dropping-particle":"","family":"Frenzel","given":"M.","non-dropping-particle":"","parse-names":false,"suffix":""},{"dropping-particle":"","family":"Kullik","given":"J.","non-dropping-particle":"","parse-names":false,"suffix":""},{"dropping-particle":"","family":"Reuter","given":"M. A.","non-dropping-particle":"","parse-names":false,"suffix":""},{"dropping-particle":"","family":"Gutzmer","given":"J.","non-dropping-particle":"","parse-names":false,"suffix":""}],"container-title":"Journal of Physics D: Applied Physics","id":"ITEM-1","issue":"12","issued":{"date-parts":[["2017"]]},"publisher":"IOP Publishing","title":"Raw material 'criticality' - Sense or nonsense?","type":"article-journal","volume":"50"},"uris":["http://www.mendeley.com/documents/?uuid=001fc538-2314-4451-94e6-17dfb8d125f3"]}],"mendeley":{"formattedCitation":"(Frenzel et al., 2017)","manualFormatting":"Frenzel et al. (2017)","plainTextFormattedCitation":"(Frenzel et al., 2017)","previouslyFormattedCitation":"(Frenzel et al., 2017)"},"properties":{"noteIndex":0},"schema":"https://github.com/citation-style-language/schema/raw/master/csl-citation.json"}</w:instrText>
      </w:r>
      <w:r w:rsidR="000D0C1D" w:rsidRPr="006B2D5C">
        <w:fldChar w:fldCharType="separate"/>
      </w:r>
      <w:r w:rsidR="00F147C6" w:rsidRPr="006B2D5C">
        <w:rPr>
          <w:noProof/>
        </w:rPr>
        <w:t xml:space="preserve">Frenzel et al. </w:t>
      </w:r>
      <w:r w:rsidR="00E64C5D">
        <w:rPr>
          <w:noProof/>
        </w:rPr>
        <w:t>(</w:t>
      </w:r>
      <w:r w:rsidR="00F147C6" w:rsidRPr="006B2D5C">
        <w:rPr>
          <w:noProof/>
        </w:rPr>
        <w:t>2017)</w:t>
      </w:r>
      <w:r w:rsidR="000D0C1D" w:rsidRPr="006B2D5C">
        <w:fldChar w:fldCharType="end"/>
      </w:r>
      <w:r w:rsidR="000D0C1D" w:rsidRPr="006B2D5C">
        <w:t xml:space="preserve"> state that, in many studies, the choice of indicators is </w:t>
      </w:r>
      <w:r w:rsidR="005362A3" w:rsidRPr="006B2D5C">
        <w:t xml:space="preserve">rather </w:t>
      </w:r>
      <w:r w:rsidR="005362A3">
        <w:t xml:space="preserve">dependent </w:t>
      </w:r>
      <w:r w:rsidR="005362A3" w:rsidRPr="006B2D5C">
        <w:t xml:space="preserve">on subjective opinions (or a “gut feeling” </w:t>
      </w:r>
      <w:r w:rsidR="005362A3">
        <w:t>of the method authors) than</w:t>
      </w:r>
      <w:r w:rsidR="000D0C1D" w:rsidRPr="006B2D5C">
        <w:t xml:space="preserve"> on empirical evidence</w:t>
      </w:r>
      <w:r w:rsidR="005362A3">
        <w:t>.</w:t>
      </w:r>
      <w:r w:rsidR="001C2663" w:rsidRPr="00741F80">
        <w:t xml:space="preserve"> </w:t>
      </w:r>
      <w:r w:rsidR="006A179C">
        <w:t>Also</w:t>
      </w:r>
      <w:r w:rsidR="005362A3">
        <w:t xml:space="preserve"> </w:t>
      </w:r>
      <w:r w:rsidR="000D0C1D" w:rsidRPr="006B2D5C">
        <w:fldChar w:fldCharType="begin" w:fldLock="1"/>
      </w:r>
      <w:r w:rsidR="00D35F6A">
        <w:instrText>ADDIN CSL_CITATION {"citationItems":[{"id":"ITEM-1","itemData":{"DOI":"10.1021/es200563g","ISBN":"0013-936X","ISSN":"0013936X","PMID":"21834560","abstract":"The criticality of nonfuel minerals is an emerging research subject that captures both the supply risks and the vulnerability of a system to a potential supply disruption. The significance of material criticality for the mass deployment of sustainable and other key technologies is currently obscured by diverse, often immature, and still evolving methodologies. This review explores why principal studies agree or disagree in designating the criticality of certain nonfuel minerals. We survey the literature and analyze several well documented studies in depth, demonstrating that the platinum group metals (e.g., essential for catalytic reduction of air pollutants), and the rare earth elements (e.g., essential for efficient electricity generation in wind turbines) are frequently singled out as critical, albeit by differing criteria. We also discuss the impacts of methodological choices on the designation of raw materials as critical. The treatment of substitutability, time horizons, and the aggregation level of criticality indicators are shown to be significant in this regard. We determine several important issues that have thus far been largely disregarded, especially the justification of methodological components, and policy responses to criticality designation.","author":[{"dropping-particle":"","family":"Erdmann","given":"Lorenz","non-dropping-particle":"","parse-names":false,"suffix":""},{"dropping-particle":"","family":"Graedel","given":"Thomas E.","non-dropping-particle":"","parse-names":false,"suffix":""}],"container-title":"Environmental Science and Technology","id":"ITEM-1","issue":"18","issued":{"date-parts":[["2011"]]},"page":"7620-7630","title":"Criticality of non-fuel minerals: A review of major approaches and analyses","type":"article-journal","volume":"45"},"uris":["http://www.mendeley.com/documents/?uuid=ea49267d-627e-45b6-b5e1-18597454bf2d"]}],"mendeley":{"formattedCitation":"(Erdmann and Graedel, 2011)","manualFormatting":"Erdmann and Graedel (2011)","plainTextFormattedCitation":"(Erdmann and Graedel, 2011)","previouslyFormattedCitation":"(Erdmann and Graedel, 2011)"},"properties":{"noteIndex":0},"schema":"https://github.com/citation-style-language/schema/raw/master/csl-citation.json"}</w:instrText>
      </w:r>
      <w:r w:rsidR="000D0C1D" w:rsidRPr="006B2D5C">
        <w:fldChar w:fldCharType="separate"/>
      </w:r>
      <w:r w:rsidR="00F147C6" w:rsidRPr="006B2D5C">
        <w:rPr>
          <w:noProof/>
        </w:rPr>
        <w:t xml:space="preserve">Erdmann and Graedel </w:t>
      </w:r>
      <w:r w:rsidR="00741F80">
        <w:rPr>
          <w:noProof/>
        </w:rPr>
        <w:t>(</w:t>
      </w:r>
      <w:r w:rsidR="00F147C6" w:rsidRPr="006B2D5C">
        <w:rPr>
          <w:noProof/>
        </w:rPr>
        <w:t>2011)</w:t>
      </w:r>
      <w:r w:rsidR="000D0C1D" w:rsidRPr="006B2D5C">
        <w:fldChar w:fldCharType="end"/>
      </w:r>
      <w:r w:rsidR="000D0C1D" w:rsidRPr="006B2D5C">
        <w:t xml:space="preserve"> mention the lack</w:t>
      </w:r>
      <w:r w:rsidR="007E0831">
        <w:t xml:space="preserve"> of</w:t>
      </w:r>
      <w:r w:rsidR="000D0C1D" w:rsidRPr="006B2D5C">
        <w:t xml:space="preserve"> description of the foreseen dynamics of supply disruptions, adaptation measu</w:t>
      </w:r>
      <w:r w:rsidR="000D0C1D" w:rsidRPr="005362A3">
        <w:t xml:space="preserve">res, and impacts. </w:t>
      </w:r>
      <w:r w:rsidR="00AA5275" w:rsidRPr="005362A3">
        <w:t xml:space="preserve">This could partly explain the </w:t>
      </w:r>
      <w:r w:rsidR="002575DF" w:rsidRPr="005362A3">
        <w:t xml:space="preserve">weak link between the anticipated risk and the selected indicators. </w:t>
      </w:r>
      <w:r w:rsidR="006A179C" w:rsidRPr="00741F80">
        <w:t xml:space="preserve">For example, the risk factors that were suggested by BGS are not </w:t>
      </w:r>
      <w:r w:rsidR="006A179C">
        <w:t>fully</w:t>
      </w:r>
      <w:r w:rsidR="006A179C" w:rsidRPr="00741F80">
        <w:t xml:space="preserve"> reflected in the final set of indicators. </w:t>
      </w:r>
      <w:r w:rsidR="006A179C">
        <w:t>Furthermore</w:t>
      </w:r>
      <w:r w:rsidR="00741F80" w:rsidRPr="00741F80">
        <w:t>, while political stability is considered as an indicator of supply risk in many studies, the possibility of active trade policy is less often included</w:t>
      </w:r>
      <w:r w:rsidR="00741F80">
        <w:t xml:space="preserve"> – although </w:t>
      </w:r>
      <w:r w:rsidR="00741F80" w:rsidRPr="00741F80">
        <w:t xml:space="preserve">China’s industrial policy on rare earth production in the late 2000’s and early 2010’s is considered to be an important factor in the rare earth supply crisis during that period </w:t>
      </w:r>
      <w:r w:rsidR="00252E3F" w:rsidRPr="00741F80">
        <w:fldChar w:fldCharType="begin" w:fldLock="1"/>
      </w:r>
      <w:r w:rsidR="00D35F6A">
        <w:instrText>ADDIN CSL_CITATION {"citationItems":[{"id":"ITEM-1","itemData":{"DOI":"10.1016/j.resourpol.2013.05.005","ISSN":"03014207","abstract":"After top producer China decided in 2010 to tighten its export quotas for rare earth elements (REE), major customers feared being cut off from the valuable metals. The trade dispute intensified when the EU, the USA, and Japan brought the case before the WTO. The export controls raise questions about China's intentions and strategies. This article argues that China's export policy should not be viewed in isolation. The export controls are embedded in a greater transformation of the strategic REE industry. Beijing promotes a broad set of policies, including industry reorganization, resource conservation, and environmental protection. Next, the article examines three narratives that may be constitutive of the Chinese policy. Findings indicate that the geopolitical narrative, which sees natural resources as instruments of power politics, can be only partly attributed to China's REE policies. The major driving motives are domestic concerns for resource conservation and environmental protection, as well as the development of competitive downstream industries. © 2013 Elsevier Ltd.","author":[{"dropping-particle":"","family":"Wübbeke","given":"Jost","non-dropping-particle":"","parse-names":false,"suffix":""}],"container-title":"Resources Policy","id":"ITEM-1","issue":"3","issued":{"date-parts":[["2013"]]},"page":"384-394","publisher":"Elsevier","title":"Rare earth elements in China: Policies and narratives of reinventing an industry","type":"article-journal","volume":"38"},"uris":["http://www.mendeley.com/documents/?uuid=e940ca08-affb-4c01-8983-61aa7634e4bc"]}],"mendeley":{"formattedCitation":"(Wübbeke, 2013)","plainTextFormattedCitation":"(Wübbeke, 2013)","previouslyFormattedCitation":"(Wübbeke, 2013)"},"properties":{"noteIndex":0},"schema":"https://github.com/citation-style-language/schema/raw/master/csl-citation.json"}</w:instrText>
      </w:r>
      <w:r w:rsidR="00252E3F" w:rsidRPr="00741F80">
        <w:fldChar w:fldCharType="separate"/>
      </w:r>
      <w:r w:rsidR="002B45EF" w:rsidRPr="002B45EF">
        <w:rPr>
          <w:noProof/>
        </w:rPr>
        <w:t>(Wübbeke, 2013)</w:t>
      </w:r>
      <w:r w:rsidR="00252E3F" w:rsidRPr="00741F80">
        <w:fldChar w:fldCharType="end"/>
      </w:r>
      <w:r w:rsidR="00252E3F" w:rsidRPr="006B2D5C">
        <w:t xml:space="preserve">. </w:t>
      </w:r>
      <w:r w:rsidR="00AA7010" w:rsidRPr="005362A3">
        <w:t xml:space="preserve">A potential </w:t>
      </w:r>
      <w:r w:rsidR="00713618" w:rsidRPr="005362A3">
        <w:t>solution</w:t>
      </w:r>
      <w:r w:rsidR="00597E18" w:rsidRPr="005362A3">
        <w:t xml:space="preserve"> to establish this link is </w:t>
      </w:r>
      <w:r w:rsidR="00F823E5" w:rsidRPr="005362A3">
        <w:t>by the description of</w:t>
      </w:r>
      <w:r w:rsidR="00597E18" w:rsidRPr="005362A3">
        <w:t xml:space="preserve"> cause-and-effect </w:t>
      </w:r>
      <w:r w:rsidR="00F823E5" w:rsidRPr="005362A3">
        <w:t>mechanisms</w:t>
      </w:r>
      <w:r w:rsidR="00C9660A" w:rsidRPr="005362A3">
        <w:t xml:space="preserve"> </w:t>
      </w:r>
      <w:r w:rsidR="00F823E5" w:rsidRPr="005362A3">
        <w:t xml:space="preserve">– such as </w:t>
      </w:r>
      <w:r w:rsidR="00412593" w:rsidRPr="005362A3">
        <w:t xml:space="preserve">commonly </w:t>
      </w:r>
      <w:r w:rsidR="001A025C" w:rsidRPr="005362A3">
        <w:t xml:space="preserve">used in environmental Life Cycle Impact Assessment </w:t>
      </w:r>
      <w:r w:rsidR="001A025C" w:rsidRPr="006B2D5C">
        <w:fldChar w:fldCharType="begin" w:fldLock="1"/>
      </w:r>
      <w:r w:rsidR="00D35F6A">
        <w:instrText>ADDIN CSL_CITATION {"citationItems":[{"id":"ITEM-1","itemData":{"author":[{"dropping-particle":"","family":"Frischknecht","given":"Rolf","non-dropping-particle":"","parse-names":false,"suffix":""},{"dropping-particle":"","family":"Jolliet","given":"Olivier","non-dropping-particle":"","parse-names":false,"suffix":""}],"id":"ITEM-1","issued":{"date-parts":[["2016"]]},"publisher-place":"Paris, France","title":"Global Guidance for Life Cycle Impact Assessment Indicators Volume 1","type":"report"},"uris":["http://www.mendeley.com/documents/?uuid=57399b98-caab-42a6-89c9-a9d15874de05"]}],"mendeley":{"formattedCitation":"(Frischknecht and Jolliet, 2016)","plainTextFormattedCitation":"(Frischknecht and Jolliet, 2016)","previouslyFormattedCitation":"(Frischknecht and Jolliet, 2016)"},"properties":{"noteIndex":0},"schema":"https://github.com/citation-style-language/schema/raw/master/csl-citation.json"}</w:instrText>
      </w:r>
      <w:r w:rsidR="001A025C" w:rsidRPr="006B2D5C">
        <w:fldChar w:fldCharType="separate"/>
      </w:r>
      <w:r w:rsidR="002B45EF" w:rsidRPr="002B45EF">
        <w:rPr>
          <w:noProof/>
        </w:rPr>
        <w:t>(Frischknecht and Jolliet, 2016)</w:t>
      </w:r>
      <w:r w:rsidR="001A025C" w:rsidRPr="006B2D5C">
        <w:fldChar w:fldCharType="end"/>
      </w:r>
      <w:r w:rsidR="00945614" w:rsidRPr="006B2D5C">
        <w:t xml:space="preserve"> </w:t>
      </w:r>
      <w:r w:rsidR="001A025C" w:rsidRPr="006B2D5C">
        <w:t xml:space="preserve">and demonstrated for </w:t>
      </w:r>
      <w:r w:rsidR="00C24F55" w:rsidRPr="006B2D5C">
        <w:t>criticality</w:t>
      </w:r>
      <w:r w:rsidR="001A025C" w:rsidRPr="006B2D5C">
        <w:t xml:space="preserve"> methods </w:t>
      </w:r>
      <w:r w:rsidR="003D777D" w:rsidRPr="005362A3">
        <w:t>by</w:t>
      </w:r>
      <w:r w:rsidR="00086132">
        <w:t xml:space="preserve"> </w:t>
      </w:r>
      <w:r w:rsidR="00086132">
        <w:fldChar w:fldCharType="begin" w:fldLock="1"/>
      </w:r>
      <w:r w:rsidR="00D35F6A">
        <w:instrText>ADDIN CSL_CITATION {"citationItems":[{"id":"ITEM-1","itemData":{"DOI":"10.1111/jiec.12865","author":[{"dropping-particle":"","family":"Cimprich","given":"Alexander","non-dropping-particle":"","parse-names":false,"suffix":""},{"dropping-particle":"","family":"Bach","given":"Vanessa","non-dropping-particle":"","parse-names":false,"suffix":""},{"dropping-particle":"","family":"Helbig","given":"Christoph","non-dropping-particle":"","parse-names":false,"suffix":""},{"dropping-particle":"","family":"Thorenz","given":"Andrea","non-dropping-particle":"","parse-names":false,"suffix":""},{"dropping-particle":"","family":"Schrijvers","given":"Dieuwertje","non-dropping-particle":"","parse-names":false,"suffix":""},{"dropping-particle":"","family":"Sonnemann","given":"Guido","non-dropping-particle":"","parse-names":false,"suffix":""},{"dropping-particle":"","family":"Young","given":"Steven","non-dropping-particle":"","parse-names":false,"suffix":""},{"dropping-particle":"","family":"Sonderegger","given":"Thomas","non-dropping-particle":"","parse-names":false,"suffix":""},{"dropping-particle":"","family":"Berger","given":"Markus","non-dropping-particle":"","parse-names":false,"suffix":""}],"container-title":"Journal of Industrial Ecology","id":"ITEM-1","issue":"accepted","issued":{"date-parts":[["2019"]]},"page":"1-11","title":"Resource criticality assessment as a complement to environmental life cycle assessment: examining methods for product-level supply risk assessment","type":"article-journal"},"uris":["http://www.mendeley.com/documents/?uuid=4f048bac-d0fe-418b-b09e-11b537f0d39a"]}],"mendeley":{"formattedCitation":"(Cimprich et al., 2019)","manualFormatting":"Cimprich et al. (2019)","plainTextFormattedCitation":"(Cimprich et al., 2019)","previouslyFormattedCitation":"(Cimprich et al., 2019)"},"properties":{"noteIndex":0},"schema":"https://github.com/citation-style-language/schema/raw/master/csl-citation.json"}</w:instrText>
      </w:r>
      <w:r w:rsidR="00086132">
        <w:fldChar w:fldCharType="separate"/>
      </w:r>
      <w:r w:rsidR="00086132" w:rsidRPr="00086132">
        <w:rPr>
          <w:noProof/>
        </w:rPr>
        <w:t xml:space="preserve">Cimprich et al. </w:t>
      </w:r>
      <w:r w:rsidR="00086132">
        <w:rPr>
          <w:noProof/>
        </w:rPr>
        <w:t>(</w:t>
      </w:r>
      <w:r w:rsidR="00086132" w:rsidRPr="00086132">
        <w:rPr>
          <w:noProof/>
        </w:rPr>
        <w:t>2019)</w:t>
      </w:r>
      <w:r w:rsidR="00086132">
        <w:fldChar w:fldCharType="end"/>
      </w:r>
      <w:r w:rsidR="003D777D" w:rsidRPr="005362A3">
        <w:t xml:space="preserve"> for the </w:t>
      </w:r>
      <w:r w:rsidR="004B6340" w:rsidRPr="005362A3">
        <w:t xml:space="preserve">methods </w:t>
      </w:r>
      <w:proofErr w:type="spellStart"/>
      <w:r w:rsidR="004B6340" w:rsidRPr="005362A3">
        <w:t>GeoPolRisk</w:t>
      </w:r>
      <w:proofErr w:type="spellEnd"/>
      <w:r w:rsidR="004B6340" w:rsidRPr="005362A3">
        <w:t xml:space="preserve">, </w:t>
      </w:r>
      <w:r w:rsidR="006A179C">
        <w:lastRenderedPageBreak/>
        <w:t>Economic Scarcity Potential (</w:t>
      </w:r>
      <w:r w:rsidR="004B6340" w:rsidRPr="005362A3">
        <w:t>ESP</w:t>
      </w:r>
      <w:r w:rsidR="006A179C">
        <w:t>)</w:t>
      </w:r>
      <w:r w:rsidR="004B6340" w:rsidRPr="005362A3">
        <w:t xml:space="preserve">, and ESSENZ. </w:t>
      </w:r>
      <w:r w:rsidR="003B5F0F" w:rsidRPr="005362A3">
        <w:t xml:space="preserve">Such </w:t>
      </w:r>
      <w:r w:rsidR="00351030" w:rsidRPr="005362A3">
        <w:t xml:space="preserve">a </w:t>
      </w:r>
      <w:r w:rsidR="003B5F0F" w:rsidRPr="005362A3">
        <w:t>description of cause-and-effect mechanisms aids in identifying methodological differences and deciding whether an approach is compatible with the goal and scope of the study.</w:t>
      </w:r>
      <w:r w:rsidR="003B5F0F">
        <w:t xml:space="preserve"> </w:t>
      </w:r>
    </w:p>
    <w:p w14:paraId="1CE8B468" w14:textId="77777777" w:rsidR="005407B9" w:rsidRDefault="005407B9" w:rsidP="00863B14">
      <w:pPr>
        <w:spacing w:line="480" w:lineRule="auto"/>
        <w:jc w:val="both"/>
      </w:pPr>
    </w:p>
    <w:p w14:paraId="66504698" w14:textId="6C80491F" w:rsidR="00382BA2" w:rsidRDefault="00382BA2" w:rsidP="00461A6A">
      <w:pPr>
        <w:pStyle w:val="Heading5"/>
        <w:numPr>
          <w:ilvl w:val="3"/>
          <w:numId w:val="61"/>
        </w:numPr>
        <w:spacing w:line="480" w:lineRule="auto"/>
      </w:pPr>
      <w:r>
        <w:t>Vulnerability</w:t>
      </w:r>
    </w:p>
    <w:p w14:paraId="6CDC1C18" w14:textId="1DAD4B83" w:rsidR="00D12560" w:rsidRPr="00226F1A" w:rsidRDefault="00037C9F" w:rsidP="00863B14">
      <w:pPr>
        <w:spacing w:line="480" w:lineRule="auto"/>
        <w:jc w:val="both"/>
      </w:pPr>
      <w:r>
        <w:t xml:space="preserve">Besides the indicators for risk of supply disruption, </w:t>
      </w:r>
      <w:r w:rsidR="00876BE5">
        <w:fldChar w:fldCharType="begin"/>
      </w:r>
      <w:r w:rsidR="00876BE5">
        <w:instrText xml:space="preserve"> REF _Ref9507622 \h </w:instrText>
      </w:r>
      <w:r w:rsidR="00863B14">
        <w:instrText xml:space="preserve"> \* MERGEFORMAT </w:instrText>
      </w:r>
      <w:r w:rsidR="00876BE5">
        <w:fldChar w:fldCharType="separate"/>
      </w:r>
      <w:r w:rsidR="00876BE5">
        <w:t xml:space="preserve">Figure </w:t>
      </w:r>
      <w:r w:rsidR="00876BE5">
        <w:rPr>
          <w:noProof/>
        </w:rPr>
        <w:t>4</w:t>
      </w:r>
      <w:r w:rsidR="00876BE5">
        <w:fldChar w:fldCharType="end"/>
      </w:r>
      <w:r w:rsidR="00876BE5">
        <w:t xml:space="preserve"> also</w:t>
      </w:r>
      <w:r w:rsidR="00E20CBB" w:rsidRPr="00226F1A">
        <w:t xml:space="preserve"> presents the indicators that are used to evaluate the vulnerability to a supply disruption for different study scopes. The indicator that is included in </w:t>
      </w:r>
      <w:r w:rsidR="005407B9">
        <w:t>most</w:t>
      </w:r>
      <w:r w:rsidR="00E20CBB" w:rsidRPr="00226F1A">
        <w:t xml:space="preserve"> criticality stud</w:t>
      </w:r>
      <w:r w:rsidR="005407B9">
        <w:t>ies</w:t>
      </w:r>
      <w:r w:rsidR="00E20CBB" w:rsidRPr="00226F1A">
        <w:t xml:space="preserve"> is substitutability. </w:t>
      </w:r>
      <w:r w:rsidR="0094531A" w:rsidRPr="00226F1A">
        <w:t>Regarding the other indicators, there is little overlap between the indicators that are used to evaluate the vulnerability for a company and for technologies</w:t>
      </w:r>
      <w:r w:rsidR="00CD76E8" w:rsidRPr="00226F1A">
        <w:t xml:space="preserve"> – showing the scope-dependency of vulnerability indicators.</w:t>
      </w:r>
      <w:r w:rsidR="00D05099" w:rsidRPr="00226F1A">
        <w:t xml:space="preserve"> A few indicators (</w:t>
      </w:r>
      <w:r w:rsidR="00140E6A" w:rsidRPr="00226F1A">
        <w:t xml:space="preserve">demand growth, internal demand, and use in emerging technologies) are used both for methods focusing on technologies and economies. </w:t>
      </w:r>
    </w:p>
    <w:p w14:paraId="15616192" w14:textId="532EA753" w:rsidR="000442DE" w:rsidRPr="00226F1A" w:rsidRDefault="00D12560" w:rsidP="00863B14">
      <w:pPr>
        <w:spacing w:line="480" w:lineRule="auto"/>
        <w:jc w:val="both"/>
      </w:pPr>
      <w:r w:rsidRPr="00226F1A">
        <w:t>I</w:t>
      </w:r>
      <w:r w:rsidR="000442DE" w:rsidRPr="00226F1A">
        <w:t>ndicators could be divided into three groups:</w:t>
      </w:r>
    </w:p>
    <w:p w14:paraId="7D87F3CF" w14:textId="77777777" w:rsidR="00576127" w:rsidRPr="00AE56AD" w:rsidRDefault="000442DE" w:rsidP="00863B14">
      <w:pPr>
        <w:pStyle w:val="ListParagraph"/>
        <w:numPr>
          <w:ilvl w:val="0"/>
          <w:numId w:val="44"/>
        </w:numPr>
        <w:spacing w:line="480" w:lineRule="auto"/>
        <w:jc w:val="both"/>
        <w:rPr>
          <w:rFonts w:ascii="Times New Roman" w:hAnsi="Times New Roman" w:cs="Times New Roman"/>
          <w:sz w:val="24"/>
          <w:szCs w:val="24"/>
        </w:rPr>
      </w:pPr>
      <w:r w:rsidRPr="00AE56AD">
        <w:rPr>
          <w:rFonts w:ascii="Times New Roman" w:hAnsi="Times New Roman" w:cs="Times New Roman"/>
          <w:sz w:val="24"/>
          <w:szCs w:val="24"/>
        </w:rPr>
        <w:t xml:space="preserve">Indicators that reflect </w:t>
      </w:r>
      <w:r w:rsidR="00576127" w:rsidRPr="00AE56AD">
        <w:rPr>
          <w:rFonts w:ascii="Times New Roman" w:hAnsi="Times New Roman" w:cs="Times New Roman"/>
          <w:sz w:val="24"/>
          <w:szCs w:val="24"/>
        </w:rPr>
        <w:t xml:space="preserve">that the material is used by the system under study (e.g. </w:t>
      </w:r>
      <w:r w:rsidR="001B199D" w:rsidRPr="00AE56AD">
        <w:rPr>
          <w:rFonts w:ascii="Times New Roman" w:hAnsi="Times New Roman" w:cs="Times New Roman"/>
          <w:sz w:val="24"/>
          <w:szCs w:val="24"/>
        </w:rPr>
        <w:t>internal demand, sectors using the material, population using the material, and apparent consumption</w:t>
      </w:r>
      <w:r w:rsidR="00576127" w:rsidRPr="00AE56AD">
        <w:rPr>
          <w:rFonts w:ascii="Times New Roman" w:hAnsi="Times New Roman" w:cs="Times New Roman"/>
          <w:sz w:val="24"/>
          <w:szCs w:val="24"/>
        </w:rPr>
        <w:t xml:space="preserve">) </w:t>
      </w:r>
      <w:r w:rsidR="00754326" w:rsidRPr="00AE56AD">
        <w:rPr>
          <w:rFonts w:ascii="Times New Roman" w:hAnsi="Times New Roman" w:cs="Times New Roman"/>
          <w:sz w:val="24"/>
          <w:szCs w:val="24"/>
        </w:rPr>
        <w:t xml:space="preserve">– indicating that the more a material is used, the more vulnerable the system is to a supply disruption. </w:t>
      </w:r>
    </w:p>
    <w:p w14:paraId="72815BBE" w14:textId="2688A9CD" w:rsidR="00F529ED" w:rsidRPr="00AE56AD" w:rsidRDefault="00576127" w:rsidP="00863B14">
      <w:pPr>
        <w:pStyle w:val="ListParagraph"/>
        <w:numPr>
          <w:ilvl w:val="0"/>
          <w:numId w:val="44"/>
        </w:numPr>
        <w:spacing w:line="480" w:lineRule="auto"/>
        <w:jc w:val="both"/>
        <w:rPr>
          <w:rFonts w:ascii="Times New Roman" w:hAnsi="Times New Roman" w:cs="Times New Roman"/>
          <w:sz w:val="24"/>
          <w:szCs w:val="24"/>
        </w:rPr>
      </w:pPr>
      <w:r w:rsidRPr="00AE56AD">
        <w:rPr>
          <w:rFonts w:ascii="Times New Roman" w:hAnsi="Times New Roman" w:cs="Times New Roman"/>
          <w:sz w:val="24"/>
          <w:szCs w:val="24"/>
        </w:rPr>
        <w:t>I</w:t>
      </w:r>
      <w:r w:rsidR="00A54CA8" w:rsidRPr="00AE56AD">
        <w:rPr>
          <w:rFonts w:ascii="Times New Roman" w:hAnsi="Times New Roman" w:cs="Times New Roman"/>
          <w:sz w:val="24"/>
          <w:szCs w:val="24"/>
        </w:rPr>
        <w:t>ndicator</w:t>
      </w:r>
      <w:r w:rsidRPr="00AE56AD">
        <w:rPr>
          <w:rFonts w:ascii="Times New Roman" w:hAnsi="Times New Roman" w:cs="Times New Roman"/>
          <w:sz w:val="24"/>
          <w:szCs w:val="24"/>
        </w:rPr>
        <w:t>s</w:t>
      </w:r>
      <w:r w:rsidR="00A54CA8" w:rsidRPr="00AE56AD">
        <w:rPr>
          <w:rFonts w:ascii="Times New Roman" w:hAnsi="Times New Roman" w:cs="Times New Roman"/>
          <w:sz w:val="24"/>
          <w:szCs w:val="24"/>
        </w:rPr>
        <w:t xml:space="preserve"> that reflect the relative use of the material compared to other users (e.g. globally), or the relative importance of the material compared to other materials that are used by the same system (e.g. </w:t>
      </w:r>
      <w:r w:rsidR="007412C6" w:rsidRPr="00AE56AD">
        <w:rPr>
          <w:rFonts w:ascii="Times New Roman" w:hAnsi="Times New Roman" w:cs="Times New Roman"/>
          <w:sz w:val="24"/>
          <w:szCs w:val="24"/>
        </w:rPr>
        <w:t xml:space="preserve">via </w:t>
      </w:r>
      <w:r w:rsidR="00591417" w:rsidRPr="00AE56AD">
        <w:rPr>
          <w:rFonts w:ascii="Times New Roman" w:hAnsi="Times New Roman" w:cs="Times New Roman"/>
          <w:sz w:val="24"/>
          <w:szCs w:val="24"/>
        </w:rPr>
        <w:t xml:space="preserve">the </w:t>
      </w:r>
      <w:r w:rsidR="00A54CA8" w:rsidRPr="00AE56AD">
        <w:rPr>
          <w:rFonts w:ascii="Times New Roman" w:hAnsi="Times New Roman" w:cs="Times New Roman"/>
          <w:sz w:val="24"/>
          <w:szCs w:val="24"/>
        </w:rPr>
        <w:t>price</w:t>
      </w:r>
      <w:r w:rsidR="00591417" w:rsidRPr="00AE56AD">
        <w:rPr>
          <w:rFonts w:ascii="Times New Roman" w:hAnsi="Times New Roman" w:cs="Times New Roman"/>
          <w:sz w:val="24"/>
          <w:szCs w:val="24"/>
        </w:rPr>
        <w:t xml:space="preserve"> of the material</w:t>
      </w:r>
      <w:r w:rsidR="007412C6" w:rsidRPr="00AE56AD">
        <w:rPr>
          <w:rFonts w:ascii="Times New Roman" w:hAnsi="Times New Roman" w:cs="Times New Roman"/>
          <w:sz w:val="24"/>
          <w:szCs w:val="24"/>
        </w:rPr>
        <w:t xml:space="preserve"> or </w:t>
      </w:r>
      <w:r w:rsidR="00591417" w:rsidRPr="00AE56AD">
        <w:rPr>
          <w:rFonts w:ascii="Times New Roman" w:hAnsi="Times New Roman" w:cs="Times New Roman"/>
          <w:sz w:val="24"/>
          <w:szCs w:val="24"/>
        </w:rPr>
        <w:t>the revenue or GDP that is impacted by a supply disruption).</w:t>
      </w:r>
      <w:r w:rsidR="00F644CF" w:rsidRPr="00AE56AD">
        <w:rPr>
          <w:rFonts w:ascii="Times New Roman" w:hAnsi="Times New Roman" w:cs="Times New Roman"/>
          <w:sz w:val="24"/>
          <w:szCs w:val="24"/>
        </w:rPr>
        <w:t xml:space="preserve"> </w:t>
      </w:r>
    </w:p>
    <w:p w14:paraId="5F38FB3F" w14:textId="631A7695" w:rsidR="00EF5B5F" w:rsidRPr="00AE56AD" w:rsidRDefault="00AA46AD" w:rsidP="00863B14">
      <w:pPr>
        <w:pStyle w:val="ListParagraph"/>
        <w:numPr>
          <w:ilvl w:val="0"/>
          <w:numId w:val="44"/>
        </w:numPr>
        <w:spacing w:line="480" w:lineRule="auto"/>
        <w:jc w:val="both"/>
        <w:rPr>
          <w:rFonts w:ascii="Times New Roman" w:hAnsi="Times New Roman" w:cs="Times New Roman"/>
          <w:sz w:val="24"/>
          <w:szCs w:val="24"/>
        </w:rPr>
      </w:pPr>
      <w:r w:rsidRPr="00AE56AD">
        <w:rPr>
          <w:rFonts w:ascii="Times New Roman" w:hAnsi="Times New Roman" w:cs="Times New Roman"/>
          <w:sz w:val="24"/>
          <w:szCs w:val="24"/>
        </w:rPr>
        <w:t xml:space="preserve">“Other indicators”, which </w:t>
      </w:r>
      <w:r w:rsidR="00F644CF" w:rsidRPr="00AE56AD">
        <w:rPr>
          <w:rFonts w:ascii="Times New Roman" w:hAnsi="Times New Roman" w:cs="Times New Roman"/>
          <w:sz w:val="24"/>
          <w:szCs w:val="24"/>
        </w:rPr>
        <w:t xml:space="preserve">are also used (by other methods) to evaluate supply risks: </w:t>
      </w:r>
      <w:r w:rsidR="00E03749" w:rsidRPr="00AE56AD">
        <w:rPr>
          <w:rFonts w:ascii="Times New Roman" w:hAnsi="Times New Roman" w:cs="Times New Roman"/>
          <w:sz w:val="24"/>
          <w:szCs w:val="24"/>
        </w:rPr>
        <w:t>substitutability</w:t>
      </w:r>
      <w:r w:rsidR="00346D5B" w:rsidRPr="00AE56AD">
        <w:rPr>
          <w:rFonts w:ascii="Times New Roman" w:hAnsi="Times New Roman" w:cs="Times New Roman"/>
          <w:sz w:val="24"/>
          <w:szCs w:val="24"/>
        </w:rPr>
        <w:t xml:space="preserve"> (further discussed in the next section)</w:t>
      </w:r>
      <w:r w:rsidR="00E03749" w:rsidRPr="00AE56AD">
        <w:rPr>
          <w:rFonts w:ascii="Times New Roman" w:hAnsi="Times New Roman" w:cs="Times New Roman"/>
          <w:sz w:val="24"/>
          <w:szCs w:val="24"/>
        </w:rPr>
        <w:t xml:space="preserve">, </w:t>
      </w:r>
      <w:r w:rsidR="000957C8" w:rsidRPr="00AE56AD">
        <w:rPr>
          <w:rFonts w:ascii="Times New Roman" w:hAnsi="Times New Roman" w:cs="Times New Roman"/>
          <w:sz w:val="24"/>
          <w:szCs w:val="24"/>
        </w:rPr>
        <w:t xml:space="preserve">demand growth, import dependency, </w:t>
      </w:r>
      <w:r w:rsidR="00617442" w:rsidRPr="00AE56AD">
        <w:rPr>
          <w:rFonts w:ascii="Times New Roman" w:hAnsi="Times New Roman" w:cs="Times New Roman"/>
          <w:sz w:val="24"/>
          <w:szCs w:val="24"/>
        </w:rPr>
        <w:t xml:space="preserve">trade restrictions, </w:t>
      </w:r>
      <w:r w:rsidR="000C6A22" w:rsidRPr="00AE56AD">
        <w:rPr>
          <w:rFonts w:ascii="Times New Roman" w:hAnsi="Times New Roman" w:cs="Times New Roman"/>
          <w:sz w:val="24"/>
          <w:szCs w:val="24"/>
        </w:rPr>
        <w:t xml:space="preserve">price volatility, </w:t>
      </w:r>
      <w:r w:rsidR="00A43557" w:rsidRPr="00AE56AD">
        <w:rPr>
          <w:rFonts w:ascii="Times New Roman" w:hAnsi="Times New Roman" w:cs="Times New Roman"/>
          <w:sz w:val="24"/>
          <w:szCs w:val="24"/>
        </w:rPr>
        <w:t>stockpiles, and resource efficiency</w:t>
      </w:r>
      <w:r w:rsidR="00252897" w:rsidRPr="00AE56AD">
        <w:rPr>
          <w:rFonts w:ascii="Times New Roman" w:hAnsi="Times New Roman" w:cs="Times New Roman"/>
          <w:sz w:val="24"/>
          <w:szCs w:val="24"/>
        </w:rPr>
        <w:t xml:space="preserve">. </w:t>
      </w:r>
      <w:r w:rsidR="007C78E7" w:rsidRPr="00AE56AD">
        <w:rPr>
          <w:rFonts w:ascii="Times New Roman" w:hAnsi="Times New Roman" w:cs="Times New Roman"/>
          <w:sz w:val="24"/>
          <w:szCs w:val="24"/>
        </w:rPr>
        <w:t xml:space="preserve">  </w:t>
      </w:r>
    </w:p>
    <w:p w14:paraId="5B64C48D" w14:textId="3694F53D" w:rsidR="006623CD" w:rsidRPr="000233D9" w:rsidRDefault="004F3FE2" w:rsidP="006623CD">
      <w:pPr>
        <w:spacing w:line="480" w:lineRule="auto"/>
        <w:jc w:val="both"/>
      </w:pPr>
      <w:r w:rsidRPr="00497462">
        <w:lastRenderedPageBreak/>
        <w:t>The first and second group of indicators are useful to rank materials consider</w:t>
      </w:r>
      <w:r w:rsidR="00F36A81" w:rsidRPr="00AE56AD">
        <w:t>ing their relative importance for</w:t>
      </w:r>
      <w:r w:rsidRPr="00AE56AD">
        <w:t xml:space="preserve"> a system. </w:t>
      </w:r>
      <w:r w:rsidR="00B0502D" w:rsidRPr="00AE56AD">
        <w:t xml:space="preserve">For the indicators of the third group, </w:t>
      </w:r>
      <w:r w:rsidR="004316AB" w:rsidRPr="00AE56AD">
        <w:t xml:space="preserve">the establishment of cause-and-effect mechanisms </w:t>
      </w:r>
      <w:r w:rsidR="0078610C" w:rsidRPr="00AE56AD">
        <w:t>as discussed</w:t>
      </w:r>
      <w:r w:rsidR="0078610C" w:rsidRPr="00226F1A">
        <w:t xml:space="preserve"> in the previous section </w:t>
      </w:r>
      <w:r w:rsidR="00AD2807" w:rsidRPr="00226F1A">
        <w:t xml:space="preserve">would be helpful to evaluate </w:t>
      </w:r>
      <w:r w:rsidR="00300E12" w:rsidRPr="00226F1A">
        <w:t xml:space="preserve">whether they </w:t>
      </w:r>
      <w:r w:rsidR="0078610C" w:rsidRPr="00226F1A">
        <w:t xml:space="preserve">better </w:t>
      </w:r>
      <w:r w:rsidR="00300E12" w:rsidRPr="00226F1A">
        <w:t>reflect the anticipated risk</w:t>
      </w:r>
      <w:r w:rsidR="00B43C82" w:rsidRPr="00226F1A">
        <w:t xml:space="preserve"> </w:t>
      </w:r>
      <w:r w:rsidR="0078610C" w:rsidRPr="00226F1A">
        <w:t>as an indicator for the probability of a supply disruption</w:t>
      </w:r>
      <w:r w:rsidR="00AD39A2" w:rsidRPr="00226F1A">
        <w:t xml:space="preserve"> or as an indicator for the vulnerability to such a disruption</w:t>
      </w:r>
      <w:r w:rsidR="006C73B3" w:rsidRPr="00226F1A">
        <w:t xml:space="preserve">, </w:t>
      </w:r>
      <w:r w:rsidR="00B43C82" w:rsidRPr="00226F1A">
        <w:t xml:space="preserve">and whether they provide </w:t>
      </w:r>
      <w:r w:rsidR="006C73B3" w:rsidRPr="00226F1A">
        <w:t>useful</w:t>
      </w:r>
      <w:r w:rsidR="00B43C82" w:rsidRPr="00226F1A">
        <w:t xml:space="preserve"> information to fulfil the objective of the study</w:t>
      </w:r>
      <w:r w:rsidR="00F36A81" w:rsidRPr="00226F1A">
        <w:t>.</w:t>
      </w:r>
      <w:r w:rsidR="006623CD">
        <w:t xml:space="preserve"> </w:t>
      </w:r>
    </w:p>
    <w:p w14:paraId="566BCE23" w14:textId="39F1ECA0" w:rsidR="00863B14" w:rsidRDefault="00863B14" w:rsidP="00863B14">
      <w:pPr>
        <w:spacing w:line="480" w:lineRule="auto"/>
        <w:jc w:val="both"/>
        <w:sectPr w:rsidR="00863B14" w:rsidSect="00863B14">
          <w:type w:val="continuous"/>
          <w:pgSz w:w="12240" w:h="15840"/>
          <w:pgMar w:top="1417" w:right="1417" w:bottom="1417" w:left="1417" w:header="708" w:footer="708" w:gutter="0"/>
          <w:lnNumType w:countBy="1" w:restart="continuous"/>
          <w:cols w:space="708"/>
          <w:docGrid w:linePitch="360"/>
        </w:sectPr>
      </w:pPr>
    </w:p>
    <w:p w14:paraId="1B41D74E" w14:textId="4E74DFC7" w:rsidR="006E193D" w:rsidRPr="002B5168" w:rsidRDefault="002A52D0" w:rsidP="006E193D">
      <w:pPr>
        <w:pStyle w:val="Caption"/>
        <w:spacing w:line="480" w:lineRule="auto"/>
      </w:pPr>
      <w:bookmarkStart w:id="46" w:name="_Ref9507622"/>
      <w:r>
        <w:rPr>
          <w:noProof/>
        </w:rPr>
        <w:lastRenderedPageBreak/>
        <w:drawing>
          <wp:anchor distT="0" distB="0" distL="114300" distR="114300" simplePos="0" relativeHeight="251659776" behindDoc="0" locked="0" layoutInCell="1" allowOverlap="1" wp14:anchorId="74B9BB1E" wp14:editId="0BC6F214">
            <wp:simplePos x="0" y="0"/>
            <wp:positionH relativeFrom="column">
              <wp:posOffset>-109633</wp:posOffset>
            </wp:positionH>
            <wp:positionV relativeFrom="page">
              <wp:posOffset>215250</wp:posOffset>
            </wp:positionV>
            <wp:extent cx="8648700" cy="642302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648700" cy="6423025"/>
                    </a:xfrm>
                    <a:prstGeom prst="rect">
                      <a:avLst/>
                    </a:prstGeom>
                  </pic:spPr>
                </pic:pic>
              </a:graphicData>
            </a:graphic>
            <wp14:sizeRelH relativeFrom="page">
              <wp14:pctWidth>0</wp14:pctWidth>
            </wp14:sizeRelH>
            <wp14:sizeRelV relativeFrom="page">
              <wp14:pctHeight>0</wp14:pctHeight>
            </wp14:sizeRelV>
          </wp:anchor>
        </w:drawing>
      </w:r>
      <w:r w:rsidR="006E193D">
        <w:t xml:space="preserve">Figure </w:t>
      </w:r>
      <w:r w:rsidR="00444B2B">
        <w:fldChar w:fldCharType="begin"/>
      </w:r>
      <w:r w:rsidR="00444B2B">
        <w:instrText xml:space="preserve"> SEQ Figure \* ARABIC </w:instrText>
      </w:r>
      <w:r w:rsidR="00444B2B">
        <w:fldChar w:fldCharType="separate"/>
      </w:r>
      <w:r w:rsidR="006E193D">
        <w:rPr>
          <w:noProof/>
        </w:rPr>
        <w:t>4</w:t>
      </w:r>
      <w:r w:rsidR="00444B2B">
        <w:rPr>
          <w:noProof/>
        </w:rPr>
        <w:fldChar w:fldCharType="end"/>
      </w:r>
      <w:bookmarkEnd w:id="46"/>
      <w:r w:rsidR="006E193D">
        <w:rPr>
          <w:noProof/>
        </w:rPr>
        <w:t xml:space="preserve"> Indicators for the probability of a supply disruption and/or the vulnerability to a supply disruption, their frequency of use, and the scope in which they are used. Detailed tables with background information are provided in Section S2 and S3 of SI-D. </w:t>
      </w:r>
    </w:p>
    <w:p w14:paraId="2EEC441E" w14:textId="77777777" w:rsidR="00863B14" w:rsidRDefault="00863B14" w:rsidP="00863B14">
      <w:pPr>
        <w:spacing w:line="480" w:lineRule="auto"/>
        <w:jc w:val="both"/>
        <w:sectPr w:rsidR="00863B14" w:rsidSect="006E193D">
          <w:pgSz w:w="15840" w:h="12240" w:orient="landscape"/>
          <w:pgMar w:top="720" w:right="1411" w:bottom="720" w:left="1411" w:header="706" w:footer="706" w:gutter="0"/>
          <w:lnNumType w:countBy="1" w:restart="continuous"/>
          <w:cols w:space="708"/>
          <w:docGrid w:linePitch="360"/>
        </w:sectPr>
      </w:pPr>
    </w:p>
    <w:p w14:paraId="654095CF" w14:textId="798F2EE9" w:rsidR="00382BA2" w:rsidRDefault="00382BA2" w:rsidP="00461A6A">
      <w:pPr>
        <w:pStyle w:val="Heading5"/>
        <w:numPr>
          <w:ilvl w:val="3"/>
          <w:numId w:val="61"/>
        </w:numPr>
        <w:spacing w:line="480" w:lineRule="auto"/>
      </w:pPr>
      <w:r>
        <w:lastRenderedPageBreak/>
        <w:t>Substitutability</w:t>
      </w:r>
    </w:p>
    <w:p w14:paraId="38AA3FE4" w14:textId="6BE8783C" w:rsidR="00FF7F87" w:rsidRDefault="00037C9F" w:rsidP="00863B14">
      <w:pPr>
        <w:spacing w:line="480" w:lineRule="auto"/>
        <w:jc w:val="both"/>
      </w:pPr>
      <w:r>
        <w:t>As mentioned before, s</w:t>
      </w:r>
      <w:r w:rsidR="00B54D46">
        <w:t xml:space="preserve">ubstitutability is </w:t>
      </w:r>
      <w:r w:rsidR="007D79DB">
        <w:t xml:space="preserve">included in most criticality assessments, either as an indicator for supply disruptions or as an indicator for vulnerability. </w:t>
      </w:r>
      <w:r w:rsidR="00FF7F87">
        <w:t xml:space="preserve">In the EU </w:t>
      </w:r>
      <w:r w:rsidR="00AD32DE">
        <w:t xml:space="preserve">method </w:t>
      </w:r>
      <w:r w:rsidR="00FF7F87">
        <w:fldChar w:fldCharType="begin" w:fldLock="1"/>
      </w:r>
      <w:r w:rsidR="00D35F6A">
        <w:instrText>ADDIN CSL_CITATION {"citationItems":[{"id":"ITEM-1","itemData":{"DOI":"10.2873/769526","ISBN":"9789279680519","abstract":"This is a prescriptive document containing the guidelines and the ‘ready-to-apply’ methodology for the EU criticality assessment and the revision of the list of critical raw materials (CRM) for the EU. These synthesised guidelines build on the methodology used to establish the lists of CRM in 2011 (1 ) and 2014 (2 ) and integrate the methodological improvements identified by the European Commission in the project ‘Assessment of the methodology on the list of critical raw materials’, in close consultation with the ad hoc working group ‘Defining critical raw materials’. Additional information regarding the methodology, including justification and discussion, can be found in the background report (3 ) developed by the Directorate General Joint Research Centre (JRC) and in related annexes. These guidelines also contain recommendations on how to reorganise and improve the single fact sheets of the assessed raw materials. (1)","author":[{"dropping-particle":"","family":"European Commission","given":"","non-dropping-particle":"","parse-names":false,"suffix":""}],"id":"ITEM-1","issued":{"date-parts":[["2017"]]},"page":"30","title":"Methodology for establishing the EU list of Critical Raw Materials","type":"article-journal"},"uris":["http://www.mendeley.com/documents/?uuid=73ab7610-15cc-40a5-8297-dca3ef930846"]}],"mendeley":{"formattedCitation":"(European Commission, 2017a)","plainTextFormattedCitation":"(European Commission, 2017a)","previouslyFormattedCitation":"(European Commission, 2017a)"},"properties":{"noteIndex":0},"schema":"https://github.com/citation-style-language/schema/raw/master/csl-citation.json"}</w:instrText>
      </w:r>
      <w:r w:rsidR="00FF7F87">
        <w:fldChar w:fldCharType="separate"/>
      </w:r>
      <w:r w:rsidR="002B45EF" w:rsidRPr="002B45EF">
        <w:rPr>
          <w:noProof/>
        </w:rPr>
        <w:t>(European Commission, 2017a)</w:t>
      </w:r>
      <w:r w:rsidR="00FF7F87">
        <w:fldChar w:fldCharType="end"/>
      </w:r>
      <w:r w:rsidR="00F36A81">
        <w:t xml:space="preserve"> the substitution parameter a</w:t>
      </w:r>
      <w:r w:rsidR="00FF7F87">
        <w:t>ffects both the economic importance in terms of technical and cost performance of the available substitutes for individual applications, and the supply risk in terms of physical availability of a substitute, its criticality and the way it is produced, e.g. as a main product or a by-</w:t>
      </w:r>
      <w:r>
        <w:t xml:space="preserve"> or co-</w:t>
      </w:r>
      <w:r w:rsidR="00FF7F87">
        <w:t xml:space="preserve">product. </w:t>
      </w:r>
      <w:r>
        <w:t>T</w:t>
      </w:r>
      <w:r w:rsidR="00FF7F87">
        <w:t xml:space="preserve">he GE </w:t>
      </w:r>
      <w:r w:rsidR="00AD32DE">
        <w:t xml:space="preserve">method </w:t>
      </w:r>
      <w:r w:rsidR="00FF7F87">
        <w:fldChar w:fldCharType="begin" w:fldLock="1"/>
      </w:r>
      <w:r w:rsidR="00D35F6A">
        <w:instrText>ADDIN CSL_CITATION {"citationItems":[{"id":"ITEM-1","itemData":{"author":[{"dropping-particle":"","family":"Duclos","given":"Steven J","non-dropping-particle":"","parse-names":false,"suffix":""},{"dropping-particle":"","family":"Otto","given":"Jeffrey P","non-dropping-particle":"","parse-names":false,"suffix":""},{"dropping-particle":"","family":"Konitzer","given":"Douglas G","non-dropping-particle":"","parse-names":false,"suffix":""}],"container-title":"Mechanical Engineering","id":"ITEM-1","issue":"September","issued":{"date-parts":[["2010"]]},"page":"36-40","title":"Design in an era of constrained resources","type":"article-journal"},"uris":["http://www.mendeley.com/documents/?uuid=eaa6bef0-977a-4d72-8ec2-ef83e01f6619"]}],"mendeley":{"formattedCitation":"(Duclos et al., 2010)","plainTextFormattedCitation":"(Duclos et al., 2010)","previouslyFormattedCitation":"(Duclos et al., 2010)"},"properties":{"noteIndex":0},"schema":"https://github.com/citation-style-language/schema/raw/master/csl-citation.json"}</w:instrText>
      </w:r>
      <w:r w:rsidR="00FF7F87">
        <w:fldChar w:fldCharType="separate"/>
      </w:r>
      <w:r w:rsidR="002B45EF" w:rsidRPr="002B45EF">
        <w:rPr>
          <w:noProof/>
        </w:rPr>
        <w:t>(Duclos et al., 2010)</w:t>
      </w:r>
      <w:r w:rsidR="00FF7F87">
        <w:fldChar w:fldCharType="end"/>
      </w:r>
      <w:r w:rsidR="00FF7F87">
        <w:t xml:space="preserve"> integrates a measure of substitutability both in the evaluation of supply risk and of importance: high substitutability in the market decreases the probability for a supply disruption, while a low substitutability of a material in the technology that is important for the system under study makes the system highly vulnerable for a supply disruption. </w:t>
      </w:r>
      <w:r w:rsidR="000A047E">
        <w:t>There does not seem to be agreement</w:t>
      </w:r>
      <w:r w:rsidR="001521C2">
        <w:t xml:space="preserve"> on</w:t>
      </w:r>
      <w:r w:rsidR="000A047E">
        <w:t xml:space="preserve"> whethe</w:t>
      </w:r>
      <w:r w:rsidR="00772DB7">
        <w:t xml:space="preserve">r the inclusion of substitutability in two criticality factors </w:t>
      </w:r>
      <w:r w:rsidR="007E39DE">
        <w:t xml:space="preserve">leads to double counting of this attribute – </w:t>
      </w:r>
      <w:r w:rsidR="00751509">
        <w:t>a risk that could be minimized if</w:t>
      </w:r>
      <w:r w:rsidR="00F36A81">
        <w:t xml:space="preserve"> </w:t>
      </w:r>
      <w:r w:rsidR="00751509">
        <w:t xml:space="preserve">scoring </w:t>
      </w:r>
      <w:r w:rsidR="00F36A81">
        <w:t>would be</w:t>
      </w:r>
      <w:r w:rsidR="00751509">
        <w:t xml:space="preserve"> communicated at an indicator level and results </w:t>
      </w:r>
      <w:r w:rsidR="00F36A81">
        <w:t>were</w:t>
      </w:r>
      <w:r w:rsidR="00751509">
        <w:t xml:space="preserve"> not further aggregated. </w:t>
      </w:r>
    </w:p>
    <w:p w14:paraId="28C4B5DF" w14:textId="01E3C036" w:rsidR="00BE1E35" w:rsidRDefault="00031536" w:rsidP="00863B14">
      <w:pPr>
        <w:spacing w:line="480" w:lineRule="auto"/>
        <w:jc w:val="both"/>
      </w:pPr>
      <w:r>
        <w:t>N</w:t>
      </w:r>
      <w:r w:rsidR="00C6704F">
        <w:t>ot</w:t>
      </w:r>
      <w:r w:rsidR="00BE4F5A">
        <w:t xml:space="preserve"> all studies include substitutability in the</w:t>
      </w:r>
      <w:r w:rsidR="00C6704F">
        <w:t xml:space="preserve"> initial</w:t>
      </w:r>
      <w:r w:rsidR="00BE4F5A">
        <w:t xml:space="preserve"> assessment. Some (e.g. NEDO</w:t>
      </w:r>
      <w:r w:rsidR="00272CAD">
        <w:t>)</w:t>
      </w:r>
      <w:r w:rsidR="00BE4F5A">
        <w:t xml:space="preserve"> aim to identify elements for which substitutes need to be found, which make substitution a </w:t>
      </w:r>
      <w:r w:rsidR="00C30892">
        <w:t xml:space="preserve">potential mitigation strategy </w:t>
      </w:r>
      <w:r w:rsidR="00BE4F5A">
        <w:t>based on the outcome of the study. The EU explicitly distinguishes between currently available substitutes and potential substitution, and only includes the former in the study – recommending the latter for future research needs. This differentiation clearly marks the short-to-medium-term time frame in which supply risks are assessed</w:t>
      </w:r>
      <w:r w:rsidR="0096039B">
        <w:t xml:space="preserve"> in the EU </w:t>
      </w:r>
      <w:r w:rsidR="00AD32DE">
        <w:t>method</w:t>
      </w:r>
      <w:r w:rsidR="00BE4F5A">
        <w:t>.</w:t>
      </w:r>
    </w:p>
    <w:p w14:paraId="501AF99A" w14:textId="77777777" w:rsidR="005407B9" w:rsidRPr="00BE1E35" w:rsidRDefault="005407B9" w:rsidP="00863B14">
      <w:pPr>
        <w:spacing w:line="480" w:lineRule="auto"/>
        <w:jc w:val="both"/>
      </w:pPr>
    </w:p>
    <w:p w14:paraId="33F6C9A0" w14:textId="3CBF9EE5" w:rsidR="00382BA2" w:rsidRDefault="00435E30" w:rsidP="00461A6A">
      <w:pPr>
        <w:pStyle w:val="Heading5"/>
        <w:numPr>
          <w:ilvl w:val="3"/>
          <w:numId w:val="61"/>
        </w:numPr>
        <w:spacing w:line="480" w:lineRule="auto"/>
      </w:pPr>
      <w:r>
        <w:t>Environmental and social factors</w:t>
      </w:r>
    </w:p>
    <w:p w14:paraId="03D4C246" w14:textId="1CA2759A" w:rsidR="00055A4D" w:rsidRDefault="000C1039" w:rsidP="00863B14">
      <w:pPr>
        <w:pStyle w:val="ListParagraph"/>
        <w:spacing w:line="480" w:lineRule="auto"/>
        <w:ind w:left="0"/>
        <w:jc w:val="both"/>
      </w:pPr>
      <w:r>
        <w:t>Many</w:t>
      </w:r>
      <w:r w:rsidR="00055A4D">
        <w:t xml:space="preserve"> of the criticality methods shown in </w:t>
      </w:r>
      <w:r w:rsidR="00FB73F1">
        <w:fldChar w:fldCharType="begin"/>
      </w:r>
      <w:r w:rsidR="00FB73F1">
        <w:instrText xml:space="preserve"> REF _Ref11935609 \h </w:instrText>
      </w:r>
      <w:r w:rsidR="00863B14">
        <w:instrText xml:space="preserve"> \* MERGEFORMAT </w:instrText>
      </w:r>
      <w:r w:rsidR="00FB73F1">
        <w:fldChar w:fldCharType="separate"/>
      </w:r>
      <w:r w:rsidR="00FB73F1">
        <w:t xml:space="preserve">Table </w:t>
      </w:r>
      <w:r w:rsidR="00FB73F1">
        <w:rPr>
          <w:noProof/>
        </w:rPr>
        <w:t>1</w:t>
      </w:r>
      <w:r w:rsidR="00FB73F1">
        <w:fldChar w:fldCharType="end"/>
      </w:r>
      <w:r w:rsidR="001B1D43">
        <w:fldChar w:fldCharType="begin"/>
      </w:r>
      <w:r w:rsidR="001B1D43">
        <w:instrText xml:space="preserve"> REF _Ref8405448 \h </w:instrText>
      </w:r>
      <w:r w:rsidR="00863B14">
        <w:instrText xml:space="preserve"> \* MERGEFORMAT </w:instrText>
      </w:r>
      <w:r w:rsidR="001B1D43">
        <w:fldChar w:fldCharType="end"/>
      </w:r>
      <w:r w:rsidR="001B1D43">
        <w:t xml:space="preserve"> </w:t>
      </w:r>
      <w:r w:rsidR="00055A4D">
        <w:t xml:space="preserve">include environmental and/or social </w:t>
      </w:r>
      <w:r w:rsidR="000954BE">
        <w:t xml:space="preserve">factors </w:t>
      </w:r>
      <w:r w:rsidR="00055A4D">
        <w:t xml:space="preserve">in their analysis. While there is overlap in the type of indicators that are used (such as human health, ecosystem </w:t>
      </w:r>
      <w:r w:rsidR="00055A4D">
        <w:lastRenderedPageBreak/>
        <w:t xml:space="preserve">quality, and biodiversity as assessed by the Life Cycle Impact Assessment method </w:t>
      </w:r>
      <w:proofErr w:type="spellStart"/>
      <w:r w:rsidR="00055A4D">
        <w:t>ReCiPe</w:t>
      </w:r>
      <w:proofErr w:type="spellEnd"/>
      <w:r w:rsidR="00055A4D">
        <w:t xml:space="preserve"> </w:t>
      </w:r>
      <w:r w:rsidR="00055A4D">
        <w:fldChar w:fldCharType="begin" w:fldLock="1"/>
      </w:r>
      <w:r w:rsidR="00D35F6A">
        <w:instrText>ADDIN CSL_CITATION {"citationItems":[{"id":"ITEM-1","itemData":{"DOI":"10.1016/j.resourpol.2017.07.003","ISSN":"03014207","abstract":"The demand for many resources has increased significantly over the last decades due to their growing importance for industrial and technological development. Thus, various methods were developed to assess availability constraints of resources in relation to their vulnerability within countries and/or sectors (criticality). However, these methods display several short-comings. Thus, the aim of the introduced approach is, to enhance the assessment of critical resource use on country level with the SCARCE method, by considering the two dimensions criticality (with the sub dimensions availability and vulnerability) and societal acceptance (with the sub dimensions compliance with social standards and compliance with environmental standards). For five of the 12 introduced categories measuring availability constraints the country specific import mix is used to determine availability constraints of resources individually for the country under consideration. These results can further be compared with global constraints (which are calculated based on global production data) to determine if the country under consideration performs worse or better than the global average. To measure social aspects the categories small scale mining, geopolitical risk and human rights abuse are introduced. Environmental aspects are considered within the categories sensitivity of the local biodiversity, climate change and water scarcity. Additionally, next to metals also fossil fuels are included allowing a direct comparison of both abiotic resources. The SCARCE method is applied for the case study of Germany for which criticality results are presented and their plausibility is validated. It is shown that for Germany tungsten is the raw material showing high risks in all considered dimensions excluding the sub dimension vulnerability. Its high availability constraints are defined by the categories political stability, primary material use and price fluctuations. Further, due to the countries tungsten is imported from (e.g. Bolivia), its compliance with social and environmental standards is low. To enhance the applicability of the SCARCE method, indicator results are provided for 40 resources to assess their availability constraints as well as their compliance with social and environmental standards.","author":[{"dropping-particle":"","family":"Bach","given":"Vanessa","non-dropping-particle":"","parse-names":false,"suffix":""},{"dropping-particle":"","family":"Finogenova","given":"Natalia","non-dropping-particle":"","parse-names":false,"suffix":""},{"dropping-particle":"","family":"Berger","given":"Markus","non-dropping-particle":"","parse-names":false,"suffix":""},{"dropping-particle":"","family":"Winter","given":"Lisa","non-dropping-particle":"","parse-names":false,"suffix":""},{"dropping-particle":"","family":"Finkbeiner","given":"Matthias","non-dropping-particle":"","parse-names":false,"suffix":""}],"container-title":"Resources Policy","id":"ITEM-1","issue":"June","issued":{"date-parts":[["2017"]]},"page":"283-299","publisher":"Elsevier Ltd","title":"Enhancing the assessment of critical resource use at the country level with the SCARCE method – Case study of Germany","type":"article-journal","volume":"53"},"uris":["http://www.mendeley.com/documents/?uuid=7d6e79bf-1d70-4267-ac5a-9088167c65d1"]},{"id":"ITEM-2","itemData":{"DOI":"10.1016/j.jclepro.2017.12.162","ISSN":"09596526","abstract":"Since manufacturers are the main drivers in the selection of the materials used in their products, they have a special responsibility for investigating the accompanying sustainability aspects. The recently increased attention they pay to these issues is motivated not only by a sense of social responsibility, but also by pressure from customers and competitors. In particular, the three dimensions of sustainability – based on the triple bottom line of economic, environmental and social criteria – are of growing importance for sustainable supply chain management. Raw materials and their supply chains are often at the focus of attention, since manufacturers may need to diversify them for their products. Appropriate assessment models then become essential. Although raw material assessments and raw material-focused decision support schemes have recently been applied more often in the corporate context, several aspects such as indicator selection, weighting or social assessment are rarely considered. As a result, a comprehensive, sustainability-oriented raw material assessment and decision support scheme in the corporate context is not available in the scientific literature. In the design of such a scheme, four questions arise: First, how should a corporate-oriented raw material assessment model be structured? Second, how can all three sustainability dimensions be taken into account? Third, how can the application of raw material assessments in a corporate-oriented decision-making process increase the sustainability level of a company? And fourth, does a methodically structured raw material assessment model have advantages over existing models? To answer these questions, we have developed a model which takes into account state-of-the-art sustainability assessments as well as recent developments in the field of criticality analysis, life cycle impact assessment (LCIA) and social life cycle assessment (SLCA). With partners from both academia and industry we identify relevant quantitative indicators for structuring the assessment model and for calculating corresponding indicator weightings, using the analytic hierarchy process (AHP). To demonstrate the applicability of the assessment model for decision support and its benefits for companies in identifying potential hotspots in raw material supply chains, we present a case study that includes decision support for selecting capacitor technologies. A sensitivity analysis demonstrates the robustness of the assessment…","author":[{"dropping-particle":"","family":"Kolotzek","given":"Christoph","non-dropping-particle":"","parse-names":false,"suffix":""},{"dropping-particle":"","family":"Helbig","given":"Christoph","non-dropping-particle":"","parse-names":false,"suffix":""},{"dropping-particle":"","family":"Thorenz","given":"Andrea","non-dropping-particle":"","parse-names":false,"suffix":""},{"dropping-particle":"","family":"Reller","given":"Armin","non-dropping-particle":"","parse-names":false,"suffix":""},{"dropping-particle":"","family":"Tuma","given":"Axel","non-dropping-particle":"","parse-names":false,"suffix":""}],"container-title":"Journal of Cleaner Production","id":"ITEM-2","issued":{"date-parts":[["2018"]]},"page":"566-580","publisher":"Elsevier Ltd","title":"A company-oriented model for the assessment of raw material supply risks, environmental impact and social implications","type":"article-journal","volume":"176"},"uris":["http://www.mendeley.com/documents/?uuid=48f69ea7-179f-4f88-8016-7892a0fd9265"]},{"id":"ITEM-3","itemData":{"DOI":"10.1021/es203534z","ISSN":"1520-5851","PMID":"22191617","abstract":"A comprehensive methodology has been created to quantify the degree of criticality of the metals of the periodic table. In this paper, we present and discuss the methodology, which is comprised of three dimensions: supply risk, environmental implications, and vulnerability to supply restriction. Supply risk differs with the time scale (medium or long), and at its more complex involves several components, themselves composed of a number of distinct indicators drawn from readily available peer-reviewed indexes and public information. Vulnerability to supply restriction differs with the organizational level (i.e., global, national, and corporate). The criticality methodology, an enhancement of a United States National Research Council template, is designed to help corporate, national, and global stakeholders conduct risk evaluation and to inform resource utilization and strategic decision-making. Although we believe our methodological choices lead to the most robust results, the framework has been constructed to permit flexibility by the user. Specific indicators can be deleted or added as desired and weighted as the user deems appropriate. The value of each indicator will evolve over time, and our future research will focus on this evolution. The methodology has proven to be sufficiently robust as to make it applicable across the entire spectrum of metals and organizational levels and provides a structural approach that reflects the multifaceted factors influencing the availability of metals in the 21st century.","author":[{"dropping-particle":"","family":"Graedel","given":"T E","non-dropping-particle":"","parse-names":false,"suffix":""},{"dropping-particle":"","family":"Barr","given":"Rachel","non-dropping-particle":"","parse-names":false,"suffix":""},{"dropping-particle":"","family":"Chandler","given":"Chelsea","non-dropping-particle":"","parse-names":false,"suffix":""},{"dropping-particle":"","family":"Chase","given":"Thomas","non-dropping-particle":"","parse-names":false,"suffix":""},{"dropping-particle":"","family":"Choi","given":"Joanne","non-dropping-particle":"","parse-names":false,"suffix":""},{"dropping-particle":"","family":"Christoffersen","given":"Lee","non-dropping-particle":"","parse-names":false,"suffix":""},{"dropping-particle":"","family":"Friedlander","given":"Elizabeth","non-dropping-particle":"","parse-names":false,"suffix":""},{"dropping-particle":"","family":"Henly","given":"Claire","non-dropping-particle":"","parse-names":false,"suffix":""},{"dropping-particle":"","family":"Jun","given":"Christine","non-dropping-particle":"","parse-names":false,"suffix":""},{"dropping-particle":"","family":"Nassar","given":"Nedal T","non-dropping-particle":"","parse-names":false,"suffix":""},{"dropping-particle":"","family":"Schechner","given":"Daniel","non-dropping-particle":"","parse-names":false,"suffix":""},{"dropping-particle":"","family":"Warren","given":"Simon","non-dropping-particle":"","parse-names":false,"suffix":""},{"dropping-particle":"","family":"Yang","given":"Man-Yu","non-dropping-particle":"","parse-names":false,"suffix":""},{"dropping-particle":"","family":"Zhu","given":"Charles","non-dropping-particle":"","parse-names":false,"suffix":""}],"container-title":"Environmental science &amp; technology","id":"ITEM-3","issue":"2","issued":{"date-parts":[["2012","1","17"]]},"page":"1063-70","title":"Methodology of metal criticality determination.","type":"article-journal","volume":"46"},"uris":["http://www.mendeley.com/documents/?uuid=4b37e760-227c-4980-9a39-2c2806820c61"]}],"mendeley":{"formattedCitation":"(Bach et al., 2017b; Graedel et al., 2012; Kolotzek et al., 2018)","plainTextFormattedCitation":"(Bach et al., 2017b; Graedel et al., 2012; Kolotzek et al., 2018)","previouslyFormattedCitation":"(Bach et al., 2017b; Graedel et al., 2012; Kolotzek et al., 2018)"},"properties":{"noteIndex":0},"schema":"https://github.com/citation-style-language/schema/raw/master/csl-citation.json"}</w:instrText>
      </w:r>
      <w:r w:rsidR="00055A4D">
        <w:fldChar w:fldCharType="separate"/>
      </w:r>
      <w:r w:rsidR="002B45EF" w:rsidRPr="002B45EF">
        <w:rPr>
          <w:noProof/>
        </w:rPr>
        <w:t>(Bach et al., 2017b; Graedel et al., 2012; Kolotzek et al., 2018)</w:t>
      </w:r>
      <w:r w:rsidR="00055A4D">
        <w:fldChar w:fldCharType="end"/>
      </w:r>
      <w:r w:rsidR="00031536">
        <w:t>)</w:t>
      </w:r>
      <w:r w:rsidR="00055A4D">
        <w:t xml:space="preserve">, the indicators seem to reflect different </w:t>
      </w:r>
      <w:r w:rsidR="00EF6C1E">
        <w:t>perspectives regarding the anticipated risks</w:t>
      </w:r>
      <w:r w:rsidR="00055A4D">
        <w:t xml:space="preserve"> that may or may not be correlated to one another. </w:t>
      </w:r>
      <w:r w:rsidR="00EB265C">
        <w:t>The following perspective</w:t>
      </w:r>
      <w:r w:rsidR="00031536">
        <w:t>s</w:t>
      </w:r>
      <w:r w:rsidR="00EB265C">
        <w:t xml:space="preserve"> </w:t>
      </w:r>
      <w:r w:rsidR="00055A4D">
        <w:t>have</w:t>
      </w:r>
      <w:r w:rsidR="00EB265C">
        <w:t xml:space="preserve"> been</w:t>
      </w:r>
      <w:r w:rsidR="00055A4D">
        <w:t xml:space="preserve"> identified in the reviewed </w:t>
      </w:r>
      <w:r w:rsidR="00037C9F">
        <w:t>methodologies:</w:t>
      </w:r>
    </w:p>
    <w:p w14:paraId="53D9178F" w14:textId="52FFE830" w:rsidR="001C6122" w:rsidRDefault="001C6122" w:rsidP="00863B14">
      <w:pPr>
        <w:pStyle w:val="ListParagraph"/>
        <w:numPr>
          <w:ilvl w:val="0"/>
          <w:numId w:val="1"/>
        </w:numPr>
        <w:spacing w:line="480" w:lineRule="auto"/>
        <w:jc w:val="both"/>
      </w:pPr>
      <w:r>
        <w:rPr>
          <w:i/>
        </w:rPr>
        <w:t xml:space="preserve">Perspective 1: Environmental/social impacts as a source of supply risk </w:t>
      </w:r>
      <w:r>
        <w:fldChar w:fldCharType="begin" w:fldLock="1"/>
      </w:r>
      <w:r w:rsidR="00D35F6A">
        <w:instrText>ADDIN CSL_CITATION {"citationItems":[{"id":"ITEM-1","itemData":{"DOI":"10.1002/eji.200839120.IL-17-Producing","ISBN":"0169-1368","ISSN":"1521-4141","PMID":"19283718","abstract":"Although raw materials are essential for the EU economy, their availability is increasingly under pressure. Within the framework of the EU Raw Materials Initiative, it was decided to identify a list of critical raw materials at EU level, in close cooperation with Member States and stakeholders. The attached report presents the outcome of this cooperation achieved through an expert working group (\"the Group\") which was active between April 2009 and June 2010 under the umbrella of the Raw Materials Supply Group. With regards to geological availability, the Group observes that, as geological scarcity is not considered as an issue for determining criticality of raw materials within the considered time horizon of the study, e.g. ten years, global reserve figures are not reliable indicators of long term availability. Of greater relevance are changes in the geopolitical-economic framework that impact on the supply and demand of raw materials. These changes relate to the growing demand for raw materials, which in turn is driven by the growth of developing economies and new emerging technologies. Moreover, many emerging economies are pursuing industrial development strategies by means of trade, taxation and investment instruments aimed at reserving their resource base for their exclusive use. This trend has become apparent through an increasing number of government measures such as export taxes, quotas, subsidies etc. In some cases, the situation is further compounded by a high level of concentration of the production in a few countries. This report analyses a selection of 41 minerals and metals. In line with other studies, the report puts forward a relative concept of criticality. This means that raw material is labelled critical when the risks of supply shortage and their impacts on the economy are higher compared with most of the other raw materials. Two types of risks are considered: a) the \"supply risk\" taking into account the political-economic stability of the producing countries, the level of concentration of production, the potential for substitution and the recycling rate; and b) the \"environmental country risk\" assessing the risks that measures might be taken by countries with weak environmental performance in order to protect the environment and, in doing so, endanger the supply of raw materials to the EU. Building on existing approaches, this report sets out an innovative and pragmatic approach to determining criticality.","author":[{"dropping-particle":"","family":"European Commission","given":"","non-dropping-particle":"","parse-names":false,"suffix":""}],"container-title":"Eucom","id":"ITEM-1","issue":"July","issued":{"date-parts":[["2010"]]},"number-of-pages":"1-84","title":"Critical raw materials for the EU, Report of the Ad-hoc Working Group on defining critical raw materials","type":"report","volume":"39"},"uris":["http://www.mendeley.com/documents/?uuid=818a8ad6-2248-4bba-9243-ab66e518266e"]}],"mendeley":{"formattedCitation":"(European Commission, 2010)","manualFormatting":"(e.g. European Commission 2010)","plainTextFormattedCitation":"(European Commission, 2010)","previouslyFormattedCitation":"(European Commission, 2010)"},"properties":{"noteIndex":0},"schema":"https://github.com/citation-style-language/schema/raw/master/csl-citation.json"}</w:instrText>
      </w:r>
      <w:r>
        <w:fldChar w:fldCharType="separate"/>
      </w:r>
      <w:r>
        <w:rPr>
          <w:noProof/>
        </w:rPr>
        <w:t>(e.g. European Commission 2010)</w:t>
      </w:r>
      <w:r>
        <w:fldChar w:fldCharType="end"/>
      </w:r>
      <w:r>
        <w:rPr>
          <w:i/>
        </w:rPr>
        <w:t xml:space="preserve">: </w:t>
      </w:r>
      <w:r>
        <w:t xml:space="preserve">Environmental impacts cause a high or low probability </w:t>
      </w:r>
      <w:r w:rsidR="00497462">
        <w:t>of</w:t>
      </w:r>
      <w:r>
        <w:t xml:space="preserve"> </w:t>
      </w:r>
      <w:r w:rsidR="00031536">
        <w:t xml:space="preserve">a </w:t>
      </w:r>
      <w:r>
        <w:t>supply disruption of a material due to potential regulations</w:t>
      </w:r>
    </w:p>
    <w:p w14:paraId="4A699E24" w14:textId="301BB4B4" w:rsidR="001C6122" w:rsidRDefault="001C6122" w:rsidP="00863B14">
      <w:pPr>
        <w:pStyle w:val="ListParagraph"/>
        <w:numPr>
          <w:ilvl w:val="0"/>
          <w:numId w:val="1"/>
        </w:numPr>
        <w:spacing w:line="480" w:lineRule="auto"/>
        <w:jc w:val="both"/>
      </w:pPr>
      <w:r>
        <w:rPr>
          <w:i/>
        </w:rPr>
        <w:t>Perspective 2: Vulnerability of the environment/social values to material use</w:t>
      </w:r>
      <w:r>
        <w:t xml:space="preserve"> </w:t>
      </w:r>
      <w:r>
        <w:fldChar w:fldCharType="begin" w:fldLock="1"/>
      </w:r>
      <w:r w:rsidR="00D35F6A">
        <w:instrText>ADDIN CSL_CITATION {"citationItems":[{"id":"ITEM-1","itemData":{"DOI":"10.1021/es203534z","ISSN":"1520-5851","PMID":"22191617","abstract":"A comprehensive methodology has been created to quantify the degree of criticality of the metals of the periodic table. In this paper, we present and discuss the methodology, which is comprised of three dimensions: supply risk, environmental implications, and vulnerability to supply restriction. Supply risk differs with the time scale (medium or long), and at its more complex involves several components, themselves composed of a number of distinct indicators drawn from readily available peer-reviewed indexes and public information. Vulnerability to supply restriction differs with the organizational level (i.e., global, national, and corporate). The criticality methodology, an enhancement of a United States National Research Council template, is designed to help corporate, national, and global stakeholders conduct risk evaluation and to inform resource utilization and strategic decision-making. Although we believe our methodological choices lead to the most robust results, the framework has been constructed to permit flexibility by the user. Specific indicators can be deleted or added as desired and weighted as the user deems appropriate. The value of each indicator will evolve over time, and our future research will focus on this evolution. The methodology has proven to be sufficiently robust as to make it applicable across the entire spectrum of metals and organizational levels and provides a structural approach that reflects the multifaceted factors influencing the availability of metals in the 21st century.","author":[{"dropping-particle":"","family":"Graedel","given":"T E","non-dropping-particle":"","parse-names":false,"suffix":""},{"dropping-particle":"","family":"Barr","given":"Rachel","non-dropping-particle":"","parse-names":false,"suffix":""},{"dropping-particle":"","family":"Chandler","given":"Chelsea","non-dropping-particle":"","parse-names":false,"suffix":""},{"dropping-particle":"","family":"Chase","given":"Thomas","non-dropping-particle":"","parse-names":false,"suffix":""},{"dropping-particle":"","family":"Choi","given":"Joanne","non-dropping-particle":"","parse-names":false,"suffix":""},{"dropping-particle":"","family":"Christoffersen","given":"Lee","non-dropping-particle":"","parse-names":false,"suffix":""},{"dropping-particle":"","family":"Friedlander","given":"Elizabeth","non-dropping-particle":"","parse-names":false,"suffix":""},{"dropping-particle":"","family":"Henly","given":"Claire","non-dropping-particle":"","parse-names":false,"suffix":""},{"dropping-particle":"","family":"Jun","given":"Christine","non-dropping-particle":"","parse-names":false,"suffix":""},{"dropping-particle":"","family":"Nassar","given":"Nedal T","non-dropping-particle":"","parse-names":false,"suffix":""},{"dropping-particle":"","family":"Schechner","given":"Daniel","non-dropping-particle":"","parse-names":false,"suffix":""},{"dropping-particle":"","family":"Warren","given":"Simon","non-dropping-particle":"","parse-names":false,"suffix":""},{"dropping-particle":"","family":"Yang","given":"Man-Yu","non-dropping-particle":"","parse-names":false,"suffix":""},{"dropping-particle":"","family":"Zhu","given":"Charles","non-dropping-particle":"","parse-names":false,"suffix":""}],"container-title":"Environmental science &amp; technology","id":"ITEM-1","issue":"2","issued":{"date-parts":[["2012","1","17"]]},"page":"1063-70","title":"Methodology of metal criticality determination.","type":"article-journal","volume":"46"},"uris":["http://www.mendeley.com/documents/?uuid=49fe8c5a-84cb-4122-83ad-d3acfeddefaa"]}],"mendeley":{"formattedCitation":"(Graedel et al., 2012)","manualFormatting":"(e.g. Graedel et al 2012)","plainTextFormattedCitation":"(Graedel et al., 2012)","previouslyFormattedCitation":"(Graedel et al., 2012)"},"properties":{"noteIndex":0},"schema":"https://github.com/citation-style-language/schema/raw/master/csl-citation.json"}</w:instrText>
      </w:r>
      <w:r>
        <w:fldChar w:fldCharType="separate"/>
      </w:r>
      <w:r>
        <w:rPr>
          <w:noProof/>
        </w:rPr>
        <w:t>(e.g. Graedel et al 2012)</w:t>
      </w:r>
      <w:r>
        <w:fldChar w:fldCharType="end"/>
      </w:r>
      <w:r>
        <w:t>: The use of a material has a high or low impact on the environment</w:t>
      </w:r>
    </w:p>
    <w:p w14:paraId="50E4B912" w14:textId="7EC8000C" w:rsidR="001C6122" w:rsidRDefault="001C6122" w:rsidP="00863B14">
      <w:pPr>
        <w:pStyle w:val="ListParagraph"/>
        <w:numPr>
          <w:ilvl w:val="0"/>
          <w:numId w:val="1"/>
        </w:numPr>
        <w:spacing w:line="480" w:lineRule="auto"/>
        <w:jc w:val="both"/>
      </w:pPr>
      <w:r>
        <w:rPr>
          <w:i/>
        </w:rPr>
        <w:t>Perspective 3: Environmental/social risk</w:t>
      </w:r>
      <w:r>
        <w:t xml:space="preserve"> (e.g. proposed by </w:t>
      </w:r>
      <w:r>
        <w:fldChar w:fldCharType="begin" w:fldLock="1"/>
      </w:r>
      <w:r w:rsidR="00031536">
        <w:instrText>ADDIN CSL_CITATION {"citationItems":[{"id":"ITEM-1","itemData":{"DOI":"10.1088/1361-6463/aa5b64","ISSN":"13616463","abstract":"The past decade has seen a resurgence of interest in the supply security of mineral raw materials. A key to the current debate is the concept of ‘criticality’. The present article reviews the criticality concept, as well as the methodologies used in its assessment, including a critical evaluation of their validity in view of classical risk theory. Furthermore, it discusses a number of risks present in global raw materials markets that are not captured by most criticality assessments. Proposed measures for the alleviation of these risks are also presented. We find that current assessments of raw material criticality are fundamentally flawed in several ways. This is mostly due to a lack of adherence to risk theory, and highly limits their applicability. Many of the raw materials generally identified as critical are probably not critical. Still, the flaws of current assessments do not mean that the general issue of supply security can simply be ignored. Rather, it implies that new assessments are required. While the basic theoretical framework for such assessments is outlined in this review, detailed method development will require a major collaborative effort between different disciplines along the raw materials value chain. In the opinion of the authors, the greatest longer-term challenge in the raw materials sector is to stop, or counteract the effects of, the escalation of unit energy costs of production. This issue is particularly pressing due to its close link with the renewable energy transition, requiring more metal and mineral raw materials per unit energy produced. The solution to this problem will require coordinated policy action, as well as the collaboration of scientists from many different fields—with physics, as well as the materials and earth sciences in the lead.","author":[{"dropping-particle":"","family":"Frenzel","given":"M.","non-dropping-particle":"","parse-names":false,"suffix":""},{"dropping-particle":"","family":"Kullik","given":"J.","non-dropping-particle":"","parse-names":false,"suffix":""},{"dropping-particle":"","family":"Reuter","given":"M. A.","non-dropping-particle":"","parse-names":false,"suffix":""},{"dropping-particle":"","family":"Gutzmer","given":"J.","non-dropping-particle":"","parse-names":false,"suffix":""}],"container-title":"Journal of Physics D: Applied Physics","id":"ITEM-1","issue":"12","issued":{"date-parts":[["2017"]]},"publisher":"IOP Publishing","title":"Raw material 'criticality' - Sense or nonsense?","type":"article-journal","volume":"50"},"uris":["http://www.mendeley.com/documents/?uuid=001fc538-2314-4451-94e6-17dfb8d125f3"]}],"mendeley":{"formattedCitation":"(Frenzel et al., 2017)","manualFormatting":"Frenzel et al. (2017)","plainTextFormattedCitation":"(Frenzel et al., 2017)","previouslyFormattedCitation":"(Frenzel et al., 2017)"},"properties":{"noteIndex":0},"schema":"https://github.com/citation-style-language/schema/raw/master/csl-citation.json"}</w:instrText>
      </w:r>
      <w:r>
        <w:fldChar w:fldCharType="separate"/>
      </w:r>
      <w:r w:rsidR="002B45EF" w:rsidRPr="002B45EF">
        <w:rPr>
          <w:noProof/>
        </w:rPr>
        <w:t xml:space="preserve">Frenzel et al. </w:t>
      </w:r>
      <w:r w:rsidR="00031536">
        <w:rPr>
          <w:noProof/>
        </w:rPr>
        <w:t>(</w:t>
      </w:r>
      <w:r w:rsidR="002B45EF" w:rsidRPr="002B45EF">
        <w:rPr>
          <w:noProof/>
        </w:rPr>
        <w:t>2017)</w:t>
      </w:r>
      <w:r>
        <w:fldChar w:fldCharType="end"/>
      </w:r>
      <w:r>
        <w:t>): The disrupted availability of a material has a high or low impact on the environment or on social values</w:t>
      </w:r>
    </w:p>
    <w:p w14:paraId="719CDA40" w14:textId="77777777" w:rsidR="001C6122" w:rsidRDefault="001C6122" w:rsidP="00863B14">
      <w:pPr>
        <w:pStyle w:val="ListParagraph"/>
        <w:numPr>
          <w:ilvl w:val="0"/>
          <w:numId w:val="1"/>
        </w:numPr>
        <w:spacing w:line="480" w:lineRule="auto"/>
        <w:jc w:val="both"/>
      </w:pPr>
      <w:r>
        <w:rPr>
          <w:i/>
        </w:rPr>
        <w:t xml:space="preserve">Perspective 4: Reputational risk </w:t>
      </w:r>
      <w:r>
        <w:t>(e.g. ESSENZ): The use of a material with a high environmental or social impact affects the reputation of the company.</w:t>
      </w:r>
    </w:p>
    <w:p w14:paraId="10354405" w14:textId="7CD563C5" w:rsidR="00D422A8" w:rsidRDefault="00031536" w:rsidP="00863B14">
      <w:pPr>
        <w:spacing w:line="480" w:lineRule="auto"/>
        <w:jc w:val="both"/>
      </w:pPr>
      <w:r>
        <w:rPr>
          <w:iCs/>
        </w:rPr>
        <w:t xml:space="preserve">A discussion is provided </w:t>
      </w:r>
      <w:r>
        <w:t>i</w:t>
      </w:r>
      <w:r w:rsidR="00C76FBC" w:rsidRPr="00C00E07">
        <w:t xml:space="preserve">n </w:t>
      </w:r>
      <w:r w:rsidR="00EB265C">
        <w:t xml:space="preserve">Section S4 of </w:t>
      </w:r>
      <w:r w:rsidR="00C76FBC" w:rsidRPr="00C00E07">
        <w:t>SI</w:t>
      </w:r>
      <w:r w:rsidR="00EB265C">
        <w:t>-D</w:t>
      </w:r>
      <w:r w:rsidR="00C76FBC" w:rsidRPr="00C00E07">
        <w:t xml:space="preserve"> </w:t>
      </w:r>
      <w:r w:rsidR="007E0831">
        <w:t xml:space="preserve">as to </w:t>
      </w:r>
      <w:r w:rsidR="00C76FBC" w:rsidRPr="00C00E07">
        <w:t>how these different perspectives are considered within the reviewed criticality assessments</w:t>
      </w:r>
      <w:r w:rsidR="00C76FBC">
        <w:t xml:space="preserve">. </w:t>
      </w:r>
      <w:r w:rsidR="00D422A8">
        <w:t xml:space="preserve">Several method developers (e.g. EU and KIRAM/KITECH) highlight environmental and social issues as future research needs. An evaluation of the appropriate perspective(s) can be helpful for a potential integration of environmental and social factors into existing </w:t>
      </w:r>
      <w:r w:rsidR="00AD32DE">
        <w:t>methods</w:t>
      </w:r>
      <w:r w:rsidR="00D422A8">
        <w:t xml:space="preserve">. As long as clear cause-and-effect mechanisms are not yet formulated on the influence of environmental and social implications on criticality, it is recommended to present environmental and social implications as a separate dimension </w:t>
      </w:r>
      <w:r w:rsidR="00037C9F">
        <w:t xml:space="preserve">for </w:t>
      </w:r>
      <w:r w:rsidR="00D763C3">
        <w:t xml:space="preserve">the </w:t>
      </w:r>
      <w:r w:rsidR="00037C9F">
        <w:t>identification</w:t>
      </w:r>
      <w:r w:rsidR="00D422A8">
        <w:t xml:space="preserve"> and </w:t>
      </w:r>
      <w:r w:rsidR="00037C9F">
        <w:t xml:space="preserve">resolution </w:t>
      </w:r>
      <w:r w:rsidR="00540D70">
        <w:t xml:space="preserve">of </w:t>
      </w:r>
      <w:r w:rsidR="00D422A8">
        <w:t xml:space="preserve">possible trade-offs.   </w:t>
      </w:r>
    </w:p>
    <w:p w14:paraId="21616D1C" w14:textId="2989C055" w:rsidR="002022CB" w:rsidRPr="00461A6A" w:rsidRDefault="00D3304D" w:rsidP="00D3304D">
      <w:pPr>
        <w:pStyle w:val="Heading5"/>
        <w:numPr>
          <w:ilvl w:val="3"/>
          <w:numId w:val="61"/>
        </w:numPr>
        <w:rPr>
          <w:highlight w:val="yellow"/>
        </w:rPr>
      </w:pPr>
      <w:r w:rsidRPr="00461A6A">
        <w:rPr>
          <w:highlight w:val="yellow"/>
        </w:rPr>
        <w:t>The resilience concept</w:t>
      </w:r>
    </w:p>
    <w:p w14:paraId="31E903A9" w14:textId="151CC09D" w:rsidR="00D3304D" w:rsidRPr="000233D9" w:rsidRDefault="00B44F0F" w:rsidP="00461A6A">
      <w:pPr>
        <w:spacing w:line="480" w:lineRule="auto"/>
        <w:jc w:val="both"/>
      </w:pPr>
      <w:r w:rsidRPr="00461A6A">
        <w:rPr>
          <w:highlight w:val="yellow"/>
        </w:rPr>
        <w:t>The previous sections demonstrate that a clear-cut separation of supply risk indicators, vulnerability indicators, or suggested mitigation options is not always applied nor straight</w:t>
      </w:r>
      <w:r w:rsidR="00D93C46" w:rsidRPr="00461A6A">
        <w:rPr>
          <w:highlight w:val="yellow"/>
        </w:rPr>
        <w:t>forward</w:t>
      </w:r>
      <w:r w:rsidR="00CD70C4" w:rsidRPr="00461A6A">
        <w:rPr>
          <w:highlight w:val="yellow"/>
        </w:rPr>
        <w:t xml:space="preserve"> </w:t>
      </w:r>
      <w:r w:rsidR="00CD70C4" w:rsidRPr="00461A6A">
        <w:rPr>
          <w:highlight w:val="yellow"/>
        </w:rPr>
        <w:lastRenderedPageBreak/>
        <w:t>in criticality evaluations</w:t>
      </w:r>
      <w:r w:rsidR="00D93C46" w:rsidRPr="00461A6A">
        <w:rPr>
          <w:highlight w:val="yellow"/>
        </w:rPr>
        <w:t xml:space="preserve">. </w:t>
      </w:r>
      <w:r w:rsidR="00D3304D" w:rsidRPr="00461A6A">
        <w:rPr>
          <w:highlight w:val="yellow"/>
        </w:rPr>
        <w:fldChar w:fldCharType="begin" w:fldLock="1"/>
      </w:r>
      <w:r w:rsidR="00D3304D" w:rsidRPr="00461A6A">
        <w:rPr>
          <w:highlight w:val="yellow"/>
        </w:rPr>
        <w:instrText>ADDIN CSL_CITATION {"citationItems":[{"id":"ITEM-1","itemData":{"DOI":"10.1016/j.resourpol.2016.09.008","ISBN":"0301-4207","ISSN":"03014207","abstract":"This paper brings a discussion on the current state-of-the-art in criticality assessment in an international context. It analyzes the status of resource criticality concepts and their calculation methods. The current practice often exhibits a common two-axis assessment framework but the way the two axes are further operationalized shows heterogeneous approaches. Apart from the two-axis as key element of criticality assessment, the scope of the materials, the role of substitution, the delineation of the supply chain and data, and indicator selection are addressed as key elements. The abovementioned criticality assessment practice is approached in function of the upcoming international debate on criticality. The paper tackles the role of criticality assessment in the context of the sustainability assessment toolbox and it proposes a clear distinction between criticality assessment and resilience to criticality. The insights offered in the paper may feed the international discussion in the identification of elements that may be harmonized and elements that may be better left open in function of the particular application.","author":[{"dropping-particle":"","family":"Dewulf","given":"Jo","non-dropping-particle":"","parse-names":false,"suffix":""},{"dropping-particle":"","family":"Blengini","given":"Gian Andrea","non-dropping-particle":"","parse-names":false,"suffix":""},{"dropping-particle":"","family":"Pennington","given":"David","non-dropping-particle":"","parse-names":false,"suffix":""},{"dropping-particle":"","family":"Nuss","given":"Philip","non-dropping-particle":"","parse-names":false,"suffix":""},{"dropping-particle":"","family":"Nassar","given":"Nedal T.","non-dropping-particle":"","parse-names":false,"suffix":""}],"container-title":"Resources Policy","id":"ITEM-1","issue":"October","issued":{"date-parts":[["2016"]]},"page":"169-176","title":"Criticality on the international scene: Quo vadis?","type":"article-journal","volume":"50"},"uris":["http://www.mendeley.com/documents/?uuid=e1e71eb6-6609-4abd-bd00-bd3915e1c3f5"]}],"mendeley":{"formattedCitation":"(Dewulf et al., 2016)","plainTextFormattedCitation":"(Dewulf et al., 2016)","previouslyFormattedCitation":"(Dewulf et al., 2016)"},"properties":{"noteIndex":0},"schema":"https://github.com/citation-style-language/schema/raw/master/csl-citation.json"}</w:instrText>
      </w:r>
      <w:r w:rsidR="00D3304D" w:rsidRPr="00461A6A">
        <w:rPr>
          <w:highlight w:val="yellow"/>
        </w:rPr>
        <w:fldChar w:fldCharType="separate"/>
      </w:r>
      <w:r w:rsidR="00D3304D" w:rsidRPr="00461A6A">
        <w:rPr>
          <w:noProof/>
          <w:highlight w:val="yellow"/>
        </w:rPr>
        <w:t>Dewulf et al. (2016)</w:t>
      </w:r>
      <w:r w:rsidR="00D3304D" w:rsidRPr="00461A6A">
        <w:rPr>
          <w:highlight w:val="yellow"/>
        </w:rPr>
        <w:fldChar w:fldCharType="end"/>
      </w:r>
      <w:r w:rsidR="00D3304D" w:rsidRPr="00461A6A">
        <w:rPr>
          <w:highlight w:val="yellow"/>
        </w:rPr>
        <w:t xml:space="preserve"> point out that most criticality assessments are backward-looking and that a more forward-looking approach </w:t>
      </w:r>
      <w:r w:rsidR="00D3304D" w:rsidRPr="00461A6A">
        <w:rPr>
          <w:noProof/>
          <w:highlight w:val="yellow"/>
        </w:rPr>
        <w:t>could be a promising new perspective in criticality research, investigating how economies could respond to potential supply disruptions by responsive actions to improve supply chain resilience (see e.g. Mancheeri et al. (2018) and Sprecher et al. (2017))</w:t>
      </w:r>
      <w:r w:rsidR="00D93C46" w:rsidRPr="00461A6A">
        <w:rPr>
          <w:noProof/>
          <w:highlight w:val="yellow"/>
        </w:rPr>
        <w:t xml:space="preserve"> – or, in other words, to decrease </w:t>
      </w:r>
      <w:r w:rsidR="00405F56" w:rsidRPr="00461A6A">
        <w:rPr>
          <w:noProof/>
          <w:highlight w:val="yellow"/>
        </w:rPr>
        <w:t>the supply chain vulnerability to supply disruptions</w:t>
      </w:r>
      <w:r w:rsidR="00D3304D" w:rsidRPr="00461A6A">
        <w:rPr>
          <w:noProof/>
          <w:highlight w:val="yellow"/>
        </w:rPr>
        <w:t xml:space="preserve">. </w:t>
      </w:r>
      <w:r w:rsidR="00D3304D" w:rsidRPr="00461A6A">
        <w:rPr>
          <w:highlight w:val="yellow"/>
          <w:lang w:val="en-GB"/>
        </w:rPr>
        <w:t xml:space="preserve">Recent studies have discussed barriers and enablers for mitigation strategies to enhance supply chain resilience on the company level (Gardner and </w:t>
      </w:r>
      <w:proofErr w:type="spellStart"/>
      <w:r w:rsidR="00D3304D" w:rsidRPr="00461A6A">
        <w:rPr>
          <w:highlight w:val="yellow"/>
          <w:lang w:val="en-GB"/>
        </w:rPr>
        <w:t>Colwill</w:t>
      </w:r>
      <w:proofErr w:type="spellEnd"/>
      <w:r w:rsidR="00D3304D" w:rsidRPr="00461A6A">
        <w:rPr>
          <w:highlight w:val="yellow"/>
          <w:lang w:val="en-GB"/>
        </w:rPr>
        <w:t>, 2018; Griffin et al., 2019; Bustamante et al., 2017); some of them with an emphasis of circular economy strategies (</w:t>
      </w:r>
      <w:proofErr w:type="spellStart"/>
      <w:r w:rsidR="00D3304D" w:rsidRPr="00461A6A">
        <w:rPr>
          <w:highlight w:val="yellow"/>
          <w:lang w:val="en-GB"/>
        </w:rPr>
        <w:t>Gaustad</w:t>
      </w:r>
      <w:proofErr w:type="spellEnd"/>
      <w:r w:rsidR="00D3304D" w:rsidRPr="00461A6A">
        <w:rPr>
          <w:highlight w:val="yellow"/>
          <w:lang w:val="en-GB"/>
        </w:rPr>
        <w:t xml:space="preserve"> et al., 2018; </w:t>
      </w:r>
      <w:proofErr w:type="spellStart"/>
      <w:r w:rsidR="00D3304D" w:rsidRPr="00461A6A">
        <w:rPr>
          <w:highlight w:val="yellow"/>
          <w:lang w:val="en-GB"/>
        </w:rPr>
        <w:t>Lapko</w:t>
      </w:r>
      <w:proofErr w:type="spellEnd"/>
      <w:r w:rsidR="00D3304D" w:rsidRPr="00461A6A">
        <w:rPr>
          <w:highlight w:val="yellow"/>
          <w:lang w:val="en-GB"/>
        </w:rPr>
        <w:t xml:space="preserve"> et al., 2018). Further exploration of the</w:t>
      </w:r>
      <w:r w:rsidR="00981E5C" w:rsidRPr="00461A6A">
        <w:rPr>
          <w:highlight w:val="yellow"/>
          <w:lang w:val="en-GB"/>
        </w:rPr>
        <w:t xml:space="preserve"> resilience concept </w:t>
      </w:r>
      <w:r w:rsidR="00D3304D" w:rsidRPr="00461A6A">
        <w:rPr>
          <w:highlight w:val="yellow"/>
          <w:lang w:val="en-GB"/>
        </w:rPr>
        <w:t>could provide more understanding in the cause-and-effect mechanisms between supply risks, vulnerability, and potential mitigation options and whether it is indeed useful to distinguish these three types of indicators.</w:t>
      </w:r>
    </w:p>
    <w:p w14:paraId="24A43886" w14:textId="77777777" w:rsidR="00D3304D" w:rsidRPr="00461A6A" w:rsidRDefault="00D3304D" w:rsidP="00461A6A">
      <w:pPr>
        <w:rPr>
          <w:lang w:eastAsia="en-US"/>
        </w:rPr>
      </w:pPr>
    </w:p>
    <w:p w14:paraId="7FB4FC13" w14:textId="77D4558F" w:rsidR="00000B19" w:rsidRDefault="00000B19" w:rsidP="00461A6A">
      <w:pPr>
        <w:pStyle w:val="Heading4"/>
        <w:numPr>
          <w:ilvl w:val="2"/>
          <w:numId w:val="44"/>
        </w:numPr>
      </w:pPr>
      <w:bookmarkStart w:id="47" w:name="_Toc10458664"/>
      <w:r w:rsidRPr="00CF3090">
        <w:t>Data availability</w:t>
      </w:r>
    </w:p>
    <w:p w14:paraId="572BD3D8" w14:textId="77777777" w:rsidR="00CF3090" w:rsidRPr="007A6D1B" w:rsidRDefault="00CF3090" w:rsidP="00461A6A"/>
    <w:p w14:paraId="139DD541" w14:textId="6F39BF8A" w:rsidR="00000B19" w:rsidRDefault="00000B19" w:rsidP="00000B19">
      <w:pPr>
        <w:spacing w:line="480" w:lineRule="auto"/>
        <w:jc w:val="both"/>
      </w:pPr>
      <w:r w:rsidRPr="00C7487F">
        <w:fldChar w:fldCharType="begin"/>
      </w:r>
      <w:r w:rsidRPr="00C7487F">
        <w:instrText xml:space="preserve"> REF _Ref4489029 \h </w:instrText>
      </w:r>
      <w:r w:rsidR="00C7487F">
        <w:instrText xml:space="preserve"> \* MERGEFORMAT </w:instrText>
      </w:r>
      <w:r w:rsidRPr="00C7487F">
        <w:fldChar w:fldCharType="separate"/>
      </w:r>
      <w:r w:rsidRPr="00C7487F">
        <w:t xml:space="preserve">Figure </w:t>
      </w:r>
      <w:r w:rsidRPr="00C7487F">
        <w:rPr>
          <w:noProof/>
        </w:rPr>
        <w:t>2</w:t>
      </w:r>
      <w:r w:rsidRPr="00C7487F">
        <w:fldChar w:fldCharType="end"/>
      </w:r>
      <w:r w:rsidRPr="00C7487F">
        <w:t xml:space="preserve"> illustrates that data availability influences the outcomes of materials criticality </w:t>
      </w:r>
      <w:r w:rsidRPr="00461A6A">
        <w:t>assessment</w:t>
      </w:r>
      <w:r w:rsidRPr="00C7487F">
        <w:t xml:space="preserve">s in at least three different ways: by affecting </w:t>
      </w:r>
      <w:r w:rsidR="00231589" w:rsidRPr="00461A6A">
        <w:rPr>
          <w:highlight w:val="yellow"/>
        </w:rPr>
        <w:t xml:space="preserve">the </w:t>
      </w:r>
      <w:r w:rsidRPr="00461A6A">
        <w:rPr>
          <w:highlight w:val="yellow"/>
        </w:rPr>
        <w:t>goal and scope of the assessment, the selection of the indicators</w:t>
      </w:r>
      <w:r w:rsidR="00B032D1" w:rsidRPr="00461A6A">
        <w:rPr>
          <w:highlight w:val="yellow"/>
        </w:rPr>
        <w:t>,</w:t>
      </w:r>
      <w:r w:rsidRPr="00461A6A">
        <w:rPr>
          <w:highlight w:val="yellow"/>
        </w:rPr>
        <w:t xml:space="preserve"> and the evaluation of the selected indicators. The</w:t>
      </w:r>
      <w:r w:rsidR="00686885" w:rsidRPr="00461A6A">
        <w:rPr>
          <w:highlight w:val="yellow"/>
        </w:rPr>
        <w:t>se</w:t>
      </w:r>
      <w:r w:rsidRPr="00461A6A">
        <w:rPr>
          <w:highlight w:val="yellow"/>
        </w:rPr>
        <w:t xml:space="preserve"> three</w:t>
      </w:r>
      <w:r w:rsidR="00686885" w:rsidRPr="00461A6A">
        <w:rPr>
          <w:highlight w:val="yellow"/>
        </w:rPr>
        <w:t xml:space="preserve"> relationships</w:t>
      </w:r>
      <w:r w:rsidRPr="00461A6A">
        <w:rPr>
          <w:highlight w:val="yellow"/>
        </w:rPr>
        <w:t xml:space="preserve"> are further discussed in the sections 3.2.2.2 </w:t>
      </w:r>
      <w:r w:rsidR="00FA7B22" w:rsidRPr="00461A6A">
        <w:rPr>
          <w:highlight w:val="yellow"/>
        </w:rPr>
        <w:t>and</w:t>
      </w:r>
      <w:r w:rsidRPr="00461A6A">
        <w:rPr>
          <w:highlight w:val="yellow"/>
        </w:rPr>
        <w:t xml:space="preserve"> 3.2.2.</w:t>
      </w:r>
      <w:r w:rsidR="00FA7B22" w:rsidRPr="00461A6A">
        <w:rPr>
          <w:highlight w:val="yellow"/>
        </w:rPr>
        <w:t>3</w:t>
      </w:r>
      <w:r w:rsidRPr="00461A6A">
        <w:rPr>
          <w:highlight w:val="yellow"/>
        </w:rPr>
        <w:t xml:space="preserve">, following </w:t>
      </w:r>
      <w:r w:rsidR="00E21C61" w:rsidRPr="00461A6A">
        <w:rPr>
          <w:highlight w:val="yellow"/>
        </w:rPr>
        <w:t>a review</w:t>
      </w:r>
      <w:r w:rsidRPr="00461A6A">
        <w:rPr>
          <w:highlight w:val="yellow"/>
        </w:rPr>
        <w:t xml:space="preserve"> on data sources and their limitations.</w:t>
      </w:r>
    </w:p>
    <w:p w14:paraId="0CDC80D2" w14:textId="77777777" w:rsidR="007447F2" w:rsidRDefault="007447F2" w:rsidP="00000B19">
      <w:pPr>
        <w:spacing w:line="480" w:lineRule="auto"/>
        <w:jc w:val="both"/>
      </w:pPr>
    </w:p>
    <w:p w14:paraId="290ADAA2" w14:textId="2DD0A020" w:rsidR="00000B19" w:rsidRPr="00461A6A" w:rsidRDefault="00000B19" w:rsidP="00461A6A">
      <w:pPr>
        <w:pStyle w:val="Heading5"/>
        <w:numPr>
          <w:ilvl w:val="3"/>
          <w:numId w:val="44"/>
        </w:numPr>
        <w:spacing w:line="480" w:lineRule="auto"/>
        <w:rPr>
          <w:highlight w:val="green"/>
        </w:rPr>
      </w:pPr>
      <w:r w:rsidRPr="00461A6A">
        <w:rPr>
          <w:highlight w:val="green"/>
        </w:rPr>
        <w:t>Data sources and their limitations</w:t>
      </w:r>
    </w:p>
    <w:p w14:paraId="18156159" w14:textId="77777777" w:rsidR="00CF3090" w:rsidRPr="00461A6A" w:rsidRDefault="00CF3090" w:rsidP="00461A6A">
      <w:pPr>
        <w:ind w:left="1095"/>
        <w:rPr>
          <w:highlight w:val="green"/>
        </w:rPr>
      </w:pPr>
    </w:p>
    <w:p w14:paraId="20723F49" w14:textId="77777777" w:rsidR="00000B19" w:rsidRPr="00461A6A" w:rsidRDefault="00000B19" w:rsidP="00000B19">
      <w:pPr>
        <w:spacing w:line="480" w:lineRule="auto"/>
        <w:jc w:val="both"/>
        <w:rPr>
          <w:highlight w:val="green"/>
        </w:rPr>
      </w:pPr>
      <w:r w:rsidRPr="00461A6A">
        <w:rPr>
          <w:highlight w:val="green"/>
        </w:rPr>
        <w:t xml:space="preserve">Criticality methods use a wide range of data sources to identify and quantify the level of specific risks associated with their production or consumption, such as mining and smelting/refining </w:t>
      </w:r>
      <w:r w:rsidRPr="00461A6A">
        <w:rPr>
          <w:highlight w:val="green"/>
        </w:rPr>
        <w:lastRenderedPageBreak/>
        <w:t xml:space="preserve">statistics, indicators related to country-level sociopolitical factors, life-cycle inventory data to assess the environmental impacts of materials provisioning, recycling rates, industry reports, and expert judgment. </w:t>
      </w:r>
      <w:r w:rsidRPr="00461A6A">
        <w:rPr>
          <w:highlight w:val="green"/>
        </w:rPr>
        <w:fldChar w:fldCharType="begin"/>
      </w:r>
      <w:r w:rsidRPr="00461A6A">
        <w:rPr>
          <w:highlight w:val="green"/>
        </w:rPr>
        <w:instrText xml:space="preserve"> REF _Ref4510603 \h  \* MERGEFORMAT </w:instrText>
      </w:r>
      <w:r w:rsidRPr="00461A6A">
        <w:rPr>
          <w:highlight w:val="green"/>
        </w:rPr>
      </w:r>
      <w:r w:rsidRPr="00461A6A">
        <w:rPr>
          <w:highlight w:val="green"/>
        </w:rPr>
        <w:fldChar w:fldCharType="separate"/>
      </w:r>
      <w:r w:rsidRPr="00461A6A">
        <w:rPr>
          <w:highlight w:val="green"/>
        </w:rPr>
        <w:t xml:space="preserve">Figure </w:t>
      </w:r>
      <w:r w:rsidRPr="00461A6A">
        <w:rPr>
          <w:noProof/>
          <w:highlight w:val="green"/>
        </w:rPr>
        <w:t>5</w:t>
      </w:r>
      <w:r w:rsidRPr="00461A6A">
        <w:rPr>
          <w:highlight w:val="green"/>
        </w:rPr>
        <w:fldChar w:fldCharType="end"/>
      </w:r>
      <w:r w:rsidRPr="00461A6A">
        <w:rPr>
          <w:highlight w:val="green"/>
        </w:rPr>
        <w:t xml:space="preserve"> visualizes the data sources used in the criticality methods of </w:t>
      </w:r>
      <w:r w:rsidRPr="00461A6A">
        <w:rPr>
          <w:highlight w:val="green"/>
        </w:rPr>
        <w:fldChar w:fldCharType="begin"/>
      </w:r>
      <w:r w:rsidRPr="00461A6A">
        <w:rPr>
          <w:highlight w:val="green"/>
        </w:rPr>
        <w:instrText xml:space="preserve"> REF _Ref8405448 \h  \* MERGEFORMAT </w:instrText>
      </w:r>
      <w:r w:rsidRPr="00461A6A">
        <w:rPr>
          <w:highlight w:val="green"/>
        </w:rPr>
      </w:r>
      <w:r w:rsidRPr="00461A6A">
        <w:rPr>
          <w:highlight w:val="green"/>
        </w:rPr>
        <w:fldChar w:fldCharType="separate"/>
      </w:r>
      <w:r w:rsidRPr="00461A6A">
        <w:rPr>
          <w:highlight w:val="green"/>
        </w:rPr>
        <w:t xml:space="preserve">Table </w:t>
      </w:r>
      <w:r w:rsidRPr="00461A6A">
        <w:rPr>
          <w:noProof/>
          <w:highlight w:val="green"/>
        </w:rPr>
        <w:t>1</w:t>
      </w:r>
      <w:r w:rsidRPr="00461A6A">
        <w:rPr>
          <w:highlight w:val="green"/>
        </w:rPr>
        <w:fldChar w:fldCharType="end"/>
      </w:r>
      <w:r w:rsidRPr="00461A6A">
        <w:rPr>
          <w:highlight w:val="green"/>
        </w:rPr>
        <w:t xml:space="preserve">. </w:t>
      </w:r>
    </w:p>
    <w:p w14:paraId="59F2A377" w14:textId="77777777" w:rsidR="00000B19" w:rsidRPr="00461A6A" w:rsidRDefault="00000B19" w:rsidP="00000B19">
      <w:pPr>
        <w:spacing w:line="480" w:lineRule="auto"/>
        <w:jc w:val="both"/>
        <w:rPr>
          <w:highlight w:val="green"/>
        </w:rPr>
      </w:pPr>
    </w:p>
    <w:p w14:paraId="4C76052A" w14:textId="26913F38" w:rsidR="00000B19" w:rsidRPr="00461A6A" w:rsidRDefault="00000B19" w:rsidP="00000B19">
      <w:pPr>
        <w:keepNext/>
        <w:spacing w:line="480" w:lineRule="auto"/>
        <w:jc w:val="both"/>
        <w:rPr>
          <w:highlight w:val="green"/>
        </w:rPr>
      </w:pPr>
      <w:r w:rsidRPr="00461A6A">
        <w:rPr>
          <w:noProof/>
          <w:highlight w:val="green"/>
          <w:lang w:val="de-CH" w:eastAsia="de-CH"/>
        </w:rPr>
        <w:drawing>
          <wp:inline distT="0" distB="0" distL="0" distR="0" wp14:anchorId="1B04EDF9" wp14:editId="272A2BD8">
            <wp:extent cx="6134099" cy="4600575"/>
            <wp:effectExtent l="19050" t="19050" r="1968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45602" cy="4609202"/>
                    </a:xfrm>
                    <a:prstGeom prst="rect">
                      <a:avLst/>
                    </a:prstGeom>
                    <a:ln>
                      <a:solidFill>
                        <a:schemeClr val="tx1"/>
                      </a:solidFill>
                    </a:ln>
                  </pic:spPr>
                </pic:pic>
              </a:graphicData>
            </a:graphic>
          </wp:inline>
        </w:drawing>
      </w:r>
    </w:p>
    <w:p w14:paraId="66B0FC8A" w14:textId="77777777" w:rsidR="00000B19" w:rsidRPr="00461A6A" w:rsidRDefault="00000B19" w:rsidP="00000B19">
      <w:pPr>
        <w:pStyle w:val="Caption"/>
        <w:spacing w:line="480" w:lineRule="auto"/>
        <w:jc w:val="both"/>
        <w:rPr>
          <w:sz w:val="22"/>
          <w:szCs w:val="22"/>
          <w:highlight w:val="green"/>
        </w:rPr>
      </w:pPr>
      <w:r w:rsidRPr="00461A6A">
        <w:rPr>
          <w:sz w:val="20"/>
          <w:szCs w:val="20"/>
          <w:highlight w:val="green"/>
        </w:rPr>
        <w:t xml:space="preserve">Figure </w:t>
      </w:r>
      <w:r w:rsidRPr="00461A6A">
        <w:rPr>
          <w:sz w:val="20"/>
          <w:szCs w:val="20"/>
          <w:highlight w:val="green"/>
        </w:rPr>
        <w:fldChar w:fldCharType="begin"/>
      </w:r>
      <w:r w:rsidRPr="00461A6A">
        <w:rPr>
          <w:sz w:val="20"/>
          <w:szCs w:val="20"/>
          <w:highlight w:val="green"/>
        </w:rPr>
        <w:instrText xml:space="preserve"> SEQ Figure \* ARABIC </w:instrText>
      </w:r>
      <w:r w:rsidRPr="00461A6A">
        <w:rPr>
          <w:sz w:val="20"/>
          <w:szCs w:val="20"/>
          <w:highlight w:val="green"/>
        </w:rPr>
        <w:fldChar w:fldCharType="separate"/>
      </w:r>
      <w:r w:rsidRPr="00461A6A">
        <w:rPr>
          <w:noProof/>
          <w:sz w:val="20"/>
          <w:szCs w:val="20"/>
          <w:highlight w:val="green"/>
        </w:rPr>
        <w:t>5</w:t>
      </w:r>
      <w:r w:rsidRPr="00461A6A">
        <w:rPr>
          <w:sz w:val="20"/>
          <w:szCs w:val="20"/>
          <w:highlight w:val="green"/>
        </w:rPr>
        <w:fldChar w:fldCharType="end"/>
      </w:r>
      <w:r w:rsidRPr="00461A6A">
        <w:rPr>
          <w:sz w:val="20"/>
          <w:szCs w:val="20"/>
          <w:highlight w:val="green"/>
        </w:rPr>
        <w:t xml:space="preserve"> Network visualization of data sources used by the 39 criticality methods examined in this study (China is excluded as data sources are unspecified). Blue nodes represent data sources, their size is shown proportional to the number of times a data source is being used. Red nodes represent the criticality methods assessed. More details are available in SI-B.</w:t>
      </w:r>
    </w:p>
    <w:p w14:paraId="2ED523A2" w14:textId="5533AE71" w:rsidR="00000B19" w:rsidRPr="00461A6A" w:rsidRDefault="00000B19" w:rsidP="00000B19">
      <w:pPr>
        <w:spacing w:line="480" w:lineRule="auto"/>
        <w:jc w:val="both"/>
        <w:rPr>
          <w:highlight w:val="green"/>
          <w:lang w:eastAsia="en-US"/>
        </w:rPr>
      </w:pPr>
      <w:r w:rsidRPr="00461A6A">
        <w:rPr>
          <w:highlight w:val="green"/>
        </w:rPr>
        <w:t xml:space="preserve">According to </w:t>
      </w:r>
      <w:r w:rsidRPr="00461A6A">
        <w:rPr>
          <w:highlight w:val="green"/>
        </w:rPr>
        <w:fldChar w:fldCharType="begin"/>
      </w:r>
      <w:r w:rsidRPr="00461A6A">
        <w:rPr>
          <w:highlight w:val="green"/>
        </w:rPr>
        <w:instrText xml:space="preserve"> REF _Ref4510603 \h  \* MERGEFORMAT </w:instrText>
      </w:r>
      <w:r w:rsidRPr="00461A6A">
        <w:rPr>
          <w:highlight w:val="green"/>
        </w:rPr>
      </w:r>
      <w:r w:rsidRPr="00461A6A">
        <w:rPr>
          <w:highlight w:val="green"/>
        </w:rPr>
        <w:fldChar w:fldCharType="separate"/>
      </w:r>
      <w:r w:rsidRPr="00461A6A">
        <w:rPr>
          <w:highlight w:val="green"/>
        </w:rPr>
        <w:t xml:space="preserve">Figure </w:t>
      </w:r>
      <w:r w:rsidRPr="00461A6A">
        <w:rPr>
          <w:noProof/>
          <w:highlight w:val="green"/>
        </w:rPr>
        <w:t>5</w:t>
      </w:r>
      <w:r w:rsidRPr="00461A6A">
        <w:rPr>
          <w:highlight w:val="green"/>
        </w:rPr>
        <w:fldChar w:fldCharType="end"/>
      </w:r>
      <w:r w:rsidRPr="00461A6A">
        <w:rPr>
          <w:highlight w:val="green"/>
        </w:rPr>
        <w:t xml:space="preserve">, the major data providers are geological surveys (USGS, BGS, BRGM, BGR, etc.), the World Bank providing the </w:t>
      </w:r>
      <w:r w:rsidRPr="00461A6A">
        <w:rPr>
          <w:highlight w:val="green"/>
          <w:lang w:val="en-GB"/>
        </w:rPr>
        <w:t>Worldwide Governance Indicators</w:t>
      </w:r>
      <w:r w:rsidRPr="00461A6A" w:rsidDel="00DA12C5">
        <w:rPr>
          <w:highlight w:val="green"/>
        </w:rPr>
        <w:t xml:space="preserve"> </w:t>
      </w:r>
      <w:r w:rsidRPr="00461A6A">
        <w:rPr>
          <w:highlight w:val="green"/>
        </w:rPr>
        <w:t xml:space="preserve">(WGI), the Fraser Institute </w:t>
      </w:r>
      <w:r w:rsidRPr="00461A6A">
        <w:rPr>
          <w:highlight w:val="green"/>
        </w:rPr>
        <w:lastRenderedPageBreak/>
        <w:t xml:space="preserve">Annual Survey of Mining Companies reporting the Policy Perception Index (PPI) </w:t>
      </w:r>
      <w:r w:rsidRPr="00461A6A">
        <w:rPr>
          <w:highlight w:val="green"/>
        </w:rPr>
        <w:fldChar w:fldCharType="begin" w:fldLock="1"/>
      </w:r>
      <w:r w:rsidRPr="00461A6A">
        <w:rPr>
          <w:highlight w:val="green"/>
        </w:rPr>
        <w:instrText>ADDIN CSL_CITATION {"citationItems":[{"id":"ITEM-1","itemData":{"URL":"https://www.fraserinstitute.org/studies/annual-survey-of-mining-companies-2018","accessed":{"date-parts":[["2019","5","23"]]},"author":[{"dropping-particle":"","family":"Fraser Institute","given":"","non-dropping-particle":"","parse-names":false,"suffix":""}],"id":"ITEM-1","issued":{"date-parts":[["2019"]]},"title":"Annual Survey of Mining Companies, 2018","type":"webpage"},"uris":["http://www.mendeley.com/documents/?uuid=a10d0095-f93a-404e-bc57-7dadab146990"]}],"mendeley":{"formattedCitation":"(Fraser Institute, 2019)","plainTextFormattedCitation":"(Fraser Institute, 2019)","previouslyFormattedCitation":"(Fraser Institute, 2019)"},"properties":{"noteIndex":0},"schema":"https://github.com/citation-style-language/schema/raw/master/csl-citation.json"}</w:instrText>
      </w:r>
      <w:r w:rsidRPr="00461A6A">
        <w:rPr>
          <w:highlight w:val="green"/>
        </w:rPr>
        <w:fldChar w:fldCharType="separate"/>
      </w:r>
      <w:r w:rsidRPr="00461A6A">
        <w:rPr>
          <w:noProof/>
          <w:highlight w:val="green"/>
        </w:rPr>
        <w:t>(Fraser Institute, 2019)</w:t>
      </w:r>
      <w:r w:rsidRPr="00461A6A">
        <w:rPr>
          <w:highlight w:val="green"/>
        </w:rPr>
        <w:fldChar w:fldCharType="end"/>
      </w:r>
      <w:r w:rsidRPr="00461A6A">
        <w:rPr>
          <w:highlight w:val="green"/>
        </w:rPr>
        <w:t xml:space="preserve">, scientific literature (i.e., peer-reviewed publications and technical reports), UNEP IRP data on recycling rates </w:t>
      </w:r>
      <w:r w:rsidRPr="00461A6A">
        <w:rPr>
          <w:highlight w:val="green"/>
        </w:rPr>
        <w:fldChar w:fldCharType="begin" w:fldLock="1"/>
      </w:r>
      <w:r w:rsidRPr="00461A6A">
        <w:rPr>
          <w:highlight w:val="green"/>
        </w:rPr>
        <w:instrText>ADDIN CSL_CITATION {"citationItems":[{"id":"ITEM-1","itemData":{"ISBN":"9789280731613","author":[{"dropping-particle":"","family":"UNEP","given":"","non-dropping-particle":"","parse-names":false,"suffix":""}],"id":"ITEM-1","issued":{"date-parts":[["2011"]]},"title":"Recycling rates of Metals - A Status Report, A Report of the Working Group on the Global Metal Flows to the International Resource Panel. Graedel, T. E.; Allwood, J.; Birat, J.-P.; Reck, B.K.; Sibley, S.F.; Sonnemann, G.; Buchert, M.; Hagelüken, C.","type":"report"},"uris":["http://www.mendeley.com/documents/?uuid=83b56cdc-898d-4222-b715-52292171d87e"]}],"mendeley":{"formattedCitation":"(UNEP, 2011)","plainTextFormattedCitation":"(UNEP, 2011)","previouslyFormattedCitation":"(UNEP, 2011)"},"properties":{"noteIndex":0},"schema":"https://github.com/citation-style-language/schema/raw/master/csl-citation.json"}</w:instrText>
      </w:r>
      <w:r w:rsidRPr="00461A6A">
        <w:rPr>
          <w:highlight w:val="green"/>
        </w:rPr>
        <w:fldChar w:fldCharType="separate"/>
      </w:r>
      <w:r w:rsidRPr="00461A6A">
        <w:rPr>
          <w:noProof/>
          <w:highlight w:val="green"/>
        </w:rPr>
        <w:t>(UNEP, 2011)</w:t>
      </w:r>
      <w:r w:rsidRPr="00461A6A">
        <w:rPr>
          <w:highlight w:val="green"/>
        </w:rPr>
        <w:fldChar w:fldCharType="end"/>
      </w:r>
      <w:r w:rsidRPr="00461A6A">
        <w:rPr>
          <w:highlight w:val="green"/>
        </w:rPr>
        <w:t xml:space="preserve">, UNDP’s Human Development Index (HDI), ecoinvent for environmental data, as well as a wide range of industry reports (e.g., Roskill) and expert opinions. Furthermore, each method uses unique data sources not widely shared among methods. For example, </w:t>
      </w:r>
      <w:r w:rsidRPr="00461A6A">
        <w:rPr>
          <w:highlight w:val="green"/>
          <w:lang w:eastAsia="en-US"/>
        </w:rPr>
        <w:t xml:space="preserve">the Yale criticality method developed for corporations uses INSEAD’s Global Innovation Index, while the Augsburg method uses the Social Hotspot Database and </w:t>
      </w:r>
      <w:proofErr w:type="spellStart"/>
      <w:r w:rsidRPr="00461A6A">
        <w:rPr>
          <w:highlight w:val="green"/>
          <w:lang w:eastAsia="en-US"/>
        </w:rPr>
        <w:t>Granta’s</w:t>
      </w:r>
      <w:proofErr w:type="spellEnd"/>
      <w:r w:rsidRPr="00461A6A">
        <w:rPr>
          <w:highlight w:val="green"/>
          <w:lang w:eastAsia="en-US"/>
        </w:rPr>
        <w:t xml:space="preserve"> method uses material property data from Material Universe as well as company-specific information. Further examples can be deducted directly from </w:t>
      </w:r>
      <w:r w:rsidRPr="00461A6A">
        <w:rPr>
          <w:highlight w:val="green"/>
          <w:lang w:eastAsia="en-US"/>
        </w:rPr>
        <w:fldChar w:fldCharType="begin"/>
      </w:r>
      <w:r w:rsidRPr="00461A6A">
        <w:rPr>
          <w:highlight w:val="green"/>
          <w:lang w:eastAsia="en-US"/>
        </w:rPr>
        <w:instrText xml:space="preserve"> REF _Ref4510603 \h  \* MERGEFORMAT </w:instrText>
      </w:r>
      <w:r w:rsidRPr="00461A6A">
        <w:rPr>
          <w:highlight w:val="green"/>
          <w:lang w:eastAsia="en-US"/>
        </w:rPr>
      </w:r>
      <w:r w:rsidRPr="00461A6A">
        <w:rPr>
          <w:highlight w:val="green"/>
          <w:lang w:eastAsia="en-US"/>
        </w:rPr>
        <w:fldChar w:fldCharType="separate"/>
      </w:r>
      <w:r w:rsidRPr="00461A6A">
        <w:rPr>
          <w:highlight w:val="green"/>
          <w:lang w:eastAsia="en-US"/>
        </w:rPr>
        <w:t>Figure 5</w:t>
      </w:r>
      <w:r w:rsidRPr="00461A6A">
        <w:rPr>
          <w:highlight w:val="green"/>
          <w:lang w:eastAsia="en-US"/>
        </w:rPr>
        <w:fldChar w:fldCharType="end"/>
      </w:r>
      <w:r w:rsidRPr="00461A6A">
        <w:rPr>
          <w:highlight w:val="green"/>
          <w:lang w:eastAsia="en-US"/>
        </w:rPr>
        <w:t>.</w:t>
      </w:r>
    </w:p>
    <w:p w14:paraId="41C4CE1A" w14:textId="77777777" w:rsidR="00000B19" w:rsidRPr="005B6250" w:rsidRDefault="00000B19" w:rsidP="00000B19">
      <w:pPr>
        <w:spacing w:line="480" w:lineRule="auto"/>
      </w:pPr>
      <w:r w:rsidRPr="00461A6A">
        <w:rPr>
          <w:highlight w:val="green"/>
        </w:rPr>
        <w:t xml:space="preserve">Ideally, the criticality assessor has complete awareness of material flows and added economic value at each link in the supply chain of all materials that are used within the system under study. However, data availability and data quality can vary significantly by raw material. Production and consumption data for major metals such as iron and aluminum tend to be widely researched and complete </w:t>
      </w:r>
      <w:r w:rsidRPr="00461A6A">
        <w:rPr>
          <w:highlight w:val="green"/>
        </w:rPr>
        <w:fldChar w:fldCharType="begin" w:fldLock="1"/>
      </w:r>
      <w:r w:rsidRPr="00461A6A">
        <w:rPr>
          <w:highlight w:val="green"/>
        </w:rPr>
        <w:instrText>ADDIN CSL_CITATION {"citationItems":[{"id":"ITEM-1","itemData":{"DOI":"10.1021/es303149z","ISBN":"0013-936X","ISSN":"0013936X","PMID":"23442209","abstract":"Steel production accounts for 25% of industrial carbon emissions. Long-term forecasts of steel demand and scrap supply are needed to develop strategies for how the steel industry could respond to industrialization and urbanization in the developing world while simultaneously reducing its environmental impact, and in particular, its carbon footprint. We developed a dynamic stock model to estimate future final demand for steel and the available scrap for 10 world regions. Based on evidence from developed countries, we assumed that per capita in-use stocks will saturate eventually. We determined the response of the entire steel cycle to stock saturation, in particular the future split between primary and secondary steel production. During the 21st century, steel demand may peak in the developed world, China, the Middle East, Latin America, and India. As China completes its industrialization, global primary steel production may peak between 2020 and 2030 and decline thereafter. We developed a capacity model to show how extensive trade of finished steel could prolong the lifetime of the Chinese steelmaking assets. Secondary steel production will more than double by 2050, and it may surpass primary production between 2050 and 2060: the late 21st century can become the steel scrap age.","author":[{"dropping-particle":"","family":"Pauliuk","given":"Stefan","non-dropping-particle":"","parse-names":false,"suffix":""},{"dropping-particle":"","family":"Milford","given":"Rachel L.","non-dropping-particle":"","parse-names":false,"suffix":""},{"dropping-particle":"","family":"Müller","given":"Daniel B.","non-dropping-particle":"","parse-names":false,"suffix":""},{"dropping-particle":"","family":"Allwood","given":"Julian M.","non-dropping-particle":"","parse-names":false,"suffix":""}],"container-title":"Environmental Science and Technology","id":"ITEM-1","issue":"7","issued":{"date-parts":[["2013"]]},"page":"3448-3454","title":"The steel scrap age","type":"article-journal","volume":"47"},"uris":["http://www.mendeley.com/documents/?uuid=4c4ad6e5-d355-4422-9047-87e8e5b89574"]},{"id":"ITEM-2","itemData":{"DOI":"10.1021/es302433p","ISSN":"0013936X","abstract":"Our society is addicted to steel. Global demand for steel has risen to 1.4 billion tonnes a year and is set to at least double by 2050, while the steel industry generates nearly a 10th of the world's energy related CO</w:instrText>
      </w:r>
      <w:r w:rsidRPr="00461A6A">
        <w:rPr>
          <w:rFonts w:ascii="Cambria Math" w:hAnsi="Cambria Math" w:cs="Cambria Math"/>
          <w:highlight w:val="green"/>
        </w:rPr>
        <w:instrText>₂</w:instrText>
      </w:r>
      <w:r w:rsidRPr="00461A6A">
        <w:rPr>
          <w:highlight w:val="green"/>
        </w:rPr>
        <w:instrText xml:space="preserve"> emissions. Meeting our 2050 climate change targets would require a 75% reduction in CO</w:instrText>
      </w:r>
      <w:r w:rsidRPr="00461A6A">
        <w:rPr>
          <w:rFonts w:ascii="Cambria Math" w:hAnsi="Cambria Math" w:cs="Cambria Math"/>
          <w:highlight w:val="green"/>
        </w:rPr>
        <w:instrText>₂</w:instrText>
      </w:r>
      <w:r w:rsidRPr="00461A6A">
        <w:rPr>
          <w:highlight w:val="green"/>
        </w:rPr>
        <w:instrText xml:space="preserve"> emissions for every tonne of steel produced and finding credible solutions is proving a challenge. The starting point for understanding the environmental impacts of steel production is to accurately map the global steel supply chain and identify the biggest steel flows where actions can be directed to deliver the largest impact. In this paper we present a map of global steel, which for the first time traces steel flows from steelmaking, through casting, forming, and rolling, to the fabrication of final goods. The diagram reveals the relative scale of steel flows and shows where efforts to improve energy and material efficiency should be focused.","author":[{"dropping-particle":"","family":"Cullen","given":"Jonathan M.","non-dropping-particle":"","parse-names":false,"suffix":""},{"dropping-particle":"","family":"Allwood","given":"Julian M.","non-dropping-particle":"","parse-names":false,"suffix":""},{"dropping-particle":"","family":"Bambach","given":"Margarita D.","non-dropping-particle":"","parse-names":false,"suffix":""}],"container-title":"Environmental Science and Technology","id":"ITEM-2","issue":"24","issued":{"date-parts":[["2012"]]},"page":"13048-13055","title":"Mapping the global flow of steel: From steelmaking to end-use goods","type":"article-journal","volume":"46"},"uris":["http://www.mendeley.com/documents/?uuid=571a1916-9dab-4ad2-9aff-d67f4af45e7a"]},{"id":"ITEM-3","itemData":{"DOI":"10.1021/es305108p","ISSN":"0013936X","abstract":"A dynamic material flow model was developed to simulate the evolution of global aluminum stocks in geological reserve and anthropogenic reservoir from 1900 to 2010 on a country level. The contemporary global aluminum stock in use (0.6 Gt or 90 kg/capita) has reached about 10% of that in known bauxite reserves and represents an embodied energy amount that is equivalent to three-quarters of the present global annual electricity consumption. The largest proportions of in-use stock are located in the U.S. (28%), China (15%), Japan (7%), and Germany (6%) and in sectors of building and construction (40%) and transportation (27%). Industrialized countries have shown similar patterns of aluminum in-use stock growth: once the per-capita stocks have reached a threshold level of 50 kg, they kept a near linear annual growth of 5-10 kg/capita; no clear signs of saturation can yet be observed. The present aluminum in-use stocks vary widely across countries: approximately 100-600 kg/capita in industrialized countries and below 100 kg/capita in developing countries. The growing global aluminum in-use stock has significant implications on future aluminum demand and provides important recycling opportunities that will be critical for greenhouse gas emissions mitigation in the aluminum industry in the coming decades. © 2013 American Chemical Society.","author":[{"dropping-particle":"","family":"Liu","given":"Gang","non-dropping-particle":"","parse-names":false,"suffix":""},{"dropping-particle":"","family":"Müller","given":"Daniel B.","non-dropping-particle":"","parse-names":false,"suffix":""}],"container-title":"Environmental Science and Technology","id":"ITEM-3","issue":"9","issued":{"date-parts":[["2013"]]},"page":"4882-4888","title":"Centennial evolution of aluminum in-use stocks on our aluminized planet","type":"article-journal","volume":"47"},"uris":["http://www.mendeley.com/documents/?uuid=58102a55-cdd0-4cb0-b9fb-edf3ac806111"]},{"id":"ITEM-4","itemData":{"DOI":"10.1002/9781118679401.ch46","ISBN":"9781118679401","ISSN":"1758-678X","abstract":"Climate change mitigation in the materials sector faces a twin challenge: satisfying rapidly rising global demand for materials while significantly curbing greenhouse-gas emissions. Process efficiency improvement and recycling can contribute to reducing emissions per material output; however, long-term material demand and scrap availability for recycling depend fundamentally on the dynamics of societies' stocks of products in use, an issue that has been largely neglected in climate science. Here, we show that aluminium in-use stock patterns set essential boundary conditions for future emission pathways, which has significant implications for mitigation priority setting. If developing countries follow industrialized countries in their aluminium stock patterns, a 50% emission reduction by 2050 below 2000 levels cannot be reached even under very optimistic recycling and technology assumptions. The target can be reached only if future global per-capita aluminium stocks saturate at a level much lower than that in present major industrialized countries. As long as global in-use stocks are growing rapidly, radical new technologies in primary production (for example, inert anode and carbon capture and storage) have the greatest impact in emission reduction; however, their window of opportunity is closing once the stocks begin to saturate and the largest reduction potential shifts to post-consumer scrap recycling. © 2013 Macmillan Publishers Limited. All rights reserved.","author":[{"dropping-particle":"","family":"Liu","given":"Gang","non-dropping-particle":"","parse-names":false,"suffix":""},{"dropping-particle":"","family":"Bangs","given":"Colton","non-dropping-particle":"","parse-names":false,"suffix":""},{"dropping-particle":"","family":"Müller","given":"Daniel B.","non-dropping-particle":"","parse-names":false,"suffix":""}],"container-title":"REWAS 2013 Enabling Materials Resource Sustainability","id":"ITEM-4","issue":"4","issued":{"date-parts":[["2013"]]},"page":"178","publisher":"Nature Publishing Group","title":"Stock Dynamics and Emission Pathways of the Global Aluminum Cycle","type":"article-journal","volume":"3"},"uris":["http://www.mendeley.com/documents/?uuid=1385fd10-f36c-477d-b116-b4c3268d4844"]}],"mendeley":{"formattedCitation":"(Cullen et al., 2012; Liu et al., 2013; Liu and Müller, 2013b; Pauliuk et al., 2013)","plainTextFormattedCitation":"(Cullen et al., 2012; Liu et al., 2013; Liu and Müller, 2013b; Pauliuk et al., 2013)","previouslyFormattedCitation":"(Cullen et al., 2012; Liu et al., 2013; Liu and Müller, 2013b; Pauliuk et al., 2013)"},"properties":{"noteIndex":0},"schema":"https://github.com/citation-style-language/schema/raw/master/csl-citation.json"}</w:instrText>
      </w:r>
      <w:r w:rsidRPr="00461A6A">
        <w:rPr>
          <w:highlight w:val="green"/>
        </w:rPr>
        <w:fldChar w:fldCharType="separate"/>
      </w:r>
      <w:r w:rsidRPr="00461A6A">
        <w:rPr>
          <w:noProof/>
          <w:highlight w:val="green"/>
        </w:rPr>
        <w:t>(Cullen et al., 2012; Liu et al., 2013; Liu and Müller, 2013b; Pauliuk et al., 2013)</w:t>
      </w:r>
      <w:r w:rsidRPr="00461A6A">
        <w:rPr>
          <w:highlight w:val="green"/>
        </w:rPr>
        <w:fldChar w:fldCharType="end"/>
      </w:r>
      <w:r w:rsidRPr="00461A6A">
        <w:rPr>
          <w:highlight w:val="green"/>
        </w:rPr>
        <w:t>, whereas data for many minor metals (e.g., germanium, indium, tellurium, europium, and scandium) are more difficult to obtain and more prone to variation and error. These data may exist but kept proprietary by industry. Examples include actual pricing and materials usage data – particularly for materials that are not traded on large open exchanges, but rather through direct contracts between the producer and the user – and materials embedded in products, such as rare earth magnets that might be incorporated into motor components that downstream users may not even recognize. Moreover, the proprietary data may also be dispersed among many different entities, so that no single entity has access to all the data. Hence, public data can be unavailable for specific indicators, specific materials or material grades, and specific points in a materials’ supply chain.</w:t>
      </w:r>
    </w:p>
    <w:p w14:paraId="156CE395" w14:textId="0245F615" w:rsidR="00F225E2" w:rsidRDefault="00137B9B" w:rsidP="00461A6A">
      <w:pPr>
        <w:pStyle w:val="Heading5"/>
        <w:numPr>
          <w:ilvl w:val="3"/>
          <w:numId w:val="44"/>
        </w:numPr>
        <w:spacing w:line="480" w:lineRule="auto"/>
      </w:pPr>
      <w:bookmarkStart w:id="48" w:name="_Ref17722712"/>
      <w:bookmarkEnd w:id="47"/>
      <w:r>
        <w:lastRenderedPageBreak/>
        <w:t>Influence of data availability on i</w:t>
      </w:r>
      <w:r w:rsidR="00F225E2">
        <w:t>ndicator selection</w:t>
      </w:r>
      <w:bookmarkEnd w:id="48"/>
    </w:p>
    <w:p w14:paraId="363C6744" w14:textId="60B98AA0" w:rsidR="00E64304" w:rsidRDefault="0096725C" w:rsidP="00863B14">
      <w:pPr>
        <w:spacing w:line="480" w:lineRule="auto"/>
        <w:jc w:val="both"/>
      </w:pPr>
      <w:r w:rsidRPr="004405CB">
        <w:rPr>
          <w:lang w:eastAsia="ja-JP"/>
        </w:rPr>
        <w:t xml:space="preserve">Criticality is </w:t>
      </w:r>
      <w:r w:rsidR="00D763C3">
        <w:rPr>
          <w:lang w:eastAsia="ja-JP"/>
        </w:rPr>
        <w:t>most</w:t>
      </w:r>
      <w:r w:rsidR="00487DAA">
        <w:rPr>
          <w:lang w:eastAsia="ja-JP"/>
        </w:rPr>
        <w:t xml:space="preserve">ly considered </w:t>
      </w:r>
      <w:r w:rsidR="00D763C3">
        <w:rPr>
          <w:lang w:eastAsia="ja-JP"/>
        </w:rPr>
        <w:t>to be</w:t>
      </w:r>
      <w:r w:rsidR="00D763C3" w:rsidRPr="004405CB">
        <w:rPr>
          <w:lang w:eastAsia="ja-JP"/>
        </w:rPr>
        <w:t xml:space="preserve"> </w:t>
      </w:r>
      <w:r w:rsidRPr="004405CB">
        <w:rPr>
          <w:lang w:eastAsia="ja-JP"/>
        </w:rPr>
        <w:t>a relative concept:</w:t>
      </w:r>
      <w:r>
        <w:rPr>
          <w:lang w:eastAsia="ja-JP"/>
        </w:rPr>
        <w:t xml:space="preserve"> one material is more or less critical than another. </w:t>
      </w:r>
      <w:r w:rsidR="001D7019">
        <w:rPr>
          <w:lang w:eastAsia="ja-JP"/>
        </w:rPr>
        <w:t xml:space="preserve"> Therefore, ideally only materials and indicators are included in the assessment </w:t>
      </w:r>
      <w:r w:rsidR="007A6D1B">
        <w:rPr>
          <w:lang w:eastAsia="ja-JP"/>
        </w:rPr>
        <w:t>for</w:t>
      </w:r>
      <w:r w:rsidR="001D7019">
        <w:rPr>
          <w:lang w:eastAsia="ja-JP"/>
        </w:rPr>
        <w:t xml:space="preserve"> which the same type and quality of data </w:t>
      </w:r>
      <w:r w:rsidR="00895F24">
        <w:rPr>
          <w:lang w:eastAsia="ja-JP"/>
        </w:rPr>
        <w:t>are</w:t>
      </w:r>
      <w:r w:rsidR="001D7019">
        <w:rPr>
          <w:lang w:eastAsia="ja-JP"/>
        </w:rPr>
        <w:t xml:space="preserve"> available. This becomes a limiting factor in criticality assessments with very large scopes, such as the OECD study that includes 51 materials and assess</w:t>
      </w:r>
      <w:r w:rsidR="00C61349">
        <w:rPr>
          <w:lang w:eastAsia="ja-JP"/>
        </w:rPr>
        <w:t>es</w:t>
      </w:r>
      <w:r w:rsidR="001D7019">
        <w:rPr>
          <w:lang w:eastAsia="ja-JP"/>
        </w:rPr>
        <w:t xml:space="preserve"> their economic </w:t>
      </w:r>
      <w:r w:rsidR="001D7019" w:rsidRPr="00C6704F">
        <w:rPr>
          <w:lang w:eastAsia="ja-JP"/>
        </w:rPr>
        <w:t>importance for all countries</w:t>
      </w:r>
      <w:r w:rsidR="001D7019">
        <w:rPr>
          <w:lang w:eastAsia="ja-JP"/>
        </w:rPr>
        <w:t xml:space="preserve"> within the OECD </w:t>
      </w:r>
      <w:r w:rsidR="001D7019">
        <w:rPr>
          <w:lang w:eastAsia="ja-JP"/>
        </w:rPr>
        <w:fldChar w:fldCharType="begin" w:fldLock="1"/>
      </w:r>
      <w:r w:rsidR="00D35F6A">
        <w:rPr>
          <w:lang w:eastAsia="ja-JP"/>
        </w:rPr>
        <w:instrText>ADDIN CSL_CITATION {"citationItems":[{"id":"ITEM-1","itemData":{"DOI":"http://dx.doi.org/10.1787/5jrtknwm5hr5-en","ISBN":"91","abstract":"The purpose of this report is to perform for the first time an analysis of critical minerals for the OECD countries as a whole. In addition, this is done not only today, as previous reports have done, but also in 2030, in order to form an initial picture of how possible trends in economic development will affect which minerals are critical in the long-run future. The 51 different minerals are included in the analysis. Three measures of mineral supply risk are used: 1. substitutability, 2. recycling rates and 3. the concentration of production in countries that are judged by international datasets to be relatively politically unstable. Physical scarcity is not considered to be a source of supply risk, certainly in the short term. The analysis identifies around 12 to 20 minerals or minerals groups, which are critical in the OECD today. The results are highly mineral-specific, with some minerals requiring huge increases in substitutability and/or recycling from a low base, while others require only small improvements.","author":[{"dropping-particle":"","family":"Coulomb","given":"Renaud","non-dropping-particle":"","parse-names":false,"suffix":""},{"dropping-particle":"","family":"Dietz","given":"Simon","non-dropping-particle":"","parse-names":false,"suffix":""},{"dropping-particle":"","family":"Godunova","given":"Maria","non-dropping-particle":"","parse-names":false,"suffix":""},{"dropping-particle":"","family":"Nielsen","given":"Thomas Bligaard","non-dropping-particle":"","parse-names":false,"suffix":""}],"container-title":"OECD Environment Working Papers","id":"ITEM-1","issue":"91","issued":{"date-parts":[["2015"]]},"page":"0_1,3-5,8-49","title":"Critical Minerals Today and in 2030: AN ANALYSIS FOR OECD COUNTRIES","type":"article-journal"},"uris":["http://www.mendeley.com/documents/?uuid=54347e9d-13a9-42dc-81a3-2eaf4955e82a"]}],"mendeley":{"formattedCitation":"(Coulomb et al., 2015)","plainTextFormattedCitation":"(Coulomb et al., 2015)","previouslyFormattedCitation":"(Coulomb et al., 2015)"},"properties":{"noteIndex":0},"schema":"https://github.com/citation-style-language/schema/raw/master/csl-citation.json"}</w:instrText>
      </w:r>
      <w:r w:rsidR="001D7019">
        <w:rPr>
          <w:lang w:eastAsia="ja-JP"/>
        </w:rPr>
        <w:fldChar w:fldCharType="separate"/>
      </w:r>
      <w:r w:rsidR="002B45EF" w:rsidRPr="002B45EF">
        <w:rPr>
          <w:noProof/>
          <w:lang w:eastAsia="ja-JP"/>
        </w:rPr>
        <w:t>(Coulomb et al., 2015)</w:t>
      </w:r>
      <w:r w:rsidR="001D7019">
        <w:rPr>
          <w:lang w:eastAsia="ja-JP"/>
        </w:rPr>
        <w:fldChar w:fldCharType="end"/>
      </w:r>
      <w:r w:rsidR="001D7019">
        <w:rPr>
          <w:lang w:eastAsia="ja-JP"/>
        </w:rPr>
        <w:t xml:space="preserve">. </w:t>
      </w:r>
      <w:r w:rsidR="00C6704F">
        <w:rPr>
          <w:lang w:eastAsia="ja-JP"/>
        </w:rPr>
        <w:t xml:space="preserve">In studies evaluating criticality </w:t>
      </w:r>
      <w:r w:rsidR="00C6704F" w:rsidRPr="00C6704F">
        <w:rPr>
          <w:lang w:eastAsia="ja-JP"/>
        </w:rPr>
        <w:t>over time</w:t>
      </w:r>
      <w:r w:rsidR="001D7019" w:rsidRPr="00C6704F">
        <w:rPr>
          <w:lang w:eastAsia="ja-JP"/>
        </w:rPr>
        <w:t>,</w:t>
      </w:r>
      <w:r w:rsidR="001D7019" w:rsidRPr="00313138">
        <w:rPr>
          <w:lang w:eastAsia="ja-JP"/>
        </w:rPr>
        <w:t xml:space="preserve"> </w:t>
      </w:r>
      <w:r w:rsidR="001D7019" w:rsidRPr="00C6704F">
        <w:rPr>
          <w:lang w:eastAsia="ja-JP"/>
        </w:rPr>
        <w:t>only</w:t>
      </w:r>
      <w:r w:rsidR="001D7019">
        <w:rPr>
          <w:lang w:eastAsia="ja-JP"/>
        </w:rPr>
        <w:t xml:space="preserve"> materials and indicators are included of which data is available in time series. </w:t>
      </w:r>
      <w:r w:rsidR="001D7019">
        <w:t xml:space="preserve">Data availability was explicitly considered for the operationalization of indicators in the studies of OECD, BGS, and the most recent assessment of the European </w:t>
      </w:r>
      <w:r w:rsidR="001D7019" w:rsidRPr="00226F1A">
        <w:t xml:space="preserve">Union. </w:t>
      </w:r>
      <w:r w:rsidR="00F00CDC" w:rsidRPr="00226F1A">
        <w:t xml:space="preserve">Examples </w:t>
      </w:r>
      <w:r w:rsidR="00AB7FE4" w:rsidRPr="00226F1A">
        <w:t xml:space="preserve">of indicators for which data are lacking are provided in </w:t>
      </w:r>
      <w:r w:rsidR="00EB265C">
        <w:t>Section S5 in SI-D</w:t>
      </w:r>
      <w:r w:rsidR="00AB7FE4" w:rsidRPr="00226F1A">
        <w:t>.</w:t>
      </w:r>
    </w:p>
    <w:p w14:paraId="67FA04E8" w14:textId="6F674061" w:rsidR="00215C87" w:rsidRPr="00CD76E8" w:rsidRDefault="002B3F8C" w:rsidP="00863B14">
      <w:pPr>
        <w:spacing w:line="480" w:lineRule="auto"/>
        <w:jc w:val="both"/>
      </w:pPr>
      <w:r>
        <w:t xml:space="preserve">If </w:t>
      </w:r>
      <w:r w:rsidR="003D25B7">
        <w:t xml:space="preserve">data on a certain indicator </w:t>
      </w:r>
      <w:r w:rsidR="00AB7FE4">
        <w:t>are</w:t>
      </w:r>
      <w:r w:rsidR="003D25B7">
        <w:t xml:space="preserve"> </w:t>
      </w:r>
      <w:r w:rsidR="00AB7FE4">
        <w:t>missing</w:t>
      </w:r>
      <w:r w:rsidR="003D25B7">
        <w:t xml:space="preserve">, a proxy indicator might be used, such as import data instead of production data </w:t>
      </w:r>
      <w:r w:rsidR="003D25B7">
        <w:fldChar w:fldCharType="begin" w:fldLock="1"/>
      </w:r>
      <w:r w:rsidR="00D35F6A">
        <w:instrText>ADDIN CSL_CITATION {"citationItems":[{"id":"ITEM-1","itemData":{"author":[{"dropping-particle":"","family":"BGS","given":"","non-dropping-particle":"","parse-names":false,"suffix":""}],"id":"ITEM-1","issued":{"date-parts":[["2011"]]},"title":"Risk list 2011","type":"report"},"uris":["http://www.mendeley.com/documents/?uuid=f6f949fe-98df-4fa4-9fc4-cca5444a298a"]}],"mendeley":{"formattedCitation":"(BGS, 2011)","plainTextFormattedCitation":"(BGS, 2011)","previouslyFormattedCitation":"(BGS, 2011)"},"properties":{"noteIndex":0},"schema":"https://github.com/citation-style-language/schema/raw/master/csl-citation.json"}</w:instrText>
      </w:r>
      <w:r w:rsidR="003D25B7">
        <w:fldChar w:fldCharType="separate"/>
      </w:r>
      <w:r w:rsidR="002B45EF" w:rsidRPr="002B45EF">
        <w:rPr>
          <w:noProof/>
        </w:rPr>
        <w:t>(BGS, 2011)</w:t>
      </w:r>
      <w:r w:rsidR="003D25B7">
        <w:fldChar w:fldCharType="end"/>
      </w:r>
      <w:r w:rsidR="003D25B7">
        <w:t xml:space="preserve">. </w:t>
      </w:r>
      <w:r w:rsidR="00215C87">
        <w:t xml:space="preserve">The probability of supply disruption and economic importance are based on very complex mechanisms that are difficult to measure. Instead of identifying and measuring all contributing factors, often an indicator is chosen that is directly related to economic impact </w:t>
      </w:r>
      <w:r w:rsidR="00215C87">
        <w:fldChar w:fldCharType="begin" w:fldLock="1"/>
      </w:r>
      <w:r w:rsidR="00D35F6A">
        <w:instrText>ADDIN CSL_CITATION {"citationItems":[{"id":"ITEM-1","itemData":{"DOI":"10.1088/1361-6463/aa5b64","ISSN":"13616463","abstract":"The past decade has seen a resurgence of interest in the supply security of mineral raw materials. A key to the current debate is the concept of ‘criticality’. The present article reviews the criticality concept, as well as the methodologies used in its assessment, including a critical evaluation of their validity in view of classical risk theory. Furthermore, it discusses a number of risks present in global raw materials markets that are not captured by most criticality assessments. Proposed measures for the alleviation of these risks are also presented. We find that current assessments of raw material criticality are fundamentally flawed in several ways. This is mostly due to a lack of adherence to risk theory, and highly limits their applicability. Many of the raw materials generally identified as critical are probably not critical. Still, the flaws of current assessments do not mean that the general issue of supply security can simply be ignored. Rather, it implies that new assessments are required. While the basic theoretical framework for such assessments is outlined in this review, detailed method development will require a major collaborative effort between different disciplines along the raw materials value chain. In the opinion of the authors, the greatest longer-term challenge in the raw materials sector is to stop, or counteract the effects of, the escalation of unit energy costs of production. This issue is particularly pressing due to its close link with the renewable energy transition, requiring more metal and mineral raw materials per unit energy produced. The solution to this problem will require coordinated policy action, as well as the collaboration of scientists from many different fields—with physics, as well as the materials and earth sciences in the lead.","author":[{"dropping-particle":"","family":"Frenzel","given":"M.","non-dropping-particle":"","parse-names":false,"suffix":""},{"dropping-particle":"","family":"Kullik","given":"J.","non-dropping-particle":"","parse-names":false,"suffix":""},{"dropping-particle":"","family":"Reuter","given":"M. A.","non-dropping-particle":"","parse-names":false,"suffix":""},{"dropping-particle":"","family":"Gutzmer","given":"J.","non-dropping-particle":"","parse-names":false,"suffix":""}],"container-title":"Journal of Physics D: Applied Physics","id":"ITEM-1","issue":"12","issued":{"date-parts":[["2017"]]},"publisher":"IOP Publishing","title":"Raw material 'criticality' - Sense or nonsense?","type":"article-journal","volume":"50"},"uris":["http://www.mendeley.com/documents/?uuid=001fc538-2314-4451-94e6-17dfb8d125f3"]}],"mendeley":{"formattedCitation":"(Frenzel et al., 2017)","plainTextFormattedCitation":"(Frenzel et al., 2017)","previouslyFormattedCitation":"(Frenzel et al., 2017)"},"properties":{"noteIndex":0},"schema":"https://github.com/citation-style-language/schema/raw/master/csl-citation.json"}</w:instrText>
      </w:r>
      <w:r w:rsidR="00215C87">
        <w:fldChar w:fldCharType="separate"/>
      </w:r>
      <w:r w:rsidR="002B45EF" w:rsidRPr="002B45EF">
        <w:rPr>
          <w:noProof/>
        </w:rPr>
        <w:t>(Frenzel et al., 2017)</w:t>
      </w:r>
      <w:r w:rsidR="00215C87">
        <w:fldChar w:fldCharType="end"/>
      </w:r>
      <w:r w:rsidR="00215C87">
        <w:t xml:space="preserve">. Examples of proxy indicators for </w:t>
      </w:r>
      <w:r w:rsidR="00553779">
        <w:t xml:space="preserve">substitutability </w:t>
      </w:r>
      <w:r w:rsidR="00215C87">
        <w:t>and</w:t>
      </w:r>
      <w:r w:rsidR="001940AF">
        <w:t xml:space="preserve"> a</w:t>
      </w:r>
      <w:r w:rsidR="00B61E9C">
        <w:t xml:space="preserve">vailability of reserves and </w:t>
      </w:r>
      <w:r w:rsidR="00215C87">
        <w:t xml:space="preserve">by-product dependency are </w:t>
      </w:r>
      <w:r w:rsidR="00553779">
        <w:t xml:space="preserve">expected demand growth and </w:t>
      </w:r>
      <w:r w:rsidR="00215C87">
        <w:t xml:space="preserve">price elasticities </w:t>
      </w:r>
      <w:r w:rsidR="00553779">
        <w:t>of supply, respectively</w:t>
      </w:r>
      <w:r w:rsidR="00084D3E">
        <w:t xml:space="preserve"> </w:t>
      </w:r>
      <w:r w:rsidR="00084D3E">
        <w:fldChar w:fldCharType="begin" w:fldLock="1"/>
      </w:r>
      <w:r w:rsidR="00D35F6A">
        <w:instrText>ADDIN CSL_CITATION {"citationItems":[{"id":"ITEM-1","itemData":{"DOI":"10.2790/35600","ISBN":"9789279206986","ISSN":"1018-5593","PMID":"25246403","abstract":"Screening des Rohstoffbedarfs unterschiedlicher Energie-Technologien, Identifikation von Bottlenecks","author":[{"dropping-particle":"","family":"Moss","given":"R. L.","non-dropping-particle":"","parse-names":false,"suffix":""},{"dropping-particle":"","family":"Tzimas","given":"E.","non-dropping-particle":"","parse-names":false,"suffix":""},{"dropping-particle":"","family":"Kara","given":"H.","non-dropping-particle":"","parse-names":false,"suffix":""},{"dropping-particle":"","family":"Willis","given":"P.","non-dropping-particle":"","parse-names":false,"suffix":""},{"dropping-particle":"","family":"Kooroshy","given":"J.","non-dropping-particle":"","parse-names":false,"suffix":""}],"container-title":"JRC-scientific and strategic reports, European Commission Joint Research Centre Institute for Energy and Transport","id":"ITEM-1","issued":{"date-parts":[["2011"]]},"number-of-pages":"43005441","title":"Critical Metals in Strategic Energy Technologies","type":"report"},"uris":["http://www.mendeley.com/documents/?uuid=61c6fb44-d828-4ebd-af3c-450909664ea6"]}],"mendeley":{"formattedCitation":"(Moss et al., 2011)","plainTextFormattedCitation":"(Moss et al., 2011)","previouslyFormattedCitation":"(Moss et al., 2011)"},"properties":{"noteIndex":0},"schema":"https://github.com/citation-style-language/schema/raw/master/csl-citation.json"}</w:instrText>
      </w:r>
      <w:r w:rsidR="00084D3E">
        <w:fldChar w:fldCharType="separate"/>
      </w:r>
      <w:r w:rsidR="002B45EF" w:rsidRPr="002B45EF">
        <w:rPr>
          <w:noProof/>
        </w:rPr>
        <w:t>(Moss et al., 2011)</w:t>
      </w:r>
      <w:r w:rsidR="00084D3E">
        <w:fldChar w:fldCharType="end"/>
      </w:r>
      <w:r w:rsidR="00215C87">
        <w:t xml:space="preserve">. </w:t>
      </w:r>
      <w:r w:rsidR="00822E62">
        <w:t>Several indicators could also be combined to more accurately represent the aspect of interest</w:t>
      </w:r>
      <w:r w:rsidR="00215C87">
        <w:t>. For example,</w:t>
      </w:r>
      <w:r w:rsidR="00540D70">
        <w:t xml:space="preserve"> due to</w:t>
      </w:r>
      <w:r w:rsidR="00215C87">
        <w:t xml:space="preserve"> </w:t>
      </w:r>
      <w:r w:rsidR="00540D70">
        <w:t>lacking</w:t>
      </w:r>
      <w:r w:rsidR="00215C87">
        <w:t xml:space="preserve"> </w:t>
      </w:r>
      <w:r w:rsidR="00540D70">
        <w:t xml:space="preserve">available </w:t>
      </w:r>
      <w:r w:rsidR="00215C87">
        <w:t xml:space="preserve">data for a large range of materials to accurately represent the supply of raw materials to the EU, the revised EU </w:t>
      </w:r>
      <w:r w:rsidR="00AD32DE">
        <w:t xml:space="preserve">method </w:t>
      </w:r>
      <w:r w:rsidR="00215C87">
        <w:t xml:space="preserve">uses a new indicator that combines global supply and actual supply to the EU (i.e. the mix of domestic production plus import) </w:t>
      </w:r>
      <w:r w:rsidR="00CD76E8">
        <w:fldChar w:fldCharType="begin" w:fldLock="1"/>
      </w:r>
      <w:r w:rsidR="00D763C3">
        <w:instrText>ADDIN CSL_CITATION {"citationItems":[{"id":"ITEM-1","itemData":{"DOI":"10.2760/73303","ISBN":"9789279696114","author":[{"dropping-particle":"","family":"Blengini","given":"G.A.","non-dropping-particle":"","parse-names":false,"suffix":""},{"dropping-particle":"","family":"Blagoeva","given":"D.","non-dropping-particle":"","parse-names":false,"suffix":""},{"dropping-particle":"","family":"Dewulf","given":"J.","non-dropping-particle":"","parse-names":false,"suffix":""},{"dropping-particle":"","family":"Others","given":"And","non-dropping-particle":"","parse-names":false,"suffix":""}],"id":"ITEM-1","issued":{"date-parts":[["2017"]]},"title":"Assessment of the Methodology for Establishing the EU List of Critical Raw Materials - Background report","type":"report"},"uris":["http://www.mendeley.com/documents/?uuid=a3279c18-f8f6-4d87-9cc9-7b85f559971f"]},{"id":"ITEM-2","itemData":{"author":[{"dropping-particle":"","family":"European Commission","given":"","non-dropping-particle":"","parse-names":false,"suffix":""}],"id":"ITEM-2","issued":{"date-parts":[["2017"]]},"title":"COMMUNICATION FROM THE COMMISSION TO THE EUROPEAN PARLIAMENT, THE COUNCIL, THE EUROPEAN ECONOMIC AND SOCIAL COMMITTEE AND THE COMMITTEE OF THE REGIONS on the 2017 list of Critical Raw Materials for the EU","type":"report"},"uris":["http://www.mendeley.com/documents/?uuid=cb36a5ec-4175-4c35-b665-ac799bf53b6b"]}],"mendeley":{"formattedCitation":"(G.A. Blengini et al., 2017; European Commission, 2017c)","plainTextFormattedCitation":"(G.A. Blengini et al., 2017; European Commission, 2017c)","previouslyFormattedCitation":"(G.A. Blengini et al., 2017; European Commission, 2017c)"},"properties":{"noteIndex":0},"schema":"https://github.com/citation-style-language/schema/raw/master/csl-citation.json"}</w:instrText>
      </w:r>
      <w:r w:rsidR="00CD76E8">
        <w:fldChar w:fldCharType="separate"/>
      </w:r>
      <w:r w:rsidR="002B45EF" w:rsidRPr="002B45EF">
        <w:rPr>
          <w:noProof/>
        </w:rPr>
        <w:t>(Blengini et al., 2017; European Commission, 2017c)</w:t>
      </w:r>
      <w:r w:rsidR="00CD76E8">
        <w:fldChar w:fldCharType="end"/>
      </w:r>
      <w:r w:rsidR="00215C87" w:rsidRPr="00CD76E8">
        <w:t>.</w:t>
      </w:r>
    </w:p>
    <w:p w14:paraId="3EEA1DA6" w14:textId="678F9EAB" w:rsidR="003D25B7" w:rsidRDefault="003D25B7" w:rsidP="00863B14">
      <w:pPr>
        <w:spacing w:line="480" w:lineRule="auto"/>
        <w:jc w:val="both"/>
        <w:rPr>
          <w:lang w:val="en-GB"/>
        </w:rPr>
      </w:pPr>
      <w:r>
        <w:t>Proxies can also be useful to estimate future indicator values. The OECD study conducts the same assessment on two different points in time. For their assessment of 2015, the country concentration of production in 2030 is assessed by the estimation of global reserves using data from 2014.</w:t>
      </w:r>
      <w:r w:rsidR="009B700D">
        <w:t xml:space="preserve"> Hence, </w:t>
      </w:r>
      <w:r w:rsidR="009B700D">
        <w:lastRenderedPageBreak/>
        <w:t xml:space="preserve">“global reserves” are used as a proxy </w:t>
      </w:r>
      <w:r w:rsidR="000F4739">
        <w:t xml:space="preserve">for “global production in 2030”. </w:t>
      </w:r>
      <w:r>
        <w:t>Habib and Wenzel (2016) use a similar approach to assess the country concentration of raw materials production in 2050.</w:t>
      </w:r>
      <w:r w:rsidR="00B554D2">
        <w:t xml:space="preserve"> </w:t>
      </w:r>
      <w:r w:rsidR="00B554D2">
        <w:fldChar w:fldCharType="begin" w:fldLock="1"/>
      </w:r>
      <w:r w:rsidR="00D35F6A">
        <w:instrText>ADDIN CSL_CITATION {"citationItems":[{"id":"ITEM-1","itemData":{"DOI":"10.1111/jiec.12834","ISSN":"15309290","abstract":"In recent literature, the concept of criticality aspires to provide a multifaceted risk assessment of resource supply shortage. However, most existing methodologies for the criticality assessment of raw materials are restricted to a fixed temporal and spatial reference system. They provide a snapshot in time of the equilibrium between supply and demand/economic importance and do not account for temporal changes of their indicators. The static character of criticality assessments limits the use of criticality methodologies to short-term policy making of raw materials. In the current paper, we argue for an enhancement of the criticality framework to account for three key dynamic characteristics, namely changes of social, technical, and economic features; consideration of the spatial dimension in site-specific assessments; and impact of changing governance frameworks. We illustrate how these issues were addressed in studies outside of the field of criti-cality and identify the dynamic parameters that influence resource supply and demand based on a review of studies that belong to the general field of resource supply and demand. The parameters are grouped in seven categories: extraction, social, economic, technical, policy, market dynamics, and environmental. We explore how these parameters were considered in the reviewed studies and propose ways and specific examples of addressing the dynamic effects in the criticality indicators. Furthermore, we discuss the current work on future scenarios to provide reference points for indicator benchmarks. The insights and guidelines derived from the review and our recommendations for future research set the foundations for an enhanced dynamic and site-specific criticality assessment framework.","author":[{"dropping-particle":"","family":"Ioannidou","given":"Dimitra","non-dropping-particle":"","parse-names":false,"suffix":""},{"dropping-particle":"","family":"Heeren","given":"Niko","non-dropping-particle":"","parse-names":false,"suffix":""},{"dropping-particle":"","family":"Sonnemann","given":"Guido","non-dropping-particle":"","parse-names":false,"suffix":""},{"dropping-particle":"","family":"Habert","given":"Guillaume","non-dropping-particle":"","parse-names":false,"suffix":""}],"container-title":"Journal of Industrial Ecology","id":"ITEM-1","issued":{"date-parts":[["2019"]]},"page":"1-16","title":"The future in and of criticality assessments","type":"article-journal"},"uris":["http://www.mendeley.com/documents/?uuid=abcd63e2-26a3-4260-af65-46e3b1aad993"]}],"mendeley":{"formattedCitation":"(Ioannidou et al., 2019)","manualFormatting":"Ioannidou et al. (2019)","plainTextFormattedCitation":"(Ioannidou et al., 2019)","previouslyFormattedCitation":"(Ioannidou et al., 2019)"},"properties":{"noteIndex":0},"schema":"https://github.com/citation-style-language/schema/raw/master/csl-citation.json"}</w:instrText>
      </w:r>
      <w:r w:rsidR="00B554D2">
        <w:fldChar w:fldCharType="separate"/>
      </w:r>
      <w:r w:rsidR="00B554D2" w:rsidRPr="00B554D2">
        <w:rPr>
          <w:noProof/>
        </w:rPr>
        <w:t xml:space="preserve">Ioannidou et al. </w:t>
      </w:r>
      <w:r w:rsidR="00B554D2">
        <w:rPr>
          <w:noProof/>
        </w:rPr>
        <w:t>(</w:t>
      </w:r>
      <w:r w:rsidR="00B554D2" w:rsidRPr="00B554D2">
        <w:rPr>
          <w:noProof/>
        </w:rPr>
        <w:t>2019)</w:t>
      </w:r>
      <w:r w:rsidR="00B554D2">
        <w:fldChar w:fldCharType="end"/>
      </w:r>
      <w:r w:rsidR="00B554D2">
        <w:t xml:space="preserve"> </w:t>
      </w:r>
      <w:r w:rsidR="00E8072B">
        <w:rPr>
          <w:lang w:val="en-GB"/>
        </w:rPr>
        <w:t>recommend using</w:t>
      </w:r>
      <w:r w:rsidR="00F07666" w:rsidRPr="00DC476F">
        <w:rPr>
          <w:lang w:val="en-GB"/>
        </w:rPr>
        <w:t xml:space="preserve"> more concrete indicators, such as estimation</w:t>
      </w:r>
      <w:r w:rsidR="00724B41">
        <w:rPr>
          <w:lang w:val="en-GB"/>
        </w:rPr>
        <w:t>s</w:t>
      </w:r>
      <w:r w:rsidR="00F07666" w:rsidRPr="00DC476F">
        <w:rPr>
          <w:lang w:val="en-GB"/>
        </w:rPr>
        <w:t xml:space="preserve"> of population and material intensity</w:t>
      </w:r>
      <w:r w:rsidR="00E8072B">
        <w:rPr>
          <w:lang w:val="en-GB"/>
        </w:rPr>
        <w:t>,</w:t>
      </w:r>
      <w:r w:rsidR="00F07666" w:rsidRPr="00DC476F">
        <w:rPr>
          <w:lang w:val="en-GB"/>
        </w:rPr>
        <w:t xml:space="preserve"> instead of a generic estimation of future demand</w:t>
      </w:r>
      <w:r w:rsidR="00724B41">
        <w:rPr>
          <w:lang w:val="en-GB"/>
        </w:rPr>
        <w:t>,</w:t>
      </w:r>
      <w:r w:rsidR="00F07666">
        <w:rPr>
          <w:lang w:val="en-GB"/>
        </w:rPr>
        <w:t xml:space="preserve"> for</w:t>
      </w:r>
      <w:r w:rsidR="00F07666" w:rsidRPr="00DC476F">
        <w:rPr>
          <w:lang w:val="en-GB"/>
        </w:rPr>
        <w:t xml:space="preserve"> dynamic assessments with respect to future trends and scenarios.</w:t>
      </w:r>
    </w:p>
    <w:p w14:paraId="267E19E2" w14:textId="75F03EE1" w:rsidR="00A9654D" w:rsidRDefault="00137B9B" w:rsidP="00461A6A">
      <w:pPr>
        <w:pStyle w:val="Heading5"/>
        <w:numPr>
          <w:ilvl w:val="3"/>
          <w:numId w:val="44"/>
        </w:numPr>
        <w:spacing w:line="480" w:lineRule="auto"/>
      </w:pPr>
      <w:bookmarkStart w:id="49" w:name="_Ref17722720"/>
      <w:r>
        <w:t>Influence of data availability on i</w:t>
      </w:r>
      <w:r w:rsidR="005B0C18">
        <w:t>ndicator scoring</w:t>
      </w:r>
      <w:bookmarkEnd w:id="49"/>
    </w:p>
    <w:p w14:paraId="74884348" w14:textId="28E9EE88" w:rsidR="006D00A4" w:rsidRDefault="00DC358E">
      <w:pPr>
        <w:spacing w:line="480" w:lineRule="auto"/>
        <w:jc w:val="both"/>
      </w:pPr>
      <w:r>
        <w:rPr>
          <w:lang w:eastAsia="en-US"/>
        </w:rPr>
        <w:t>T</w:t>
      </w:r>
      <w:r w:rsidR="00351030" w:rsidRPr="00DC7F71">
        <w:rPr>
          <w:lang w:eastAsia="en-US"/>
        </w:rPr>
        <w:t xml:space="preserve">he </w:t>
      </w:r>
      <w:r w:rsidR="001D0E58" w:rsidRPr="00DC7F71">
        <w:rPr>
          <w:lang w:eastAsia="en-US"/>
        </w:rPr>
        <w:t xml:space="preserve">data </w:t>
      </w:r>
      <w:r w:rsidR="002628E8">
        <w:rPr>
          <w:lang w:eastAsia="en-US"/>
        </w:rPr>
        <w:t xml:space="preserve">that are available </w:t>
      </w:r>
      <w:r w:rsidR="001D0E58" w:rsidRPr="009C4C2F">
        <w:rPr>
          <w:lang w:eastAsia="en-US"/>
        </w:rPr>
        <w:t xml:space="preserve">should be interpreted with care. </w:t>
      </w:r>
      <w:r w:rsidR="004B35DA" w:rsidRPr="009C4C2F">
        <w:rPr>
          <w:lang w:eastAsia="en-US"/>
        </w:rPr>
        <w:t xml:space="preserve">Data collection and reporting of the physical stocks and flows of critical materials are often not done with the criticality context in mind. </w:t>
      </w:r>
      <w:r w:rsidR="000961B4" w:rsidRPr="00313138">
        <w:rPr>
          <w:lang w:eastAsia="en-US"/>
        </w:rPr>
        <w:t xml:space="preserve">Data quality is </w:t>
      </w:r>
      <w:r w:rsidR="00BE1BC9" w:rsidRPr="00313138">
        <w:rPr>
          <w:lang w:eastAsia="en-US"/>
        </w:rPr>
        <w:t>affected by</w:t>
      </w:r>
      <w:r w:rsidR="004D5B30" w:rsidRPr="00313138">
        <w:rPr>
          <w:lang w:eastAsia="en-US"/>
        </w:rPr>
        <w:t xml:space="preserve"> </w:t>
      </w:r>
      <w:r w:rsidR="00540D70">
        <w:rPr>
          <w:lang w:eastAsia="en-US"/>
        </w:rPr>
        <w:t>an</w:t>
      </w:r>
      <w:r w:rsidR="00540D70" w:rsidRPr="00313138">
        <w:rPr>
          <w:lang w:eastAsia="en-US"/>
        </w:rPr>
        <w:t xml:space="preserve"> </w:t>
      </w:r>
      <w:r w:rsidR="004D5B30" w:rsidRPr="00313138">
        <w:rPr>
          <w:lang w:eastAsia="en-US"/>
        </w:rPr>
        <w:t xml:space="preserve">inherent uncertainty, </w:t>
      </w:r>
      <w:r w:rsidR="002B424E">
        <w:rPr>
          <w:lang w:eastAsia="en-US"/>
        </w:rPr>
        <w:t>and r</w:t>
      </w:r>
      <w:r w:rsidR="006D00A4">
        <w:rPr>
          <w:lang w:eastAsia="en-US"/>
        </w:rPr>
        <w:t>outinely updated</w:t>
      </w:r>
      <w:r w:rsidR="00540D70">
        <w:rPr>
          <w:lang w:eastAsia="en-US"/>
        </w:rPr>
        <w:t xml:space="preserve"> data </w:t>
      </w:r>
      <w:r w:rsidR="006D00A4">
        <w:rPr>
          <w:lang w:eastAsia="en-US"/>
        </w:rPr>
        <w:t>contain</w:t>
      </w:r>
      <w:r w:rsidR="00540D70">
        <w:rPr>
          <w:lang w:eastAsia="en-US"/>
        </w:rPr>
        <w:t xml:space="preserve"> frequently</w:t>
      </w:r>
      <w:r w:rsidR="006D00A4">
        <w:rPr>
          <w:lang w:eastAsia="en-US"/>
        </w:rPr>
        <w:t xml:space="preserve"> inherent errors resulting from the primary data reporting. Global production data</w:t>
      </w:r>
      <w:r w:rsidR="00540D70">
        <w:rPr>
          <w:lang w:eastAsia="en-US"/>
        </w:rPr>
        <w:t xml:space="preserve"> e.g.</w:t>
      </w:r>
      <w:r w:rsidR="006D00A4">
        <w:rPr>
          <w:lang w:eastAsia="en-US"/>
        </w:rPr>
        <w:t xml:space="preserve"> differ between the USGS and BGS;</w:t>
      </w:r>
      <w:r w:rsidR="002B424E">
        <w:rPr>
          <w:lang w:eastAsia="en-US"/>
        </w:rPr>
        <w:t xml:space="preserve"> thus</w:t>
      </w:r>
      <w:r w:rsidR="006D00A4">
        <w:rPr>
          <w:lang w:eastAsia="en-US"/>
        </w:rPr>
        <w:t xml:space="preserve"> the selection of the source or combining these sources will result in different risk evaluations. Many studies convert data ranges into a mean value, resulting in a loss of information on uncertainty on the way. Using data ranges for the criticality c</w:t>
      </w:r>
      <w:r w:rsidR="006D00A4">
        <w:t xml:space="preserve">alculations </w:t>
      </w:r>
      <w:r w:rsidR="00305531">
        <w:t xml:space="preserve">also </w:t>
      </w:r>
      <w:r w:rsidR="006D00A4">
        <w:t xml:space="preserve">provides a range of criticality determinations. Such ranges can be calculated if the original data sources present uncertainty ranges as well. These are provided by, among others, the World Bank for the </w:t>
      </w:r>
      <w:r w:rsidR="00DA12C5">
        <w:t>WGI</w:t>
      </w:r>
      <w:r w:rsidR="006D00A4">
        <w:t xml:space="preserve">. However, for most indicators, such uncertainty ranges are not provided, implying that the data point is an absolute, true value. This is overcome by </w:t>
      </w:r>
      <w:proofErr w:type="spellStart"/>
      <w:r w:rsidR="006D00A4">
        <w:t>Graedel</w:t>
      </w:r>
      <w:proofErr w:type="spellEnd"/>
      <w:r w:rsidR="006D00A4">
        <w:t xml:space="preserve"> et al. by calculating their own uncertainty ranges </w:t>
      </w:r>
      <w:r w:rsidR="006D00A4">
        <w:fldChar w:fldCharType="begin" w:fldLock="1"/>
      </w:r>
      <w:r w:rsidR="00D35F6A">
        <w:instrText>ADDIN CSL_CITATION {"citationItems":[{"id":"ITEM-1","itemData":{"DOI":"10.1021/es203534z","ISSN":"1520-5851","PMID":"22191617","abstract":"A comprehensive methodology has been created to quantify the degree of criticality of the metals of the periodic table. In this paper, we present and discuss the methodology, which is comprised of three dimensions: supply risk, environmental implications, and vulnerability to supply restriction. Supply risk differs with the time scale (medium or long), and at its more complex involves several components, themselves composed of a number of distinct indicators drawn from readily available peer-reviewed indexes and public information. Vulnerability to supply restriction differs with the organizational level (i.e., global, national, and corporate). The criticality methodology, an enhancement of a United States National Research Council template, is designed to help corporate, national, and global stakeholders conduct risk evaluation and to inform resource utilization and strategic decision-making. Although we believe our methodological choices lead to the most robust results, the framework has been constructed to permit flexibility by the user. Specific indicators can be deleted or added as desired and weighted as the user deems appropriate. The value of each indicator will evolve over time, and our future research will focus on this evolution. The methodology has proven to be sufficiently robust as to make it applicable across the entire spectrum of metals and organizational levels and provides a structural approach that reflects the multifaceted factors influencing the availability of metals in the 21st century.","author":[{"dropping-particle":"","family":"Graedel","given":"T E","non-dropping-particle":"","parse-names":false,"suffix":""},{"dropping-particle":"","family":"Barr","given":"Rachel","non-dropping-particle":"","parse-names":false,"suffix":""},{"dropping-particle":"","family":"Chandler","given":"Chelsea","non-dropping-particle":"","parse-names":false,"suffix":""},{"dropping-particle":"","family":"Chase","given":"Thomas","non-dropping-particle":"","parse-names":false,"suffix":""},{"dropping-particle":"","family":"Choi","given":"Joanne","non-dropping-particle":"","parse-names":false,"suffix":""},{"dropping-particle":"","family":"Christoffersen","given":"Lee","non-dropping-particle":"","parse-names":false,"suffix":""},{"dropping-particle":"","family":"Friedlander","given":"Elizabeth","non-dropping-particle":"","parse-names":false,"suffix":""},{"dropping-particle":"","family":"Henly","given":"Claire","non-dropping-particle":"","parse-names":false,"suffix":""},{"dropping-particle":"","family":"Jun","given":"Christine","non-dropping-particle":"","parse-names":false,"suffix":""},{"dropping-particle":"","family":"Nassar","given":"Nedal T","non-dropping-particle":"","parse-names":false,"suffix":""},{"dropping-particle":"","family":"Schechner","given":"Daniel","non-dropping-particle":"","parse-names":false,"suffix":""},{"dropping-particle":"","family":"Warren","given":"Simon","non-dropping-particle":"","parse-names":false,"suffix":""},{"dropping-particle":"","family":"Yang","given":"Man-Yu","non-dropping-particle":"","parse-names":false,"suffix":""},{"dropping-particle":"","family":"Zhu","given":"Charles","non-dropping-particle":"","parse-names":false,"suffix":""}],"container-title":"Environmental science &amp; technology","id":"ITEM-1","issue":"2","issued":{"date-parts":[["2012","1","17"]]},"page":"1063-70","title":"Methodology of metal criticality determination.","type":"article-journal","volume":"46"},"uris":["http://www.mendeley.com/documents/?uuid=49fe8c5a-84cb-4122-83ad-d3acfeddefaa"]}],"mendeley":{"formattedCitation":"(Graedel et al., 2012)","plainTextFormattedCitation":"(Graedel et al., 2012)","previouslyFormattedCitation":"(Graedel et al., 2012)"},"properties":{"noteIndex":0},"schema":"https://github.com/citation-style-language/schema/raw/master/csl-citation.json"}</w:instrText>
      </w:r>
      <w:r w:rsidR="006D00A4">
        <w:fldChar w:fldCharType="separate"/>
      </w:r>
      <w:r w:rsidR="002B45EF" w:rsidRPr="002B45EF">
        <w:rPr>
          <w:noProof/>
        </w:rPr>
        <w:t>(Graedel et al., 2012)</w:t>
      </w:r>
      <w:r w:rsidR="006D00A4">
        <w:fldChar w:fldCharType="end"/>
      </w:r>
      <w:r w:rsidR="006D00A4">
        <w:t xml:space="preserve">. </w:t>
      </w:r>
    </w:p>
    <w:p w14:paraId="19972356" w14:textId="77777777" w:rsidR="00DC358E" w:rsidRDefault="00DC358E" w:rsidP="00863B14">
      <w:pPr>
        <w:spacing w:line="480" w:lineRule="auto"/>
        <w:jc w:val="both"/>
      </w:pPr>
    </w:p>
    <w:p w14:paraId="6C2DE9B7" w14:textId="59EC9585" w:rsidR="000815A7" w:rsidRDefault="000D2D61" w:rsidP="00863B14">
      <w:pPr>
        <w:spacing w:line="480" w:lineRule="auto"/>
        <w:jc w:val="both"/>
      </w:pPr>
      <w:r>
        <w:t xml:space="preserve">Besides </w:t>
      </w:r>
      <w:r w:rsidR="00D35B6A">
        <w:t xml:space="preserve">the inherent uncertainty of </w:t>
      </w:r>
      <w:r>
        <w:t>data, d</w:t>
      </w:r>
      <w:r w:rsidR="00591F29">
        <w:t xml:space="preserve">ata should be evaluated </w:t>
      </w:r>
      <w:r w:rsidR="00913D51">
        <w:t>regarding</w:t>
      </w:r>
      <w:r w:rsidR="00591F29">
        <w:t xml:space="preserve"> their representativeness for the technology, the specific material, the geographical area, and the time frame formulated in the goal and scope of the study.</w:t>
      </w:r>
      <w:r w:rsidR="009E6029">
        <w:t xml:space="preserve"> </w:t>
      </w:r>
      <w:r w:rsidR="009E6029" w:rsidRPr="00461A6A">
        <w:rPr>
          <w:highlight w:val="green"/>
        </w:rPr>
        <w:t>Data often represent current or historic situations, and should be updated regularly.</w:t>
      </w:r>
      <w:r w:rsidR="009E6029" w:rsidRPr="00C6704F">
        <w:t xml:space="preserve"> </w:t>
      </w:r>
      <w:r w:rsidR="005D1C1F">
        <w:t>D</w:t>
      </w:r>
      <w:r w:rsidR="004B35DA" w:rsidRPr="00E026C0">
        <w:t>ata from different sources, such as production and trade nomenclature, are usually not harmonized. This leads to inconsistencies</w:t>
      </w:r>
      <w:r w:rsidR="001C587B">
        <w:t xml:space="preserve"> that </w:t>
      </w:r>
      <w:r w:rsidR="004B35DA" w:rsidRPr="00E026C0">
        <w:t xml:space="preserve">weaken the </w:t>
      </w:r>
      <w:r w:rsidR="004B35DA" w:rsidRPr="00E026C0">
        <w:lastRenderedPageBreak/>
        <w:t xml:space="preserve">robustness of the monitoring of the physical material flows and the evaluation of raw material criticality. Extremely difficult to assess are trade statistics. </w:t>
      </w:r>
      <w:r w:rsidR="004B35DA" w:rsidRPr="00E026C0">
        <w:fldChar w:fldCharType="begin"/>
      </w:r>
      <w:r w:rsidR="004B35DA" w:rsidRPr="00E026C0">
        <w:instrText xml:space="preserve"> REF _Ref4510603 \h  \* MERGEFORMAT </w:instrText>
      </w:r>
      <w:r w:rsidR="004B35DA" w:rsidRPr="00E026C0">
        <w:fldChar w:fldCharType="separate"/>
      </w:r>
      <w:r w:rsidR="009F2906">
        <w:t xml:space="preserve">Figure </w:t>
      </w:r>
      <w:r w:rsidR="009F2906">
        <w:rPr>
          <w:noProof/>
        </w:rPr>
        <w:t>4</w:t>
      </w:r>
      <w:r w:rsidR="004B35DA" w:rsidRPr="00E026C0">
        <w:fldChar w:fldCharType="end"/>
      </w:r>
      <w:r w:rsidR="004B35DA" w:rsidRPr="00E026C0">
        <w:t xml:space="preserve"> shows that such statistics (e.g. UN Stats and Eurostat) are used as input data for several assessments. The accuracy and reliability of these data directly impact the outcome of these studies. </w:t>
      </w:r>
      <w:r w:rsidR="00850608">
        <w:t xml:space="preserve">For example, most reports group minor producers into an ‘Other’ category. Treating this as one source, or a collection of many sources, will materially impact the degree of monopoly of supply that is indicated in the assessment. </w:t>
      </w:r>
      <w:r w:rsidR="00635379">
        <w:t>Furthermore, c</w:t>
      </w:r>
      <w:r w:rsidR="004B35DA" w:rsidRPr="00E026C0">
        <w:t>riticality of raw materials can vary for materials with different purity grades (e.g. pure metals, ingots, etc</w:t>
      </w:r>
      <w:r w:rsidR="007E0831">
        <w:t>.</w:t>
      </w:r>
      <w:r w:rsidR="004B35DA" w:rsidRPr="00E026C0">
        <w:t xml:space="preserve">), </w:t>
      </w:r>
      <w:r w:rsidR="002B424E">
        <w:t>making it</w:t>
      </w:r>
      <w:r w:rsidR="004B35DA" w:rsidRPr="00E026C0">
        <w:t xml:space="preserve"> important that data source</w:t>
      </w:r>
      <w:r w:rsidR="002B424E">
        <w:t>s</w:t>
      </w:r>
      <w:r w:rsidR="004B35DA" w:rsidRPr="00E026C0">
        <w:t xml:space="preserve"> differentiate between different material forms. For the trade of metal </w:t>
      </w:r>
      <w:r w:rsidR="00C04E5B" w:rsidRPr="00E026C0">
        <w:t>concentrates,</w:t>
      </w:r>
      <w:r w:rsidR="004B35DA" w:rsidRPr="00E026C0">
        <w:t xml:space="preserve"> it is challenging to find numbers about metal content and associated elements. The trade of complex products is even more difficult, and results of “objective, statistics-based” CRM assessments should be cross-checked by (industry) experts. However, even for experts, trade data are a complex puzzle that require much additional information and market knowledge. If the experts articulate serious doubts on how to interpret the data, the “objective” assessment should be carefully revised</w:t>
      </w:r>
      <w:r w:rsidR="00194C73">
        <w:t>.</w:t>
      </w:r>
      <w:r w:rsidR="007E29C3">
        <w:t xml:space="preserve"> </w:t>
      </w:r>
    </w:p>
    <w:p w14:paraId="214BE23A" w14:textId="77777777" w:rsidR="000815A7" w:rsidRDefault="000815A7" w:rsidP="00863B14">
      <w:pPr>
        <w:spacing w:line="480" w:lineRule="auto"/>
        <w:jc w:val="both"/>
      </w:pPr>
    </w:p>
    <w:p w14:paraId="65E07512" w14:textId="63EC6843" w:rsidR="00A87231" w:rsidRDefault="007E29C3" w:rsidP="00863B14">
      <w:pPr>
        <w:spacing w:line="480" w:lineRule="auto"/>
        <w:jc w:val="both"/>
      </w:pPr>
      <w:r>
        <w:t xml:space="preserve">More examples on </w:t>
      </w:r>
      <w:r w:rsidR="001D79F6">
        <w:t xml:space="preserve">the </w:t>
      </w:r>
      <w:r w:rsidR="00D52E30">
        <w:t xml:space="preserve">evaluation of </w:t>
      </w:r>
      <w:r>
        <w:t xml:space="preserve">data </w:t>
      </w:r>
      <w:r w:rsidR="00D14EE3" w:rsidRPr="00226F1A">
        <w:t xml:space="preserve">uncertainty and </w:t>
      </w:r>
      <w:r w:rsidRPr="00226F1A">
        <w:t>representativeness are provided in</w:t>
      </w:r>
      <w:r w:rsidR="00EB265C">
        <w:t xml:space="preserve"> </w:t>
      </w:r>
      <w:r w:rsidR="002B424E">
        <w:t>s</w:t>
      </w:r>
      <w:r w:rsidR="00EB265C">
        <w:t>ection S5.2 of SI-D</w:t>
      </w:r>
      <w:r w:rsidRPr="00226F1A">
        <w:t>.</w:t>
      </w:r>
      <w:r w:rsidR="00194C73" w:rsidRPr="00226F1A">
        <w:t xml:space="preserve"> </w:t>
      </w:r>
      <w:r w:rsidR="00EB265C">
        <w:t xml:space="preserve">Section S5.2 also </w:t>
      </w:r>
      <w:r w:rsidR="003A12C3" w:rsidRPr="00226F1A">
        <w:t xml:space="preserve">presents how studies have dealt with lacking data, for example by </w:t>
      </w:r>
      <w:r w:rsidR="00F47E5A" w:rsidRPr="00226F1A">
        <w:t>attributing</w:t>
      </w:r>
      <w:r w:rsidR="003A12C3" w:rsidRPr="00226F1A">
        <w:t xml:space="preserve"> arbitrary scoring, using proxy data, or by additional data collection.</w:t>
      </w:r>
      <w:r w:rsidR="00D52E30" w:rsidRPr="00226F1A">
        <w:t xml:space="preserve"> </w:t>
      </w:r>
      <w:r w:rsidR="003D2980" w:rsidRPr="00226F1A">
        <w:t xml:space="preserve">In </w:t>
      </w:r>
      <w:r w:rsidR="00645DF9" w:rsidRPr="00226F1A">
        <w:t>most</w:t>
      </w:r>
      <w:r w:rsidR="003D2980" w:rsidRPr="00226F1A">
        <w:t xml:space="preserve"> reviewed criticality studies, data quality is not addressed in an explicit or quantitative manner. This could be further improved by adopting practices that have been implemented in other domains, such as </w:t>
      </w:r>
      <w:r w:rsidR="00DA12C5">
        <w:t>LCA</w:t>
      </w:r>
      <w:r w:rsidR="003D2980" w:rsidRPr="00226F1A">
        <w:t xml:space="preserve">, where data quality indicators have been developed which can be </w:t>
      </w:r>
      <w:r w:rsidR="003A3FCD" w:rsidRPr="00226F1A">
        <w:t>used to calculate</w:t>
      </w:r>
      <w:r w:rsidR="006D40FD" w:rsidRPr="00226F1A">
        <w:t xml:space="preserve"> uncertainty ranges </w:t>
      </w:r>
      <w:r w:rsidR="006D40FD" w:rsidRPr="00226F1A">
        <w:fldChar w:fldCharType="begin" w:fldLock="1"/>
      </w:r>
      <w:r w:rsidR="00D35F6A">
        <w:instrText>ADDIN CSL_CITATION {"citationItems":[{"id":"ITEM-1","itemData":{"DOI":"10.1016/S0959-6526(96)00043-1","ISSN":"09596526","abstract":"A formal procedure for data quality management in life cycle inventory is described. The procedure is applied to the example of an energy inventory for 1 kg rye bread. Five independent data quality indicators are suggested as necessary and sufficient to describe those aspects of data quality which influence the reliability of the result. Listing these data quality indicators for all data gives an improved understanding of the typical data quality problems of a particular study. This may subsequently be used for improving the data collection strategy during a life cycle study. To give an assessment of the reliability of the overall result of a life cycle inventory, the data quality indicators are transformed into estimates of the additional uncertainty due to the insufficient data quality. It is shown how a low data quality can both increase the uncertainty and change the mean value. After assigning additional uncertainties to all data in the study, a calculation of the uncertainty of the overall result is made by the use of simulations. The use of default estimates of additional uncertainties is suggested as a way to both simplify and improve the procedure. © 1997.","author":[{"dropping-particle":"","family":"Weidema","given":"Bo Pedersen","non-dropping-particle":"","parse-names":false,"suffix":""},{"dropping-particle":"","family":"Wesnæs","given":"Marianne Suhr","non-dropping-particle":"","parse-names":false,"suffix":""}],"container-title":"Journal of Cleaner Production","id":"ITEM-1","issue":"3-4","issued":{"date-parts":[["1996"]]},"page":"167-174","title":"Data quality management for life cycle inventories-an example of using data quality indicators","type":"article-journal","volume":"4"},"uris":["http://www.mendeley.com/documents/?uuid=b71d47ad-41da-45a3-a53a-d64e9b16480d"]},{"id":"ITEM-2","itemData":{"author":[{"dropping-particle":"","family":"Weidema","given":"Bo P.","non-dropping-particle":"","parse-names":false,"suffix":""},{"dropping-particle":"","family":"Bauer","given":"C.","non-dropping-particle":"","parse-names":false,"suffix":""},{"dropping-particle":"","family":"Hischier","given":"R.","non-dropping-particle":"","parse-names":false,"suffix":""},{"dropping-particle":"","family":"Mutel","given":"C.","non-dropping-particle":"","parse-names":false,"suffix":""},{"dropping-particle":"","family":"Nemecek","given":"T.","non-dropping-particle":"","parse-names":false,"suffix":""},{"dropping-particle":"","family":"Reinhard","given":"J.","non-dropping-particle":"","parse-names":false,"suffix":""},{"dropping-particle":"","family":"Vadenbo","given":"C.O.","non-dropping-particle":"","parse-names":false,"suffix":""},{"dropping-particle":"","family":"Wernet","given":"G.","non-dropping-particle":"","parse-names":false,"suffix":""}],"id":"ITEM-2","issue":"1","issued":{"date-parts":[["2013"]]},"publisher-place":"Ecoinvent Report 1 (v3). St. Gallen: The ecoinvent Centre","title":"Overview and methodology - Data quality guideline for the ecoinvent database version 3","type":"report","volume":"3"},"uris":["http://www.mendeley.com/documents/?uuid=76ffe6ae-3cd8-42e8-90a8-b503c274a1d5"]}],"mendeley":{"formattedCitation":"(Weidema et al., 2013; Weidema and Wesnæs, 1996)","plainTextFormattedCitation":"(Weidema et al., 2013; Weidema and Wesnæs, 1996)","previouslyFormattedCitation":"(Weidema et al., 2013; Weidema and Wesnæs, 1996)"},"properties":{"noteIndex":0},"schema":"https://github.com/citation-style-language/schema/raw/master/csl-citation.json"}</w:instrText>
      </w:r>
      <w:r w:rsidR="006D40FD" w:rsidRPr="00226F1A">
        <w:fldChar w:fldCharType="separate"/>
      </w:r>
      <w:r w:rsidR="002B45EF" w:rsidRPr="002B45EF">
        <w:rPr>
          <w:noProof/>
        </w:rPr>
        <w:t>(Weidema et al., 2013; Weidema and Wesnæs, 1996)</w:t>
      </w:r>
      <w:r w:rsidR="006D40FD" w:rsidRPr="00226F1A">
        <w:fldChar w:fldCharType="end"/>
      </w:r>
      <w:r w:rsidR="0092064F" w:rsidRPr="00226F1A">
        <w:t>.</w:t>
      </w:r>
      <w:r w:rsidR="003D2980">
        <w:t xml:space="preserve"> </w:t>
      </w:r>
    </w:p>
    <w:p w14:paraId="4CC5A513" w14:textId="02C68D5D" w:rsidR="0006756D" w:rsidRDefault="00FF0F28" w:rsidP="00461A6A">
      <w:pPr>
        <w:pStyle w:val="Heading3"/>
        <w:numPr>
          <w:ilvl w:val="1"/>
          <w:numId w:val="44"/>
        </w:numPr>
        <w:spacing w:line="480" w:lineRule="auto"/>
      </w:pPr>
      <w:bookmarkStart w:id="50" w:name="_Toc415758575"/>
      <w:bookmarkStart w:id="51" w:name="_Toc10458665"/>
      <w:bookmarkStart w:id="52" w:name="_Toc19016231"/>
      <w:r>
        <w:lastRenderedPageBreak/>
        <w:t>Aggregation</w:t>
      </w:r>
      <w:bookmarkEnd w:id="50"/>
      <w:bookmarkEnd w:id="51"/>
      <w:bookmarkEnd w:id="52"/>
    </w:p>
    <w:p w14:paraId="0406AF99" w14:textId="1B351AD9" w:rsidR="00D34DA0" w:rsidRDefault="00D34DA0" w:rsidP="00863B14">
      <w:pPr>
        <w:spacing w:line="480" w:lineRule="auto"/>
        <w:jc w:val="both"/>
      </w:pPr>
      <w:r w:rsidRPr="00D34DA0">
        <w:rPr>
          <w:lang w:val="en-GB"/>
        </w:rPr>
        <w:t>In order to reach a final criticality outcome, different aggregation tasks c</w:t>
      </w:r>
      <w:r w:rsidR="00B92A52">
        <w:rPr>
          <w:lang w:val="en-GB"/>
        </w:rPr>
        <w:t>an</w:t>
      </w:r>
      <w:r w:rsidRPr="00D34DA0">
        <w:rPr>
          <w:lang w:val="en-GB"/>
        </w:rPr>
        <w:t xml:space="preserve"> be performed: a) the aggregation of sub-indicators to composite single score indicators (e.g. the WGI, which contains 6 sub-indicators), b) the aggregation of various indicators (e.g. HHI and WGI) to a single score for a specific dimension (e.g. </w:t>
      </w:r>
      <w:r w:rsidR="00292BB4">
        <w:rPr>
          <w:lang w:val="en-GB"/>
        </w:rPr>
        <w:t>the probability of a supply disruption</w:t>
      </w:r>
      <w:r w:rsidRPr="00D34DA0">
        <w:rPr>
          <w:lang w:val="en-GB"/>
        </w:rPr>
        <w:t xml:space="preserve">), c) the aggregation of different dimensions (e.g. probability of </w:t>
      </w:r>
      <w:r w:rsidR="00633882">
        <w:rPr>
          <w:lang w:val="en-GB"/>
        </w:rPr>
        <w:t xml:space="preserve">a </w:t>
      </w:r>
      <w:r w:rsidRPr="00D34DA0">
        <w:rPr>
          <w:lang w:val="en-GB"/>
        </w:rPr>
        <w:t xml:space="preserve">supply disruption and vulnerability) to a raw-material-specific single-score criticality index, and d) the assessment of a single-score criticality index for a whole technology, consisting of multiple raw materials, which is performed by a few studies </w:t>
      </w:r>
      <w:r w:rsidRPr="00226F1A">
        <w:rPr>
          <w:lang w:val="en-GB"/>
        </w:rPr>
        <w:fldChar w:fldCharType="begin" w:fldLock="1"/>
      </w:r>
      <w:r w:rsidR="00D35F6A">
        <w:rPr>
          <w:lang w:val="en-GB"/>
        </w:rPr>
        <w:instrText>ADDIN CSL_CITATION {"citationItems":[{"id":"ITEM-1","itemData":{"DOI":"10.1016/j.jclepro.2017.10.122","ISSN":"09596526","abstract":"One possibility for electrification of road transport consists of battery electric vehicles in combination with carbon-free sources of electricity. It is highly likely that lithium-ion batteries will provide the basis for this development. In the present paper, we use a recently developed, semi-quantitative assessment scheme to evaluate the relative supply risks associated with the elements used in the functional materials of six different lithium-ion battery types. Eleven different indicators in four supply risk categories are applied to each element; the weighting of the indicators is determined by external experts within the framework of an Analytic Hierarchy Process. The range of supply risk values on the elemental level is distinctly narrower than in our previous work on photovoltaic materials. The highest values are obtained for lithium and cobalt; the lowest for aluminium and titanium. Copper, iron, nickel, carbon (graphite), manganese and phosphorous form the middle group. We then carry out the assessment of the six battery types, to give comparative supply risks at the technology level. For this purpose the elemental supply risk values are aggregated using four different methods. Due to the small spread at the elemental level the supply risk values in all four aggregation methods also lie in a narrow range. Removing lithium, aluminium and phosphorous from the analysis, which are present in all types of battery, improves the situation. For aggregation with the simple arithmetic mean, an uncertainty analysis shows that only lithium-iron phosphate has a measurably lower supply risk compared to the other battery types. For the “cost-share” aggregation using seven elements, lithium cobalt oxide has a substantially higher supply risk than most other types.","author":[{"dropping-particle":"","family":"Helbig","given":"Christoph","non-dropping-particle":"","parse-names":false,"suffix":""},{"dropping-particle":"","family":"Bradshaw","given":"Alex M.","non-dropping-particle":"","parse-names":false,"suffix":""},{"dropping-particle":"","family":"Wietschel","given":"Lars","non-dropping-particle":"","parse-names":false,"suffix":""},{"dropping-particle":"","family":"Thorenz","given":"Andrea","non-dropping-particle":"","parse-names":false,"suffix":""},{"dropping-particle":"","family":"Tuma","given":"Axel","non-dropping-particle":"","parse-names":false,"suffix":""}],"container-title":"Journal of Cleaner Production","id":"ITEM-1","issued":{"date-parts":[["2018"]]},"page":"274-286","publisher":"Elsevier Ltd","title":"Supply risks associated with lithium-ion battery materials","type":"article-journal","volume":"172"},"uris":["http://www.mendeley.com/documents/?uuid=88f84408-ad58-4686-bf93-a34b5eb2571d"]},{"id":"ITEM-2","itemData":{"DOI":"10.1016/j.apenergy.2016.06.102","ISSN":"03062619","abstract":"As a result of the global warming potential of fossil fuels there has been a rapid growth in the installation of photovoltaic generating capacity in the last decade. While this market is dominated by crystalline silicon, thin-film photovoltaics are still expected to make a substantial contribution to global electricity supply in future, due both to lower production costs and to recent increases in conversion efficiency. At present, cadmium telluride (CdTe) and copper-indium-gallium diselenide (CuInxGa1−xSe2) seem to be the most promising materials and currently have a share of ≈9% of the photovoltaic market. An expected stronger market penetration by these thin-film technologies raises the question as to the supply risks associated with the constituent elements. Against this background, we report here a semi-quantitative, relative assessment of mid- to long-term supply risk associated with the elements Cd, Te, Cu, In, Ga, Se and Mo. In this approach, the supply risk is measured using 11 indicators in the four categories “Risk of Supply Reduction”, “Risk of Demand Increase”, “Concentration Risk” and “Political Risk”. In a second step, the single indicator values, which are derived from publicly accessible databases, are weighted relative to each other specifically for the case of thin film photovoltaics. For this purpose, a survey among colleagues and an Analytic Hierarchy Process (AHP) approach are used, in order to obtain a relative, element-specific value for the supply risk. The aggregation of these elemental values (based on mass share, cost share, etc.) gives an overall value for each material. Both elemental and “technology material” supply risk scores are subject to an uncertainty analysis using Monte Carlo simulation. CdTe shows slightly lower supply risk values for all aggregation options.","author":[{"dropping-particle":"","family":"Helbig","given":"Christoph","non-dropping-particle":"","parse-names":false,"suffix":""},{"dropping-particle":"","family":"Bradshaw","given":"Alex M.","non-dropping-particle":"","parse-names":false,"suffix":""},{"dropping-particle":"","family":"Kolotzek","given":"Christoph","non-dropping-particle":"","parse-names":false,"suffix":""},{"dropping-particle":"","family":"Thorenz","given":"Andrea","non-dropping-particle":"","parse-names":false,"suffix":""},{"dropping-particle":"","family":"Tuma","given":"Axel","non-dropping-particle":"","parse-names":false,"suffix":""}],"container-title":"Applied Energy","id":"ITEM-2","issued":{"date-parts":[["2016"]]},"page":"422-433","title":"Supply risks associated with CdTe and CIGS thin-film photovoltaics","type":"article-journal","volume":"178"},"uris":["http://www.mendeley.com/documents/?uuid=39188c3a-4e31-458d-8692-7ffc8f740a24"]},{"id":"ITEM-3","itemData":{"author":[{"dropping-particle":"","family":"Goddin","given":"James R.J.","non-dropping-particle":"","parse-names":false,"suffix":""}],"container-title":"Critical Materials - Underlying Causes and Sustainable Mitigation Strategies","editor":[{"dropping-particle":"","family":"Offerman","given":"S. Erik","non-dropping-particle":"","parse-names":false,"suffix":""}],"id":"ITEM-3","issued":{"date-parts":[["2019"]]},"page":"117-150","publisher":"World Scientific Publishing Co. Pte. Ltd.","publisher-place":"Singapore","title":"Identifying Supply Chain Risks for Critical and Strategic Materials","type":"chapter"},"uris":["http://www.mendeley.com/documents/?uuid=362dc362-ed9f-48f1-99c0-6853aeb1454d"]}],"mendeley":{"formattedCitation":"(Goddin, 2019; Helbig et al., 2018, 2016a)","plainTextFormattedCitation":"(Goddin, 2019; Helbig et al., 2018, 2016a)","previouslyFormattedCitation":"(Goddin, 2019; Helbig et al., 2018, 2016a)"},"properties":{"noteIndex":0},"schema":"https://github.com/citation-style-language/schema/raw/master/csl-citation.json"}</w:instrText>
      </w:r>
      <w:r w:rsidRPr="00226F1A">
        <w:rPr>
          <w:lang w:val="en-GB"/>
        </w:rPr>
        <w:fldChar w:fldCharType="separate"/>
      </w:r>
      <w:r w:rsidR="002B45EF" w:rsidRPr="002B45EF">
        <w:rPr>
          <w:noProof/>
          <w:lang w:val="en-GB"/>
        </w:rPr>
        <w:t>(Goddin, 2019; Helbig et al., 2018, 2016a)</w:t>
      </w:r>
      <w:r w:rsidRPr="00226F1A">
        <w:rPr>
          <w:lang w:val="en-GB"/>
        </w:rPr>
        <w:fldChar w:fldCharType="end"/>
      </w:r>
      <w:r w:rsidRPr="00226F1A">
        <w:rPr>
          <w:lang w:val="en-GB"/>
        </w:rPr>
        <w:t xml:space="preserve">. </w:t>
      </w:r>
      <w:r w:rsidR="00DD7160" w:rsidRPr="00226F1A">
        <w:rPr>
          <w:lang w:val="en-GB"/>
        </w:rPr>
        <w:t xml:space="preserve">In </w:t>
      </w:r>
      <w:r w:rsidR="00EB265C">
        <w:rPr>
          <w:lang w:val="en-GB"/>
        </w:rPr>
        <w:t>Section S6 of SI-D</w:t>
      </w:r>
      <w:r w:rsidR="00DD7160" w:rsidRPr="00226F1A">
        <w:rPr>
          <w:lang w:val="en-GB"/>
        </w:rPr>
        <w:t xml:space="preserve"> it is discussed how criticality assessments apply different scaling and aggregation methods on each of these levels.</w:t>
      </w:r>
      <w:r w:rsidR="001262DE" w:rsidRPr="00226F1A">
        <w:rPr>
          <w:lang w:val="en-GB"/>
        </w:rPr>
        <w:t xml:space="preserve"> </w:t>
      </w:r>
      <w:r w:rsidR="0043503C" w:rsidRPr="00226F1A">
        <w:rPr>
          <w:lang w:val="en-GB"/>
        </w:rPr>
        <w:t>A</w:t>
      </w:r>
      <w:proofErr w:type="spellStart"/>
      <w:r w:rsidRPr="00226F1A">
        <w:t>ggregation</w:t>
      </w:r>
      <w:proofErr w:type="spellEnd"/>
      <w:r w:rsidRPr="00226F1A">
        <w:t xml:space="preserve"> is necessarily related to loss of information and includes normative decisions</w:t>
      </w:r>
      <w:r w:rsidR="008743DB" w:rsidRPr="00226F1A">
        <w:t>. Therefore</w:t>
      </w:r>
      <w:r w:rsidR="001262DE" w:rsidRPr="00226F1A">
        <w:t xml:space="preserve">, </w:t>
      </w:r>
      <w:r w:rsidRPr="00226F1A">
        <w:t>it is recommended to display the disaggregated data and perform a s</w:t>
      </w:r>
      <w:r>
        <w:t>ensitivity analysis.</w:t>
      </w:r>
    </w:p>
    <w:p w14:paraId="44C76ECF" w14:textId="77777777" w:rsidR="00633882" w:rsidRPr="00D34DA0" w:rsidRDefault="00633882" w:rsidP="00863B14">
      <w:pPr>
        <w:spacing w:line="480" w:lineRule="auto"/>
        <w:rPr>
          <w:lang w:val="en-GB"/>
        </w:rPr>
      </w:pPr>
    </w:p>
    <w:p w14:paraId="4D5DE420" w14:textId="1EABA2A1" w:rsidR="00FF0F28" w:rsidRPr="00226F1A" w:rsidRDefault="00B32EC8" w:rsidP="00461A6A">
      <w:pPr>
        <w:pStyle w:val="Heading3"/>
        <w:numPr>
          <w:ilvl w:val="1"/>
          <w:numId w:val="44"/>
        </w:numPr>
        <w:spacing w:line="480" w:lineRule="auto"/>
      </w:pPr>
      <w:bookmarkStart w:id="53" w:name="_Toc415758576"/>
      <w:bookmarkStart w:id="54" w:name="_Toc10458666"/>
      <w:bookmarkStart w:id="55" w:name="_Toc19016232"/>
      <w:r w:rsidRPr="00226F1A">
        <w:t xml:space="preserve">Interpretation and communication </w:t>
      </w:r>
      <w:r w:rsidR="00FF0F28" w:rsidRPr="00226F1A">
        <w:t>of the results</w:t>
      </w:r>
      <w:bookmarkEnd w:id="53"/>
      <w:bookmarkEnd w:id="54"/>
      <w:bookmarkEnd w:id="55"/>
    </w:p>
    <w:p w14:paraId="751B7765" w14:textId="76D7D066" w:rsidR="00653A02" w:rsidRDefault="005800FA" w:rsidP="00863B14">
      <w:pPr>
        <w:spacing w:line="480" w:lineRule="auto"/>
        <w:jc w:val="both"/>
        <w:rPr>
          <w:lang w:val="en-GB"/>
        </w:rPr>
      </w:pPr>
      <w:r w:rsidRPr="00226F1A">
        <w:t xml:space="preserve">Once the </w:t>
      </w:r>
      <w:r w:rsidR="00703EBD" w:rsidRPr="00226F1A">
        <w:t>indicator scores are calculated and the required aggregation steps are done, the results must be interpreted</w:t>
      </w:r>
      <w:r w:rsidR="007B52F0" w:rsidRPr="00226F1A">
        <w:t xml:space="preserve"> and communicated</w:t>
      </w:r>
      <w:r w:rsidR="008707D4" w:rsidRPr="00226F1A">
        <w:t>.</w:t>
      </w:r>
      <w:r w:rsidR="00C1479E" w:rsidRPr="00226F1A">
        <w:t xml:space="preserve"> </w:t>
      </w:r>
      <w:r w:rsidR="005161EC" w:rsidRPr="00226F1A">
        <w:t>First</w:t>
      </w:r>
      <w:r w:rsidR="005161EC">
        <w:t>ly</w:t>
      </w:r>
      <w:r w:rsidR="00183217" w:rsidRPr="00226F1A">
        <w:t>, the results should always be interpreted with the context of the study in mind. The results will only reflect the criticality of the</w:t>
      </w:r>
      <w:r w:rsidR="00274B34" w:rsidRPr="00226F1A">
        <w:t xml:space="preserve"> evaluated materials for the specified system under study</w:t>
      </w:r>
      <w:r w:rsidR="002B424E">
        <w:t>,</w:t>
      </w:r>
      <w:r w:rsidR="007130D6" w:rsidRPr="00226F1A">
        <w:t xml:space="preserve"> and </w:t>
      </w:r>
      <w:r w:rsidR="00274B34" w:rsidRPr="00226F1A">
        <w:t xml:space="preserve">only the indicators that are included in the assessments will </w:t>
      </w:r>
      <w:r w:rsidR="00176006" w:rsidRPr="00226F1A">
        <w:t xml:space="preserve">determine </w:t>
      </w:r>
      <w:r w:rsidR="002B424E">
        <w:t>the criticality of the materials</w:t>
      </w:r>
      <w:r w:rsidR="007E0831">
        <w:t>,</w:t>
      </w:r>
      <w:r w:rsidR="00F23B13" w:rsidRPr="00226F1A">
        <w:t xml:space="preserve"> which explains the dependency of the interpretation of the results </w:t>
      </w:r>
      <w:r w:rsidR="00B15DC1">
        <w:t xml:space="preserve">– besides on the indicator scoring and aggregation – </w:t>
      </w:r>
      <w:r w:rsidR="00F23B13" w:rsidRPr="00226F1A">
        <w:t xml:space="preserve">on the goal and scope in </w:t>
      </w:r>
      <w:r w:rsidR="00F23B13" w:rsidRPr="00226F1A">
        <w:fldChar w:fldCharType="begin"/>
      </w:r>
      <w:r w:rsidR="00F23B13" w:rsidRPr="00226F1A">
        <w:instrText xml:space="preserve"> REF _Ref4489029 \h </w:instrText>
      </w:r>
      <w:r w:rsidR="00226F1A">
        <w:instrText xml:space="preserve"> \* MERGEFORMAT </w:instrText>
      </w:r>
      <w:r w:rsidR="00F23B13" w:rsidRPr="00226F1A">
        <w:fldChar w:fldCharType="separate"/>
      </w:r>
      <w:r w:rsidR="009F2906" w:rsidRPr="00226F1A">
        <w:t xml:space="preserve">Figure </w:t>
      </w:r>
      <w:r w:rsidR="009F2906" w:rsidRPr="00226F1A">
        <w:rPr>
          <w:noProof/>
        </w:rPr>
        <w:t>2</w:t>
      </w:r>
      <w:r w:rsidR="00F23B13" w:rsidRPr="00226F1A">
        <w:fldChar w:fldCharType="end"/>
      </w:r>
      <w:r w:rsidR="00176006" w:rsidRPr="00226F1A">
        <w:t xml:space="preserve">. </w:t>
      </w:r>
      <w:r w:rsidR="0098688D" w:rsidRPr="00226F1A">
        <w:t xml:space="preserve">Secondly, </w:t>
      </w:r>
      <w:r w:rsidR="00453B42" w:rsidRPr="00226F1A">
        <w:t xml:space="preserve">not only the </w:t>
      </w:r>
      <w:r w:rsidR="00AD32DE">
        <w:t>method</w:t>
      </w:r>
      <w:r w:rsidR="00AD32DE" w:rsidRPr="00226F1A">
        <w:t xml:space="preserve"> </w:t>
      </w:r>
      <w:r w:rsidR="00453B42" w:rsidRPr="00226F1A">
        <w:t>is tailored to capture and combine the elements of major interest, but also the way in which the results are communicated can be very stakeholder-specific</w:t>
      </w:r>
      <w:r w:rsidR="007E0831">
        <w:t>,</w:t>
      </w:r>
      <w:r w:rsidR="00FA3C86" w:rsidRPr="00226F1A">
        <w:t xml:space="preserve"> which influences </w:t>
      </w:r>
      <w:r w:rsidR="00FA78ED" w:rsidRPr="00226F1A">
        <w:t>further</w:t>
      </w:r>
      <w:r w:rsidR="00FA3C86" w:rsidRPr="00226F1A">
        <w:t xml:space="preserve"> interpretation of the results by the intended audience</w:t>
      </w:r>
      <w:r w:rsidR="00042E86" w:rsidRPr="00226F1A">
        <w:t xml:space="preserve">. </w:t>
      </w:r>
      <w:r w:rsidR="007E0831">
        <w:rPr>
          <w:lang w:val="en-GB"/>
        </w:rPr>
        <w:t>F</w:t>
      </w:r>
      <w:r w:rsidR="00B35C0F" w:rsidRPr="00226F1A">
        <w:rPr>
          <w:lang w:val="en-GB"/>
        </w:rPr>
        <w:t>urther elaborat</w:t>
      </w:r>
      <w:r w:rsidR="007E0831">
        <w:rPr>
          <w:lang w:val="en-GB"/>
        </w:rPr>
        <w:t>ion is made</w:t>
      </w:r>
      <w:r w:rsidR="00FA3C86" w:rsidRPr="00226F1A">
        <w:rPr>
          <w:lang w:val="en-GB"/>
        </w:rPr>
        <w:t xml:space="preserve"> </w:t>
      </w:r>
      <w:r w:rsidR="00FA3C86" w:rsidRPr="00226F1A">
        <w:rPr>
          <w:lang w:val="en-GB"/>
        </w:rPr>
        <w:lastRenderedPageBreak/>
        <w:t xml:space="preserve">here </w:t>
      </w:r>
      <w:r w:rsidR="00B35C0F" w:rsidRPr="00226F1A">
        <w:rPr>
          <w:lang w:val="en-GB"/>
        </w:rPr>
        <w:t xml:space="preserve">on </w:t>
      </w:r>
      <w:r w:rsidR="00FA3C86" w:rsidRPr="00226F1A">
        <w:rPr>
          <w:lang w:val="en-GB"/>
        </w:rPr>
        <w:t>two</w:t>
      </w:r>
      <w:r w:rsidR="00EF5E48" w:rsidRPr="00226F1A">
        <w:rPr>
          <w:lang w:val="en-GB"/>
        </w:rPr>
        <w:t xml:space="preserve"> main aspects of the communication of the results that is divergent in the reviewed studies: the level of aggregation and the use of a threshold value.</w:t>
      </w:r>
      <w:r w:rsidR="0055558C" w:rsidRPr="00226F1A">
        <w:rPr>
          <w:lang w:val="en-GB"/>
        </w:rPr>
        <w:t xml:space="preserve"> Furthermore, </w:t>
      </w:r>
      <w:r w:rsidR="00633882">
        <w:rPr>
          <w:lang w:val="en-GB"/>
        </w:rPr>
        <w:t>it is discussed</w:t>
      </w:r>
      <w:r w:rsidR="0055558C" w:rsidRPr="00226F1A">
        <w:rPr>
          <w:lang w:val="en-GB"/>
        </w:rPr>
        <w:t xml:space="preserve"> how the </w:t>
      </w:r>
      <w:r w:rsidR="00F41F4C" w:rsidRPr="00226F1A">
        <w:rPr>
          <w:lang w:val="en-GB"/>
        </w:rPr>
        <w:t xml:space="preserve">interpretation and </w:t>
      </w:r>
      <w:r w:rsidR="0055558C" w:rsidRPr="00226F1A">
        <w:rPr>
          <w:lang w:val="en-GB"/>
        </w:rPr>
        <w:t>communication of the results could merit from uncertainty and sensitivity analyses.</w:t>
      </w:r>
    </w:p>
    <w:p w14:paraId="3FC72E57" w14:textId="77777777" w:rsidR="00633882" w:rsidRPr="00E1421F" w:rsidRDefault="00633882" w:rsidP="00863B14">
      <w:pPr>
        <w:spacing w:line="480" w:lineRule="auto"/>
        <w:jc w:val="both"/>
      </w:pPr>
    </w:p>
    <w:p w14:paraId="1A7FC7EE" w14:textId="10E31BCC" w:rsidR="00653A02" w:rsidRPr="00000B19" w:rsidRDefault="00653A02" w:rsidP="00461A6A">
      <w:pPr>
        <w:pStyle w:val="Heading4"/>
        <w:numPr>
          <w:ilvl w:val="2"/>
          <w:numId w:val="44"/>
        </w:numPr>
      </w:pPr>
      <w:bookmarkStart w:id="56" w:name="_Toc10458667"/>
      <w:r w:rsidRPr="00000B19">
        <w:t>Level of aggregation</w:t>
      </w:r>
      <w:bookmarkEnd w:id="56"/>
    </w:p>
    <w:p w14:paraId="71C202EF" w14:textId="0F33413E" w:rsidR="00763DCE" w:rsidRDefault="00763DCE" w:rsidP="00863B14">
      <w:pPr>
        <w:spacing w:line="480" w:lineRule="auto"/>
        <w:jc w:val="both"/>
      </w:pPr>
      <w:r>
        <w:rPr>
          <w:lang w:val="en-GB"/>
        </w:rPr>
        <w:t xml:space="preserve">A main difference in the presentation of the results of different studies is the number of aggregation steps that are applied. Communication of criticality scoring per indicator provides the most detailed information and enables understanding </w:t>
      </w:r>
      <w:r w:rsidR="00056A31">
        <w:rPr>
          <w:lang w:val="en-GB"/>
        </w:rPr>
        <w:t xml:space="preserve">of </w:t>
      </w:r>
      <w:r>
        <w:rPr>
          <w:lang w:val="en-GB"/>
        </w:rPr>
        <w:t xml:space="preserve">the sources of criticality </w:t>
      </w:r>
      <w:r>
        <w:rPr>
          <w:lang w:val="en-GB"/>
        </w:rPr>
        <w:fldChar w:fldCharType="begin" w:fldLock="1"/>
      </w:r>
      <w:r w:rsidR="00D35F6A">
        <w:rPr>
          <w:lang w:val="en-GB"/>
        </w:rPr>
        <w:instrText>ADDIN CSL_CITATION {"citationItems":[{"id":"ITEM-1","itemData":{"DOI":"10.2320/matertrans.M2014380","ISSN":"1345-9678","abstract":"Criticality assessment of metals has been developed to analyze a country’s supply risk and vulnerability to supply restriction. This study presents Japan’s criticality of 22 metals during 2012. Whereas a past assessment focused only on minor metals, evaluation targets here included both common and minor metals. In addition, a new analytic method included mineral interest sufficiency as a criticality component. The evaluation framework developed in this study included 13 criticality components within five risk categories: supply risk, price risk, demand risk, recycling restriction, and potential risk. Weighting factors were used to aggregate components into a single score. This framework reflects a recent government announcement about Japan’s resource strategy. High criticality was found for neodymium, dysprosium, and indium due to a recent increase in demand. Niobium also had high criticality due to production concentration in Brazil. There were few differences in the aggregated criticality scores between the other minor metals and common metals. For minor metals, aggregated criticality was mainly increased by production concentration and recycling difficulty. For common metals, aggregated criticality was increased by short depletion time and growth in global mine production. Compared with a previous study, in 2012 the criticality of tungsten and tantalum were lower due to reduced domestic demand. The analytic methods and results presented in this study will be useful in developing Japan’s resource strategy.","author":[{"dropping-particle":"","family":"Hatayama","given":"Hiroki","non-dropping-particle":"","parse-names":false,"suffix":""},{"dropping-particle":"","family":"Tahara","given":"Kiyotaka","non-dropping-particle":"","parse-names":false,"suffix":""}],"container-title":"Materials Transactions","id":"ITEM-1","issue":"2","issued":{"date-parts":[["2015"]]},"page":"229-235","title":"Criticality Assessment of Metals for Japan ' s Resource Strategy","type":"article-journal","volume":"56"},"uris":["http://www.mendeley.com/documents/?uuid=6493d4bd-9ca1-4c25-9292-321a17821921"]}],"mendeley":{"formattedCitation":"(Hatayama and Tahara, 2015)","plainTextFormattedCitation":"(Hatayama and Tahara, 2015)","previouslyFormattedCitation":"(Hatayama and Tahara, 2015)"},"properties":{"noteIndex":0},"schema":"https://github.com/citation-style-language/schema/raw/master/csl-citation.json"}</w:instrText>
      </w:r>
      <w:r>
        <w:rPr>
          <w:lang w:val="en-GB"/>
        </w:rPr>
        <w:fldChar w:fldCharType="separate"/>
      </w:r>
      <w:r w:rsidR="002B45EF" w:rsidRPr="002B45EF">
        <w:rPr>
          <w:noProof/>
          <w:lang w:val="en-GB"/>
        </w:rPr>
        <w:t>(Hatayama and Tahara, 2015)</w:t>
      </w:r>
      <w:r>
        <w:rPr>
          <w:lang w:val="en-GB"/>
        </w:rPr>
        <w:fldChar w:fldCharType="end"/>
      </w:r>
      <w:r>
        <w:rPr>
          <w:lang w:val="en-GB"/>
        </w:rPr>
        <w:t>.</w:t>
      </w:r>
      <w:r>
        <w:t xml:space="preserve"> </w:t>
      </w:r>
      <w:r w:rsidR="00232FD0">
        <w:rPr>
          <w:lang w:val="en-GB"/>
        </w:rPr>
        <w:t>Hotspot</w:t>
      </w:r>
      <w:r>
        <w:rPr>
          <w:lang w:val="en-GB"/>
        </w:rPr>
        <w:t xml:space="preserve"> analyses on a material level might provide more information than the ranking of materials due to a low data availability and high data uncertainty</w:t>
      </w:r>
      <w:r w:rsidR="00232FD0">
        <w:rPr>
          <w:lang w:val="en-GB"/>
        </w:rPr>
        <w:t xml:space="preserve"> </w:t>
      </w:r>
      <w:r w:rsidR="00232FD0">
        <w:t>(</w:t>
      </w:r>
      <w:r w:rsidR="00232FD0">
        <w:fldChar w:fldCharType="begin" w:fldLock="1"/>
      </w:r>
      <w:r w:rsidR="0096725C">
        <w:rPr>
          <w:lang w:val="en-GB"/>
        </w:rPr>
        <w:instrText>ADDIN CSL_CITATION {"citationItems":[{"id":"ITEM-1","itemData":{"ISBN":"UKERC/WP/TPA/2013/002","abstract":"Policy makers and industry are increasingly concerned over the availability of certain materials key to the manufacture of low carbon technologies. The literature addressing this topic includes reports termed ‘criticality assessment’ that aim to quantify the relative criticality of a range of materials. In this study we examine the methodologies underpinning these criticality assessments, and attempt to normalise and compare their results. This process identified a list of 10 metals or metal groups for which average normalised scores are presented, along with maximum and minimum scores to indicate the range of uncertainty. We find that criticality assessment methodologies diverge significantly, making comparison difficult. This leads to apparently wide uncertainty in results. We also find that in order to achieve comparability within studies, authors typically rely on simple metrics for which data is available for all metals considered. This leads to some compromises which affect results. Finally we suggest that, given these uncertainties and methodological difficulties, criticality assessments are best used to highlight materials or technologies of particular interest, which should then be further examined in isolation, to improve insight and accuracy.","author":[{"dropping-particle":"","family":"Speirs","given":"Jamie","non-dropping-particle":"","parse-names":false,"suffix":""},{"dropping-particle":"","family":"Houari","given":"Yassine","non-dropping-particle":"","parse-names":false,"suffix":""},{"dropping-particle":"","family":"Gross","given":"Robert","non-dropping-particle":"","parse-names":false,"suffix":""}],"container-title":"UK Energy Research Centre","id":"ITEM-1","issue":"February","issued":{"date-parts":[["2013"]]},"page":"30","title":"Materials Availability : Comparison of material criticality studies - methodologies and results Working Paper III","type":"article-journal"},"uris":["http://www.mendeley.com/documents/?uuid=18b1c2f7-93b5-46d2-b9b9-5971252a9b64"]}],"mendeley":{"formattedCitation":"(Speirs et al., 2013)","manualFormatting":"Speirs et al., 2013)","plainTextFormattedCitation":"(Speirs et al., 2013)","previouslyFormattedCitation":"(Speirs et al., 2013)"},"properties":{"noteIndex":0},"schema":"https://github.com/citation-style-language/schema/raw/master/csl-citation.json"}</w:instrText>
      </w:r>
      <w:r w:rsidR="00232FD0">
        <w:fldChar w:fldCharType="separate"/>
      </w:r>
      <w:r w:rsidR="00232FD0" w:rsidRPr="00F147C6">
        <w:rPr>
          <w:noProof/>
          <w:lang w:val="en-GB"/>
        </w:rPr>
        <w:t>Speirs et al.</w:t>
      </w:r>
      <w:r w:rsidR="00232FD0">
        <w:rPr>
          <w:noProof/>
          <w:lang w:val="en-GB"/>
        </w:rPr>
        <w:t>,</w:t>
      </w:r>
      <w:r w:rsidR="00232FD0" w:rsidRPr="00F147C6">
        <w:rPr>
          <w:noProof/>
          <w:lang w:val="en-GB"/>
        </w:rPr>
        <w:t xml:space="preserve"> 2013)</w:t>
      </w:r>
      <w:r w:rsidR="00232FD0">
        <w:fldChar w:fldCharType="end"/>
      </w:r>
      <w:r>
        <w:rPr>
          <w:lang w:val="en-GB"/>
        </w:rPr>
        <w:t>. Furthermore, understanding of the sources of risk enables to identify suitable mitigation strategies. Scoring of materials per indicator is provided by</w:t>
      </w:r>
      <w:r w:rsidR="00393269">
        <w:rPr>
          <w:lang w:val="en-GB"/>
        </w:rPr>
        <w:t>, among others,</w:t>
      </w:r>
      <w:r>
        <w:rPr>
          <w:lang w:val="en-GB"/>
        </w:rPr>
        <w:t xml:space="preserve"> the EC in their background reports, by BRGM, Granta,</w:t>
      </w:r>
      <w:r w:rsidR="00E741C6">
        <w:rPr>
          <w:lang w:val="en-GB"/>
        </w:rPr>
        <w:t xml:space="preserve"> </w:t>
      </w:r>
      <w:r w:rsidR="00DD7006">
        <w:rPr>
          <w:lang w:val="en-GB"/>
        </w:rPr>
        <w:t>Moss,</w:t>
      </w:r>
      <w:r w:rsidR="00DA12C5">
        <w:rPr>
          <w:lang w:val="en-GB"/>
        </w:rPr>
        <w:t xml:space="preserve"> and Yale</w:t>
      </w:r>
      <w:r w:rsidR="00393269">
        <w:rPr>
          <w:lang w:val="en-GB"/>
        </w:rPr>
        <w:t>.</w:t>
      </w:r>
      <w:r>
        <w:rPr>
          <w:lang w:val="en-GB"/>
        </w:rPr>
        <w:t xml:space="preserve"> </w:t>
      </w:r>
      <w:r w:rsidR="006E4804">
        <w:rPr>
          <w:lang w:val="en-GB"/>
        </w:rPr>
        <w:t xml:space="preserve">Furthermore, dynamic criticality studies </w:t>
      </w:r>
      <w:r w:rsidR="00A82A41">
        <w:rPr>
          <w:lang w:val="en-GB"/>
        </w:rPr>
        <w:t xml:space="preserve">can provide more detail on an indicator level by providing scores for different points in time </w:t>
      </w:r>
      <w:r w:rsidR="00A82A41">
        <w:rPr>
          <w:lang w:val="en-GB"/>
        </w:rPr>
        <w:fldChar w:fldCharType="begin" w:fldLock="1"/>
      </w:r>
      <w:r w:rsidR="00D35F6A">
        <w:rPr>
          <w:lang w:val="en-GB"/>
        </w:rPr>
        <w:instrText>ADDIN CSL_CITATION {"citationItems":[{"id":"ITEM-1","itemData":{"DOI":"10.1007/s13563-017-0119-6","ISSN":"21912211","abstract":"Increasing reliance on non-renewable mineral resources reinforces the need for identifying potential supply constraints before they occur. The US National Science and Technology Council recently released a report that outlines a methodology for screening potentially critical minerals based on three indicators: supply risk (R), production growth (G), and market dynamics (M). This early-warning screening was initially applied to 78 minerals across the years 1996 to 2013 and identified a subset of minerals as “potentially critical” based on the geometric average of these indicators—designated as criticality potential (C). In this study, the screening methodology has been updated to include data for 2014, as well as to incorporate revisions and modifications to the data, where applicable. Overall, C declined in 2014 for the majority of minerals examined largely due to decreases in production concentration and price volatility. However, the results vary considerably across minerals, with some minerals, such as gallium, recording increases for all three indicators. In addition to assessing magnitudinal changes, this analysis also examines the significance of the change relative to historical variation for each mineral. For example, although mined nickel’s R declined modestly in 2014 in comparison to that of other minerals, it was by far the largest annual change recorded for mined nickel across all years examined and is attributable to Indonesia’s ban on the export of unprocessed minerals. Based on the 2014 results, 20 minerals with the highest C values have been identified for further study including the rare earths, gallium, germanium, rhodium, tantalum, and tungsten.","author":[{"dropping-particle":"","family":"McCullough","given":"Erin","non-dropping-particle":"","parse-names":false,"suffix":""},{"dropping-particle":"","family":"Nassar","given":"Nedal T.","non-dropping-particle":"","parse-names":false,"suffix":""}],"container-title":"Mineral Economics","id":"ITEM-1","issue":"3","issued":{"date-parts":[["2017"]]},"page":"257-272","publisher":"Mineral Economics","title":"Assessment of critical minerals: updated application of an early-warning screening methodology","type":"article-journal","volume":"30"},"uris":["http://www.mendeley.com/documents/?uuid=8182ba90-5cce-4265-8eaf-af581e1fcb8a"]}],"mendeley":{"formattedCitation":"(McCullough and Nassar, 2017)","plainTextFormattedCitation":"(McCullough and Nassar, 2017)","previouslyFormattedCitation":"(McCullough and Nassar, 2017)"},"properties":{"noteIndex":0},"schema":"https://github.com/citation-style-language/schema/raw/master/csl-citation.json"}</w:instrText>
      </w:r>
      <w:r w:rsidR="00A82A41">
        <w:rPr>
          <w:lang w:val="en-GB"/>
        </w:rPr>
        <w:fldChar w:fldCharType="separate"/>
      </w:r>
      <w:r w:rsidR="002B45EF" w:rsidRPr="002B45EF">
        <w:rPr>
          <w:noProof/>
          <w:lang w:val="en-GB"/>
        </w:rPr>
        <w:t>(McCullough and Nassar, 2017)</w:t>
      </w:r>
      <w:r w:rsidR="00A82A41">
        <w:rPr>
          <w:lang w:val="en-GB"/>
        </w:rPr>
        <w:fldChar w:fldCharType="end"/>
      </w:r>
      <w:r w:rsidR="003E6A28">
        <w:rPr>
          <w:lang w:val="en-GB"/>
        </w:rPr>
        <w:t xml:space="preserve">. </w:t>
      </w:r>
      <w:r w:rsidR="00BA40FE">
        <w:rPr>
          <w:lang w:val="en-GB"/>
        </w:rPr>
        <w:t>The p</w:t>
      </w:r>
      <w:r w:rsidR="003E6A28">
        <w:rPr>
          <w:lang w:val="en-GB"/>
        </w:rPr>
        <w:t xml:space="preserve">resentation of indicator scores </w:t>
      </w:r>
      <w:r>
        <w:rPr>
          <w:lang w:val="en-GB"/>
        </w:rPr>
        <w:t>might be cumbersome if a lot of indicators are included in the assessment, or if a lot of materials are evaluated.</w:t>
      </w:r>
      <w:r>
        <w:t xml:space="preserve"> However, it provides flexibility to the user to conduct tailored studies with the inclusion or exclusion of certain indicators, or with alternative weighting factors of the indicators.</w:t>
      </w:r>
      <w:r w:rsidR="000472C8">
        <w:t xml:space="preserve"> </w:t>
      </w:r>
    </w:p>
    <w:p w14:paraId="3BE8AA3E" w14:textId="77C4F25D" w:rsidR="00E4119F" w:rsidRDefault="00CD1BE7" w:rsidP="00863B14">
      <w:pPr>
        <w:spacing w:line="480" w:lineRule="auto"/>
        <w:jc w:val="both"/>
      </w:pPr>
      <w:r>
        <w:rPr>
          <w:lang w:val="en-GB"/>
        </w:rPr>
        <w:t xml:space="preserve">Many studies present their results on the level of scoring per criticality dimension. Materials are often plotted in a 2D or 3D matrix in which the axes represent the probability of supply disruption, the vulnerability to this disruption </w:t>
      </w:r>
      <w:r w:rsidR="00232FD0">
        <w:rPr>
          <w:lang w:val="en-GB"/>
        </w:rPr>
        <w:t>(</w:t>
      </w:r>
      <w:r>
        <w:rPr>
          <w:lang w:val="en-GB"/>
        </w:rPr>
        <w:t>or importance</w:t>
      </w:r>
      <w:r w:rsidR="00232FD0">
        <w:rPr>
          <w:lang w:val="en-GB"/>
        </w:rPr>
        <w:t xml:space="preserve"> of the material)</w:t>
      </w:r>
      <w:r>
        <w:rPr>
          <w:lang w:val="en-GB"/>
        </w:rPr>
        <w:t xml:space="preserve">, and potentially a third axis, such as environmental importance in the Yale method. </w:t>
      </w:r>
    </w:p>
    <w:p w14:paraId="325A144E" w14:textId="02ADB4EA" w:rsidR="00937592" w:rsidRDefault="00937592" w:rsidP="00863B14">
      <w:pPr>
        <w:spacing w:line="480" w:lineRule="auto"/>
        <w:jc w:val="both"/>
      </w:pPr>
      <w:r>
        <w:lastRenderedPageBreak/>
        <w:t xml:space="preserve">Several </w:t>
      </w:r>
      <w:r w:rsidR="00AD32DE">
        <w:t xml:space="preserve">methods </w:t>
      </w:r>
      <w:r>
        <w:t>end up with a single criticality parameter. This is the case for</w:t>
      </w:r>
      <w:r w:rsidR="00782DAF">
        <w:t>, among others,</w:t>
      </w:r>
      <w:r>
        <w:rPr>
          <w:lang w:val="en-GB"/>
        </w:rPr>
        <w:t xml:space="preserve"> NEDO with the aggregated score </w:t>
      </w:r>
      <w:r>
        <w:fldChar w:fldCharType="begin" w:fldLock="1"/>
      </w:r>
      <w:r w:rsidR="00D35F6A">
        <w:rPr>
          <w:lang w:val="en-GB"/>
        </w:rPr>
        <w:instrText>ADDIN CSL_CITATION {"citationItems":[{"id":"ITEM-1","itemData":{"DOI":"10.2320/matertrans.M2014380","ISSN":"1345-9678","abstract":"Criticality assessment of metals has been developed to analyze a country’s supply risk and vulnerability to supply restriction. This study presents Japan’s criticality of 22 metals during 2012. Whereas a past assessment focused only on minor metals, evaluation targets here included both common and minor metals. In addition, a new analytic method included mineral interest sufficiency as a criticality component. The evaluation framework developed in this study included 13 criticality components within five risk categories: supply risk, price risk, demand risk, recycling restriction, and potential risk. Weighting factors were used to aggregate components into a single score. This framework reflects a recent government announcement about Japan’s resource strategy. High criticality was found for neodymium, dysprosium, and indium due to a recent increase in demand. Niobium also had high criticality due to production concentration in Brazil. There were few differences in the aggregated criticality scores between the other minor metals and common metals. For minor metals, aggregated criticality was mainly increased by production concentration and recycling difficulty. For common metals, aggregated criticality was increased by short depletion time and growth in global mine production. Compared with a previous study, in 2012 the criticality of tungsten and tantalum were lower due to reduced domestic demand. The analytic methods and results presented in this study will be useful in developing Japan’s resource strategy.","author":[{"dropping-particle":"","family":"Hatayama","given":"Hiroki","non-dropping-particle":"","parse-names":false,"suffix":""},{"dropping-particle":"","family":"Tahara","given":"Kiyotaka","non-dropping-particle":"","parse-names":false,"suffix":""}],"container-title":"Materials Transactions","id":"ITEM-1","issue":"2","issued":{"date-parts":[["2015"]]},"page":"229-235","title":"Criticality Assessment of Metals for Japan ' s Resource Strategy","type":"article-journal","volume":"56"},"uris":["http://www.mendeley.com/documents/?uuid=6493d4bd-9ca1-4c25-9292-321a17821921"]}],"mendeley":{"formattedCitation":"(Hatayama and Tahara, 2015)","plainTextFormattedCitation":"(Hatayama and Tahara, 2015)","previouslyFormattedCitation":"(Hatayama and Tahara, 2015)"},"properties":{"noteIndex":0},"schema":"https://github.com/citation-style-language/schema/raw/master/csl-citation.json"}</w:instrText>
      </w:r>
      <w:r>
        <w:fldChar w:fldCharType="separate"/>
      </w:r>
      <w:r w:rsidR="002B45EF" w:rsidRPr="002B45EF">
        <w:rPr>
          <w:noProof/>
          <w:lang w:val="en-GB"/>
        </w:rPr>
        <w:t>(Hatayama and Tahara, 2015)</w:t>
      </w:r>
      <w:r>
        <w:fldChar w:fldCharType="end"/>
      </w:r>
      <w:r>
        <w:rPr>
          <w:lang w:val="en-GB"/>
        </w:rPr>
        <w:t xml:space="preserve"> and </w:t>
      </w:r>
      <w:r w:rsidR="00DA12C5">
        <w:rPr>
          <w:lang w:val="en-GB"/>
        </w:rPr>
        <w:t xml:space="preserve">NSTC </w:t>
      </w:r>
      <w:r>
        <w:rPr>
          <w:lang w:val="en-GB"/>
        </w:rPr>
        <w:t xml:space="preserve">with </w:t>
      </w:r>
      <w:r w:rsidR="00DA12C5">
        <w:rPr>
          <w:lang w:val="en-GB"/>
        </w:rPr>
        <w:t xml:space="preserve">a </w:t>
      </w:r>
      <w:r>
        <w:rPr>
          <w:lang w:val="en-GB"/>
        </w:rPr>
        <w:t>criticality potential score</w:t>
      </w:r>
      <w:r>
        <w:t xml:space="preserve">. Although the EC also presents a list of critical materials, no final numerical aggregation of the criticality dimensions is done in their study. The CRM are presented in rigorous alphabetical order to eliminate any references to relative criticality levels, which is a specific policy need </w:t>
      </w:r>
      <w:r>
        <w:fldChar w:fldCharType="begin" w:fldLock="1"/>
      </w:r>
      <w:r w:rsidR="00D35F6A">
        <w:instrText>ADDIN CSL_CITATION {"citationItems":[{"id":"ITEM-1","itemData":{"DOI":"10.1016/j.resourpol.2017.05.008","ISSN":"03014207","abstract":"Raw materials form the basis of Europe's economy to ensure jobs and competitiveness, and they are essential for maintaining and improving quality of life. Although all raw materials are important, some of them are of more concern than others, thus the list of critical raw materials (CRMs) for the EU, and the underlying European Commission (EC) criticality assessment methodology, are key instruments in the context of the EU raw materials policy. For the next update of the CRMs list in 2017, the EC is considering to apply the overall methodology already used in 2011 and 2014, but with some modifications. Keeping the same methodological approach is a deliberate choice in order to prioritise the comparability with the previous two exercises, effectively monitor trends, and maintain the highest possible policy relevance. As the EC's in-house science service, the Directorate General Joint Research Centre (DG JRC) identified aspects of the EU criticality methodology that could be adapted to better address the needs and expectations of the resulting CRMs list to identify and monitor critical raw materials in the EU. The goal of this paper is to discuss the specific elements of the EC criticality methodology that were adapted by DG JRC, highlight their novelty and/or potential outcomes, and discuss them in the context of criticality assessment methodologies available internationally.","author":[{"dropping-particle":"","family":"Blengini","given":"Gian Andrea","non-dropping-particle":"","parse-names":false,"suffix":""},{"dropping-particle":"","family":"Nuss","given":"Philip","non-dropping-particle":"","parse-names":false,"suffix":""},{"dropping-particle":"","family":"Dewulf","given":"Jo","non-dropping-particle":"","parse-names":false,"suffix":""},{"dropping-particle":"","family":"Nita","given":"Viorel","non-dropping-particle":"","parse-names":false,"suffix":""},{"dropping-particle":"","family":"Peirò","given":"Laura Talens","non-dropping-particle":"","parse-names":false,"suffix":""},{"dropping-particle":"","family":"Vidal-Legaz","given":"Beatriz","non-dropping-particle":"","parse-names":false,"suffix":""},{"dropping-particle":"","family":"Latunussa","given":"Cynthia","non-dropping-particle":"","parse-names":false,"suffix":""},{"dropping-particle":"","family":"Mancini","given":"Lucia","non-dropping-particle":"","parse-names":false,"suffix":""},{"dropping-particle":"","family":"Blagoeva","given":"Darina","non-dropping-particle":"","parse-names":false,"suffix":""},{"dropping-particle":"","family":"Pennington","given":"David","non-dropping-particle":"","parse-names":false,"suffix":""},{"dropping-particle":"","family":"Pellegrini","given":"Mattia","non-dropping-particle":"","parse-names":false,"suffix":""},{"dropping-particle":"","family":"Maercke","given":"Alexis","non-dropping-particle":"Van","parse-names":false,"suffix":""},{"dropping-particle":"","family":"Solar","given":"Slavko","non-dropping-particle":"","parse-names":false,"suffix":""},{"dropping-particle":"","family":"Grohol","given":"Milan","non-dropping-particle":"","parse-names":false,"suffix":""},{"dropping-particle":"","family":"Ciupagea","given":"Constantin","non-dropping-particle":"","parse-names":false,"suffix":""}],"container-title":"Resources Policy","id":"ITEM-1","issue":"January","issued":{"date-parts":[["2017"]]},"page":"12-19","publisher":"Elsevier Ltd","title":"EU methodology for critical raw materials assessment: Policy needs and proposed solutions for incremental improvements","type":"article-journal","volume":"53"},"uris":["http://www.mendeley.com/documents/?uuid=c632b87f-a685-47e7-b54b-af0341519639"]}],"mendeley":{"formattedCitation":"(Gian Andrea Blengini et al., 2017)","manualFormatting":"(Blengini et al., 2017)","plainTextFormattedCitation":"(Gian Andrea Blengini et al., 2017)","previouslyFormattedCitation":"(Gian Andrea Blengini et al., 2017)"},"properties":{"noteIndex":0},"schema":"https://github.com/citation-style-language/schema/raw/master/csl-citation.json"}</w:instrText>
      </w:r>
      <w:r>
        <w:fldChar w:fldCharType="separate"/>
      </w:r>
      <w:r w:rsidR="00CD76E8" w:rsidRPr="00CD76E8">
        <w:rPr>
          <w:noProof/>
        </w:rPr>
        <w:t>(Blengini et al., 2017)</w:t>
      </w:r>
      <w:r>
        <w:fldChar w:fldCharType="end"/>
      </w:r>
      <w:r>
        <w:t>.</w:t>
      </w:r>
      <w:r w:rsidR="00F46E00">
        <w:t xml:space="preserve"> </w:t>
      </w:r>
      <w:r w:rsidR="00184F8E">
        <w:fldChar w:fldCharType="begin" w:fldLock="1"/>
      </w:r>
      <w:r w:rsidR="00D35F6A">
        <w:instrText>ADDIN CSL_CITATION {"citationItems":[{"id":"ITEM-1","itemData":{"DOI":"10.1088/1361-6463/aa5b64","ISSN":"13616463","abstract":"The past decade has seen a resurgence of interest in the supply security of mineral raw materials. A key to the current debate is the concept of ‘criticality’. The present article reviews the criticality concept, as well as the methodologies used in its assessment, including a critical evaluation of their validity in view of classical risk theory. Furthermore, it discusses a number of risks present in global raw materials markets that are not captured by most criticality assessments. Proposed measures for the alleviation of these risks are also presented. We find that current assessments of raw material criticality are fundamentally flawed in several ways. This is mostly due to a lack of adherence to risk theory, and highly limits their applicability. Many of the raw materials generally identified as critical are probably not critical. Still, the flaws of current assessments do not mean that the general issue of supply security can simply be ignored. Rather, it implies that new assessments are required. While the basic theoretical framework for such assessments is outlined in this review, detailed method development will require a major collaborative effort between different disciplines along the raw materials value chain. In the opinion of the authors, the greatest longer-term challenge in the raw materials sector is to stop, or counteract the effects of, the escalation of unit energy costs of production. This issue is particularly pressing due to its close link with the renewable energy transition, requiring more metal and mineral raw materials per unit energy produced. The solution to this problem will require coordinated policy action, as well as the collaboration of scientists from many different fields—with physics, as well as the materials and earth sciences in the lead.","author":[{"dropping-particle":"","family":"Frenzel","given":"M.","non-dropping-particle":"","parse-names":false,"suffix":""},{"dropping-particle":"","family":"Kullik","given":"J.","non-dropping-particle":"","parse-names":false,"suffix":""},{"dropping-particle":"","family":"Reuter","given":"M. A.","non-dropping-particle":"","parse-names":false,"suffix":""},{"dropping-particle":"","family":"Gutzmer","given":"J.","non-dropping-particle":"","parse-names":false,"suffix":""}],"container-title":"Journal of Physics D: Applied Physics","id":"ITEM-1","issue":"12","issued":{"date-parts":[["2017"]]},"publisher":"IOP Publishing","title":"Raw material 'criticality' - Sense or nonsense?","type":"article-journal","volume":"50"},"uris":["http://www.mendeley.com/documents/?uuid=001fc538-2314-4451-94e6-17dfb8d125f3"]}],"mendeley":{"formattedCitation":"(Frenzel et al., 2017)","manualFormatting":"Frenzel et al. (2017)","plainTextFormattedCitation":"(Frenzel et al., 2017)","previouslyFormattedCitation":"(Frenzel et al., 2017)"},"properties":{"noteIndex":0},"schema":"https://github.com/citation-style-language/schema/raw/master/csl-citation.json"}</w:instrText>
      </w:r>
      <w:r w:rsidR="00184F8E">
        <w:fldChar w:fldCharType="separate"/>
      </w:r>
      <w:r w:rsidR="00F147C6" w:rsidRPr="00F147C6">
        <w:rPr>
          <w:noProof/>
        </w:rPr>
        <w:t xml:space="preserve">Frenzel et al. </w:t>
      </w:r>
      <w:r w:rsidR="00F46E00">
        <w:rPr>
          <w:noProof/>
        </w:rPr>
        <w:t>(</w:t>
      </w:r>
      <w:r w:rsidR="00F147C6" w:rsidRPr="00F147C6">
        <w:rPr>
          <w:noProof/>
        </w:rPr>
        <w:t>2017)</w:t>
      </w:r>
      <w:r w:rsidR="00184F8E">
        <w:fldChar w:fldCharType="end"/>
      </w:r>
      <w:r w:rsidR="00184F8E">
        <w:t xml:space="preserve"> argue that</w:t>
      </w:r>
      <w:r w:rsidR="007E0831">
        <w:t>,</w:t>
      </w:r>
      <w:r w:rsidR="00184F8E">
        <w:t xml:space="preserve"> following classical risk theory</w:t>
      </w:r>
      <w:r w:rsidR="007E0831">
        <w:t>,</w:t>
      </w:r>
      <w:r w:rsidR="00184F8E">
        <w:t xml:space="preserve"> </w:t>
      </w:r>
      <w:r w:rsidR="00337C5E">
        <w:t xml:space="preserve">a single score could be obtained by multiplying </w:t>
      </w:r>
      <w:r w:rsidR="0063123B">
        <w:t>an</w:t>
      </w:r>
      <w:r w:rsidR="00337C5E">
        <w:t xml:space="preserve"> axis of “probability for supply disruption” with an axis of “vulnerability”</w:t>
      </w:r>
      <w:r w:rsidR="0063123B">
        <w:t>.</w:t>
      </w:r>
      <w:r w:rsidR="007E0831">
        <w:t xml:space="preserve"> I</w:t>
      </w:r>
      <w:r w:rsidR="0063123B">
        <w:t>n practice</w:t>
      </w:r>
      <w:r w:rsidR="007E0831">
        <w:t>, however</w:t>
      </w:r>
      <w:r w:rsidR="0063123B">
        <w:t xml:space="preserve">, most methods are not designed </w:t>
      </w:r>
      <w:r w:rsidR="00F83653">
        <w:t>with this perspective in mind</w:t>
      </w:r>
      <w:r w:rsidR="009555E9">
        <w:t>,</w:t>
      </w:r>
      <w:r w:rsidR="00F83653">
        <w:t xml:space="preserve"> </w:t>
      </w:r>
      <w:r w:rsidR="00A874E7">
        <w:t xml:space="preserve">making such a multiplication </w:t>
      </w:r>
      <w:r w:rsidR="0096725C">
        <w:t>potentially erroneous</w:t>
      </w:r>
      <w:r w:rsidR="00383E52">
        <w:t>.</w:t>
      </w:r>
    </w:p>
    <w:p w14:paraId="44C9C7BB" w14:textId="22FFAD77" w:rsidR="00937592" w:rsidRDefault="00B97073" w:rsidP="00863B14">
      <w:pPr>
        <w:spacing w:line="480" w:lineRule="auto"/>
        <w:jc w:val="both"/>
      </w:pPr>
      <w:r>
        <w:rPr>
          <w:lang w:val="en-GB"/>
        </w:rPr>
        <w:t>D</w:t>
      </w:r>
      <w:proofErr w:type="spellStart"/>
      <w:r w:rsidR="00937592">
        <w:t>ifferent</w:t>
      </w:r>
      <w:proofErr w:type="spellEnd"/>
      <w:r w:rsidR="00937592">
        <w:t xml:space="preserve"> forms of communication can be used by different audiences</w:t>
      </w:r>
      <w:r w:rsidR="007C5B5A">
        <w:t>,</w:t>
      </w:r>
      <w:r w:rsidR="00760C65">
        <w:t xml:space="preserve"> </w:t>
      </w:r>
      <w:r w:rsidR="000145A4">
        <w:t>i.e. reflecting different assessment objectives</w:t>
      </w:r>
      <w:r w:rsidR="00937592">
        <w:t xml:space="preserve">. Lists are practical for policymakers that </w:t>
      </w:r>
      <w:r w:rsidR="001029A1">
        <w:t>oversee</w:t>
      </w:r>
      <w:r w:rsidR="00937592">
        <w:t xml:space="preserve"> targeting public funding to mitigation programs. Lists can also be useful in early-warning screenings. </w:t>
      </w:r>
      <w:r w:rsidR="00937592">
        <w:rPr>
          <w:lang w:val="en-GB"/>
        </w:rPr>
        <w:t xml:space="preserve">For example, </w:t>
      </w:r>
      <w:r w:rsidR="0094073B">
        <w:t xml:space="preserve">NSTC </w:t>
      </w:r>
      <w:r w:rsidR="00937592">
        <w:t xml:space="preserve">produced a list of potentially critical minerals for the US, to be followed by a second stage in-depth analysis. Hence, the initial list aids in prioritizing the materials that require further study. </w:t>
      </w:r>
      <w:r w:rsidR="009F0E00">
        <w:t xml:space="preserve">Studies that aim to inform different types of audiences can chose to </w:t>
      </w:r>
      <w:r w:rsidR="00607A24">
        <w:t>communicate the results in different forms. For example, the</w:t>
      </w:r>
      <w:r w:rsidR="00937592">
        <w:t xml:space="preserve"> EC</w:t>
      </w:r>
      <w:r w:rsidR="00607A24">
        <w:t xml:space="preserve"> provide </w:t>
      </w:r>
      <w:r w:rsidR="00937592">
        <w:t>single raw materials factsheets, with structured and detailed information and data,</w:t>
      </w:r>
      <w:r w:rsidR="003162F9">
        <w:t xml:space="preserve"> as a</w:t>
      </w:r>
      <w:r w:rsidR="00937592">
        <w:t xml:space="preserve"> complement </w:t>
      </w:r>
      <w:r w:rsidR="003162F9">
        <w:t xml:space="preserve">of </w:t>
      </w:r>
      <w:r w:rsidR="00937592">
        <w:t xml:space="preserve">the 2011, 2014 and 2017 lists of CRM for the EU. Raw materials factsheets show the data used in the assessment and bring further information and data that third parties might want to use in their ad hoc criticality studies. Detailed information is relevant for </w:t>
      </w:r>
      <w:r w:rsidR="00C40939">
        <w:t>both</w:t>
      </w:r>
      <w:r w:rsidR="00937592">
        <w:t xml:space="preserve"> suppliers </w:t>
      </w:r>
      <w:r w:rsidR="00C40939">
        <w:t>and</w:t>
      </w:r>
      <w:r w:rsidR="00937592">
        <w:t xml:space="preserve"> users</w:t>
      </w:r>
      <w:r w:rsidR="00C40939">
        <w:t xml:space="preserve"> of individual raw materials</w:t>
      </w:r>
      <w:r w:rsidR="00916AEA">
        <w:t>, as s</w:t>
      </w:r>
      <w:r w:rsidR="00937592">
        <w:t>uch information can be used to better assess individual risks.</w:t>
      </w:r>
    </w:p>
    <w:p w14:paraId="16868713" w14:textId="77777777" w:rsidR="005161EC" w:rsidRDefault="005161EC" w:rsidP="00863B14">
      <w:pPr>
        <w:spacing w:line="480" w:lineRule="auto"/>
        <w:jc w:val="both"/>
      </w:pPr>
    </w:p>
    <w:p w14:paraId="6CD04634" w14:textId="4F8F2229" w:rsidR="002A76B4" w:rsidRPr="00000B19" w:rsidRDefault="002A76B4" w:rsidP="00461A6A">
      <w:pPr>
        <w:pStyle w:val="Heading4"/>
        <w:numPr>
          <w:ilvl w:val="2"/>
          <w:numId w:val="44"/>
        </w:numPr>
      </w:pPr>
      <w:bookmarkStart w:id="57" w:name="_Toc10458668"/>
      <w:r w:rsidRPr="00000B19">
        <w:lastRenderedPageBreak/>
        <w:t>Use of a threshold value</w:t>
      </w:r>
      <w:bookmarkEnd w:id="57"/>
    </w:p>
    <w:p w14:paraId="75F3EED8" w14:textId="2E07ABB3" w:rsidR="000950E1" w:rsidRDefault="002A76B4" w:rsidP="00863B14">
      <w:pPr>
        <w:spacing w:line="480" w:lineRule="auto"/>
        <w:jc w:val="both"/>
      </w:pPr>
      <w:r>
        <w:t xml:space="preserve">An important element in the presentation of criticality results is the concept of a </w:t>
      </w:r>
      <w:r w:rsidR="009C6795">
        <w:t>“</w:t>
      </w:r>
      <w:r>
        <w:t>critical</w:t>
      </w:r>
      <w:r w:rsidR="009C6795">
        <w:t>”</w:t>
      </w:r>
      <w:r>
        <w:t xml:space="preserve"> vs a </w:t>
      </w:r>
      <w:r w:rsidR="009C6795">
        <w:t>“</w:t>
      </w:r>
      <w:r>
        <w:t>non-critical</w:t>
      </w:r>
      <w:r w:rsidR="009C6795">
        <w:t>”</w:t>
      </w:r>
      <w:r>
        <w:t xml:space="preserve"> raw material, based on which a list of CRM can be drawn </w:t>
      </w:r>
      <w:r>
        <w:fldChar w:fldCharType="begin" w:fldLock="1"/>
      </w:r>
      <w:r w:rsidR="00D35F6A">
        <w:instrText>ADDIN CSL_CITATION {"citationItems":[{"id":"ITEM-1","itemData":{"DOI":"10.1002/eji.200839120.IL-17-Producing","ISBN":"0169-1368","ISSN":"1521-4141","PMID":"19283718","abstract":"Although raw materials are essential for the EU economy, their availability is increasingly under pressure. Within the framework of the EU Raw Materials Initiative, it was decided to identify a list of critical raw materials at EU level, in close cooperation with Member States and stakeholders. The attached report presents the outcome of this cooperation achieved through an expert working group (\"the Group\") which was active between April 2009 and June 2010 under the umbrella of the Raw Materials Supply Group. With regards to geological availability, the Group observes that, as geological scarcity is not considered as an issue for determining criticality of raw materials within the considered time horizon of the study, e.g. ten years, global reserve figures are not reliable indicators of long term availability. Of greater relevance are changes in the geopolitical-economic framework that impact on the supply and demand of raw materials. These changes relate to the growing demand for raw materials, which in turn is driven by the growth of developing economies and new emerging technologies. Moreover, many emerging economies are pursuing industrial development strategies by means of trade, taxation and investment instruments aimed at reserving their resource base for their exclusive use. This trend has become apparent through an increasing number of government measures such as export taxes, quotas, subsidies etc. In some cases, the situation is further compounded by a high level of concentration of the production in a few countries. This report analyses a selection of 41 minerals and metals. In line with other studies, the report puts forward a relative concept of criticality. This means that raw material is labelled critical when the risks of supply shortage and their impacts on the economy are higher compared with most of the other raw materials. Two types of risks are considered: a) the \"supply risk\" taking into account the political-economic stability of the producing countries, the level of concentration of production, the potential for substitution and the recycling rate; and b) the \"environmental country risk\" assessing the risks that measures might be taken by countries with weak environmental performance in order to protect the environment and, in doing so, endanger the supply of raw materials to the EU. Building on existing approaches, this report sets out an innovative and pragmatic approach to determining criticality.","author":[{"dropping-particle":"","family":"European Commission","given":"","non-dropping-particle":"","parse-names":false,"suffix":""}],"container-title":"Eucom","id":"ITEM-1","issue":"July","issued":{"date-parts":[["2010"]]},"number-of-pages":"1-84","title":"Critical raw materials for the EU, Report of the Ad-hoc Working Group on defining critical raw materials","type":"report","volume":"39"},"uris":["http://www.mendeley.com/documents/?uuid=818a8ad6-2248-4bba-9243-ab66e518266e"]},{"id":"ITEM-2","itemData":{"author":[{"dropping-particle":"","family":"European Commission","given":"","non-dropping-particle":"","parse-names":false,"suffix":""}],"id":"ITEM-2","issued":{"date-parts":[["2014"]]},"number-of-pages":"1-205","title":"Report on Critical Raw Materials for the EU - Critical Raw Materials Profiles","type":"report"},"uris":["http://www.mendeley.com/documents/?uuid=05e1a123-0b0a-4d9a-8bde-c92f1a6b516d"]},{"id":"ITEM-3","itemData":{"DOI":"10.2873/769526","ISBN":"9789279680519","abstract":"This is a prescriptive document containing the guidelines and the ‘ready-to-apply’ methodology for the EU criticality assessment and the revision of the list of critical raw materials (CRM) for the EU. These synthesised guidelines build on the methodology used to establish the lists of CRM in 2011 (1 ) and 2014 (2 ) and integrate the methodological improvements identified by the European Commission in the project ‘Assessment of the methodology on the list of critical raw materials’, in close consultation with the ad hoc working group ‘Defining critical raw materials’. Additional information regarding the methodology, including justification and discussion, can be found in the background report (3 ) developed by the Directorate General Joint Research Centre (JRC) and in related annexes. These guidelines also contain recommendations on how to reorganise and improve the single fact sheets of the assessed raw materials. (1)","author":[{"dropping-particle":"","family":"European Commission","given":"","non-dropping-particle":"","parse-names":false,"suffix":""}],"id":"ITEM-3","issued":{"date-parts":[["2017"]]},"page":"30","title":"Methodology for establishing the EU list of Critical Raw Materials","type":"article-journal"},"uris":["http://www.mendeley.com/documents/?uuid=73ab7610-15cc-40a5-8297-dca3ef930846"]},{"id":"ITEM-4","itemData":{"author":[{"dropping-particle":"","family":"US Department of Interior","given":"","non-dropping-particle":"","parse-names":false,"suffix":""}],"id":"ITEM-4","issued":{"date-parts":[["2018"]]},"publisher-place":"Washington, DC","title":"Federal Register: Draft List of Critical Minerals","type":"report"},"uris":["http://www.mendeley.com/documents/?uuid=56fc263c-aaac-4039-b058-47e8f1bdd580"]}],"mendeley":{"formattedCitation":"(European Commission, 2017a, 2014b, 2010; US Department of Interior, 2018)","plainTextFormattedCitation":"(European Commission, 2017a, 2014b, 2010; US Department of Interior, 2018)","previouslyFormattedCitation":"(European Commission, 2017a, 2014b, 2010; US Department of Interior, 2018)"},"properties":{"noteIndex":0},"schema":"https://github.com/citation-style-language/schema/raw/master/csl-citation.json"}</w:instrText>
      </w:r>
      <w:r>
        <w:fldChar w:fldCharType="separate"/>
      </w:r>
      <w:r w:rsidR="002B45EF" w:rsidRPr="002B45EF">
        <w:rPr>
          <w:noProof/>
        </w:rPr>
        <w:t>(European Commission, 2017a, 2014b, 2010; US Department of Interior, 2018)</w:t>
      </w:r>
      <w:r>
        <w:fldChar w:fldCharType="end"/>
      </w:r>
      <w:r>
        <w:t xml:space="preserve">. The scientific community is generally less favorable to the adoption of a sharp </w:t>
      </w:r>
      <w:r w:rsidR="00126677">
        <w:t>criticality threshold value</w:t>
      </w:r>
      <w:r>
        <w:t xml:space="preserve"> and more inclined to qualitative or quantitative levels of criticality</w:t>
      </w:r>
      <w:r w:rsidR="003F3AE0">
        <w:t xml:space="preserve"> </w:t>
      </w:r>
      <w:r w:rsidR="00822E62">
        <w:t>(</w:t>
      </w:r>
      <w:r w:rsidR="003F3AE0">
        <w:t>ideally with the recognition of uncertainty ranges</w:t>
      </w:r>
      <w:r w:rsidR="00822E62">
        <w:t>)</w:t>
      </w:r>
      <w:r>
        <w:t xml:space="preserve"> </w:t>
      </w:r>
      <w:r>
        <w:fldChar w:fldCharType="begin" w:fldLock="1"/>
      </w:r>
      <w:r w:rsidR="00D35F6A">
        <w:instrText>ADDIN CSL_CITATION {"citationItems":[{"id":"ITEM-1","itemData":{"ISBN":"9780309112826","author":[{"dropping-particle":"","family":"NRC","given":"","non-dropping-particle":"","parse-names":false,"suffix":""}],"id":"ITEM-1","issued":{"date-parts":[["2008"]]},"title":"Minerals, Critical Minerals, and the U.S. Economy","type":"book"},"uris":["http://www.mendeley.com/documents/?uuid=c497332d-bffb-4542-bab0-356058aaa020"]},{"id":"ITEM-2","itemData":{"DOI":"10.1021/es203534z","ISSN":"1520-5851","PMID":"22191617","abstract":"A comprehensive methodology has been created to quantify the degree of criticality of the metals of the periodic table. In this paper, we present and discuss the methodology, which is comprised of three dimensions: supply risk, environmental implications, and vulnerability to supply restriction. Supply risk differs with the time scale (medium or long), and at its more complex involves several components, themselves composed of a number of distinct indicators drawn from readily available peer-reviewed indexes and public information. Vulnerability to supply restriction differs with the organizational level (i.e., global, national, and corporate). The criticality methodology, an enhancement of a United States National Research Council template, is designed to help corporate, national, and global stakeholders conduct risk evaluation and to inform resource utilization and strategic decision-making. Although we believe our methodological choices lead to the most robust results, the framework has been constructed to permit flexibility by the user. Specific indicators can be deleted or added as desired and weighted as the user deems appropriate. The value of each indicator will evolve over time, and our future research will focus on this evolution. The methodology has proven to be sufficiently robust as to make it applicable across the entire spectrum of metals and organizational levels and provides a structural approach that reflects the multifaceted factors influencing the availability of metals in the 21st century.","author":[{"dropping-particle":"","family":"Graedel","given":"T E","non-dropping-particle":"","parse-names":false,"suffix":""},{"dropping-particle":"","family":"Barr","given":"Rachel","non-dropping-particle":"","parse-names":false,"suffix":""},{"dropping-particle":"","family":"Chandler","given":"Chelsea","non-dropping-particle":"","parse-names":false,"suffix":""},{"dropping-particle":"","family":"Chase","given":"Thomas","non-dropping-particle":"","parse-names":false,"suffix":""},{"dropping-particle":"","family":"Choi","given":"Joanne","non-dropping-particle":"","parse-names":false,"suffix":""},{"dropping-particle":"","family":"Christoffersen","given":"Lee","non-dropping-particle":"","parse-names":false,"suffix":""},{"dropping-particle":"","family":"Friedlander","given":"Elizabeth","non-dropping-particle":"","parse-names":false,"suffix":""},{"dropping-particle":"","family":"Henly","given":"Claire","non-dropping-particle":"","parse-names":false,"suffix":""},{"dropping-particle":"","family":"Jun","given":"Christine","non-dropping-particle":"","parse-names":false,"suffix":""},{"dropping-particle":"","family":"Nassar","given":"Nedal T","non-dropping-particle":"","parse-names":false,"suffix":""},{"dropping-particle":"","family":"Schechner","given":"Daniel","non-dropping-particle":"","parse-names":false,"suffix":""},{"dropping-particle":"","family":"Warren","given":"Simon","non-dropping-particle":"","parse-names":false,"suffix":""},{"dropping-particle":"","family":"Yang","given":"Man-Yu","non-dropping-particle":"","parse-names":false,"suffix":""},{"dropping-particle":"","family":"Zhu","given":"Charles","non-dropping-particle":"","parse-names":false,"suffix":""}],"container-title":"Environmental science &amp; technology","id":"ITEM-2","issue":"2","issued":{"date-parts":[["2012","1","17"]]},"page":"1063-70","title":"Methodology of metal criticality determination.","type":"article-journal","volume":"46"},"uris":["http://www.mendeley.com/documents/?uuid=4b37e760-227c-4980-9a39-2c2806820c61"]},{"id":"ITEM-3","itemData":{"DOI":"10.2320/matertrans.M2014380","ISSN":"1345-9678","abstract":"Criticality assessment of metals has been developed to analyze a country’s supply risk and vulnerability to supply restriction. This study presents Japan’s criticality of 22 metals during 2012. Whereas a past assessment focused only on minor metals, evaluation targets here included both common and minor metals. In addition, a new analytic method included mineral interest sufficiency as a criticality component. The evaluation framework developed in this study included 13 criticality components within five risk categories: supply risk, price risk, demand risk, recycling restriction, and potential risk. Weighting factors were used to aggregate components into a single score. This framework reflects a recent government announcement about Japan’s resource strategy. High criticality was found for neodymium, dysprosium, and indium due to a recent increase in demand. Niobium also had high criticality due to production concentration in Brazil. There were few differences in the aggregated criticality scores between the other minor metals and common metals. For minor metals, aggregated criticality was mainly increased by production concentration and recycling difficulty. For common metals, aggregated criticality was increased by short depletion time and growth in global mine production. Compared with a previous study, in 2012 the criticality of tungsten and tantalum were lower due to reduced domestic demand. The analytic methods and results presented in this study will be useful in developing Japan’s resource strategy.","author":[{"dropping-particle":"","family":"Hatayama","given":"Hiroki","non-dropping-particle":"","parse-names":false,"suffix":""},{"dropping-particle":"","family":"Tahara","given":"Kiyotaka","non-dropping-particle":"","parse-names":false,"suffix":""}],"container-title":"Materials Transactions","id":"ITEM-3","issue":"2","issued":{"date-parts":[["2015"]]},"page":"229-235","title":"Criticality Assessment of Metals for Japan ' s Resource Strategy","type":"article-journal","volume":"56"},"uris":["http://www.mendeley.com/documents/?uuid=6493d4bd-9ca1-4c25-9292-321a17821921"]},{"id":"ITEM-4","itemData":{"DOI":"10.1016/j.jclepro.2017.12.162","ISSN":"09596526","abstract":"Since manufacturers are the main drivers in the selection of the materials used in their products, they have a special responsibility for investigating the accompanying sustainability aspects. The recently increased attention they pay to these issues is motivated not only by a sense of social responsibility, but also by pressure from customers and competitors. In particular, the three dimensions of sustainability – based on the triple bottom line of economic, environmental and social criteria – are of growing importance for sustainable supply chain management. Raw materials and their supply chains are often at the focus of attention, since manufacturers may need to diversify them for their products. Appropriate assessment models then become essential. Although raw material assessments and raw material-focused decision support schemes have recently been applied more often in the corporate context, several aspects such as indicator selection, weighting or social assessment are rarely considered. As a result, a comprehensive, sustainability-oriented raw material assessment and decision support scheme in the corporate context is not available in the scientific literature. In the design of such a scheme, four questions arise: First, how should a corporate-oriented raw material assessment model be structured? Second, how can all three sustainability dimensions be taken into account? Third, how can the application of raw material assessments in a corporate-oriented decision-making process increase the sustainability level of a company? And fourth, does a methodically structured raw material assessment model have advantages over existing models? To answer these questions, we have developed a model which takes into account state-of-the-art sustainability assessments as well as recent developments in the field of criticality analysis, life cycle impact assessment (LCIA) and social life cycle assessment (SLCA). With partners from both academia and industry we identify relevant quantitative indicators for structuring the assessment model and for calculating corresponding indicator weightings, using the analytic hierarchy process (AHP). To demonstrate the applicability of the assessment model for decision support and its benefits for companies in identifying potential hotspots in raw material supply chains, we present a case study that includes decision support for selecting capacitor technologies. A sensitivity analysis demonstrates the robustness of the assessment…","author":[{"dropping-particle":"","family":"Kolotzek","given":"Christoph","non-dropping-particle":"","parse-names":false,"suffix":""},{"dropping-particle":"","family":"Helbig","given":"Christoph","non-dropping-particle":"","parse-names":false,"suffix":""},{"dropping-particle":"","family":"Thorenz","given":"Andrea","non-dropping-particle":"","parse-names":false,"suffix":""},{"dropping-particle":"","family":"Reller","given":"Armin","non-dropping-particle":"","parse-names":false,"suffix":""},{"dropping-particle":"","family":"Tuma","given":"Axel","non-dropping-particle":"","parse-names":false,"suffix":""}],"container-title":"Journal of Cleaner Production","id":"ITEM-4","issued":{"date-parts":[["2018"]]},"page":"566-580","publisher":"Elsevier Ltd","title":"A company-oriented model for the assessment of raw material supply risks, environmental impact and social implications","type":"article-journal","volume":"176"},"uris":["http://www.mendeley.com/documents/?uuid=48f69ea7-179f-4f88-8016-7892a0fd9265"]}],"mendeley":{"formattedCitation":"(Graedel et al., 2012; Hatayama and Tahara, 2015; Kolotzek et al., 2018; NRC, 2008)","plainTextFormattedCitation":"(Graedel et al., 2012; Hatayama and Tahara, 2015; Kolotzek et al., 2018; NRC, 2008)","previouslyFormattedCitation":"(Graedel et al., 2012; Hatayama and Tahara, 2015; Kolotzek et al., 2018; NRC, 2008)"},"properties":{"noteIndex":0},"schema":"https://github.com/citation-style-language/schema/raw/master/csl-citation.json"}</w:instrText>
      </w:r>
      <w:r>
        <w:fldChar w:fldCharType="separate"/>
      </w:r>
      <w:r w:rsidR="002B45EF" w:rsidRPr="002B45EF">
        <w:rPr>
          <w:noProof/>
        </w:rPr>
        <w:t>(Graedel et al., 2012; Hatayama and Tahara, 2015; Kolotzek et al., 2018; NRC, 2008)</w:t>
      </w:r>
      <w:r>
        <w:fldChar w:fldCharType="end"/>
      </w:r>
      <w:r>
        <w:t>, as this highlights that criticality is not an absolute status, but rather a relative condition.</w:t>
      </w:r>
      <w:r w:rsidR="00232FD0">
        <w:t xml:space="preserve"> In contrast, p</w:t>
      </w:r>
      <w:r>
        <w:t xml:space="preserve">olicymakers have historically shown a preference for sharp and simpler </w:t>
      </w:r>
      <w:r w:rsidR="00D969A6">
        <w:t xml:space="preserve">communication solutions </w:t>
      </w:r>
      <w:r>
        <w:fldChar w:fldCharType="begin" w:fldLock="1"/>
      </w:r>
      <w:r w:rsidR="00D35F6A">
        <w:instrText>ADDIN CSL_CITATION {"citationItems":[{"id":"ITEM-1","itemData":{"DOI":"10.1002/eji.200839120.IL-17-Producing","ISBN":"0169-1368","ISSN":"1521-4141","PMID":"19283718","abstract":"Although raw materials are essential for the EU economy, their availability is increasingly under pressure. Within the framework of the EU Raw Materials Initiative, it was decided to identify a list of critical raw materials at EU level, in close cooperation with Member States and stakeholders. The attached report presents the outcome of this cooperation achieved through an expert working group (\"the Group\") which was active between April 2009 and June 2010 under the umbrella of the Raw Materials Supply Group. With regards to geological availability, the Group observes that, as geological scarcity is not considered as an issue for determining criticality of raw materials within the considered time horizon of the study, e.g. ten years, global reserve figures are not reliable indicators of long term availability. Of greater relevance are changes in the geopolitical-economic framework that impact on the supply and demand of raw materials. These changes relate to the growing demand for raw materials, which in turn is driven by the growth of developing economies and new emerging technologies. Moreover, many emerging economies are pursuing industrial development strategies by means of trade, taxation and investment instruments aimed at reserving their resource base for their exclusive use. This trend has become apparent through an increasing number of government measures such as export taxes, quotas, subsidies etc. In some cases, the situation is further compounded by a high level of concentration of the production in a few countries. This report analyses a selection of 41 minerals and metals. In line with other studies, the report puts forward a relative concept of criticality. This means that raw material is labelled critical when the risks of supply shortage and their impacts on the economy are higher compared with most of the other raw materials. Two types of risks are considered: a) the \"supply risk\" taking into account the political-economic stability of the producing countries, the level of concentration of production, the potential for substitution and the recycling rate; and b) the \"environmental country risk\" assessing the risks that measures might be taken by countries with weak environmental performance in order to protect the environment and, in doing so, endanger the supply of raw materials to the EU. Building on existing approaches, this report sets out an innovative and pragmatic approach to determining criticality.","author":[{"dropping-particle":"","family":"European Commission","given":"","non-dropping-particle":"","parse-names":false,"suffix":""}],"container-title":"Eucom","id":"ITEM-1","issue":"July","issued":{"date-parts":[["2010"]]},"number-of-pages":"1-84","title":"Critical raw materials for the EU, Report of the Ad-hoc Working Group on defining critical raw materials","type":"report","volume":"39"},"uris":["http://www.mendeley.com/documents/?uuid=818a8ad6-2248-4bba-9243-ab66e518266e"]},{"id":"ITEM-2","itemData":{"author":[{"dropping-particle":"","family":"European Commission","given":"","non-dropping-particle":"","parse-names":false,"suffix":""}],"id":"ITEM-2","issued":{"date-parts":[["2014"]]},"number-of-pages":"1-205","title":"Report on Critical Raw Materials for the EU - Critical Raw Materials Profiles","type":"report"},"uris":["http://www.mendeley.com/documents/?uuid=05e1a123-0b0a-4d9a-8bde-c92f1a6b516d"]},{"id":"ITEM-3","itemData":{"DOI":"10.2873/769526","ISBN":"9789279680519","abstract":"This is a prescriptive document containing the guidelines and the ‘ready-to-apply’ methodology for the EU criticality assessment and the revision of the list of critical raw materials (CRM) for the EU. These synthesised guidelines build on the methodology used to establish the lists of CRM in 2011 (1 ) and 2014 (2 ) and integrate the methodological improvements identified by the European Commission in the project ‘Assessment of the methodology on the list of critical raw materials’, in close consultation with the ad hoc working group ‘Defining critical raw materials’. Additional information regarding the methodology, including justification and discussion, can be found in the background report (3 ) developed by the Directorate General Joint Research Centre (JRC) and in related annexes. These guidelines also contain recommendations on how to reorganise and improve the single fact sheets of the assessed raw materials. (1)","author":[{"dropping-particle":"","family":"European Commission","given":"","non-dropping-particle":"","parse-names":false,"suffix":""}],"id":"ITEM-3","issued":{"date-parts":[["2017"]]},"page":"30","title":"Methodology for establishing the EU list of Critical Raw Materials","type":"article-journal"},"uris":["http://www.mendeley.com/documents/?uuid=73ab7610-15cc-40a5-8297-dca3ef930846"]},{"id":"ITEM-4","itemData":{"author":[{"dropping-particle":"","family":"KIRAM","given":"","non-dropping-particle":"","parse-names":false,"suffix":""},{"dropping-particle":"","family":"KITECH","given":"","non-dropping-particle":"","parse-names":false,"suffix":""}],"id":"ITEM-4","issued":{"date-parts":[["2014"]]},"title":"The current activity of Korea for the rare metals future","type":"article"},"uris":["http://www.mendeley.com/documents/?uuid=4c22ddf4-f3f5-4715-a506-ce4282941d2a"]}],"mendeley":{"formattedCitation":"(European Commission, 2017a, 2014b, 2010; KIRAM and KITECH, 2014)","plainTextFormattedCitation":"(European Commission, 2017a, 2014b, 2010; KIRAM and KITECH, 2014)","previouslyFormattedCitation":"(European Commission, 2017a, 2014b, 2010; KIRAM and KITECH, 2014)"},"properties":{"noteIndex":0},"schema":"https://github.com/citation-style-language/schema/raw/master/csl-citation.json"}</w:instrText>
      </w:r>
      <w:r>
        <w:fldChar w:fldCharType="separate"/>
      </w:r>
      <w:r w:rsidR="002B45EF" w:rsidRPr="002B45EF">
        <w:rPr>
          <w:noProof/>
        </w:rPr>
        <w:t>(European Commission, 2017a, 2014b, 2010; KIRAM and KITECH, 2014)</w:t>
      </w:r>
      <w:r>
        <w:fldChar w:fldCharType="end"/>
      </w:r>
      <w:r>
        <w:t xml:space="preserve">, which are easier to understand for non-experts and more practical to translate into effective policy actions at large scale. The determination of the threshold value </w:t>
      </w:r>
      <w:r w:rsidR="00532FEC">
        <w:t xml:space="preserve">is not </w:t>
      </w:r>
      <w:r w:rsidR="00ED0DA7">
        <w:t xml:space="preserve">a scientific exercise but </w:t>
      </w:r>
      <w:r w:rsidR="0060478C">
        <w:t>can</w:t>
      </w:r>
      <w:r w:rsidR="00ED0DA7">
        <w:t xml:space="preserve"> be </w:t>
      </w:r>
      <w:r w:rsidR="0060478C">
        <w:t xml:space="preserve">motivated politically, such as </w:t>
      </w:r>
      <w:r>
        <w:t>comparability with previous studies</w:t>
      </w:r>
      <w:r w:rsidR="0060478C">
        <w:t xml:space="preserve"> or the </w:t>
      </w:r>
      <w:r w:rsidR="00A952DD">
        <w:t>designation</w:t>
      </w:r>
      <w:r w:rsidR="0060478C">
        <w:t xml:space="preserve"> of a specific number or </w:t>
      </w:r>
      <w:r w:rsidR="00A952DD">
        <w:t xml:space="preserve">share of </w:t>
      </w:r>
      <w:r w:rsidR="0044278B">
        <w:t>the evaluated materials as “critical”</w:t>
      </w:r>
      <w:r>
        <w:t xml:space="preserve">. </w:t>
      </w:r>
    </w:p>
    <w:p w14:paraId="797AEE68" w14:textId="77777777" w:rsidR="005161EC" w:rsidRDefault="005161EC" w:rsidP="00863B14">
      <w:pPr>
        <w:spacing w:line="480" w:lineRule="auto"/>
        <w:jc w:val="both"/>
      </w:pPr>
    </w:p>
    <w:p w14:paraId="33D576E2" w14:textId="37EBC025" w:rsidR="000950E1" w:rsidRPr="00000B19" w:rsidRDefault="000950E1" w:rsidP="00461A6A">
      <w:pPr>
        <w:pStyle w:val="Heading4"/>
        <w:numPr>
          <w:ilvl w:val="2"/>
          <w:numId w:val="44"/>
        </w:numPr>
      </w:pPr>
      <w:bookmarkStart w:id="58" w:name="_Toc10458669"/>
      <w:r w:rsidRPr="00000B19">
        <w:t>Uncertainty and sensitivity</w:t>
      </w:r>
      <w:r w:rsidR="0091143D" w:rsidRPr="00000B19">
        <w:t xml:space="preserve"> analyses</w:t>
      </w:r>
      <w:bookmarkEnd w:id="58"/>
    </w:p>
    <w:p w14:paraId="74EF5FB9" w14:textId="1D24AE14" w:rsidR="002A76B4" w:rsidRDefault="005B2E59" w:rsidP="00863B14">
      <w:pPr>
        <w:spacing w:line="480" w:lineRule="auto"/>
        <w:jc w:val="both"/>
      </w:pPr>
      <w:r w:rsidRPr="00226F1A">
        <w:t xml:space="preserve">As </w:t>
      </w:r>
      <w:r w:rsidR="00232FD0">
        <w:t>shown in</w:t>
      </w:r>
      <w:r w:rsidRPr="00226F1A">
        <w:t xml:space="preserve"> </w:t>
      </w:r>
      <w:r w:rsidR="00BE17A3" w:rsidRPr="00226F1A">
        <w:t>the previous sections</w:t>
      </w:r>
      <w:r w:rsidRPr="00226F1A">
        <w:t xml:space="preserve">, criticality assessments </w:t>
      </w:r>
      <w:r w:rsidR="00E90F18" w:rsidRPr="00226F1A">
        <w:t>are unavoidably affected by many</w:t>
      </w:r>
      <w:r w:rsidR="00A51234" w:rsidRPr="00226F1A">
        <w:t xml:space="preserve"> uncertainties and methodological choices</w:t>
      </w:r>
      <w:r w:rsidR="00E90F18" w:rsidRPr="00226F1A">
        <w:t>, e.g. regarding</w:t>
      </w:r>
      <w:r w:rsidR="001F4F38">
        <w:t xml:space="preserve"> </w:t>
      </w:r>
      <w:r w:rsidR="001F4F38" w:rsidRPr="00461A6A">
        <w:rPr>
          <w:highlight w:val="yellow"/>
        </w:rPr>
        <w:t>the accep</w:t>
      </w:r>
      <w:r w:rsidR="009E6C95" w:rsidRPr="00461A6A">
        <w:rPr>
          <w:highlight w:val="yellow"/>
        </w:rPr>
        <w:t>tab</w:t>
      </w:r>
      <w:r w:rsidR="0066640E" w:rsidRPr="00461A6A">
        <w:rPr>
          <w:highlight w:val="yellow"/>
        </w:rPr>
        <w:t>le</w:t>
      </w:r>
      <w:r w:rsidR="001F4F38" w:rsidRPr="00461A6A">
        <w:rPr>
          <w:highlight w:val="yellow"/>
        </w:rPr>
        <w:t xml:space="preserve"> quality of the</w:t>
      </w:r>
      <w:r w:rsidR="00E90F18" w:rsidRPr="00226F1A">
        <w:t xml:space="preserve"> </w:t>
      </w:r>
      <w:r w:rsidR="00A51234" w:rsidRPr="00226F1A">
        <w:t xml:space="preserve">data, the </w:t>
      </w:r>
      <w:r w:rsidR="00A75F71" w:rsidRPr="00226F1A">
        <w:t>selection</w:t>
      </w:r>
      <w:r w:rsidR="00A51234" w:rsidRPr="00226F1A">
        <w:t xml:space="preserve"> of materials, the choice of data sources</w:t>
      </w:r>
      <w:r w:rsidR="00A75F71" w:rsidRPr="00226F1A">
        <w:t xml:space="preserve">, </w:t>
      </w:r>
      <w:r w:rsidR="00BE17A3" w:rsidRPr="00226F1A">
        <w:t xml:space="preserve">and </w:t>
      </w:r>
      <w:r w:rsidR="00A75F71" w:rsidRPr="00226F1A">
        <w:t xml:space="preserve">the choice of aggregation methods. </w:t>
      </w:r>
      <w:r w:rsidR="00822E62">
        <w:t>The robustness</w:t>
      </w:r>
      <w:r w:rsidR="00A75F71" w:rsidRPr="00226F1A">
        <w:t xml:space="preserve"> of the criticality results is</w:t>
      </w:r>
      <w:r w:rsidR="000E3C5E" w:rsidRPr="00226F1A">
        <w:t xml:space="preserve"> </w:t>
      </w:r>
      <w:r w:rsidR="005B6023" w:rsidRPr="00226F1A">
        <w:t xml:space="preserve">strongly dependent on the transparent communication of </w:t>
      </w:r>
      <w:r w:rsidR="007E1D14" w:rsidRPr="00226F1A">
        <w:t xml:space="preserve">(the effect of) </w:t>
      </w:r>
      <w:r w:rsidR="005B6023" w:rsidRPr="00226F1A">
        <w:t xml:space="preserve">uncertainties and </w:t>
      </w:r>
      <w:r w:rsidR="002700EC" w:rsidRPr="00226F1A">
        <w:t>assumptions</w:t>
      </w:r>
      <w:r w:rsidR="00232FD0">
        <w:t xml:space="preserve">. </w:t>
      </w:r>
      <w:r w:rsidR="003941A6" w:rsidRPr="00226F1A">
        <w:t xml:space="preserve">For example, </w:t>
      </w:r>
      <w:r w:rsidR="003941A6" w:rsidRPr="00226F1A">
        <w:fldChar w:fldCharType="begin" w:fldLock="1"/>
      </w:r>
      <w:r w:rsidR="00D35F6A">
        <w:instrText>ADDIN CSL_CITATION {"citationItems":[{"id":"ITEM-1","itemData":{"DOI":"10.1016/j.apenergy.2016.06.102","ISSN":"03062619","abstract":"As a result of the global warming potential of fossil fuels there has been a rapid growth in the installation of photovoltaic generating capacity in the last decade. While this market is dominated by crystalline silicon, thin-film photovoltaics are still expected to make a substantial contribution to global electricity supply in future, due both to lower production costs and to recent increases in conversion efficiency. At present, cadmium telluride (CdTe) and copper-indium-gallium diselenide (CuInxGa1−xSe2) seem to be the most promising materials and currently have a share of ≈9% of the photovoltaic market. An expected stronger market penetration by these thin-film technologies raises the question as to the supply risks associated with the constituent elements. Against this background, we report here a semi-quantitative, relative assessment of mid- to long-term supply risk associated with the elements Cd, Te, Cu, In, Ga, Se and Mo. In this approach, the supply risk is measured using 11 indicators in the four categories “Risk of Supply Reduction”, “Risk of Demand Increase”, “Concentration Risk” and “Political Risk”. In a second step, the single indicator values, which are derived from publicly accessible databases, are weighted relative to each other specifically for the case of thin film photovoltaics. For this purpose, a survey among colleagues and an Analytic Hierarchy Process (AHP) approach are used, in order to obtain a relative, element-specific value for the supply risk. The aggregation of these elemental values (based on mass share, cost share, etc.) gives an overall value for each material. Both elemental and “technology material” supply risk scores are subject to an uncertainty analysis using Monte Carlo simulation. CdTe shows slightly lower supply risk values for all aggregation options.","author":[{"dropping-particle":"","family":"Helbig","given":"Christoph","non-dropping-particle":"","parse-names":false,"suffix":""},{"dropping-particle":"","family":"Bradshaw","given":"Alex M.","non-dropping-particle":"","parse-names":false,"suffix":""},{"dropping-particle":"","family":"Kolotzek","given":"Christoph","non-dropping-particle":"","parse-names":false,"suffix":""},{"dropping-particle":"","family":"Thorenz","given":"Andrea","non-dropping-particle":"","parse-names":false,"suffix":""},{"dropping-particle":"","family":"Tuma","given":"Axel","non-dropping-particle":"","parse-names":false,"suffix":""}],"container-title":"Applied Energy","id":"ITEM-1","issued":{"date-parts":[["2016"]]},"page":"422-433","title":"Supply risks associated with CdTe and CIGS thin-film photovoltaics","type":"article-journal","volume":"178"},"uris":["http://www.mendeley.com/documents/?uuid=39188c3a-4e31-458d-8692-7ffc8f740a24"]}],"mendeley":{"formattedCitation":"(Helbig et al., 2016a)","manualFormatting":"Helbig et al. (2016a)","plainTextFormattedCitation":"(Helbig et al., 2016a)","previouslyFormattedCitation":"(Helbig et al., 2016a)"},"properties":{"noteIndex":0},"schema":"https://github.com/citation-style-language/schema/raw/master/csl-citation.json"}</w:instrText>
      </w:r>
      <w:r w:rsidR="003941A6" w:rsidRPr="00226F1A">
        <w:fldChar w:fldCharType="separate"/>
      </w:r>
      <w:r w:rsidR="00F147C6" w:rsidRPr="00226F1A">
        <w:rPr>
          <w:noProof/>
        </w:rPr>
        <w:t xml:space="preserve">Helbig et al. </w:t>
      </w:r>
      <w:r w:rsidR="00CD7AE4">
        <w:rPr>
          <w:noProof/>
        </w:rPr>
        <w:t>(</w:t>
      </w:r>
      <w:r w:rsidR="00F147C6" w:rsidRPr="00226F1A">
        <w:rPr>
          <w:noProof/>
        </w:rPr>
        <w:t>2016a)</w:t>
      </w:r>
      <w:r w:rsidR="003941A6" w:rsidRPr="00226F1A">
        <w:fldChar w:fldCharType="end"/>
      </w:r>
      <w:r w:rsidR="009A693B" w:rsidRPr="00226F1A">
        <w:t xml:space="preserve"> evaluate the influence of aggregation methods on the final outcomes via a sensitivity analysis</w:t>
      </w:r>
      <w:r w:rsidR="0050189D" w:rsidRPr="00226F1A">
        <w:t xml:space="preserve"> and conduct uncertainty analyses. </w:t>
      </w:r>
      <w:r w:rsidR="009A693B" w:rsidRPr="00226F1A">
        <w:fldChar w:fldCharType="begin" w:fldLock="1"/>
      </w:r>
      <w:r w:rsidR="00D35F6A">
        <w:instrText>ADDIN CSL_CITATION {"citationItems":[{"id":"ITEM-1","itemData":{"DOI":"10.1073/pnas.1500415112","ISBN":"1215421109","ISSN":"0027-8424","PMID":"22393313","abstract":"Imbalances between metal supply and demand, real or anticipated, have inspired the concept of metal criticality. We here characterize the criticality of 62 metals and metalloids in a 3D “criticality space” consisting of supply risk, environmental implications, and vulnerability to supply restriction. Contributing factors that lead to extreme values include high geopolitical concentration of primary production, lack of available suitable substitutes, and political instability. The results show that the limitations for many metals important in emerging electronics (e.g., gallium and selenium) are largely those related to supply risk; those of platinum group metals, gold, and mercury, to environmental implications; and steel alloying elements (e.g., chromium and niobium) as well as elements used in high-temperature alloys (e.g., tungsten and molybdenum), to vulnerability to supply restriction. The metals of most concern tend to be those available largely or entirely as byproducts, used in small quantities for highly specialized applications, and possessing no effective substitutes.","author":[{"dropping-particle":"","family":"Graedel","given":"T. E.","non-dropping-particle":"","parse-names":false,"suffix":""},{"dropping-particle":"","family":"Harper","given":"E. M.","non-dropping-particle":"","parse-names":false,"suffix":""},{"dropping-particle":"","family":"Nassar","given":"N. T.","non-dropping-particle":"","parse-names":false,"suffix":""},{"dropping-particle":"","family":"Nuss","given":"Philip","non-dropping-particle":"","parse-names":false,"suffix":""},{"dropping-particle":"","family":"Reck","given":"Barbara K.","non-dropping-particle":"","parse-names":false,"suffix":""}],"container-title":"Proceedings of the National Academy of Sciences","id":"ITEM-1","issue":"14","issued":{"date-parts":[["2015"]]},"page":"4257-4262","title":"Criticality of metals and metalloids","type":"article-journal","volume":"112"},"uris":["http://www.mendeley.com/documents/?uuid=83c0c02d-0435-4804-808e-1175ac849a60"]}],"mendeley":{"formattedCitation":"(Graedel et al., 2015)","manualFormatting":"Graedel et al. (2015)","plainTextFormattedCitation":"(Graedel et al., 2015)","previouslyFormattedCitation":"(Graedel et al., 2015)"},"properties":{"noteIndex":0},"schema":"https://github.com/citation-style-language/schema/raw/master/csl-citation.json"}</w:instrText>
      </w:r>
      <w:r w:rsidR="009A693B" w:rsidRPr="00226F1A">
        <w:fldChar w:fldCharType="separate"/>
      </w:r>
      <w:r w:rsidR="009A693B" w:rsidRPr="00226F1A">
        <w:rPr>
          <w:noProof/>
        </w:rPr>
        <w:t>Graedel et al. (2015)</w:t>
      </w:r>
      <w:r w:rsidR="009A693B" w:rsidRPr="00226F1A">
        <w:fldChar w:fldCharType="end"/>
      </w:r>
      <w:r w:rsidR="009A693B" w:rsidRPr="00226F1A">
        <w:t xml:space="preserve"> present the relative criticality of each material in the form of a “criticality cloud” that accounts for </w:t>
      </w:r>
      <w:r w:rsidR="00421DEA" w:rsidRPr="00226F1A">
        <w:t>uncertainty ranges.</w:t>
      </w:r>
      <w:r w:rsidR="00A51234" w:rsidRPr="00226F1A">
        <w:t xml:space="preserve"> </w:t>
      </w:r>
      <w:r w:rsidR="00421DEA" w:rsidRPr="00226F1A">
        <w:t>As very</w:t>
      </w:r>
      <w:r w:rsidR="002A76B4" w:rsidRPr="00226F1A">
        <w:t xml:space="preserve"> few methods report uncertainty </w:t>
      </w:r>
      <w:r w:rsidR="002A76B4" w:rsidRPr="00226F1A">
        <w:lastRenderedPageBreak/>
        <w:t>ranges of the criticality results, it is not known whether the assignment of materials as “critical” is</w:t>
      </w:r>
      <w:r w:rsidR="003137A0" w:rsidRPr="00226F1A">
        <w:t xml:space="preserve"> generally</w:t>
      </w:r>
      <w:r w:rsidR="002A76B4" w:rsidRPr="00226F1A">
        <w:t xml:space="preserve"> robust</w:t>
      </w:r>
      <w:r w:rsidR="003137A0" w:rsidRPr="00226F1A">
        <w:t xml:space="preserve">, especially </w:t>
      </w:r>
      <w:r w:rsidR="002A76B4" w:rsidRPr="00226F1A">
        <w:t>in studies that apply criticality threshold values.</w:t>
      </w:r>
      <w:r w:rsidR="002A76B4">
        <w:t xml:space="preserve">  </w:t>
      </w:r>
    </w:p>
    <w:p w14:paraId="3F05DC7A" w14:textId="77777777" w:rsidR="00435A0D" w:rsidRDefault="00435A0D" w:rsidP="00863B14">
      <w:pPr>
        <w:spacing w:line="480" w:lineRule="auto"/>
        <w:jc w:val="both"/>
        <w:rPr>
          <w:lang w:val="en-GB"/>
        </w:rPr>
      </w:pPr>
    </w:p>
    <w:p w14:paraId="5E80CD38" w14:textId="7C75399A" w:rsidR="00A26A7C" w:rsidRDefault="003F5F25" w:rsidP="00461A6A">
      <w:pPr>
        <w:pStyle w:val="Heading2"/>
        <w:numPr>
          <w:ilvl w:val="0"/>
          <w:numId w:val="44"/>
        </w:numPr>
        <w:spacing w:line="480" w:lineRule="auto"/>
      </w:pPr>
      <w:bookmarkStart w:id="59" w:name="_Toc415758577"/>
      <w:bookmarkStart w:id="60" w:name="_Toc10458670"/>
      <w:bookmarkStart w:id="61" w:name="_Toc19016233"/>
      <w:r w:rsidRPr="00000117">
        <w:t xml:space="preserve">Conclusions and </w:t>
      </w:r>
      <w:r w:rsidR="0009540C" w:rsidRPr="00000117">
        <w:t>Perspectives</w:t>
      </w:r>
      <w:bookmarkEnd w:id="59"/>
      <w:bookmarkEnd w:id="60"/>
      <w:bookmarkEnd w:id="61"/>
      <w:r w:rsidR="00BD4EB5" w:rsidRPr="00000117">
        <w:t xml:space="preserve"> </w:t>
      </w:r>
    </w:p>
    <w:p w14:paraId="1D051FF7" w14:textId="6CB84EA6" w:rsidR="00155C6D" w:rsidRDefault="00155C6D" w:rsidP="00863B14">
      <w:pPr>
        <w:spacing w:line="480" w:lineRule="auto"/>
        <w:jc w:val="both"/>
      </w:pPr>
      <w:r>
        <w:t xml:space="preserve">After more than a decade of </w:t>
      </w:r>
      <w:r w:rsidR="007E0831">
        <w:t>21</w:t>
      </w:r>
      <w:r w:rsidR="007E0831" w:rsidRPr="00AE56AD">
        <w:rPr>
          <w:vertAlign w:val="superscript"/>
        </w:rPr>
        <w:t>st</w:t>
      </w:r>
      <w:r w:rsidR="007E0831">
        <w:t xml:space="preserve"> century </w:t>
      </w:r>
      <w:r w:rsidR="00DC07E3">
        <w:t xml:space="preserve">raw material </w:t>
      </w:r>
      <w:r>
        <w:t>criticality assessments</w:t>
      </w:r>
      <w:r w:rsidR="007E0831">
        <w:t>,</w:t>
      </w:r>
      <w:r>
        <w:t xml:space="preserve"> conducted by scientists and governmental institutes, the question </w:t>
      </w:r>
      <w:r w:rsidRPr="00155C6D">
        <w:rPr>
          <w:i/>
        </w:rPr>
        <w:t>“</w:t>
      </w:r>
      <w:r w:rsidR="00950DDA">
        <w:rPr>
          <w:i/>
        </w:rPr>
        <w:t>Which</w:t>
      </w:r>
      <w:r w:rsidRPr="00155C6D">
        <w:rPr>
          <w:i/>
        </w:rPr>
        <w:t xml:space="preserve"> materials are critical?”</w:t>
      </w:r>
      <w:r>
        <w:t xml:space="preserve"> </w:t>
      </w:r>
      <w:r w:rsidR="0045392D">
        <w:t>ha</w:t>
      </w:r>
      <w:r w:rsidR="00B0323E">
        <w:t>s not provided an unambiguous response</w:t>
      </w:r>
      <w:r w:rsidR="00D62516">
        <w:t>, even if one has a specific nation or industry in mind</w:t>
      </w:r>
      <w:r>
        <w:t xml:space="preserve">. Materials such as </w:t>
      </w:r>
      <w:r w:rsidR="00435A0D">
        <w:t xml:space="preserve">chromium, </w:t>
      </w:r>
      <w:r>
        <w:t>cobalt, gallium, lithium,</w:t>
      </w:r>
      <w:r w:rsidR="00435A0D">
        <w:t xml:space="preserve"> molybdenum,</w:t>
      </w:r>
      <w:r>
        <w:t xml:space="preserve"> tantalum,</w:t>
      </w:r>
      <w:r w:rsidR="00435A0D">
        <w:t xml:space="preserve"> tellurium, and vanadium</w:t>
      </w:r>
      <w:r>
        <w:t xml:space="preserve"> have very diverging criticality determinations: in some studies they appear to be highly critical, while in other studies they </w:t>
      </w:r>
      <w:r w:rsidR="00976D12">
        <w:t xml:space="preserve">are </w:t>
      </w:r>
      <w:r>
        <w:t>considered to be not critical at all. This paper</w:t>
      </w:r>
      <w:r w:rsidR="007E0831">
        <w:t xml:space="preserve"> seeks to</w:t>
      </w:r>
      <w:r>
        <w:t xml:space="preserve"> clarif</w:t>
      </w:r>
      <w:r w:rsidR="007E0831">
        <w:t>y</w:t>
      </w:r>
      <w:r>
        <w:t xml:space="preserve"> </w:t>
      </w:r>
      <w:r w:rsidR="009668A2">
        <w:t>which contextual factors and choices affect the outcomes of</w:t>
      </w:r>
      <w:r>
        <w:t xml:space="preserve"> criticality assessments. </w:t>
      </w:r>
      <w:r w:rsidR="007E0831">
        <w:t xml:space="preserve">The IRTC team </w:t>
      </w:r>
      <w:r>
        <w:t>demonstrate</w:t>
      </w:r>
      <w:r w:rsidR="00B92A52">
        <w:t>d</w:t>
      </w:r>
      <w:r>
        <w:t xml:space="preserve"> that there are diverging views on what criticality is about. Some studies are concerned</w:t>
      </w:r>
      <w:r w:rsidR="00B92A52">
        <w:t xml:space="preserve"> with</w:t>
      </w:r>
      <w:r>
        <w:t xml:space="preserve"> the criticality of raw materials for national defense or a national economy, while others focus on specific technologies, companies, or products. Most studies anticipate a disruption in the </w:t>
      </w:r>
      <w:r w:rsidR="009235D4">
        <w:t>supply of raw materials</w:t>
      </w:r>
      <w:r>
        <w:t xml:space="preserve">, either due to unstable supply routes, or due to sudden increases in demand, for example caused </w:t>
      </w:r>
      <w:r w:rsidR="00232FD0">
        <w:t xml:space="preserve">by the relevance </w:t>
      </w:r>
      <w:r>
        <w:t xml:space="preserve">of a material </w:t>
      </w:r>
      <w:r w:rsidR="00232FD0">
        <w:t>for</w:t>
      </w:r>
      <w:r>
        <w:t xml:space="preserve"> emerging technologies. The assessments often aim to provide recommendations </w:t>
      </w:r>
      <w:r w:rsidR="00821485">
        <w:t>regarding</w:t>
      </w:r>
      <w:r>
        <w:t xml:space="preserve"> criticality mitigation or the need for </w:t>
      </w:r>
      <w:r w:rsidR="00B92A52">
        <w:t xml:space="preserve">a </w:t>
      </w:r>
      <w:r>
        <w:t>better understanding</w:t>
      </w:r>
      <w:r w:rsidR="00B92A52">
        <w:t xml:space="preserve"> of</w:t>
      </w:r>
      <w:r>
        <w:t xml:space="preserve"> the supply chains of prioritized materials. Studies mostly cover a large range of materials in their assessment: including most metals or as many elements from the periodic table as possible</w:t>
      </w:r>
      <w:r w:rsidR="001B788D">
        <w:t xml:space="preserve"> – however focusing often solely at the mining stage</w:t>
      </w:r>
      <w:r>
        <w:t xml:space="preserve">. </w:t>
      </w:r>
    </w:p>
    <w:p w14:paraId="68A80020" w14:textId="31565AD8" w:rsidR="00155C6D" w:rsidRDefault="00155C6D" w:rsidP="00863B14">
      <w:pPr>
        <w:spacing w:line="480" w:lineRule="auto"/>
        <w:jc w:val="both"/>
      </w:pPr>
      <w:r>
        <w:t xml:space="preserve">These differences in goal and scope of criticality studies can partly explain the different outcomes – but not entirely. Some indicators </w:t>
      </w:r>
      <w:r w:rsidR="00232FD0">
        <w:t>appear very frequently</w:t>
      </w:r>
      <w:r>
        <w:t xml:space="preserve"> to assess the probability of supply disruption or the vulnerability to supply disruption, such as the country concentration of production, </w:t>
      </w:r>
      <w:r>
        <w:lastRenderedPageBreak/>
        <w:t>political stability of supplying countries, by-product dependency, and the use of a material in a technology that contributes to a company’s revenue or a countr</w:t>
      </w:r>
      <w:r w:rsidR="0074627D">
        <w:t>y’s</w:t>
      </w:r>
      <w:r>
        <w:t xml:space="preserve"> economy.</w:t>
      </w:r>
      <w:r w:rsidR="007E0831">
        <w:t xml:space="preserve"> S</w:t>
      </w:r>
      <w:r>
        <w:t>tudies with seemingly similar goals and scopes do not</w:t>
      </w:r>
      <w:r w:rsidR="007E0831">
        <w:t>, however,</w:t>
      </w:r>
      <w:r>
        <w:t xml:space="preserve"> always select the same indicators. This is largely dependent on the </w:t>
      </w:r>
      <w:r w:rsidR="00A66CC9">
        <w:t>anticipated events that could affect raw material supply.</w:t>
      </w:r>
      <w:r w:rsidR="007E0831">
        <w:t xml:space="preserve"> A</w:t>
      </w:r>
      <w:r w:rsidR="008938FA">
        <w:t xml:space="preserve"> clear </w:t>
      </w:r>
      <w:r w:rsidR="0053275B">
        <w:t xml:space="preserve">mechanism between the selected indicators and a resulting </w:t>
      </w:r>
      <w:r w:rsidR="006711E4">
        <w:t>supply risk</w:t>
      </w:r>
      <w:r w:rsidR="007E0831">
        <w:t>,</w:t>
      </w:r>
      <w:r w:rsidR="006711E4">
        <w:t xml:space="preserve"> for example in the form of a cause-and-effect diagram</w:t>
      </w:r>
      <w:r w:rsidR="007E0831">
        <w:t>,</w:t>
      </w:r>
      <w:r w:rsidR="006711E4">
        <w:t xml:space="preserve"> is often missing</w:t>
      </w:r>
      <w:r w:rsidR="00CC0115">
        <w:t xml:space="preserve">, resulting in </w:t>
      </w:r>
      <w:r w:rsidR="00C0331D">
        <w:t>diverging selection</w:t>
      </w:r>
      <w:r w:rsidR="00743688">
        <w:t>s</w:t>
      </w:r>
      <w:r w:rsidR="00C0331D">
        <w:t xml:space="preserve"> of </w:t>
      </w:r>
      <w:r w:rsidR="00B86BDF">
        <w:t xml:space="preserve">(proxy) </w:t>
      </w:r>
      <w:r w:rsidR="00C0331D">
        <w:t>indicators</w:t>
      </w:r>
      <w:r w:rsidR="009E2D67">
        <w:t>.</w:t>
      </w:r>
    </w:p>
    <w:p w14:paraId="32D6BBB4" w14:textId="5CC34F72" w:rsidR="00D94670" w:rsidRDefault="00155C6D" w:rsidP="00863B14">
      <w:pPr>
        <w:spacing w:line="480" w:lineRule="auto"/>
        <w:jc w:val="both"/>
      </w:pPr>
      <w:r>
        <w:t>Data availability is also a key factor that influences the design of criticality methods. Stud</w:t>
      </w:r>
      <w:r w:rsidR="00B612DA">
        <w:t>y composers</w:t>
      </w:r>
      <w:r>
        <w:t xml:space="preserve"> do not necessarily have access to the same data sources, as this is influenced by, among others, the required transparency, the perception of objectivity, and ease of access, which are often limiting factors in governmental assessments. Data availability influences the selection of indicators and the inclusion of materials in the assessment, as well as the accuracy of the results. There are important data gaps on specialty elements and materials that are </w:t>
      </w:r>
      <w:r w:rsidR="00232FD0">
        <w:t xml:space="preserve">frequently </w:t>
      </w:r>
      <w:r>
        <w:t xml:space="preserve">produced as by-products. Data sources often do not differentiate between different material grades or forms, </w:t>
      </w:r>
      <w:r w:rsidR="00B612DA">
        <w:t>although these</w:t>
      </w:r>
      <w:r>
        <w:t xml:space="preserve"> can have important differences in supply. Also, data on intermediate products is lacking, which explains why most studies evaluate material supply primarily at the level of mines. Remaining differences in criticality determinations could be ascribed to different aggregation procedures and the formulation of a criticality threshold value</w:t>
      </w:r>
      <w:r w:rsidR="00964B64">
        <w:t>,</w:t>
      </w:r>
      <w:r>
        <w:t xml:space="preserve"> which is especially useful in the communication of the results to policymakers. </w:t>
      </w:r>
    </w:p>
    <w:p w14:paraId="0B7BB657" w14:textId="0CC8E9E4" w:rsidR="00AE31A4" w:rsidRDefault="00D94670" w:rsidP="00863B14">
      <w:pPr>
        <w:spacing w:line="480" w:lineRule="auto"/>
        <w:jc w:val="both"/>
      </w:pPr>
      <w:r>
        <w:t xml:space="preserve">During the course of the IRTC expert </w:t>
      </w:r>
      <w:r w:rsidR="00AE31A4">
        <w:t>discussion</w:t>
      </w:r>
      <w:r>
        <w:t xml:space="preserve">, the potential value of criticality concepts taking a more holistic approach on </w:t>
      </w:r>
      <w:r w:rsidR="00820BD2">
        <w:t xml:space="preserve">sustainable development throughout </w:t>
      </w:r>
      <w:r>
        <w:t xml:space="preserve">the whole </w:t>
      </w:r>
      <w:r w:rsidR="008D3350">
        <w:t xml:space="preserve">material </w:t>
      </w:r>
      <w:r>
        <w:t>value chain</w:t>
      </w:r>
      <w:r w:rsidR="00820BD2">
        <w:t xml:space="preserve"> came up repeatedly</w:t>
      </w:r>
      <w:r>
        <w:t xml:space="preserve">. These reflections </w:t>
      </w:r>
      <w:r w:rsidR="00AE31A4">
        <w:t xml:space="preserve">go beyond the scope of this review paper but will be investigated in more detail in upcoming publications of the project. </w:t>
      </w:r>
    </w:p>
    <w:p w14:paraId="43B6CED9" w14:textId="59CBA071" w:rsidR="00155C6D" w:rsidRDefault="00155C6D" w:rsidP="00863B14">
      <w:pPr>
        <w:spacing w:line="480" w:lineRule="auto"/>
        <w:jc w:val="both"/>
      </w:pPr>
      <w:r>
        <w:t xml:space="preserve">From this paper we can extract several lessons that could contribute to the future development and implementation of criticality assessments. </w:t>
      </w:r>
      <w:r w:rsidR="00B95F57">
        <w:t>A</w:t>
      </w:r>
      <w:r>
        <w:t xml:space="preserve"> clear description of the goal and scope, </w:t>
      </w:r>
      <w:r w:rsidR="00B95F57">
        <w:t>including a</w:t>
      </w:r>
      <w:r>
        <w:t xml:space="preserve"> </w:t>
      </w:r>
      <w:r>
        <w:lastRenderedPageBreak/>
        <w:t xml:space="preserve">description of the </w:t>
      </w:r>
      <w:r w:rsidR="00724C30">
        <w:t>anticipated risks that are considered within the study</w:t>
      </w:r>
      <w:r>
        <w:t xml:space="preserve"> will help the readers of a study to evaluate whether a study fits their perception on criticality and to identify which studies are comparable. </w:t>
      </w:r>
      <w:r w:rsidR="00F80AF8">
        <w:t xml:space="preserve">Researchers should </w:t>
      </w:r>
      <w:r w:rsidR="00ED7A13">
        <w:t>develop an increased understanding of the cause-and-effect mechanisms</w:t>
      </w:r>
      <w:r w:rsidR="007B3F64">
        <w:t xml:space="preserve"> that </w:t>
      </w:r>
      <w:r w:rsidR="00DD2456">
        <w:t>link anticipated risk factors to concrete indicators</w:t>
      </w:r>
      <w:r w:rsidR="004C6489" w:rsidRPr="00461A6A">
        <w:rPr>
          <w:highlight w:val="yellow"/>
        </w:rPr>
        <w:t>, possibly with the application of the resilience concept</w:t>
      </w:r>
      <w:r w:rsidR="00DD2456">
        <w:t xml:space="preserve">. </w:t>
      </w:r>
      <w:r>
        <w:t xml:space="preserve">This </w:t>
      </w:r>
      <w:r w:rsidR="004D16C5">
        <w:t>could also</w:t>
      </w:r>
      <w:r>
        <w:t xml:space="preserve"> aid in developing aggregation methods that contribute to a meaningful determination of risk</w:t>
      </w:r>
      <w:r w:rsidRPr="000A17C1">
        <w:t xml:space="preserve">. </w:t>
      </w:r>
      <w:r>
        <w:t xml:space="preserve">Furthermore, it would be interesting to evaluate whether </w:t>
      </w:r>
      <w:r w:rsidR="00C86992">
        <w:t>risk scenarios</w:t>
      </w:r>
      <w:r>
        <w:t xml:space="preserve"> exist that are currently underrepresented by criticality assessments, such as the risks of negative demand </w:t>
      </w:r>
      <w:r w:rsidR="00F40877" w:rsidRPr="00461A6A">
        <w:rPr>
          <w:highlight w:val="yellow"/>
        </w:rPr>
        <w:t>changes</w:t>
      </w:r>
      <w:r w:rsidR="009003FD">
        <w:t xml:space="preserve"> </w:t>
      </w:r>
      <w:r>
        <w:t xml:space="preserve">(i.e. demand drops). </w:t>
      </w:r>
      <w:r w:rsidR="00FE5AD5">
        <w:t xml:space="preserve">Communication on critical raw materials should be more transparent regarding the used methodology, data sources, and </w:t>
      </w:r>
      <w:r w:rsidR="00702E46">
        <w:t xml:space="preserve">uncertainty ranges, especially when criticality determinations have consequences </w:t>
      </w:r>
      <w:r w:rsidR="00450E07">
        <w:t xml:space="preserve">on </w:t>
      </w:r>
      <w:r w:rsidR="00F97D00">
        <w:t xml:space="preserve">public decision-making. </w:t>
      </w:r>
    </w:p>
    <w:p w14:paraId="28675D6B" w14:textId="4E00DA6D" w:rsidR="00942C18" w:rsidRDefault="00155C6D" w:rsidP="00950DDA">
      <w:pPr>
        <w:spacing w:line="480" w:lineRule="auto"/>
        <w:jc w:val="both"/>
      </w:pPr>
      <w:r>
        <w:t xml:space="preserve">Increased </w:t>
      </w:r>
      <w:r w:rsidRPr="00226F1A">
        <w:t>understanding on the relevance of indicators for different goals and scopes can stimulate more efficient data collection.</w:t>
      </w:r>
      <w:r w:rsidR="00BE11D0" w:rsidRPr="00226F1A">
        <w:t xml:space="preserve"> </w:t>
      </w:r>
      <w:r w:rsidR="004D16C5" w:rsidRPr="00226F1A">
        <w:t xml:space="preserve">With judicious assumptions, it might for some cases be possible to establish order-of-magnitude estimates. While this is not as rigorous as a validated model with full data access, these types of analyses can be used in an initial round of screening to create the basis for further investigation. </w:t>
      </w:r>
      <w:r w:rsidR="00232FD0">
        <w:t>The results of our study also</w:t>
      </w:r>
      <w:r w:rsidRPr="00226F1A">
        <w:t xml:space="preserve"> highlight the value of expert judgment both as a source of data as well as in interpreting publicly available data sources. </w:t>
      </w:r>
      <w:r w:rsidR="00073DD1" w:rsidRPr="00226F1A">
        <w:t>Further efforts should be put in the</w:t>
      </w:r>
      <w:r w:rsidR="007842E1" w:rsidRPr="00226F1A">
        <w:t xml:space="preserve"> identification of best practices regarding data sources, (proxy) indicator</w:t>
      </w:r>
      <w:r w:rsidR="00710F3F" w:rsidRPr="00226F1A">
        <w:t xml:space="preserve"> selection, aggregation met</w:t>
      </w:r>
      <w:r w:rsidR="00CD3240" w:rsidRPr="00226F1A">
        <w:t>hods</w:t>
      </w:r>
      <w:r w:rsidR="00D3137A" w:rsidRPr="00226F1A">
        <w:t xml:space="preserve">, and presentation and communication formats. </w:t>
      </w:r>
      <w:r w:rsidR="00212EA4" w:rsidRPr="00226F1A">
        <w:t>In this regard, the rise of machine learning and big data offers an interesting opportunity, as this information</w:t>
      </w:r>
      <w:r w:rsidR="009822A0" w:rsidRPr="00226F1A">
        <w:t xml:space="preserve"> </w:t>
      </w:r>
      <w:r w:rsidR="00212EA4" w:rsidRPr="00226F1A">
        <w:t>might allow criticality assessments to become more dynamic and comprehensive. Recent advances in data science may also offer new ways to collect data</w:t>
      </w:r>
      <w:r w:rsidR="00865DA9" w:rsidRPr="00226F1A">
        <w:t xml:space="preserve">, </w:t>
      </w:r>
      <w:r w:rsidR="009F56E6" w:rsidRPr="00226F1A">
        <w:t xml:space="preserve">e.g. </w:t>
      </w:r>
      <w:r w:rsidR="00212EA4" w:rsidRPr="00226F1A">
        <w:t xml:space="preserve">the concept of differential privacy is gaining traction among business users </w:t>
      </w:r>
      <w:r w:rsidR="009F56E6" w:rsidRPr="00226F1A">
        <w:t>to</w:t>
      </w:r>
      <w:r w:rsidR="00212EA4" w:rsidRPr="00226F1A">
        <w:t xml:space="preserve"> </w:t>
      </w:r>
      <w:r w:rsidR="009F56E6" w:rsidRPr="00226F1A">
        <w:t>share</w:t>
      </w:r>
      <w:r w:rsidR="00212EA4" w:rsidRPr="00226F1A">
        <w:t xml:space="preserve"> information while maintaining a degree of privacy</w:t>
      </w:r>
      <w:r w:rsidR="00232FD0">
        <w:t xml:space="preserve">. </w:t>
      </w:r>
      <w:r w:rsidR="00A36E5A" w:rsidRPr="00226F1A">
        <w:t>This area merits fu</w:t>
      </w:r>
      <w:r w:rsidR="00860AF1" w:rsidRPr="00226F1A">
        <w:t>rther exploration for the enhancement of criticality assessments.</w:t>
      </w:r>
      <w:r w:rsidR="0053713C" w:rsidRPr="00226F1A">
        <w:t xml:space="preserve"> </w:t>
      </w:r>
    </w:p>
    <w:p w14:paraId="572A46A7" w14:textId="183F37C3" w:rsidR="00155C6D" w:rsidRDefault="00BB6143" w:rsidP="00950DDA">
      <w:pPr>
        <w:spacing w:line="480" w:lineRule="auto"/>
        <w:jc w:val="both"/>
      </w:pPr>
      <w:r>
        <w:lastRenderedPageBreak/>
        <w:t xml:space="preserve">Stakeholders interested in the evaluation of </w:t>
      </w:r>
      <w:r w:rsidR="004E7FF4">
        <w:t xml:space="preserve">raw material criticality </w:t>
      </w:r>
      <w:r w:rsidR="006B26DC">
        <w:t>would further benefit from</w:t>
      </w:r>
      <w:r w:rsidR="0032003E">
        <w:t xml:space="preserve"> </w:t>
      </w:r>
      <w:r w:rsidR="002B50F1">
        <w:t xml:space="preserve">the availability of </w:t>
      </w:r>
      <w:r w:rsidR="0032003E">
        <w:t xml:space="preserve">clear guidance in </w:t>
      </w:r>
      <w:r w:rsidR="002B50F1">
        <w:t xml:space="preserve">the </w:t>
      </w:r>
      <w:r w:rsidR="00E7308B">
        <w:t xml:space="preserve">formulation of their </w:t>
      </w:r>
      <w:r w:rsidR="000705C9">
        <w:t xml:space="preserve">goals and scopes, </w:t>
      </w:r>
      <w:r w:rsidR="00DB5FCD">
        <w:t xml:space="preserve">the </w:t>
      </w:r>
      <w:r w:rsidR="006D3AEF">
        <w:t>selection of potentially useful indicators and aggregation methods, and the interpretation of the outcomes</w:t>
      </w:r>
      <w:r w:rsidR="00896995">
        <w:t>.</w:t>
      </w:r>
      <w:r w:rsidR="006B26DC">
        <w:t xml:space="preserve"> </w:t>
      </w:r>
      <w:r w:rsidR="00155C6D">
        <w:t xml:space="preserve">Such </w:t>
      </w:r>
      <w:r w:rsidR="00896995">
        <w:t>guidance</w:t>
      </w:r>
      <w:r w:rsidR="00155C6D">
        <w:t xml:space="preserve"> could be a first step in </w:t>
      </w:r>
      <w:r w:rsidR="00827CF9">
        <w:t>improving the quality of criticality assessments, and fostering</w:t>
      </w:r>
      <w:r w:rsidR="00155C6D">
        <w:t xml:space="preserve"> </w:t>
      </w:r>
      <w:r w:rsidR="00827CF9">
        <w:t xml:space="preserve">more </w:t>
      </w:r>
      <w:r w:rsidR="00496788">
        <w:t>standardiz</w:t>
      </w:r>
      <w:r w:rsidR="00827CF9">
        <w:t>ed</w:t>
      </w:r>
      <w:r w:rsidR="00496788">
        <w:t xml:space="preserve"> </w:t>
      </w:r>
      <w:r w:rsidR="00827CF9">
        <w:t>approaches.</w:t>
      </w:r>
      <w:r w:rsidR="0020126A">
        <w:t xml:space="preserve"> </w:t>
      </w:r>
    </w:p>
    <w:p w14:paraId="24AAEC1B" w14:textId="4C30822D" w:rsidR="00FB73F1" w:rsidRDefault="00FB73F1" w:rsidP="004D088B">
      <w:pPr>
        <w:spacing w:line="480" w:lineRule="auto"/>
      </w:pPr>
    </w:p>
    <w:p w14:paraId="7BFEE54A" w14:textId="37C6E67D" w:rsidR="00FB73F1" w:rsidRDefault="00FB73F1" w:rsidP="00DB7D1C">
      <w:pPr>
        <w:pStyle w:val="Heading2"/>
        <w:spacing w:line="480" w:lineRule="auto"/>
      </w:pPr>
      <w:bookmarkStart w:id="62" w:name="_Toc19016234"/>
      <w:r>
        <w:t>Acknowledgements</w:t>
      </w:r>
      <w:bookmarkEnd w:id="62"/>
    </w:p>
    <w:p w14:paraId="22AE8A9F" w14:textId="2A806A73" w:rsidR="00FB73F1" w:rsidRPr="00C76C95" w:rsidRDefault="00950DDA" w:rsidP="00D969A6">
      <w:pPr>
        <w:spacing w:line="480" w:lineRule="auto"/>
      </w:pPr>
      <w:r w:rsidRPr="00D969A6">
        <w:t xml:space="preserve">The IRTC project has received funding from the EIT </w:t>
      </w:r>
      <w:proofErr w:type="spellStart"/>
      <w:r w:rsidRPr="00D969A6">
        <w:t>RawMaterials</w:t>
      </w:r>
      <w:proofErr w:type="spellEnd"/>
      <w:r w:rsidRPr="00D969A6">
        <w:t xml:space="preserve">, supported by the Institute of Innovation and Technology (EIT), a body of the European Union, under the Horizon 2020, the EU Framework </w:t>
      </w:r>
      <w:proofErr w:type="spellStart"/>
      <w:r w:rsidRPr="00D969A6">
        <w:t>Programme</w:t>
      </w:r>
      <w:proofErr w:type="spellEnd"/>
      <w:r w:rsidRPr="00D969A6">
        <w:t xml:space="preserve"> for Research and Innovation. </w:t>
      </w:r>
      <w:r>
        <w:t xml:space="preserve"> </w:t>
      </w:r>
      <w:r w:rsidR="00FB73F1" w:rsidRPr="00D969A6">
        <w:t xml:space="preserve">The authors would like to thank Vanessa Bach, </w:t>
      </w:r>
      <w:r w:rsidR="00AC6DD3" w:rsidRPr="00B4107A">
        <w:rPr>
          <w:highlight w:val="yellow"/>
        </w:rPr>
        <w:t xml:space="preserve">Ton </w:t>
      </w:r>
      <w:proofErr w:type="spellStart"/>
      <w:r w:rsidR="00AC6DD3" w:rsidRPr="00B4107A">
        <w:rPr>
          <w:highlight w:val="yellow"/>
        </w:rPr>
        <w:t>Bastein</w:t>
      </w:r>
      <w:proofErr w:type="spellEnd"/>
      <w:r w:rsidR="00AC6DD3" w:rsidRPr="00B4107A">
        <w:rPr>
          <w:highlight w:val="yellow"/>
        </w:rPr>
        <w:t xml:space="preserve">, </w:t>
      </w:r>
      <w:r w:rsidR="003C0342" w:rsidRPr="00B4107A">
        <w:rPr>
          <w:highlight w:val="yellow"/>
        </w:rPr>
        <w:t xml:space="preserve">Britta </w:t>
      </w:r>
      <w:proofErr w:type="spellStart"/>
      <w:r w:rsidR="003C0342" w:rsidRPr="00B4107A">
        <w:rPr>
          <w:highlight w:val="yellow"/>
        </w:rPr>
        <w:t>Bookhagen</w:t>
      </w:r>
      <w:proofErr w:type="spellEnd"/>
      <w:r w:rsidR="003C0342" w:rsidRPr="00B4107A">
        <w:rPr>
          <w:highlight w:val="yellow"/>
        </w:rPr>
        <w:t>,</w:t>
      </w:r>
      <w:r w:rsidR="003C0342">
        <w:t xml:space="preserve"> </w:t>
      </w:r>
      <w:r w:rsidR="00FB73F1" w:rsidRPr="00D969A6">
        <w:t xml:space="preserve">Hiroki Hatayama, Alan Hurd, </w:t>
      </w:r>
      <w:proofErr w:type="spellStart"/>
      <w:r w:rsidR="004043BF" w:rsidRPr="00B4107A">
        <w:rPr>
          <w:highlight w:val="yellow"/>
        </w:rPr>
        <w:t>Risto</w:t>
      </w:r>
      <w:proofErr w:type="spellEnd"/>
      <w:r w:rsidR="004043BF" w:rsidRPr="00B4107A">
        <w:rPr>
          <w:highlight w:val="yellow"/>
        </w:rPr>
        <w:t xml:space="preserve"> Krebs</w:t>
      </w:r>
      <w:r w:rsidR="004043BF">
        <w:t xml:space="preserve">, </w:t>
      </w:r>
      <w:r w:rsidR="00FB73F1" w:rsidRPr="00D969A6">
        <w:t xml:space="preserve">Gavin Mudd, </w:t>
      </w:r>
      <w:proofErr w:type="spellStart"/>
      <w:r w:rsidR="00FB73F1" w:rsidRPr="00D969A6">
        <w:t>Nedal</w:t>
      </w:r>
      <w:proofErr w:type="spellEnd"/>
      <w:r w:rsidR="00FB73F1" w:rsidRPr="00D969A6">
        <w:t xml:space="preserve"> Nassar, Tanya </w:t>
      </w:r>
      <w:proofErr w:type="spellStart"/>
      <w:r w:rsidR="00FB73F1" w:rsidRPr="00D969A6">
        <w:t>Tsui</w:t>
      </w:r>
      <w:proofErr w:type="spellEnd"/>
      <w:r w:rsidR="00FB73F1" w:rsidRPr="00D969A6">
        <w:t>,</w:t>
      </w:r>
      <w:r w:rsidR="000248D5" w:rsidRPr="00D969A6">
        <w:t xml:space="preserve"> and</w:t>
      </w:r>
      <w:r w:rsidR="00FB73F1" w:rsidRPr="00D969A6">
        <w:t xml:space="preserve"> Alicia Valero</w:t>
      </w:r>
      <w:r w:rsidR="000248D5" w:rsidRPr="00D969A6">
        <w:t xml:space="preserve"> for contributing to the </w:t>
      </w:r>
      <w:r w:rsidR="001F2D09">
        <w:t xml:space="preserve">Criticality Library (SI-A) and the </w:t>
      </w:r>
      <w:r w:rsidR="000248D5" w:rsidRPr="00D969A6">
        <w:t xml:space="preserve">Goal and Scope table (SI-B). Furthermore, we thank René Kleijn, Ester van der </w:t>
      </w:r>
      <w:proofErr w:type="spellStart"/>
      <w:r w:rsidR="000248D5" w:rsidRPr="00D969A6">
        <w:t>Voet</w:t>
      </w:r>
      <w:proofErr w:type="spellEnd"/>
      <w:r w:rsidR="000248D5" w:rsidRPr="00D969A6">
        <w:t>, and Steven Young for their contributions to the initial scoping of the paper</w:t>
      </w:r>
      <w:r w:rsidR="00D2419D" w:rsidRPr="00D969A6">
        <w:t xml:space="preserve">, </w:t>
      </w:r>
      <w:r>
        <w:t xml:space="preserve">Ton </w:t>
      </w:r>
      <w:proofErr w:type="spellStart"/>
      <w:r>
        <w:t>Bastein</w:t>
      </w:r>
      <w:proofErr w:type="spellEnd"/>
      <w:r w:rsidR="00232FD0">
        <w:t>,</w:t>
      </w:r>
      <w:r>
        <w:t xml:space="preserve"> Julian Hilton</w:t>
      </w:r>
      <w:r w:rsidR="00EA45E3">
        <w:t xml:space="preserve">, </w:t>
      </w:r>
      <w:r w:rsidR="00232FD0">
        <w:t xml:space="preserve">Dominique </w:t>
      </w:r>
      <w:proofErr w:type="spellStart"/>
      <w:r w:rsidR="00232FD0">
        <w:t>Guyonnet</w:t>
      </w:r>
      <w:proofErr w:type="spellEnd"/>
      <w:r w:rsidR="00EA45E3">
        <w:t>, and the two anonymous reviewers</w:t>
      </w:r>
      <w:r w:rsidR="00232FD0">
        <w:t xml:space="preserve"> </w:t>
      </w:r>
      <w:r>
        <w:t xml:space="preserve">for their comments, </w:t>
      </w:r>
      <w:r w:rsidR="00D2419D" w:rsidRPr="00C76C95">
        <w:t xml:space="preserve">and Tom </w:t>
      </w:r>
      <w:proofErr w:type="spellStart"/>
      <w:r w:rsidR="00D2419D" w:rsidRPr="00C76C95">
        <w:t>Graedel</w:t>
      </w:r>
      <w:proofErr w:type="spellEnd"/>
      <w:r w:rsidR="00D2419D" w:rsidRPr="00C76C95">
        <w:t xml:space="preserve"> for his contributions to the discussion</w:t>
      </w:r>
      <w:r w:rsidR="000248D5" w:rsidRPr="00C76C95">
        <w:t>.</w:t>
      </w:r>
    </w:p>
    <w:p w14:paraId="6B285B7D" w14:textId="77777777" w:rsidR="00AE56AD" w:rsidRPr="00AE56AD" w:rsidRDefault="00AE56AD" w:rsidP="00950DDA">
      <w:pPr>
        <w:spacing w:line="480" w:lineRule="auto"/>
        <w:jc w:val="both"/>
        <w:rPr>
          <w:color w:val="000000" w:themeColor="text1"/>
        </w:rPr>
      </w:pPr>
    </w:p>
    <w:p w14:paraId="38E68E55" w14:textId="46DBABE4" w:rsidR="005131B9" w:rsidRDefault="005131B9" w:rsidP="00950DDA">
      <w:pPr>
        <w:pStyle w:val="Heading2"/>
        <w:spacing w:line="480" w:lineRule="auto"/>
      </w:pPr>
      <w:bookmarkStart w:id="63" w:name="_Toc415758578"/>
      <w:bookmarkStart w:id="64" w:name="_Toc10458671"/>
      <w:bookmarkStart w:id="65" w:name="_Toc19016235"/>
      <w:r>
        <w:t>Supplementary Information</w:t>
      </w:r>
      <w:bookmarkEnd w:id="63"/>
      <w:bookmarkEnd w:id="64"/>
      <w:bookmarkEnd w:id="65"/>
    </w:p>
    <w:p w14:paraId="7FEF34F5" w14:textId="77777777" w:rsidR="005131B9" w:rsidRPr="000248D5" w:rsidRDefault="005131B9" w:rsidP="004D088B">
      <w:pPr>
        <w:pStyle w:val="ListParagraph"/>
        <w:numPr>
          <w:ilvl w:val="0"/>
          <w:numId w:val="3"/>
        </w:numPr>
        <w:spacing w:line="480" w:lineRule="auto"/>
      </w:pPr>
      <w:r w:rsidRPr="000248D5">
        <w:t>Criticality Library</w:t>
      </w:r>
    </w:p>
    <w:p w14:paraId="16CF924B" w14:textId="77777777" w:rsidR="005131B9" w:rsidRDefault="005131B9" w:rsidP="00DB7D1C">
      <w:pPr>
        <w:pStyle w:val="ListParagraph"/>
        <w:numPr>
          <w:ilvl w:val="0"/>
          <w:numId w:val="3"/>
        </w:numPr>
        <w:spacing w:line="480" w:lineRule="auto"/>
      </w:pPr>
      <w:r>
        <w:t>Goal and scope definitions of methods</w:t>
      </w:r>
    </w:p>
    <w:p w14:paraId="342C0151" w14:textId="6DA32304" w:rsidR="005131B9" w:rsidRDefault="005131B9" w:rsidP="00863B14">
      <w:pPr>
        <w:pStyle w:val="ListParagraph"/>
        <w:numPr>
          <w:ilvl w:val="0"/>
          <w:numId w:val="3"/>
        </w:numPr>
        <w:spacing w:line="480" w:lineRule="auto"/>
      </w:pPr>
      <w:r>
        <w:t>Summary of the Round Table</w:t>
      </w:r>
      <w:r w:rsidR="00251BC9">
        <w:t xml:space="preserve"> in Vancouver, June 17, 2018</w:t>
      </w:r>
    </w:p>
    <w:p w14:paraId="629205F8" w14:textId="0404F245" w:rsidR="00BA0449" w:rsidRDefault="00BA0449" w:rsidP="00863B14">
      <w:pPr>
        <w:pStyle w:val="ListParagraph"/>
        <w:numPr>
          <w:ilvl w:val="0"/>
          <w:numId w:val="3"/>
        </w:numPr>
        <w:spacing w:line="480" w:lineRule="auto"/>
      </w:pPr>
      <w:r>
        <w:lastRenderedPageBreak/>
        <w:t xml:space="preserve">Additional </w:t>
      </w:r>
      <w:r w:rsidR="004E1D37">
        <w:t xml:space="preserve">information and discussion on the research method, indicator selection, environmental and social factors, lacking data, limitations of </w:t>
      </w:r>
      <w:r w:rsidR="00A44DF7">
        <w:t>available data, and aggregation methods</w:t>
      </w:r>
    </w:p>
    <w:p w14:paraId="59B26381" w14:textId="1BB275E9" w:rsidR="005131B9" w:rsidRPr="00226F1A" w:rsidRDefault="005131B9" w:rsidP="00863B14">
      <w:pPr>
        <w:pStyle w:val="Heading2"/>
        <w:spacing w:line="480" w:lineRule="auto"/>
      </w:pPr>
      <w:bookmarkStart w:id="66" w:name="_Toc415758579"/>
      <w:bookmarkStart w:id="67" w:name="_Toc10458672"/>
      <w:bookmarkStart w:id="68" w:name="_Toc19016236"/>
      <w:r w:rsidRPr="00226F1A">
        <w:t>References</w:t>
      </w:r>
      <w:bookmarkEnd w:id="66"/>
      <w:bookmarkEnd w:id="67"/>
      <w:bookmarkEnd w:id="68"/>
    </w:p>
    <w:p w14:paraId="5EFAAB37" w14:textId="389E999B" w:rsidR="00D763C3" w:rsidRPr="008B2713" w:rsidRDefault="005131B9" w:rsidP="00D763C3">
      <w:pPr>
        <w:widowControl w:val="0"/>
        <w:autoSpaceDE w:val="0"/>
        <w:autoSpaceDN w:val="0"/>
        <w:adjustRightInd w:val="0"/>
        <w:spacing w:line="480" w:lineRule="auto"/>
        <w:ind w:left="480" w:hanging="480"/>
        <w:rPr>
          <w:rFonts w:ascii="Calibri" w:hAnsi="Calibri" w:cs="Calibri"/>
          <w:noProof/>
          <w:lang w:val="de-CH"/>
        </w:rPr>
      </w:pPr>
      <w:r>
        <w:fldChar w:fldCharType="begin" w:fldLock="1"/>
      </w:r>
      <w:r w:rsidR="00EC165B">
        <w:instrText>ADDIN</w:instrText>
      </w:r>
      <w:r>
        <w:instrText xml:space="preserve"> Mendeley Bibliography CSL_BIBLIOGRAPHY </w:instrText>
      </w:r>
      <w:r>
        <w:fldChar w:fldCharType="separate"/>
      </w:r>
      <w:r w:rsidR="00D763C3" w:rsidRPr="00D763C3">
        <w:rPr>
          <w:rFonts w:ascii="Calibri" w:hAnsi="Calibri" w:cs="Calibri"/>
          <w:noProof/>
        </w:rPr>
        <w:t xml:space="preserve">Achzet, B., Helbig, C., 2013. How to evaluate raw material supply risks-an overview. </w:t>
      </w:r>
      <w:r w:rsidR="00D763C3" w:rsidRPr="00461A6A">
        <w:rPr>
          <w:rFonts w:ascii="Calibri" w:hAnsi="Calibri" w:cs="Calibri"/>
          <w:noProof/>
          <w:lang w:val="nl-NL"/>
        </w:rPr>
        <w:t xml:space="preserve">Resour. </w:t>
      </w:r>
      <w:r w:rsidR="00D763C3" w:rsidRPr="008B2713">
        <w:rPr>
          <w:rFonts w:ascii="Calibri" w:hAnsi="Calibri" w:cs="Calibri"/>
          <w:noProof/>
          <w:lang w:val="de-CH"/>
        </w:rPr>
        <w:t>Policy 38, 435–447. https://doi.org/10.1016/j.resourpol.2013.06.003</w:t>
      </w:r>
    </w:p>
    <w:p w14:paraId="5187425C" w14:textId="77777777" w:rsidR="00D763C3" w:rsidRPr="00D763C3" w:rsidRDefault="00D763C3" w:rsidP="00D763C3">
      <w:pPr>
        <w:widowControl w:val="0"/>
        <w:autoSpaceDE w:val="0"/>
        <w:autoSpaceDN w:val="0"/>
        <w:adjustRightInd w:val="0"/>
        <w:spacing w:line="480" w:lineRule="auto"/>
        <w:ind w:left="480" w:hanging="480"/>
        <w:rPr>
          <w:rFonts w:ascii="Calibri" w:hAnsi="Calibri" w:cs="Calibri"/>
          <w:noProof/>
        </w:rPr>
      </w:pPr>
      <w:r w:rsidRPr="008B2713">
        <w:rPr>
          <w:rFonts w:ascii="Calibri" w:hAnsi="Calibri" w:cs="Calibri"/>
          <w:noProof/>
          <w:lang w:val="de-CH"/>
        </w:rPr>
        <w:t xml:space="preserve">Angerer, G., Marscheider-Weidemann, F., Lüllmann, A., Scharp, M., Handke, V., Marwede, M., 2009. </w:t>
      </w:r>
      <w:r w:rsidRPr="00D763C3">
        <w:rPr>
          <w:rFonts w:ascii="Calibri" w:hAnsi="Calibri" w:cs="Calibri"/>
          <w:noProof/>
        </w:rPr>
        <w:t>Raw materials for emerging technologies 1–15.</w:t>
      </w:r>
    </w:p>
    <w:p w14:paraId="4D09940B" w14:textId="77777777" w:rsidR="00D763C3" w:rsidRPr="008B2713" w:rsidRDefault="00D763C3" w:rsidP="00D763C3">
      <w:pPr>
        <w:widowControl w:val="0"/>
        <w:autoSpaceDE w:val="0"/>
        <w:autoSpaceDN w:val="0"/>
        <w:adjustRightInd w:val="0"/>
        <w:spacing w:line="480" w:lineRule="auto"/>
        <w:ind w:left="480" w:hanging="480"/>
        <w:rPr>
          <w:rFonts w:ascii="Calibri" w:hAnsi="Calibri" w:cs="Calibri"/>
          <w:noProof/>
          <w:lang w:val="de-CH"/>
        </w:rPr>
      </w:pPr>
      <w:r w:rsidRPr="00D763C3">
        <w:rPr>
          <w:rFonts w:ascii="Calibri" w:hAnsi="Calibri" w:cs="Calibri"/>
          <w:noProof/>
        </w:rPr>
        <w:t xml:space="preserve">Ashby, M.F., 2016. Materials and Sustainable Development. </w:t>
      </w:r>
      <w:r w:rsidRPr="008B2713">
        <w:rPr>
          <w:rFonts w:ascii="Calibri" w:hAnsi="Calibri" w:cs="Calibri"/>
          <w:noProof/>
          <w:lang w:val="de-CH"/>
        </w:rPr>
        <w:t>Butterworth-Heinemann Ltd. https://doi.org/https://doi.org/10.1016/C2014-0-01670-X</w:t>
      </w:r>
    </w:p>
    <w:p w14:paraId="038154EC" w14:textId="77777777" w:rsidR="00D763C3" w:rsidRPr="008B2713" w:rsidRDefault="00D763C3" w:rsidP="00D763C3">
      <w:pPr>
        <w:widowControl w:val="0"/>
        <w:autoSpaceDE w:val="0"/>
        <w:autoSpaceDN w:val="0"/>
        <w:adjustRightInd w:val="0"/>
        <w:spacing w:line="480" w:lineRule="auto"/>
        <w:ind w:left="480" w:hanging="480"/>
        <w:rPr>
          <w:rFonts w:ascii="Calibri" w:hAnsi="Calibri" w:cs="Calibri"/>
          <w:noProof/>
          <w:lang w:val="de-CH"/>
        </w:rPr>
      </w:pPr>
      <w:r w:rsidRPr="00D763C3">
        <w:rPr>
          <w:rFonts w:ascii="Calibri" w:hAnsi="Calibri" w:cs="Calibri"/>
          <w:noProof/>
        </w:rPr>
        <w:t xml:space="preserve">Ashby, M.F., 2013. Materials and the Environment - Eco-Informed Material Choice, 2nd editio. ed. </w:t>
      </w:r>
      <w:r w:rsidRPr="008B2713">
        <w:rPr>
          <w:rFonts w:ascii="Calibri" w:hAnsi="Calibri" w:cs="Calibri"/>
          <w:noProof/>
          <w:lang w:val="de-CH"/>
        </w:rPr>
        <w:t>Butterworth-Heinemann.</w:t>
      </w:r>
    </w:p>
    <w:p w14:paraId="13A39CEE" w14:textId="77777777" w:rsidR="00D763C3" w:rsidRPr="008B2713" w:rsidRDefault="00D763C3" w:rsidP="00D763C3">
      <w:pPr>
        <w:widowControl w:val="0"/>
        <w:autoSpaceDE w:val="0"/>
        <w:autoSpaceDN w:val="0"/>
        <w:adjustRightInd w:val="0"/>
        <w:spacing w:line="480" w:lineRule="auto"/>
        <w:ind w:left="480" w:hanging="480"/>
        <w:rPr>
          <w:rFonts w:ascii="Calibri" w:hAnsi="Calibri" w:cs="Calibri"/>
          <w:noProof/>
          <w:lang w:val="de-CH"/>
        </w:rPr>
      </w:pPr>
      <w:r w:rsidRPr="008B2713">
        <w:rPr>
          <w:rFonts w:ascii="Calibri" w:hAnsi="Calibri" w:cs="Calibri"/>
          <w:noProof/>
          <w:lang w:val="de-CH"/>
        </w:rPr>
        <w:t xml:space="preserve">Bach, V., Berger, M., Finogenova, N., Finkbeiner, M., 2017a. </w:t>
      </w:r>
      <w:r w:rsidRPr="00D763C3">
        <w:rPr>
          <w:rFonts w:ascii="Calibri" w:hAnsi="Calibri" w:cs="Calibri"/>
          <w:noProof/>
        </w:rPr>
        <w:t xml:space="preserve">Assessing the availability of terrestrial Biotic Materials in Product Systems (BIRD). </w:t>
      </w:r>
      <w:r w:rsidRPr="008B2713">
        <w:rPr>
          <w:rFonts w:ascii="Calibri" w:hAnsi="Calibri" w:cs="Calibri"/>
          <w:noProof/>
          <w:lang w:val="de-CH"/>
        </w:rPr>
        <w:t>Sustain. 9. https://doi.org/10.3390/su9010137</w:t>
      </w:r>
    </w:p>
    <w:p w14:paraId="06C81CF9" w14:textId="77777777" w:rsidR="00D763C3" w:rsidRPr="00D763C3" w:rsidRDefault="00D763C3" w:rsidP="00D763C3">
      <w:pPr>
        <w:widowControl w:val="0"/>
        <w:autoSpaceDE w:val="0"/>
        <w:autoSpaceDN w:val="0"/>
        <w:adjustRightInd w:val="0"/>
        <w:spacing w:line="480" w:lineRule="auto"/>
        <w:ind w:left="480" w:hanging="480"/>
        <w:rPr>
          <w:rFonts w:ascii="Calibri" w:hAnsi="Calibri" w:cs="Calibri"/>
          <w:noProof/>
        </w:rPr>
      </w:pPr>
      <w:r w:rsidRPr="008B2713">
        <w:rPr>
          <w:rFonts w:ascii="Calibri" w:hAnsi="Calibri" w:cs="Calibri"/>
          <w:noProof/>
          <w:lang w:val="de-CH"/>
        </w:rPr>
        <w:t xml:space="preserve">Bach, V., Berger, M., Henßler, M., Kirchner, M., Leiser, S., Mohr, L., Rother, E., Ruhland, K., Schneider, L., Tikana, L., Volkhausen, W., Walachowicz, F., Finkbeiner, M., 2016. </w:t>
      </w:r>
      <w:r w:rsidRPr="00D763C3">
        <w:rPr>
          <w:rFonts w:ascii="Calibri" w:hAnsi="Calibri" w:cs="Calibri"/>
          <w:noProof/>
        </w:rPr>
        <w:t>Integrated method to assess resource efficiency – ESSENZ. J. Clean. Prod. 137, 118–130. https://doi.org/10.1016/j.jclepro.2016.07.077</w:t>
      </w:r>
    </w:p>
    <w:p w14:paraId="460C2D03" w14:textId="77777777" w:rsidR="00D763C3" w:rsidRPr="00D763C3" w:rsidRDefault="00D763C3" w:rsidP="00D763C3">
      <w:pPr>
        <w:widowControl w:val="0"/>
        <w:autoSpaceDE w:val="0"/>
        <w:autoSpaceDN w:val="0"/>
        <w:adjustRightInd w:val="0"/>
        <w:spacing w:line="480" w:lineRule="auto"/>
        <w:ind w:left="480" w:hanging="480"/>
        <w:rPr>
          <w:rFonts w:ascii="Calibri" w:hAnsi="Calibri" w:cs="Calibri"/>
          <w:noProof/>
        </w:rPr>
      </w:pPr>
      <w:r w:rsidRPr="008B2713">
        <w:rPr>
          <w:rFonts w:ascii="Calibri" w:hAnsi="Calibri" w:cs="Calibri"/>
          <w:noProof/>
          <w:lang w:val="de-CH"/>
        </w:rPr>
        <w:t xml:space="preserve">Bach, V., Finogenova, N., Berger, M., Winter, L., Finkbeiner, M., 2017b. </w:t>
      </w:r>
      <w:r w:rsidRPr="00D763C3">
        <w:rPr>
          <w:rFonts w:ascii="Calibri" w:hAnsi="Calibri" w:cs="Calibri"/>
          <w:noProof/>
        </w:rPr>
        <w:t xml:space="preserve">Enhancing the assessment of critical resource use at the country level with the SCARCE method – Case study of Germany. Resour. Policy 53, 283–299. </w:t>
      </w:r>
      <w:r w:rsidRPr="00D763C3">
        <w:rPr>
          <w:rFonts w:ascii="Calibri" w:hAnsi="Calibri" w:cs="Calibri"/>
          <w:noProof/>
        </w:rPr>
        <w:lastRenderedPageBreak/>
        <w:t>https://doi.org/10.1016/j.resourpol.2017.07.003</w:t>
      </w:r>
    </w:p>
    <w:p w14:paraId="5C279A8A" w14:textId="77777777" w:rsidR="00D763C3" w:rsidRPr="00D763C3" w:rsidRDefault="00D763C3" w:rsidP="00D763C3">
      <w:pPr>
        <w:widowControl w:val="0"/>
        <w:autoSpaceDE w:val="0"/>
        <w:autoSpaceDN w:val="0"/>
        <w:adjustRightInd w:val="0"/>
        <w:spacing w:line="480" w:lineRule="auto"/>
        <w:ind w:left="480" w:hanging="480"/>
        <w:rPr>
          <w:rFonts w:ascii="Calibri" w:hAnsi="Calibri" w:cs="Calibri"/>
          <w:noProof/>
        </w:rPr>
      </w:pPr>
      <w:r w:rsidRPr="00D763C3">
        <w:rPr>
          <w:rFonts w:ascii="Calibri" w:hAnsi="Calibri" w:cs="Calibri"/>
          <w:noProof/>
        </w:rPr>
        <w:t>Bauer, D., Diamond, D., Li, J., Sandalow, D., Telleen, P., Wanner, B., 2010. US Department of Energy: Critical Materials Strategy, December 2010, Agenda. https://doi.org/10.2172/1000846</w:t>
      </w:r>
    </w:p>
    <w:p w14:paraId="766080CA" w14:textId="77777777" w:rsidR="00D763C3" w:rsidRPr="00D763C3" w:rsidRDefault="00D763C3" w:rsidP="00D763C3">
      <w:pPr>
        <w:widowControl w:val="0"/>
        <w:autoSpaceDE w:val="0"/>
        <w:autoSpaceDN w:val="0"/>
        <w:adjustRightInd w:val="0"/>
        <w:spacing w:line="480" w:lineRule="auto"/>
        <w:ind w:left="480" w:hanging="480"/>
        <w:rPr>
          <w:rFonts w:ascii="Calibri" w:hAnsi="Calibri" w:cs="Calibri"/>
          <w:noProof/>
        </w:rPr>
      </w:pPr>
      <w:r w:rsidRPr="00D763C3">
        <w:rPr>
          <w:rFonts w:ascii="Calibri" w:hAnsi="Calibri" w:cs="Calibri"/>
          <w:noProof/>
        </w:rPr>
        <w:t>BGS, 2015. Risk List 2015 - An update to the supply risk index for elements or element groups that are of economic value, British Geological Survey. https://doi.org/10.1017/CBO9781107415324.004</w:t>
      </w:r>
    </w:p>
    <w:p w14:paraId="6F39AB5C" w14:textId="77777777" w:rsidR="00D763C3" w:rsidRPr="00D763C3" w:rsidRDefault="00D763C3" w:rsidP="00D763C3">
      <w:pPr>
        <w:widowControl w:val="0"/>
        <w:autoSpaceDE w:val="0"/>
        <w:autoSpaceDN w:val="0"/>
        <w:adjustRightInd w:val="0"/>
        <w:spacing w:line="480" w:lineRule="auto"/>
        <w:ind w:left="480" w:hanging="480"/>
        <w:rPr>
          <w:rFonts w:ascii="Calibri" w:hAnsi="Calibri" w:cs="Calibri"/>
          <w:noProof/>
        </w:rPr>
      </w:pPr>
      <w:r w:rsidRPr="00D763C3">
        <w:rPr>
          <w:rFonts w:ascii="Calibri" w:hAnsi="Calibri" w:cs="Calibri"/>
          <w:noProof/>
        </w:rPr>
        <w:t>BGS, 2012. Risk List 2012, British Geological Survey.</w:t>
      </w:r>
    </w:p>
    <w:p w14:paraId="126FCA82" w14:textId="77777777" w:rsidR="00D763C3" w:rsidRPr="00D763C3" w:rsidRDefault="00D763C3" w:rsidP="00D763C3">
      <w:pPr>
        <w:widowControl w:val="0"/>
        <w:autoSpaceDE w:val="0"/>
        <w:autoSpaceDN w:val="0"/>
        <w:adjustRightInd w:val="0"/>
        <w:spacing w:line="480" w:lineRule="auto"/>
        <w:ind w:left="480" w:hanging="480"/>
        <w:rPr>
          <w:rFonts w:ascii="Calibri" w:hAnsi="Calibri" w:cs="Calibri"/>
          <w:noProof/>
        </w:rPr>
      </w:pPr>
      <w:r w:rsidRPr="00D763C3">
        <w:rPr>
          <w:rFonts w:ascii="Calibri" w:hAnsi="Calibri" w:cs="Calibri"/>
          <w:noProof/>
        </w:rPr>
        <w:t>BGS, 2011. Risk list 2011.</w:t>
      </w:r>
    </w:p>
    <w:p w14:paraId="65B887DC" w14:textId="77777777" w:rsidR="00D763C3" w:rsidRPr="00D763C3" w:rsidRDefault="00D763C3" w:rsidP="00D763C3">
      <w:pPr>
        <w:widowControl w:val="0"/>
        <w:autoSpaceDE w:val="0"/>
        <w:autoSpaceDN w:val="0"/>
        <w:adjustRightInd w:val="0"/>
        <w:spacing w:line="480" w:lineRule="auto"/>
        <w:ind w:left="480" w:hanging="480"/>
        <w:rPr>
          <w:rFonts w:ascii="Calibri" w:hAnsi="Calibri" w:cs="Calibri"/>
          <w:noProof/>
        </w:rPr>
      </w:pPr>
      <w:r w:rsidRPr="00D763C3">
        <w:rPr>
          <w:rFonts w:ascii="Calibri" w:hAnsi="Calibri" w:cs="Calibri"/>
          <w:noProof/>
        </w:rPr>
        <w:t>Blengini, G.A., Blagoeva, D., Dewulf, J., Others, A., 2017. Assessment of the Methodology for Establishing the EU List of Critical Raw Materials - Background report. https://doi.org/10.2760/73303</w:t>
      </w:r>
    </w:p>
    <w:p w14:paraId="7340EA52" w14:textId="77777777" w:rsidR="00D763C3" w:rsidRPr="00F91A31" w:rsidRDefault="00D763C3" w:rsidP="00D763C3">
      <w:pPr>
        <w:widowControl w:val="0"/>
        <w:autoSpaceDE w:val="0"/>
        <w:autoSpaceDN w:val="0"/>
        <w:adjustRightInd w:val="0"/>
        <w:spacing w:line="480" w:lineRule="auto"/>
        <w:ind w:left="480" w:hanging="480"/>
        <w:rPr>
          <w:rFonts w:ascii="Calibri" w:hAnsi="Calibri" w:cs="Calibri"/>
          <w:noProof/>
          <w:lang w:val="fr-FR"/>
        </w:rPr>
      </w:pPr>
      <w:r w:rsidRPr="00D763C3">
        <w:rPr>
          <w:rFonts w:ascii="Calibri" w:hAnsi="Calibri" w:cs="Calibri"/>
          <w:noProof/>
        </w:rPr>
        <w:t xml:space="preserve">Blengini, Gian Andrea, Nuss, P., Dewulf, J., Nita, V., Peirò, L.T., Vidal-Legaz, B., Latunussa, C., Mancini, L., Blagoeva, D., Pennington, D., Pellegrini, M., Van Maercke, A., Solar, S., Grohol, M., Ciupagea, C., 2017. EU methodology for critical raw materials assessment: Policy needs and proposed solutions for incremental improvements. </w:t>
      </w:r>
      <w:r w:rsidRPr="00F91A31">
        <w:rPr>
          <w:rFonts w:ascii="Calibri" w:hAnsi="Calibri" w:cs="Calibri"/>
          <w:noProof/>
          <w:lang w:val="fr-FR"/>
        </w:rPr>
        <w:t>Resour. Policy 53, 12–19. https://doi.org/10.1016/j.resourpol.2017.05.008</w:t>
      </w:r>
    </w:p>
    <w:p w14:paraId="1C6A3F1B" w14:textId="77777777" w:rsidR="00D763C3" w:rsidRPr="00D763C3" w:rsidRDefault="00D763C3" w:rsidP="00D763C3">
      <w:pPr>
        <w:widowControl w:val="0"/>
        <w:autoSpaceDE w:val="0"/>
        <w:autoSpaceDN w:val="0"/>
        <w:adjustRightInd w:val="0"/>
        <w:spacing w:line="480" w:lineRule="auto"/>
        <w:ind w:left="480" w:hanging="480"/>
        <w:rPr>
          <w:rFonts w:ascii="Calibri" w:hAnsi="Calibri" w:cs="Calibri"/>
          <w:noProof/>
        </w:rPr>
      </w:pPr>
      <w:r w:rsidRPr="00F91A31">
        <w:rPr>
          <w:rFonts w:ascii="Calibri" w:hAnsi="Calibri" w:cs="Calibri"/>
          <w:noProof/>
          <w:lang w:val="fr-FR"/>
        </w:rPr>
        <w:t xml:space="preserve">BRGM, 2018. Fiche de synthèse sur la criticité des métaux - Le zirconium [WWW Document]. </w:t>
      </w:r>
      <w:r w:rsidRPr="00D763C3">
        <w:rPr>
          <w:rFonts w:ascii="Calibri" w:hAnsi="Calibri" w:cs="Calibri"/>
          <w:noProof/>
        </w:rPr>
        <w:t>URL http://www.mineralinfo.fr/sites/default/files/upload/documents/Fiches_criticite/fichecriticitezr180702.pdf (accessed 6.19.19).</w:t>
      </w:r>
    </w:p>
    <w:p w14:paraId="3303B744" w14:textId="77777777" w:rsidR="00D763C3" w:rsidRPr="00F91A31" w:rsidRDefault="00D763C3" w:rsidP="00D763C3">
      <w:pPr>
        <w:widowControl w:val="0"/>
        <w:autoSpaceDE w:val="0"/>
        <w:autoSpaceDN w:val="0"/>
        <w:adjustRightInd w:val="0"/>
        <w:spacing w:line="480" w:lineRule="auto"/>
        <w:ind w:left="480" w:hanging="480"/>
        <w:rPr>
          <w:rFonts w:ascii="Calibri" w:hAnsi="Calibri" w:cs="Calibri"/>
          <w:noProof/>
          <w:lang w:val="fr-FR"/>
        </w:rPr>
      </w:pPr>
      <w:r w:rsidRPr="00F91A31">
        <w:rPr>
          <w:rFonts w:ascii="Calibri" w:hAnsi="Calibri" w:cs="Calibri"/>
          <w:noProof/>
          <w:lang w:val="fr-FR"/>
        </w:rPr>
        <w:t xml:space="preserve">BRGM, 2015. Notice de réalisation et d’utilisation des fiches de synthèse sur la criticité des </w:t>
      </w:r>
      <w:r w:rsidRPr="00F91A31">
        <w:rPr>
          <w:rFonts w:ascii="Calibri" w:hAnsi="Calibri" w:cs="Calibri"/>
          <w:noProof/>
          <w:lang w:val="fr-FR"/>
        </w:rPr>
        <w:lastRenderedPageBreak/>
        <w:t>matières premières minérales non-énergétiques.</w:t>
      </w:r>
    </w:p>
    <w:p w14:paraId="309A77FB" w14:textId="77777777" w:rsidR="00D763C3" w:rsidRPr="00D763C3" w:rsidRDefault="00D763C3" w:rsidP="00D763C3">
      <w:pPr>
        <w:widowControl w:val="0"/>
        <w:autoSpaceDE w:val="0"/>
        <w:autoSpaceDN w:val="0"/>
        <w:adjustRightInd w:val="0"/>
        <w:spacing w:line="480" w:lineRule="auto"/>
        <w:ind w:left="480" w:hanging="480"/>
        <w:rPr>
          <w:rFonts w:ascii="Calibri" w:hAnsi="Calibri" w:cs="Calibri"/>
          <w:noProof/>
        </w:rPr>
      </w:pPr>
      <w:r w:rsidRPr="00F91A31">
        <w:rPr>
          <w:rFonts w:ascii="Calibri" w:hAnsi="Calibri" w:cs="Calibri"/>
          <w:noProof/>
          <w:lang w:val="fr-FR"/>
        </w:rPr>
        <w:t xml:space="preserve">BRGM, 2014. </w:t>
      </w:r>
      <w:r w:rsidRPr="008B2713">
        <w:rPr>
          <w:rFonts w:ascii="Calibri" w:hAnsi="Calibri" w:cs="Calibri"/>
          <w:noProof/>
          <w:lang w:val="de-CH"/>
        </w:rPr>
        <w:t xml:space="preserve">Panorama 2013 du marché du cobalt [WWW Document]. </w:t>
      </w:r>
      <w:r w:rsidRPr="00D763C3">
        <w:rPr>
          <w:rFonts w:ascii="Calibri" w:hAnsi="Calibri" w:cs="Calibri"/>
          <w:noProof/>
        </w:rPr>
        <w:t>BRGM/RP-63626-FR. URL http://www.mineralinfo.fr/page/monographie (accessed 6.19.19).</w:t>
      </w:r>
    </w:p>
    <w:p w14:paraId="30F9AE94" w14:textId="77777777" w:rsidR="00D763C3" w:rsidRPr="00D763C3" w:rsidRDefault="00D763C3" w:rsidP="00D763C3">
      <w:pPr>
        <w:widowControl w:val="0"/>
        <w:autoSpaceDE w:val="0"/>
        <w:autoSpaceDN w:val="0"/>
        <w:adjustRightInd w:val="0"/>
        <w:spacing w:line="480" w:lineRule="auto"/>
        <w:ind w:left="480" w:hanging="480"/>
        <w:rPr>
          <w:rFonts w:ascii="Calibri" w:hAnsi="Calibri" w:cs="Calibri"/>
          <w:noProof/>
        </w:rPr>
      </w:pPr>
      <w:r w:rsidRPr="008B2713">
        <w:rPr>
          <w:rFonts w:ascii="Calibri" w:hAnsi="Calibri" w:cs="Calibri"/>
          <w:noProof/>
          <w:lang w:val="de-CH"/>
        </w:rPr>
        <w:t xml:space="preserve">Buchert, M., Schüler, D., Bleher, D., 2009. </w:t>
      </w:r>
      <w:r w:rsidRPr="00D763C3">
        <w:rPr>
          <w:rFonts w:ascii="Calibri" w:hAnsi="Calibri" w:cs="Calibri"/>
          <w:noProof/>
        </w:rPr>
        <w:t>Critical Metals for Future Sustainable Technologies and their Recycling Potential, UNEP.</w:t>
      </w:r>
    </w:p>
    <w:p w14:paraId="75AB27CC" w14:textId="2E44F7AE" w:rsidR="00D763C3" w:rsidRDefault="00D763C3" w:rsidP="00D763C3">
      <w:pPr>
        <w:widowControl w:val="0"/>
        <w:autoSpaceDE w:val="0"/>
        <w:autoSpaceDN w:val="0"/>
        <w:adjustRightInd w:val="0"/>
        <w:spacing w:line="480" w:lineRule="auto"/>
        <w:ind w:left="480" w:hanging="480"/>
        <w:rPr>
          <w:rFonts w:ascii="Calibri" w:hAnsi="Calibri" w:cs="Calibri"/>
          <w:noProof/>
        </w:rPr>
      </w:pPr>
      <w:r w:rsidRPr="00D763C3">
        <w:rPr>
          <w:rFonts w:ascii="Calibri" w:hAnsi="Calibri" w:cs="Calibri"/>
          <w:noProof/>
        </w:rPr>
        <w:t>Buijs, B., Sievers, H., Tercero Espinoza, L.A., 2012. Limits to the critical raw materials approach. Proc. Inst. Civ. Eng. - Waste Resour. Manag. 165, 201–208. https://doi.org/10.1680/warm.12.00010</w:t>
      </w:r>
    </w:p>
    <w:p w14:paraId="53008FDF" w14:textId="6706D994" w:rsidR="00B03776" w:rsidRPr="00B4107A" w:rsidRDefault="00B03776" w:rsidP="00461A6A">
      <w:pPr>
        <w:spacing w:line="480" w:lineRule="auto"/>
        <w:ind w:left="482" w:hanging="482"/>
        <w:rPr>
          <w:rFonts w:ascii="Calibri" w:hAnsi="Calibri" w:cs="Calibri"/>
          <w:noProof/>
        </w:rPr>
      </w:pPr>
      <w:r w:rsidRPr="00B4107A">
        <w:rPr>
          <w:rFonts w:ascii="Calibri" w:hAnsi="Calibri" w:cs="Calibri"/>
          <w:noProof/>
          <w:highlight w:val="yellow"/>
        </w:rPr>
        <w:t>Bustamante, M., Gaustad, G., Alsonso, E., 20</w:t>
      </w:r>
      <w:r w:rsidR="00441F4B" w:rsidRPr="00B4107A">
        <w:rPr>
          <w:rFonts w:ascii="Calibri" w:hAnsi="Calibri" w:cs="Calibri"/>
          <w:noProof/>
          <w:highlight w:val="yellow"/>
        </w:rPr>
        <w:t>17</w:t>
      </w:r>
      <w:r w:rsidRPr="00B4107A">
        <w:rPr>
          <w:rFonts w:ascii="Calibri" w:hAnsi="Calibri" w:cs="Calibri"/>
          <w:noProof/>
          <w:highlight w:val="yellow"/>
        </w:rPr>
        <w:t xml:space="preserve">: Comparative Analysis of Supply Risk Mitigation Strategies for Critical Byproduct Minerals - A Case Study of Tellurium. Environ. Sci. Technol. 52, 11-21. </w:t>
      </w:r>
      <w:hyperlink r:id="rId18" w:tooltip="DOI URL" w:history="1">
        <w:r w:rsidRPr="00B4107A">
          <w:rPr>
            <w:rFonts w:ascii="Calibri" w:hAnsi="Calibri" w:cs="Calibri"/>
            <w:noProof/>
            <w:highlight w:val="yellow"/>
          </w:rPr>
          <w:t>https://doi.org/10.1021/acs.est.7b03963</w:t>
        </w:r>
      </w:hyperlink>
    </w:p>
    <w:p w14:paraId="4222BA9D" w14:textId="77777777" w:rsidR="00D763C3" w:rsidRPr="00D763C3" w:rsidRDefault="00D763C3" w:rsidP="00D763C3">
      <w:pPr>
        <w:widowControl w:val="0"/>
        <w:autoSpaceDE w:val="0"/>
        <w:autoSpaceDN w:val="0"/>
        <w:adjustRightInd w:val="0"/>
        <w:spacing w:line="480" w:lineRule="auto"/>
        <w:ind w:left="480" w:hanging="480"/>
        <w:rPr>
          <w:rFonts w:ascii="Calibri" w:hAnsi="Calibri" w:cs="Calibri"/>
          <w:noProof/>
        </w:rPr>
      </w:pPr>
      <w:r w:rsidRPr="00D763C3">
        <w:rPr>
          <w:rFonts w:ascii="Calibri" w:hAnsi="Calibri" w:cs="Calibri"/>
          <w:noProof/>
        </w:rPr>
        <w:t>Calvo, G., Valero, Alicia, Valero, Antonio, 2017. Thermodynamic Approach to Evaluate the Criticality of Raw Materials and Its Application through a Material Flow Analysis in Europe. J. Ind. Ecol. 00. https://doi.org/10.1111/jiec.12624</w:t>
      </w:r>
    </w:p>
    <w:p w14:paraId="495DFC77" w14:textId="77777777" w:rsidR="00D763C3" w:rsidRPr="00D763C3" w:rsidRDefault="00D763C3" w:rsidP="00D763C3">
      <w:pPr>
        <w:widowControl w:val="0"/>
        <w:autoSpaceDE w:val="0"/>
        <w:autoSpaceDN w:val="0"/>
        <w:adjustRightInd w:val="0"/>
        <w:spacing w:line="480" w:lineRule="auto"/>
        <w:ind w:left="480" w:hanging="480"/>
        <w:rPr>
          <w:rFonts w:ascii="Calibri" w:hAnsi="Calibri" w:cs="Calibri"/>
          <w:noProof/>
        </w:rPr>
      </w:pPr>
      <w:r w:rsidRPr="00D763C3">
        <w:rPr>
          <w:rFonts w:ascii="Calibri" w:hAnsi="Calibri" w:cs="Calibri"/>
          <w:noProof/>
        </w:rPr>
        <w:t>Cimprich, A., Bach, V., Helbig, C., Thorenz, A., Schrijvers, D., Sonnemann, G., Young, S., Sonderegger, T., Berger, M., 2019. Resource criticality assessment as a complement to environmental life cycle assessment: examining methods for product-level supply risk assessment. J. Ind. Ecol. 1–11. https://doi.org/10.1111/jiec.12865</w:t>
      </w:r>
    </w:p>
    <w:p w14:paraId="35AB3C7E" w14:textId="77777777" w:rsidR="00D763C3" w:rsidRPr="00D763C3" w:rsidRDefault="00D763C3" w:rsidP="00D763C3">
      <w:pPr>
        <w:widowControl w:val="0"/>
        <w:autoSpaceDE w:val="0"/>
        <w:autoSpaceDN w:val="0"/>
        <w:adjustRightInd w:val="0"/>
        <w:spacing w:line="480" w:lineRule="auto"/>
        <w:ind w:left="480" w:hanging="480"/>
        <w:rPr>
          <w:rFonts w:ascii="Calibri" w:hAnsi="Calibri" w:cs="Calibri"/>
          <w:noProof/>
        </w:rPr>
      </w:pPr>
      <w:r w:rsidRPr="00D763C3">
        <w:rPr>
          <w:rFonts w:ascii="Calibri" w:hAnsi="Calibri" w:cs="Calibri"/>
          <w:noProof/>
        </w:rPr>
        <w:t>Cimprich, A., Karim, K.S., Young, S.B., 2017a. Extending the geopolitical supply risk method: material “substitutability” indicators applied to electric vehicles and dental X-ray equipment. Int. J. Life Cycle Assess. 1–19. https://doi.org/10.1007/s11367-017-1418-4</w:t>
      </w:r>
    </w:p>
    <w:p w14:paraId="053C90C2" w14:textId="77777777" w:rsidR="00D763C3" w:rsidRPr="00D763C3" w:rsidRDefault="00D763C3" w:rsidP="00D763C3">
      <w:pPr>
        <w:widowControl w:val="0"/>
        <w:autoSpaceDE w:val="0"/>
        <w:autoSpaceDN w:val="0"/>
        <w:adjustRightInd w:val="0"/>
        <w:spacing w:line="480" w:lineRule="auto"/>
        <w:ind w:left="480" w:hanging="480"/>
        <w:rPr>
          <w:rFonts w:ascii="Calibri" w:hAnsi="Calibri" w:cs="Calibri"/>
          <w:noProof/>
        </w:rPr>
      </w:pPr>
      <w:r w:rsidRPr="00D763C3">
        <w:rPr>
          <w:rFonts w:ascii="Calibri" w:hAnsi="Calibri" w:cs="Calibri"/>
          <w:noProof/>
        </w:rPr>
        <w:t xml:space="preserve">Cimprich, A., Young, S.B., Helbig, C., Gemechu, E.D., Thorenz, A., Tuma, A., Sonnemann, G., </w:t>
      </w:r>
      <w:r w:rsidRPr="00D763C3">
        <w:rPr>
          <w:rFonts w:ascii="Calibri" w:hAnsi="Calibri" w:cs="Calibri"/>
          <w:noProof/>
        </w:rPr>
        <w:lastRenderedPageBreak/>
        <w:t>2017b. Extension of geopolitical supply risk methodology: Characterization model applied to conventional and electric vehicles. J. Clean. Prod. 162, 754–763. https://doi.org/10.1016/j.jclepro.2017.06.063</w:t>
      </w:r>
    </w:p>
    <w:p w14:paraId="7F8A13ED" w14:textId="77777777" w:rsidR="00D763C3" w:rsidRPr="00D763C3" w:rsidRDefault="00D763C3" w:rsidP="00D763C3">
      <w:pPr>
        <w:widowControl w:val="0"/>
        <w:autoSpaceDE w:val="0"/>
        <w:autoSpaceDN w:val="0"/>
        <w:adjustRightInd w:val="0"/>
        <w:spacing w:line="480" w:lineRule="auto"/>
        <w:ind w:left="480" w:hanging="480"/>
        <w:rPr>
          <w:rFonts w:ascii="Calibri" w:hAnsi="Calibri" w:cs="Calibri"/>
          <w:noProof/>
        </w:rPr>
      </w:pPr>
      <w:r w:rsidRPr="00D763C3">
        <w:rPr>
          <w:rFonts w:ascii="Calibri" w:hAnsi="Calibri" w:cs="Calibri"/>
          <w:noProof/>
        </w:rPr>
        <w:t>Clifton, A., 2013. Material Selection : Taking Environmental Business Risks Into Account Material Selection : Taking Environmental Business Risks into Account Dr W . Marsden , Dr J . O ’ Hare , Dr J . Goddin – Granta Design Dr A . Clifton – Rolls-Royce.</w:t>
      </w:r>
    </w:p>
    <w:p w14:paraId="6F2B66CD" w14:textId="77777777" w:rsidR="00D763C3" w:rsidRPr="00D763C3" w:rsidRDefault="00D763C3" w:rsidP="00D763C3">
      <w:pPr>
        <w:widowControl w:val="0"/>
        <w:autoSpaceDE w:val="0"/>
        <w:autoSpaceDN w:val="0"/>
        <w:adjustRightInd w:val="0"/>
        <w:spacing w:line="480" w:lineRule="auto"/>
        <w:ind w:left="480" w:hanging="480"/>
        <w:rPr>
          <w:rFonts w:ascii="Calibri" w:hAnsi="Calibri" w:cs="Calibri"/>
          <w:noProof/>
        </w:rPr>
      </w:pPr>
      <w:r w:rsidRPr="00D763C3">
        <w:rPr>
          <w:rFonts w:ascii="Calibri" w:hAnsi="Calibri" w:cs="Calibri"/>
          <w:noProof/>
        </w:rPr>
        <w:t>Coulomb, R., Dietz, S., Godunova, M., Nielsen, T.B., 2015. Critical Minerals Today and in 2030: AN ANALYSIS FOR OECD COUNTRIES. OECD Environ. Work. Pap. 0_1,3-5,8-49. https://doi.org/http://dx.doi.org/10.1787/5jrtknwm5hr5-en</w:t>
      </w:r>
    </w:p>
    <w:p w14:paraId="6F13C27A" w14:textId="77777777" w:rsidR="00D763C3" w:rsidRPr="00D763C3" w:rsidRDefault="00D763C3" w:rsidP="00D763C3">
      <w:pPr>
        <w:widowControl w:val="0"/>
        <w:autoSpaceDE w:val="0"/>
        <w:autoSpaceDN w:val="0"/>
        <w:adjustRightInd w:val="0"/>
        <w:spacing w:line="480" w:lineRule="auto"/>
        <w:ind w:left="480" w:hanging="480"/>
        <w:rPr>
          <w:rFonts w:ascii="Calibri" w:hAnsi="Calibri" w:cs="Calibri"/>
          <w:noProof/>
        </w:rPr>
      </w:pPr>
      <w:r w:rsidRPr="00D763C3">
        <w:rPr>
          <w:rFonts w:ascii="Calibri" w:hAnsi="Calibri" w:cs="Calibri"/>
          <w:noProof/>
        </w:rPr>
        <w:t>Cullen, J.M., Allwood, J.M., Bambach, M.D., 2012. Mapping the global flow of steel: From steelmaking to end-use goods. Environ. Sci. Technol. 46, 13048–13055. https://doi.org/10.1021/es302433p</w:t>
      </w:r>
    </w:p>
    <w:p w14:paraId="6418B3D6" w14:textId="77777777" w:rsidR="00D763C3" w:rsidRPr="00D763C3" w:rsidRDefault="00D763C3" w:rsidP="00D763C3">
      <w:pPr>
        <w:widowControl w:val="0"/>
        <w:autoSpaceDE w:val="0"/>
        <w:autoSpaceDN w:val="0"/>
        <w:adjustRightInd w:val="0"/>
        <w:spacing w:line="480" w:lineRule="auto"/>
        <w:ind w:left="480" w:hanging="480"/>
        <w:rPr>
          <w:rFonts w:ascii="Calibri" w:hAnsi="Calibri" w:cs="Calibri"/>
          <w:noProof/>
        </w:rPr>
      </w:pPr>
      <w:r w:rsidRPr="00D763C3">
        <w:rPr>
          <w:rFonts w:ascii="Calibri" w:hAnsi="Calibri" w:cs="Calibri"/>
          <w:noProof/>
        </w:rPr>
        <w:t>Dewulf, J., Blengini, G.A., Pennington, D., Nuss, P., Nassar, N.T., 2016. Criticality on the international scene: Quo vadis? Resour. Policy 50, 169–176. https://doi.org/10.1016/j.resourpol.2016.09.008</w:t>
      </w:r>
    </w:p>
    <w:p w14:paraId="22B7F9C7" w14:textId="77777777" w:rsidR="00D763C3" w:rsidRPr="00D763C3" w:rsidRDefault="00D763C3" w:rsidP="00D763C3">
      <w:pPr>
        <w:widowControl w:val="0"/>
        <w:autoSpaceDE w:val="0"/>
        <w:autoSpaceDN w:val="0"/>
        <w:adjustRightInd w:val="0"/>
        <w:spacing w:line="480" w:lineRule="auto"/>
        <w:ind w:left="480" w:hanging="480"/>
        <w:rPr>
          <w:rFonts w:ascii="Calibri" w:hAnsi="Calibri" w:cs="Calibri"/>
          <w:noProof/>
        </w:rPr>
      </w:pPr>
      <w:r w:rsidRPr="00D763C3">
        <w:rPr>
          <w:rFonts w:ascii="Calibri" w:hAnsi="Calibri" w:cs="Calibri"/>
          <w:noProof/>
        </w:rPr>
        <w:t>Duclos, S.J., Otto, J.P., Konitzer, D.G., 2010. Design in an era of constrained resources. Mech. Eng. 36–40.</w:t>
      </w:r>
    </w:p>
    <w:p w14:paraId="06F60364" w14:textId="77777777" w:rsidR="00D763C3" w:rsidRPr="00D763C3" w:rsidRDefault="00D763C3" w:rsidP="00D763C3">
      <w:pPr>
        <w:widowControl w:val="0"/>
        <w:autoSpaceDE w:val="0"/>
        <w:autoSpaceDN w:val="0"/>
        <w:adjustRightInd w:val="0"/>
        <w:spacing w:line="480" w:lineRule="auto"/>
        <w:ind w:left="480" w:hanging="480"/>
        <w:rPr>
          <w:rFonts w:ascii="Calibri" w:hAnsi="Calibri" w:cs="Calibri"/>
          <w:noProof/>
        </w:rPr>
      </w:pPr>
      <w:r w:rsidRPr="00D763C3">
        <w:rPr>
          <w:rFonts w:ascii="Calibri" w:hAnsi="Calibri" w:cs="Calibri"/>
          <w:noProof/>
        </w:rPr>
        <w:t>Eggert, R.G., 2011. Minerals go critical. Nat. Chem. 3, 688–691. https://doi.org/10.1038/nchem.1116</w:t>
      </w:r>
    </w:p>
    <w:p w14:paraId="26ECBA5E" w14:textId="77777777" w:rsidR="00D763C3" w:rsidRPr="002916F4" w:rsidRDefault="00D763C3" w:rsidP="00D763C3">
      <w:pPr>
        <w:widowControl w:val="0"/>
        <w:autoSpaceDE w:val="0"/>
        <w:autoSpaceDN w:val="0"/>
        <w:adjustRightInd w:val="0"/>
        <w:spacing w:line="480" w:lineRule="auto"/>
        <w:ind w:left="480" w:hanging="480"/>
        <w:rPr>
          <w:rFonts w:ascii="Calibri" w:hAnsi="Calibri" w:cs="Calibri"/>
          <w:noProof/>
          <w:lang w:val="fr-FR"/>
        </w:rPr>
      </w:pPr>
      <w:r w:rsidRPr="00461A6A">
        <w:rPr>
          <w:rFonts w:ascii="Calibri" w:hAnsi="Calibri" w:cs="Calibri"/>
          <w:noProof/>
          <w:lang w:val="nl-NL"/>
        </w:rPr>
        <w:t xml:space="preserve">Erdmann, L., Graedel, T.E., 2011. </w:t>
      </w:r>
      <w:r w:rsidRPr="00D763C3">
        <w:rPr>
          <w:rFonts w:ascii="Calibri" w:hAnsi="Calibri" w:cs="Calibri"/>
          <w:noProof/>
        </w:rPr>
        <w:t xml:space="preserve">Criticality of non-fuel minerals: A review of major approaches and analyses. </w:t>
      </w:r>
      <w:r w:rsidRPr="00652FC0">
        <w:rPr>
          <w:rFonts w:ascii="Calibri" w:hAnsi="Calibri" w:cs="Calibri"/>
          <w:noProof/>
          <w:lang w:val="fr-FR"/>
        </w:rPr>
        <w:t>Environ. Sci. Technol. 45, 7620–7630</w:t>
      </w:r>
      <w:r w:rsidRPr="002916F4">
        <w:rPr>
          <w:rFonts w:ascii="Calibri" w:hAnsi="Calibri" w:cs="Calibri"/>
          <w:noProof/>
          <w:lang w:val="fr-FR"/>
        </w:rPr>
        <w:t>. https://doi.org/10.1021/es200563g</w:t>
      </w:r>
    </w:p>
    <w:p w14:paraId="62B673F9" w14:textId="77777777" w:rsidR="00D763C3" w:rsidRPr="00D763C3" w:rsidRDefault="00D763C3" w:rsidP="00D763C3">
      <w:pPr>
        <w:widowControl w:val="0"/>
        <w:autoSpaceDE w:val="0"/>
        <w:autoSpaceDN w:val="0"/>
        <w:adjustRightInd w:val="0"/>
        <w:spacing w:line="480" w:lineRule="auto"/>
        <w:ind w:left="480" w:hanging="480"/>
        <w:rPr>
          <w:rFonts w:ascii="Calibri" w:hAnsi="Calibri" w:cs="Calibri"/>
          <w:noProof/>
        </w:rPr>
      </w:pPr>
      <w:r w:rsidRPr="00AA2385">
        <w:rPr>
          <w:rFonts w:ascii="Calibri" w:hAnsi="Calibri" w:cs="Calibri"/>
          <w:noProof/>
          <w:lang w:val="fr-FR"/>
        </w:rPr>
        <w:t xml:space="preserve">European Commission, 2017a. </w:t>
      </w:r>
      <w:r w:rsidRPr="00D763C3">
        <w:rPr>
          <w:rFonts w:ascii="Calibri" w:hAnsi="Calibri" w:cs="Calibri"/>
          <w:noProof/>
        </w:rPr>
        <w:t xml:space="preserve">Methodology for establishing the EU list of Critical Raw Materials </w:t>
      </w:r>
      <w:r w:rsidRPr="00D763C3">
        <w:rPr>
          <w:rFonts w:ascii="Calibri" w:hAnsi="Calibri" w:cs="Calibri"/>
          <w:noProof/>
        </w:rPr>
        <w:lastRenderedPageBreak/>
        <w:t>30. https://doi.org/10.2873/769526</w:t>
      </w:r>
    </w:p>
    <w:p w14:paraId="0C8C10C5" w14:textId="77777777" w:rsidR="00D763C3" w:rsidRPr="00D763C3" w:rsidRDefault="00D763C3" w:rsidP="00D763C3">
      <w:pPr>
        <w:widowControl w:val="0"/>
        <w:autoSpaceDE w:val="0"/>
        <w:autoSpaceDN w:val="0"/>
        <w:adjustRightInd w:val="0"/>
        <w:spacing w:line="480" w:lineRule="auto"/>
        <w:ind w:left="480" w:hanging="480"/>
        <w:rPr>
          <w:rFonts w:ascii="Calibri" w:hAnsi="Calibri" w:cs="Calibri"/>
          <w:noProof/>
        </w:rPr>
      </w:pPr>
      <w:r w:rsidRPr="00D763C3">
        <w:rPr>
          <w:rFonts w:ascii="Calibri" w:hAnsi="Calibri" w:cs="Calibri"/>
          <w:noProof/>
        </w:rPr>
        <w:t>European Commission, 2017b. Study on the review of the list of critical raw materials - Criticality Assessments, European Commission. https://doi.org/10.2873/876644</w:t>
      </w:r>
    </w:p>
    <w:p w14:paraId="746C0BF6" w14:textId="77777777" w:rsidR="00D763C3" w:rsidRPr="00D763C3" w:rsidRDefault="00D763C3" w:rsidP="00D763C3">
      <w:pPr>
        <w:widowControl w:val="0"/>
        <w:autoSpaceDE w:val="0"/>
        <w:autoSpaceDN w:val="0"/>
        <w:adjustRightInd w:val="0"/>
        <w:spacing w:line="480" w:lineRule="auto"/>
        <w:ind w:left="480" w:hanging="480"/>
        <w:rPr>
          <w:rFonts w:ascii="Calibri" w:hAnsi="Calibri" w:cs="Calibri"/>
          <w:noProof/>
        </w:rPr>
      </w:pPr>
      <w:r w:rsidRPr="00D763C3">
        <w:rPr>
          <w:rFonts w:ascii="Calibri" w:hAnsi="Calibri" w:cs="Calibri"/>
          <w:noProof/>
        </w:rPr>
        <w:t>European Commission, 2017c. COMMUNICATION FROM THE COMMISSION TO THE EUROPEAN PARLIAMENT, THE COUNCIL, THE EUROPEAN ECONOMIC AND SOCIAL COMMITTEE AND THE COMMITTEE OF THE REGIONS on the 2017 list of Critical Raw Materials for the EU.</w:t>
      </w:r>
    </w:p>
    <w:p w14:paraId="7013D79F" w14:textId="77777777" w:rsidR="00D763C3" w:rsidRPr="00D763C3" w:rsidRDefault="00D763C3" w:rsidP="00D763C3">
      <w:pPr>
        <w:widowControl w:val="0"/>
        <w:autoSpaceDE w:val="0"/>
        <w:autoSpaceDN w:val="0"/>
        <w:adjustRightInd w:val="0"/>
        <w:spacing w:line="480" w:lineRule="auto"/>
        <w:ind w:left="480" w:hanging="480"/>
        <w:rPr>
          <w:rFonts w:ascii="Calibri" w:hAnsi="Calibri" w:cs="Calibri"/>
          <w:noProof/>
        </w:rPr>
      </w:pPr>
      <w:r w:rsidRPr="00D763C3">
        <w:rPr>
          <w:rFonts w:ascii="Calibri" w:hAnsi="Calibri" w:cs="Calibri"/>
          <w:noProof/>
        </w:rPr>
        <w:t>European Commission, 2017d. Study on the review of the list of critical raw materials - Critical Raw Materials Factsheets, European Commission. https://doi.org/10.2873/876644</w:t>
      </w:r>
    </w:p>
    <w:p w14:paraId="4443E752" w14:textId="77777777" w:rsidR="00D763C3" w:rsidRPr="00D763C3" w:rsidRDefault="00D763C3" w:rsidP="00D763C3">
      <w:pPr>
        <w:widowControl w:val="0"/>
        <w:autoSpaceDE w:val="0"/>
        <w:autoSpaceDN w:val="0"/>
        <w:adjustRightInd w:val="0"/>
        <w:spacing w:line="480" w:lineRule="auto"/>
        <w:ind w:left="480" w:hanging="480"/>
        <w:rPr>
          <w:rFonts w:ascii="Calibri" w:hAnsi="Calibri" w:cs="Calibri"/>
          <w:noProof/>
        </w:rPr>
      </w:pPr>
      <w:r w:rsidRPr="00D763C3">
        <w:rPr>
          <w:rFonts w:ascii="Calibri" w:hAnsi="Calibri" w:cs="Calibri"/>
          <w:noProof/>
        </w:rPr>
        <w:t>European Commission, 2016. Replacing iridium in magnetic storage devices [WWW Document]. URL http://ec.europa.eu/research/infocentre/article_en.cfm?id=/research/headlines/news/article_16_08_31_en.html?infocentre&amp;item=Infocentre&amp;artid=40996 (accessed 6.24.19).</w:t>
      </w:r>
    </w:p>
    <w:p w14:paraId="7C0E18AA" w14:textId="77777777" w:rsidR="00D763C3" w:rsidRPr="00D763C3" w:rsidRDefault="00D763C3" w:rsidP="00D763C3">
      <w:pPr>
        <w:widowControl w:val="0"/>
        <w:autoSpaceDE w:val="0"/>
        <w:autoSpaceDN w:val="0"/>
        <w:adjustRightInd w:val="0"/>
        <w:spacing w:line="480" w:lineRule="auto"/>
        <w:ind w:left="480" w:hanging="480"/>
        <w:rPr>
          <w:rFonts w:ascii="Calibri" w:hAnsi="Calibri" w:cs="Calibri"/>
          <w:noProof/>
        </w:rPr>
      </w:pPr>
      <w:r w:rsidRPr="00D763C3">
        <w:rPr>
          <w:rFonts w:ascii="Calibri" w:hAnsi="Calibri" w:cs="Calibri"/>
          <w:noProof/>
        </w:rPr>
        <w:t>European Commission, 2014a. Report on critical raw materials for the EU, Report of the Ad hoc Working Group on defining critical raw materials.</w:t>
      </w:r>
    </w:p>
    <w:p w14:paraId="43D536D5" w14:textId="77777777" w:rsidR="00D763C3" w:rsidRPr="00D763C3" w:rsidRDefault="00D763C3" w:rsidP="00D763C3">
      <w:pPr>
        <w:widowControl w:val="0"/>
        <w:autoSpaceDE w:val="0"/>
        <w:autoSpaceDN w:val="0"/>
        <w:adjustRightInd w:val="0"/>
        <w:spacing w:line="480" w:lineRule="auto"/>
        <w:ind w:left="480" w:hanging="480"/>
        <w:rPr>
          <w:rFonts w:ascii="Calibri" w:hAnsi="Calibri" w:cs="Calibri"/>
          <w:noProof/>
        </w:rPr>
      </w:pPr>
      <w:r w:rsidRPr="00D763C3">
        <w:rPr>
          <w:rFonts w:ascii="Calibri" w:hAnsi="Calibri" w:cs="Calibri"/>
          <w:noProof/>
        </w:rPr>
        <w:t>European Commission, 2014b. Report on Critical Raw Materials for the EU - Critical Raw Materials Profiles.</w:t>
      </w:r>
    </w:p>
    <w:p w14:paraId="65A553A2" w14:textId="77777777" w:rsidR="00D763C3" w:rsidRPr="00D763C3" w:rsidRDefault="00D763C3" w:rsidP="00D763C3">
      <w:pPr>
        <w:widowControl w:val="0"/>
        <w:autoSpaceDE w:val="0"/>
        <w:autoSpaceDN w:val="0"/>
        <w:adjustRightInd w:val="0"/>
        <w:spacing w:line="480" w:lineRule="auto"/>
        <w:ind w:left="480" w:hanging="480"/>
        <w:rPr>
          <w:rFonts w:ascii="Calibri" w:hAnsi="Calibri" w:cs="Calibri"/>
          <w:noProof/>
        </w:rPr>
      </w:pPr>
      <w:r w:rsidRPr="00D763C3">
        <w:rPr>
          <w:rFonts w:ascii="Calibri" w:hAnsi="Calibri" w:cs="Calibri"/>
          <w:noProof/>
        </w:rPr>
        <w:t>European Commission, 2010. Critical raw materials for the EU, Report of the Ad-hoc Working Group on defining critical raw materials, Eucom. https://doi.org/10.1002/eji.200839120.IL-17-Producing</w:t>
      </w:r>
    </w:p>
    <w:p w14:paraId="128647EB" w14:textId="77777777" w:rsidR="00D763C3" w:rsidRPr="00D763C3" w:rsidRDefault="00D763C3" w:rsidP="00D763C3">
      <w:pPr>
        <w:widowControl w:val="0"/>
        <w:autoSpaceDE w:val="0"/>
        <w:autoSpaceDN w:val="0"/>
        <w:adjustRightInd w:val="0"/>
        <w:spacing w:line="480" w:lineRule="auto"/>
        <w:ind w:left="480" w:hanging="480"/>
        <w:rPr>
          <w:rFonts w:ascii="Calibri" w:hAnsi="Calibri" w:cs="Calibri"/>
          <w:noProof/>
        </w:rPr>
      </w:pPr>
      <w:r w:rsidRPr="00D763C3">
        <w:rPr>
          <w:rFonts w:ascii="Calibri" w:hAnsi="Calibri" w:cs="Calibri"/>
          <w:noProof/>
        </w:rPr>
        <w:t xml:space="preserve">Fortier, S.M., Nassar, N.T., Lederer, G.W., Brainard, J., Gambogi, J., McCullough, E.A., 2018. Draft critical mineral list—Summary of methodology and background information—U.S. Geological Survey technical input document in response to Secretarial Order No. 3359. </w:t>
      </w:r>
      <w:r w:rsidRPr="00D763C3">
        <w:rPr>
          <w:rFonts w:ascii="Calibri" w:hAnsi="Calibri" w:cs="Calibri"/>
          <w:noProof/>
        </w:rPr>
        <w:lastRenderedPageBreak/>
        <w:t>Open-File Rep. 26. https://doi.org/10.3133/ofr20181021</w:t>
      </w:r>
    </w:p>
    <w:p w14:paraId="4481C296" w14:textId="77777777" w:rsidR="00D763C3" w:rsidRPr="00D763C3" w:rsidRDefault="00D763C3" w:rsidP="00D763C3">
      <w:pPr>
        <w:widowControl w:val="0"/>
        <w:autoSpaceDE w:val="0"/>
        <w:autoSpaceDN w:val="0"/>
        <w:adjustRightInd w:val="0"/>
        <w:spacing w:line="480" w:lineRule="auto"/>
        <w:ind w:left="480" w:hanging="480"/>
        <w:rPr>
          <w:rFonts w:ascii="Calibri" w:hAnsi="Calibri" w:cs="Calibri"/>
          <w:noProof/>
        </w:rPr>
      </w:pPr>
      <w:r w:rsidRPr="00D763C3">
        <w:rPr>
          <w:rFonts w:ascii="Calibri" w:hAnsi="Calibri" w:cs="Calibri"/>
          <w:noProof/>
        </w:rPr>
        <w:t>Fraser Institute, 2019. Annual Survey of Mining Companies, 2018 [WWW Document]. URL https://www.fraserinstitute.org/studies/annual-survey-of-mining-companies-2018 (accessed 5.23.19).</w:t>
      </w:r>
    </w:p>
    <w:p w14:paraId="4112C185" w14:textId="77777777" w:rsidR="00D763C3" w:rsidRPr="00D763C3" w:rsidRDefault="00D763C3" w:rsidP="00D763C3">
      <w:pPr>
        <w:widowControl w:val="0"/>
        <w:autoSpaceDE w:val="0"/>
        <w:autoSpaceDN w:val="0"/>
        <w:adjustRightInd w:val="0"/>
        <w:spacing w:line="480" w:lineRule="auto"/>
        <w:ind w:left="480" w:hanging="480"/>
        <w:rPr>
          <w:rFonts w:ascii="Calibri" w:hAnsi="Calibri" w:cs="Calibri"/>
          <w:noProof/>
        </w:rPr>
      </w:pPr>
      <w:r w:rsidRPr="00461A6A">
        <w:rPr>
          <w:rFonts w:ascii="Calibri" w:hAnsi="Calibri" w:cs="Calibri"/>
          <w:noProof/>
          <w:lang w:val="nl-NL"/>
        </w:rPr>
        <w:t xml:space="preserve">Frenzel, M., Kullik, J., Reuter, M.A., Gutzmer, J., 2017. </w:t>
      </w:r>
      <w:r w:rsidRPr="00D763C3">
        <w:rPr>
          <w:rFonts w:ascii="Calibri" w:hAnsi="Calibri" w:cs="Calibri"/>
          <w:noProof/>
        </w:rPr>
        <w:t>Raw material “criticality” - Sense or nonsense? J. Phys. D. Appl. Phys. 50. https://doi.org/10.1088/1361-6463/aa5b64</w:t>
      </w:r>
    </w:p>
    <w:p w14:paraId="0796DAAB" w14:textId="2BD99631" w:rsidR="00D763C3" w:rsidRDefault="00D763C3" w:rsidP="00D763C3">
      <w:pPr>
        <w:widowControl w:val="0"/>
        <w:autoSpaceDE w:val="0"/>
        <w:autoSpaceDN w:val="0"/>
        <w:adjustRightInd w:val="0"/>
        <w:spacing w:line="480" w:lineRule="auto"/>
        <w:ind w:left="480" w:hanging="480"/>
        <w:rPr>
          <w:rFonts w:ascii="Calibri" w:hAnsi="Calibri" w:cs="Calibri"/>
          <w:noProof/>
        </w:rPr>
      </w:pPr>
      <w:r w:rsidRPr="00D763C3">
        <w:rPr>
          <w:rFonts w:ascii="Calibri" w:hAnsi="Calibri" w:cs="Calibri"/>
          <w:noProof/>
        </w:rPr>
        <w:t>Frischknecht, R., Jolliet, O., 2016. Global Guidance for Life Cycle Impact Assessment Indicators Volume 1. Paris, France.</w:t>
      </w:r>
    </w:p>
    <w:p w14:paraId="5563AEAA" w14:textId="5D7BB0AF" w:rsidR="00771B49" w:rsidRPr="00B03776" w:rsidRDefault="00771B49" w:rsidP="00771B49">
      <w:pPr>
        <w:widowControl w:val="0"/>
        <w:autoSpaceDE w:val="0"/>
        <w:autoSpaceDN w:val="0"/>
        <w:adjustRightInd w:val="0"/>
        <w:spacing w:line="480" w:lineRule="auto"/>
        <w:ind w:left="480" w:hanging="480"/>
        <w:rPr>
          <w:rFonts w:ascii="Calibri" w:hAnsi="Calibri" w:cs="Calibri"/>
          <w:noProof/>
        </w:rPr>
      </w:pPr>
      <w:r w:rsidRPr="00B4107A">
        <w:rPr>
          <w:rFonts w:ascii="Calibri" w:hAnsi="Calibri" w:cs="Calibri"/>
          <w:noProof/>
          <w:highlight w:val="yellow"/>
        </w:rPr>
        <w:t xml:space="preserve">Gardner, L., Colwill, C., 2018. A Framework and Decision Support Tool for Improving Value Chain Resilience to Critical Raw Materials in Manufacturing. Production &amp; Manufacturing Research 6, 126-146. </w:t>
      </w:r>
      <w:hyperlink r:id="rId19" w:history="1">
        <w:r w:rsidRPr="00B4107A">
          <w:rPr>
            <w:rFonts w:ascii="Calibri" w:hAnsi="Calibri" w:cs="Calibri"/>
            <w:noProof/>
            <w:highlight w:val="yellow"/>
          </w:rPr>
          <w:t>https://doi.org/10.1080/21693277.2018.1432428</w:t>
        </w:r>
      </w:hyperlink>
    </w:p>
    <w:p w14:paraId="414F934F" w14:textId="2C56F3D8" w:rsidR="00D763C3" w:rsidRDefault="00D763C3" w:rsidP="00D763C3">
      <w:pPr>
        <w:widowControl w:val="0"/>
        <w:autoSpaceDE w:val="0"/>
        <w:autoSpaceDN w:val="0"/>
        <w:adjustRightInd w:val="0"/>
        <w:spacing w:line="480" w:lineRule="auto"/>
        <w:ind w:left="480" w:hanging="480"/>
        <w:rPr>
          <w:rFonts w:ascii="Calibri" w:hAnsi="Calibri" w:cs="Calibri"/>
          <w:noProof/>
        </w:rPr>
      </w:pPr>
      <w:r w:rsidRPr="00B03776">
        <w:rPr>
          <w:rFonts w:ascii="Calibri" w:hAnsi="Calibri" w:cs="Calibri"/>
          <w:noProof/>
        </w:rPr>
        <w:t xml:space="preserve">Gauß, R., Homm, G., Gutfleisch, O., 2017. </w:t>
      </w:r>
      <w:r w:rsidRPr="00D763C3">
        <w:rPr>
          <w:rFonts w:ascii="Calibri" w:hAnsi="Calibri" w:cs="Calibri"/>
          <w:noProof/>
        </w:rPr>
        <w:t>The Resource Basis of Magnetic Refrigeration. J. Ind. Ecol. 21, 1291–1300. https://doi.org/10.1111/jiec.12488</w:t>
      </w:r>
    </w:p>
    <w:p w14:paraId="1ED5830E" w14:textId="1C9C1903" w:rsidR="00771B49" w:rsidRPr="00D763C3" w:rsidRDefault="00771B49" w:rsidP="00771B49">
      <w:pPr>
        <w:widowControl w:val="0"/>
        <w:autoSpaceDE w:val="0"/>
        <w:autoSpaceDN w:val="0"/>
        <w:adjustRightInd w:val="0"/>
        <w:spacing w:line="480" w:lineRule="auto"/>
        <w:ind w:left="480" w:hanging="480"/>
        <w:rPr>
          <w:rFonts w:ascii="Calibri" w:hAnsi="Calibri" w:cs="Calibri"/>
          <w:noProof/>
        </w:rPr>
      </w:pPr>
      <w:r w:rsidRPr="00B4107A">
        <w:rPr>
          <w:rFonts w:ascii="Calibri" w:hAnsi="Calibri" w:cs="Calibri"/>
          <w:noProof/>
          <w:highlight w:val="yellow"/>
        </w:rPr>
        <w:t>Gaustad, G., Krystofik, M., Bustamante, M., Badami, K., 2018. Circular economy strategies for mitigating critical material supply issues. Resour. Conserv. Recycl. 135, 24–33. https://doi.org/10.1016/j.resconrec.2017.08.002</w:t>
      </w:r>
    </w:p>
    <w:p w14:paraId="24D31897" w14:textId="77777777" w:rsidR="00D763C3" w:rsidRPr="00D763C3" w:rsidRDefault="00D763C3" w:rsidP="00D763C3">
      <w:pPr>
        <w:widowControl w:val="0"/>
        <w:autoSpaceDE w:val="0"/>
        <w:autoSpaceDN w:val="0"/>
        <w:adjustRightInd w:val="0"/>
        <w:spacing w:line="480" w:lineRule="auto"/>
        <w:ind w:left="480" w:hanging="480"/>
        <w:rPr>
          <w:rFonts w:ascii="Calibri" w:hAnsi="Calibri" w:cs="Calibri"/>
          <w:noProof/>
        </w:rPr>
      </w:pPr>
      <w:r w:rsidRPr="00B03776">
        <w:rPr>
          <w:rFonts w:ascii="Calibri" w:hAnsi="Calibri" w:cs="Calibri"/>
          <w:noProof/>
        </w:rPr>
        <w:t xml:space="preserve">Gemechu, E.D., Helbig, C., Sonnemann, G., Thorenz, A., Tuma, A., 2016. </w:t>
      </w:r>
      <w:r w:rsidRPr="00D763C3">
        <w:rPr>
          <w:rFonts w:ascii="Calibri" w:hAnsi="Calibri" w:cs="Calibri"/>
          <w:noProof/>
        </w:rPr>
        <w:t>Import-based Indicator for the Geopolitical Supply Risk of Raw Materials in Life Cycle Sustainability Assessments. J. Ind. Ecol. 20, 154–165. https://doi.org/10.1111/jiec.12279</w:t>
      </w:r>
    </w:p>
    <w:p w14:paraId="516318FE" w14:textId="77777777" w:rsidR="00D763C3" w:rsidRPr="00D763C3" w:rsidRDefault="00D763C3" w:rsidP="00D763C3">
      <w:pPr>
        <w:widowControl w:val="0"/>
        <w:autoSpaceDE w:val="0"/>
        <w:autoSpaceDN w:val="0"/>
        <w:adjustRightInd w:val="0"/>
        <w:spacing w:line="480" w:lineRule="auto"/>
        <w:ind w:left="480" w:hanging="480"/>
        <w:rPr>
          <w:rFonts w:ascii="Calibri" w:hAnsi="Calibri" w:cs="Calibri"/>
          <w:noProof/>
        </w:rPr>
      </w:pPr>
      <w:r w:rsidRPr="00D763C3">
        <w:rPr>
          <w:rFonts w:ascii="Calibri" w:hAnsi="Calibri" w:cs="Calibri"/>
          <w:noProof/>
        </w:rPr>
        <w:t>Gemechu, E.D., Sonnemann, G., Young, S.B., 2017. Geopolitical-related supply risk assessment as a complement to environmental impact assessment: the case of electric vehicles. Int. J. Life Cycle Assess. 22, 31–39. https://doi.org/10.1007/s11367-015-0917-4</w:t>
      </w:r>
    </w:p>
    <w:p w14:paraId="61C2B4B1" w14:textId="77777777" w:rsidR="00D763C3" w:rsidRPr="00D763C3" w:rsidRDefault="00D763C3" w:rsidP="00D763C3">
      <w:pPr>
        <w:widowControl w:val="0"/>
        <w:autoSpaceDE w:val="0"/>
        <w:autoSpaceDN w:val="0"/>
        <w:adjustRightInd w:val="0"/>
        <w:spacing w:line="480" w:lineRule="auto"/>
        <w:ind w:left="480" w:hanging="480"/>
        <w:rPr>
          <w:rFonts w:ascii="Calibri" w:hAnsi="Calibri" w:cs="Calibri"/>
          <w:noProof/>
        </w:rPr>
      </w:pPr>
      <w:r w:rsidRPr="00D763C3">
        <w:rPr>
          <w:rFonts w:ascii="Calibri" w:hAnsi="Calibri" w:cs="Calibri"/>
          <w:noProof/>
        </w:rPr>
        <w:lastRenderedPageBreak/>
        <w:t>Goddin, J., O’Hare, J., Clifton, A., 2013. The materials supply risk: digging deeper. Mater. World June.</w:t>
      </w:r>
    </w:p>
    <w:p w14:paraId="059AE423" w14:textId="77777777" w:rsidR="00D763C3" w:rsidRPr="00D763C3" w:rsidRDefault="00D763C3" w:rsidP="00D763C3">
      <w:pPr>
        <w:widowControl w:val="0"/>
        <w:autoSpaceDE w:val="0"/>
        <w:autoSpaceDN w:val="0"/>
        <w:adjustRightInd w:val="0"/>
        <w:spacing w:line="480" w:lineRule="auto"/>
        <w:ind w:left="480" w:hanging="480"/>
        <w:rPr>
          <w:rFonts w:ascii="Calibri" w:hAnsi="Calibri" w:cs="Calibri"/>
          <w:noProof/>
        </w:rPr>
      </w:pPr>
      <w:r w:rsidRPr="00D763C3">
        <w:rPr>
          <w:rFonts w:ascii="Calibri" w:hAnsi="Calibri" w:cs="Calibri"/>
          <w:noProof/>
        </w:rPr>
        <w:t>Goddin, J.R.J., 2019. Identifying Supply Chain Risks for Critical and Strategic Materials, in: Offerman, S.E. (Ed.), Critical Materials - Underlying Causes and Sustainable Mitigation Strategies. World Scientific Publishing Co. Pte. Ltd., Singapore, pp. 117–150.</w:t>
      </w:r>
    </w:p>
    <w:p w14:paraId="222ED388" w14:textId="77777777" w:rsidR="00D763C3" w:rsidRPr="00D763C3" w:rsidRDefault="00D763C3" w:rsidP="00D763C3">
      <w:pPr>
        <w:widowControl w:val="0"/>
        <w:autoSpaceDE w:val="0"/>
        <w:autoSpaceDN w:val="0"/>
        <w:adjustRightInd w:val="0"/>
        <w:spacing w:line="480" w:lineRule="auto"/>
        <w:ind w:left="480" w:hanging="480"/>
        <w:rPr>
          <w:rFonts w:ascii="Calibri" w:hAnsi="Calibri" w:cs="Calibri"/>
          <w:noProof/>
        </w:rPr>
      </w:pPr>
      <w:r w:rsidRPr="00D763C3">
        <w:rPr>
          <w:rFonts w:ascii="Calibri" w:hAnsi="Calibri" w:cs="Calibri"/>
          <w:noProof/>
        </w:rPr>
        <w:t>Graedel, T.E., Barr, R., Chandler, C., Chase, T., Choi, J., Christoffersen, L., Friedlander, E., Henly, C., Jun, C., Nassar, N.T., Schechner, D., Warren, S., Yang, M.-Y., Zhu, C., 2012. Methodology of metal criticality determination. Environ. Sci. Technol. 46, 1063–70. https://doi.org/10.1021/es203534z</w:t>
      </w:r>
    </w:p>
    <w:p w14:paraId="7975C073" w14:textId="77777777" w:rsidR="00D763C3" w:rsidRPr="00D763C3" w:rsidRDefault="00D763C3" w:rsidP="00D763C3">
      <w:pPr>
        <w:widowControl w:val="0"/>
        <w:autoSpaceDE w:val="0"/>
        <w:autoSpaceDN w:val="0"/>
        <w:adjustRightInd w:val="0"/>
        <w:spacing w:line="480" w:lineRule="auto"/>
        <w:ind w:left="480" w:hanging="480"/>
        <w:rPr>
          <w:rFonts w:ascii="Calibri" w:hAnsi="Calibri" w:cs="Calibri"/>
          <w:noProof/>
        </w:rPr>
      </w:pPr>
      <w:r w:rsidRPr="00D763C3">
        <w:rPr>
          <w:rFonts w:ascii="Calibri" w:hAnsi="Calibri" w:cs="Calibri"/>
          <w:noProof/>
        </w:rPr>
        <w:t>Graedel, T.E., Harper, E.M., Nassar, N.T., Nuss, P., Reck, B.K., 2015. Criticality of metals and metalloids. Proc. Natl. Acad. Sci. 112, 4257–4262. https://doi.org/10.1073/pnas.1500415112</w:t>
      </w:r>
    </w:p>
    <w:p w14:paraId="3564F6E3" w14:textId="77777777" w:rsidR="00D763C3" w:rsidRPr="00D763C3" w:rsidRDefault="00D763C3" w:rsidP="00D763C3">
      <w:pPr>
        <w:widowControl w:val="0"/>
        <w:autoSpaceDE w:val="0"/>
        <w:autoSpaceDN w:val="0"/>
        <w:adjustRightInd w:val="0"/>
        <w:spacing w:line="480" w:lineRule="auto"/>
        <w:ind w:left="480" w:hanging="480"/>
        <w:rPr>
          <w:rFonts w:ascii="Calibri" w:hAnsi="Calibri" w:cs="Calibri"/>
          <w:noProof/>
        </w:rPr>
      </w:pPr>
      <w:r w:rsidRPr="00461A6A">
        <w:rPr>
          <w:rFonts w:ascii="Calibri" w:hAnsi="Calibri" w:cs="Calibri"/>
          <w:noProof/>
          <w:lang w:val="nl-NL"/>
        </w:rPr>
        <w:t xml:space="preserve">Graedel, T.E., Nuss, P., 2014. </w:t>
      </w:r>
      <w:r w:rsidRPr="00D763C3">
        <w:rPr>
          <w:rFonts w:ascii="Calibri" w:hAnsi="Calibri" w:cs="Calibri"/>
          <w:noProof/>
        </w:rPr>
        <w:t>Employing Considerations of Criticality in Product Design. Jom 66, 2360–2366. https://doi.org/10.1007/s11837-014-1188-4</w:t>
      </w:r>
    </w:p>
    <w:p w14:paraId="7D6026B9" w14:textId="77777777" w:rsidR="00D763C3" w:rsidRPr="00D763C3" w:rsidRDefault="00D763C3" w:rsidP="00D763C3">
      <w:pPr>
        <w:widowControl w:val="0"/>
        <w:autoSpaceDE w:val="0"/>
        <w:autoSpaceDN w:val="0"/>
        <w:adjustRightInd w:val="0"/>
        <w:spacing w:line="480" w:lineRule="auto"/>
        <w:ind w:left="480" w:hanging="480"/>
        <w:rPr>
          <w:rFonts w:ascii="Calibri" w:hAnsi="Calibri" w:cs="Calibri"/>
          <w:noProof/>
        </w:rPr>
      </w:pPr>
      <w:r w:rsidRPr="00D763C3">
        <w:rPr>
          <w:rFonts w:ascii="Calibri" w:hAnsi="Calibri" w:cs="Calibri"/>
          <w:noProof/>
        </w:rPr>
        <w:t>Graedel, T.E., Reck, B.K., 2015. Six Years of Criticality Assessments: What Have We Learned So Far? J. Ind. Ecol. 20, 692–699. https://doi.org/10.1111/jiec.12305</w:t>
      </w:r>
    </w:p>
    <w:p w14:paraId="6CBA7340" w14:textId="77777777" w:rsidR="00D763C3" w:rsidRPr="00D763C3" w:rsidRDefault="00D763C3" w:rsidP="00D763C3">
      <w:pPr>
        <w:widowControl w:val="0"/>
        <w:autoSpaceDE w:val="0"/>
        <w:autoSpaceDN w:val="0"/>
        <w:adjustRightInd w:val="0"/>
        <w:spacing w:line="480" w:lineRule="auto"/>
        <w:ind w:left="480" w:hanging="480"/>
        <w:rPr>
          <w:rFonts w:ascii="Calibri" w:hAnsi="Calibri" w:cs="Calibri"/>
          <w:noProof/>
        </w:rPr>
      </w:pPr>
      <w:r w:rsidRPr="00D763C3">
        <w:rPr>
          <w:rFonts w:ascii="Calibri" w:hAnsi="Calibri" w:cs="Calibri"/>
          <w:noProof/>
        </w:rPr>
        <w:t>Granta Design, 2019. Restricted Substances Data Module [WWW Document]. URL https://grantadesign.com/industry/products/data/product-risk/restricted-substances-data-module/ (accessed 6.14.19).</w:t>
      </w:r>
    </w:p>
    <w:p w14:paraId="47E45BC1" w14:textId="2FB7FCB7" w:rsidR="00D763C3" w:rsidRDefault="00D763C3" w:rsidP="00D763C3">
      <w:pPr>
        <w:widowControl w:val="0"/>
        <w:autoSpaceDE w:val="0"/>
        <w:autoSpaceDN w:val="0"/>
        <w:adjustRightInd w:val="0"/>
        <w:spacing w:line="480" w:lineRule="auto"/>
        <w:ind w:left="480" w:hanging="480"/>
        <w:rPr>
          <w:rFonts w:ascii="Calibri" w:hAnsi="Calibri" w:cs="Calibri"/>
          <w:noProof/>
        </w:rPr>
      </w:pPr>
      <w:r w:rsidRPr="00D763C3">
        <w:rPr>
          <w:rFonts w:ascii="Calibri" w:hAnsi="Calibri" w:cs="Calibri"/>
          <w:noProof/>
        </w:rPr>
        <w:t>Granta Design, 2014. How Honeywell Aerospace use CES Selector to support material substitution and reduce costs [WWW Document]. URL https://grantadesign.com/news_articles/how-honeywell-aerospace-use-ces-selector-to-</w:t>
      </w:r>
      <w:r w:rsidRPr="00D763C3">
        <w:rPr>
          <w:rFonts w:ascii="Calibri" w:hAnsi="Calibri" w:cs="Calibri"/>
          <w:noProof/>
        </w:rPr>
        <w:lastRenderedPageBreak/>
        <w:t>support-material-substitution-and-reduce-costs/ (accessed 6.14.19).</w:t>
      </w:r>
    </w:p>
    <w:p w14:paraId="4066B925" w14:textId="29DC5DA0" w:rsidR="00AA7235" w:rsidRPr="00AA7235" w:rsidRDefault="00AA7235" w:rsidP="00AA7235">
      <w:pPr>
        <w:widowControl w:val="0"/>
        <w:autoSpaceDE w:val="0"/>
        <w:autoSpaceDN w:val="0"/>
        <w:adjustRightInd w:val="0"/>
        <w:spacing w:line="480" w:lineRule="auto"/>
        <w:ind w:left="480" w:hanging="480"/>
        <w:rPr>
          <w:rFonts w:ascii="Calibri" w:hAnsi="Calibri" w:cs="Calibri"/>
          <w:noProof/>
        </w:rPr>
      </w:pPr>
      <w:r w:rsidRPr="00B4107A">
        <w:rPr>
          <w:rFonts w:ascii="Calibri" w:hAnsi="Calibri" w:cs="Calibri"/>
          <w:noProof/>
          <w:highlight w:val="yellow"/>
        </w:rPr>
        <w:t xml:space="preserve">Griffin, G., Gaustad, G., Badami, K., 2019: A Framework for firm-level critical material supply chain management and mitigation. Resources, Conservation and Recylcling 60, 262-276. </w:t>
      </w:r>
      <w:hyperlink r:id="rId20" w:tgtFrame="_blank" w:tooltip="Persistent link using digital object identifier" w:history="1">
        <w:r w:rsidRPr="00B4107A">
          <w:rPr>
            <w:rFonts w:ascii="Calibri" w:hAnsi="Calibri" w:cs="Calibri"/>
            <w:noProof/>
            <w:highlight w:val="yellow"/>
          </w:rPr>
          <w:t>https://doi.org/10.1016/j.resourpol.2018.12.008</w:t>
        </w:r>
      </w:hyperlink>
    </w:p>
    <w:p w14:paraId="1EA0DE8C" w14:textId="77777777" w:rsidR="00D763C3" w:rsidRPr="00D763C3" w:rsidRDefault="00D763C3" w:rsidP="00D763C3">
      <w:pPr>
        <w:widowControl w:val="0"/>
        <w:autoSpaceDE w:val="0"/>
        <w:autoSpaceDN w:val="0"/>
        <w:adjustRightInd w:val="0"/>
        <w:spacing w:line="480" w:lineRule="auto"/>
        <w:ind w:left="480" w:hanging="480"/>
        <w:rPr>
          <w:rFonts w:ascii="Calibri" w:hAnsi="Calibri" w:cs="Calibri"/>
          <w:noProof/>
        </w:rPr>
      </w:pPr>
      <w:r w:rsidRPr="00461A6A">
        <w:rPr>
          <w:rFonts w:ascii="Calibri" w:hAnsi="Calibri" w:cs="Calibri"/>
          <w:noProof/>
        </w:rPr>
        <w:t xml:space="preserve">Habib, K., Hamelin, L., Wenzel, H., 2016. </w:t>
      </w:r>
      <w:r w:rsidRPr="00D763C3">
        <w:rPr>
          <w:rFonts w:ascii="Calibri" w:hAnsi="Calibri" w:cs="Calibri"/>
          <w:noProof/>
        </w:rPr>
        <w:t>A dynamic perspective of the geopolitical supply risk of metals. J. Clean. Prod. 133, 850–858. https://doi.org/10.1016/j.jclepro.2016.05.118</w:t>
      </w:r>
    </w:p>
    <w:p w14:paraId="1C8655C3" w14:textId="77777777" w:rsidR="00D763C3" w:rsidRPr="00D763C3" w:rsidRDefault="00D763C3" w:rsidP="00D763C3">
      <w:pPr>
        <w:widowControl w:val="0"/>
        <w:autoSpaceDE w:val="0"/>
        <w:autoSpaceDN w:val="0"/>
        <w:adjustRightInd w:val="0"/>
        <w:spacing w:line="480" w:lineRule="auto"/>
        <w:ind w:left="480" w:hanging="480"/>
        <w:rPr>
          <w:rFonts w:ascii="Calibri" w:hAnsi="Calibri" w:cs="Calibri"/>
          <w:noProof/>
        </w:rPr>
      </w:pPr>
      <w:r w:rsidRPr="00D763C3">
        <w:rPr>
          <w:rFonts w:ascii="Calibri" w:hAnsi="Calibri" w:cs="Calibri"/>
          <w:noProof/>
        </w:rPr>
        <w:t>Habib, K., Wenzel, H., 2016. Reviewing resource criticality assessment from a dynamic and technology specific perspective - Using the case of direct-drive wind turbines. J. Clean. Prod. 112, 3852–3863. https://doi.org/10.1016/j.jclepro.2015.07.064</w:t>
      </w:r>
    </w:p>
    <w:p w14:paraId="6894D674" w14:textId="77777777" w:rsidR="00D763C3" w:rsidRPr="00D763C3" w:rsidRDefault="00D763C3" w:rsidP="00D763C3">
      <w:pPr>
        <w:widowControl w:val="0"/>
        <w:autoSpaceDE w:val="0"/>
        <w:autoSpaceDN w:val="0"/>
        <w:adjustRightInd w:val="0"/>
        <w:spacing w:line="480" w:lineRule="auto"/>
        <w:ind w:left="480" w:hanging="480"/>
        <w:rPr>
          <w:rFonts w:ascii="Calibri" w:hAnsi="Calibri" w:cs="Calibri"/>
          <w:noProof/>
        </w:rPr>
      </w:pPr>
      <w:r w:rsidRPr="00D763C3">
        <w:rPr>
          <w:rFonts w:ascii="Calibri" w:hAnsi="Calibri" w:cs="Calibri"/>
          <w:noProof/>
        </w:rPr>
        <w:t>Hatayama, H., Tahara, K., 2015. Criticality Assessment of Metals for Japan ’ s Resource Strategy. Mater. Trans. 56, 229–235. https://doi.org/10.2320/matertrans.M2014380</w:t>
      </w:r>
    </w:p>
    <w:p w14:paraId="30F41E52" w14:textId="77777777" w:rsidR="00D763C3" w:rsidRPr="00D763C3" w:rsidRDefault="00D763C3" w:rsidP="00D763C3">
      <w:pPr>
        <w:widowControl w:val="0"/>
        <w:autoSpaceDE w:val="0"/>
        <w:autoSpaceDN w:val="0"/>
        <w:adjustRightInd w:val="0"/>
        <w:spacing w:line="480" w:lineRule="auto"/>
        <w:ind w:left="480" w:hanging="480"/>
        <w:rPr>
          <w:rFonts w:ascii="Calibri" w:hAnsi="Calibri" w:cs="Calibri"/>
          <w:noProof/>
        </w:rPr>
      </w:pPr>
      <w:r w:rsidRPr="00D763C3">
        <w:rPr>
          <w:rFonts w:ascii="Calibri" w:hAnsi="Calibri" w:cs="Calibri"/>
          <w:noProof/>
        </w:rPr>
        <w:t>Helbig, C., Bradshaw, A.M., Kolotzek, C., Thorenz, A., Tuma, A., 2016a. Supply risks associated with CdTe and CIGS thin-film photovoltaics. Appl. Energy 178, 422–433. https://doi.org/10.1016/j.apenergy.2016.06.102</w:t>
      </w:r>
    </w:p>
    <w:p w14:paraId="203C0522" w14:textId="77777777" w:rsidR="00D763C3" w:rsidRPr="00D763C3" w:rsidRDefault="00D763C3" w:rsidP="00D763C3">
      <w:pPr>
        <w:widowControl w:val="0"/>
        <w:autoSpaceDE w:val="0"/>
        <w:autoSpaceDN w:val="0"/>
        <w:adjustRightInd w:val="0"/>
        <w:spacing w:line="480" w:lineRule="auto"/>
        <w:ind w:left="480" w:hanging="480"/>
        <w:rPr>
          <w:rFonts w:ascii="Calibri" w:hAnsi="Calibri" w:cs="Calibri"/>
          <w:noProof/>
        </w:rPr>
      </w:pPr>
      <w:r w:rsidRPr="00D763C3">
        <w:rPr>
          <w:rFonts w:ascii="Calibri" w:hAnsi="Calibri" w:cs="Calibri"/>
          <w:noProof/>
        </w:rPr>
        <w:t>Helbig, C., Bradshaw, A.M., Wietschel, L., Thorenz, A., Tuma, A., 2018. Supply risks associated with lithium-ion battery materials. J. Clean. Prod. 172, 274–286. https://doi.org/10.1016/j.jclepro.2017.10.122</w:t>
      </w:r>
    </w:p>
    <w:p w14:paraId="399DBEEC" w14:textId="77777777" w:rsidR="00D763C3" w:rsidRPr="00D763C3" w:rsidRDefault="00D763C3" w:rsidP="00D763C3">
      <w:pPr>
        <w:widowControl w:val="0"/>
        <w:autoSpaceDE w:val="0"/>
        <w:autoSpaceDN w:val="0"/>
        <w:adjustRightInd w:val="0"/>
        <w:spacing w:line="480" w:lineRule="auto"/>
        <w:ind w:left="480" w:hanging="480"/>
        <w:rPr>
          <w:rFonts w:ascii="Calibri" w:hAnsi="Calibri" w:cs="Calibri"/>
          <w:noProof/>
        </w:rPr>
      </w:pPr>
      <w:r w:rsidRPr="00D763C3">
        <w:rPr>
          <w:rFonts w:ascii="Calibri" w:hAnsi="Calibri" w:cs="Calibri"/>
          <w:noProof/>
        </w:rPr>
        <w:t>Helbig, C., Gemechu, E.D., Pillain, B., Young, S.B., Thorenz, A., Tuma, A., Sonnemann, G., 2016b. Extending the Geopolitical Supply Risk Indicator: Application of LCSA to the Petrochemical Supply Chain of PAN-based Carbon Fibers. J. Clean. Prod. In Review, 1170–1178. https://doi.org/10.1016/j.jclepro.2016.07.214</w:t>
      </w:r>
    </w:p>
    <w:p w14:paraId="73B227D7" w14:textId="77777777" w:rsidR="00D763C3" w:rsidRPr="00B4107A" w:rsidRDefault="00D763C3" w:rsidP="00D763C3">
      <w:pPr>
        <w:widowControl w:val="0"/>
        <w:autoSpaceDE w:val="0"/>
        <w:autoSpaceDN w:val="0"/>
        <w:adjustRightInd w:val="0"/>
        <w:spacing w:line="480" w:lineRule="auto"/>
        <w:ind w:left="480" w:hanging="480"/>
        <w:rPr>
          <w:rFonts w:ascii="Calibri" w:hAnsi="Calibri" w:cs="Calibri"/>
          <w:noProof/>
          <w:lang w:val="de-CH"/>
        </w:rPr>
      </w:pPr>
      <w:r w:rsidRPr="00461A6A">
        <w:rPr>
          <w:rFonts w:ascii="Calibri" w:hAnsi="Calibri" w:cs="Calibri"/>
          <w:noProof/>
          <w:lang w:val="nl-NL"/>
        </w:rPr>
        <w:t xml:space="preserve">Helbig, C., Wietschel, L., Thorenz, A., Tuma, A., 2016c. </w:t>
      </w:r>
      <w:r w:rsidRPr="00D763C3">
        <w:rPr>
          <w:rFonts w:ascii="Calibri" w:hAnsi="Calibri" w:cs="Calibri"/>
          <w:noProof/>
        </w:rPr>
        <w:t xml:space="preserve">How to evaluate raw material </w:t>
      </w:r>
      <w:r w:rsidRPr="00D763C3">
        <w:rPr>
          <w:rFonts w:ascii="Calibri" w:hAnsi="Calibri" w:cs="Calibri"/>
          <w:noProof/>
        </w:rPr>
        <w:lastRenderedPageBreak/>
        <w:t xml:space="preserve">vulnerability - An overview. </w:t>
      </w:r>
      <w:r w:rsidRPr="00B4107A">
        <w:rPr>
          <w:rFonts w:ascii="Calibri" w:hAnsi="Calibri" w:cs="Calibri"/>
          <w:noProof/>
          <w:lang w:val="de-CH"/>
        </w:rPr>
        <w:t>Resour. Policy 48, 13–24. https://doi.org/10.1016/j.resourpol.2016.02.003</w:t>
      </w:r>
    </w:p>
    <w:p w14:paraId="14AF6795" w14:textId="77777777" w:rsidR="00D763C3" w:rsidRPr="00D763C3" w:rsidRDefault="00D763C3" w:rsidP="00D763C3">
      <w:pPr>
        <w:widowControl w:val="0"/>
        <w:autoSpaceDE w:val="0"/>
        <w:autoSpaceDN w:val="0"/>
        <w:adjustRightInd w:val="0"/>
        <w:spacing w:line="480" w:lineRule="auto"/>
        <w:ind w:left="480" w:hanging="480"/>
        <w:rPr>
          <w:rFonts w:ascii="Calibri" w:hAnsi="Calibri" w:cs="Calibri"/>
          <w:noProof/>
        </w:rPr>
      </w:pPr>
      <w:r w:rsidRPr="00B4107A">
        <w:rPr>
          <w:rFonts w:ascii="Calibri" w:hAnsi="Calibri" w:cs="Calibri"/>
          <w:noProof/>
          <w:lang w:val="de-CH"/>
        </w:rPr>
        <w:t xml:space="preserve">Ioannidou, D., Heeren, N., Sonnemann, G., Habert, G., 2019. </w:t>
      </w:r>
      <w:r w:rsidRPr="00D763C3">
        <w:rPr>
          <w:rFonts w:ascii="Calibri" w:hAnsi="Calibri" w:cs="Calibri"/>
          <w:noProof/>
        </w:rPr>
        <w:t>The future in and of criticality assessments. J. Ind. Ecol. 1–16. https://doi.org/10.1111/jiec.12834</w:t>
      </w:r>
    </w:p>
    <w:p w14:paraId="28257800" w14:textId="77777777" w:rsidR="00D763C3" w:rsidRPr="00D763C3" w:rsidRDefault="00D763C3" w:rsidP="00D763C3">
      <w:pPr>
        <w:widowControl w:val="0"/>
        <w:autoSpaceDE w:val="0"/>
        <w:autoSpaceDN w:val="0"/>
        <w:adjustRightInd w:val="0"/>
        <w:spacing w:line="480" w:lineRule="auto"/>
        <w:ind w:left="480" w:hanging="480"/>
        <w:rPr>
          <w:rFonts w:ascii="Calibri" w:hAnsi="Calibri" w:cs="Calibri"/>
          <w:noProof/>
        </w:rPr>
      </w:pPr>
      <w:r w:rsidRPr="00D763C3">
        <w:rPr>
          <w:rFonts w:ascii="Calibri" w:hAnsi="Calibri" w:cs="Calibri"/>
          <w:noProof/>
        </w:rPr>
        <w:t>ISO, 2006. ISO 14040: Environmental management - Life cycle assessment - Principles and framework. The International Organization for Standardization (ISO), Geneva, Switzerland.</w:t>
      </w:r>
    </w:p>
    <w:p w14:paraId="40796CAB" w14:textId="77777777" w:rsidR="00D763C3" w:rsidRPr="00D763C3" w:rsidRDefault="00D763C3" w:rsidP="00D763C3">
      <w:pPr>
        <w:widowControl w:val="0"/>
        <w:autoSpaceDE w:val="0"/>
        <w:autoSpaceDN w:val="0"/>
        <w:adjustRightInd w:val="0"/>
        <w:spacing w:line="480" w:lineRule="auto"/>
        <w:ind w:left="480" w:hanging="480"/>
        <w:rPr>
          <w:rFonts w:ascii="Calibri" w:hAnsi="Calibri" w:cs="Calibri"/>
          <w:noProof/>
        </w:rPr>
      </w:pPr>
      <w:r w:rsidRPr="00D763C3">
        <w:rPr>
          <w:rFonts w:ascii="Calibri" w:hAnsi="Calibri" w:cs="Calibri"/>
          <w:noProof/>
        </w:rPr>
        <w:t>Johnson, J., Harper, E.M., Lifset, R., Graedel, T.E., 2007. Dining at the periodic table: Metals concentrations as they relate to recycling. Environ. Sci. Technol. 41, 1759–1765. https://doi.org/10.1021/es060736h</w:t>
      </w:r>
    </w:p>
    <w:p w14:paraId="0D4ABFB4" w14:textId="77777777" w:rsidR="00D763C3" w:rsidRPr="00D763C3" w:rsidRDefault="00D763C3" w:rsidP="00D763C3">
      <w:pPr>
        <w:widowControl w:val="0"/>
        <w:autoSpaceDE w:val="0"/>
        <w:autoSpaceDN w:val="0"/>
        <w:adjustRightInd w:val="0"/>
        <w:spacing w:line="480" w:lineRule="auto"/>
        <w:ind w:left="480" w:hanging="480"/>
        <w:rPr>
          <w:rFonts w:ascii="Calibri" w:hAnsi="Calibri" w:cs="Calibri"/>
          <w:noProof/>
        </w:rPr>
      </w:pPr>
      <w:r w:rsidRPr="00D763C3">
        <w:rPr>
          <w:rFonts w:ascii="Calibri" w:hAnsi="Calibri" w:cs="Calibri"/>
          <w:noProof/>
        </w:rPr>
        <w:t>KIRAM, KITECH, 2014. The current activity of Korea for the rare metals future.</w:t>
      </w:r>
    </w:p>
    <w:p w14:paraId="07A91F3B" w14:textId="77777777" w:rsidR="00D763C3" w:rsidRPr="00D763C3" w:rsidRDefault="00D763C3" w:rsidP="00D763C3">
      <w:pPr>
        <w:widowControl w:val="0"/>
        <w:autoSpaceDE w:val="0"/>
        <w:autoSpaceDN w:val="0"/>
        <w:adjustRightInd w:val="0"/>
        <w:spacing w:line="480" w:lineRule="auto"/>
        <w:ind w:left="480" w:hanging="480"/>
        <w:rPr>
          <w:rFonts w:ascii="Calibri" w:hAnsi="Calibri" w:cs="Calibri"/>
          <w:noProof/>
        </w:rPr>
      </w:pPr>
      <w:r w:rsidRPr="00461A6A">
        <w:rPr>
          <w:rFonts w:ascii="Calibri" w:hAnsi="Calibri" w:cs="Calibri"/>
          <w:noProof/>
          <w:lang w:val="nl-NL"/>
        </w:rPr>
        <w:t xml:space="preserve">Kolotzek, C., Helbig, C., Thorenz, A., Reller, A., Tuma, A., 2018. </w:t>
      </w:r>
      <w:r w:rsidRPr="00D763C3">
        <w:rPr>
          <w:rFonts w:ascii="Calibri" w:hAnsi="Calibri" w:cs="Calibri"/>
          <w:noProof/>
        </w:rPr>
        <w:t>A company-oriented model for the assessment of raw material supply risks, environmental impact and social implications. J. Clean. Prod. 176, 566–580. https://doi.org/10.1016/j.jclepro.2017.12.162</w:t>
      </w:r>
    </w:p>
    <w:p w14:paraId="7E1FCECE" w14:textId="77777777" w:rsidR="00D763C3" w:rsidRPr="00D763C3" w:rsidRDefault="00D763C3" w:rsidP="00D763C3">
      <w:pPr>
        <w:widowControl w:val="0"/>
        <w:autoSpaceDE w:val="0"/>
        <w:autoSpaceDN w:val="0"/>
        <w:adjustRightInd w:val="0"/>
        <w:spacing w:line="480" w:lineRule="auto"/>
        <w:ind w:left="480" w:hanging="480"/>
        <w:rPr>
          <w:rFonts w:ascii="Calibri" w:hAnsi="Calibri" w:cs="Calibri"/>
          <w:noProof/>
        </w:rPr>
      </w:pPr>
      <w:r w:rsidRPr="00D763C3">
        <w:rPr>
          <w:rFonts w:ascii="Calibri" w:hAnsi="Calibri" w:cs="Calibri"/>
          <w:noProof/>
        </w:rPr>
        <w:t>Kosmol, J., Müller, F., Keßler, H., 2017. The Critical Raw Materials Concept: Subjective, Multifactorial and Ever-Developing, in: Lehmann, H. (Ed.), Factor X - Challenges, Implementation Strategies and Examples for a Sustainable Use of Natural Resources. pp. 71–92.</w:t>
      </w:r>
    </w:p>
    <w:p w14:paraId="254DB3C4" w14:textId="77777777" w:rsidR="00D763C3" w:rsidRPr="00B4107A" w:rsidRDefault="00D763C3" w:rsidP="00D763C3">
      <w:pPr>
        <w:widowControl w:val="0"/>
        <w:autoSpaceDE w:val="0"/>
        <w:autoSpaceDN w:val="0"/>
        <w:adjustRightInd w:val="0"/>
        <w:spacing w:line="480" w:lineRule="auto"/>
        <w:ind w:left="480" w:hanging="480"/>
        <w:rPr>
          <w:rFonts w:ascii="Calibri" w:hAnsi="Calibri" w:cs="Calibri"/>
          <w:noProof/>
          <w:lang w:val="de-CH"/>
        </w:rPr>
      </w:pPr>
      <w:r w:rsidRPr="00D763C3">
        <w:rPr>
          <w:rFonts w:ascii="Calibri" w:hAnsi="Calibri" w:cs="Calibri"/>
          <w:noProof/>
        </w:rPr>
        <w:t xml:space="preserve">Ku, A.Y., Hung, S., 2014. Manage raw material supply risks. </w:t>
      </w:r>
      <w:r w:rsidRPr="00B4107A">
        <w:rPr>
          <w:rFonts w:ascii="Calibri" w:hAnsi="Calibri" w:cs="Calibri"/>
          <w:noProof/>
          <w:lang w:val="de-CH"/>
        </w:rPr>
        <w:t>Chem. Eng. Prog. 110, 28–35.</w:t>
      </w:r>
    </w:p>
    <w:p w14:paraId="30F634A7" w14:textId="7DD9F812" w:rsidR="00D763C3" w:rsidRDefault="00D763C3" w:rsidP="00D763C3">
      <w:pPr>
        <w:widowControl w:val="0"/>
        <w:autoSpaceDE w:val="0"/>
        <w:autoSpaceDN w:val="0"/>
        <w:adjustRightInd w:val="0"/>
        <w:spacing w:line="480" w:lineRule="auto"/>
        <w:ind w:left="480" w:hanging="480"/>
        <w:rPr>
          <w:rFonts w:ascii="Calibri" w:hAnsi="Calibri" w:cs="Calibri"/>
          <w:noProof/>
        </w:rPr>
      </w:pPr>
      <w:r w:rsidRPr="00B4107A">
        <w:rPr>
          <w:rFonts w:ascii="Calibri" w:hAnsi="Calibri" w:cs="Calibri"/>
          <w:noProof/>
          <w:lang w:val="de-CH"/>
        </w:rPr>
        <w:t xml:space="preserve">Langkau, S., Tercero Espinoza, L.A., 2018. </w:t>
      </w:r>
      <w:r w:rsidRPr="00D763C3">
        <w:rPr>
          <w:rFonts w:ascii="Calibri" w:hAnsi="Calibri" w:cs="Calibri"/>
          <w:noProof/>
        </w:rPr>
        <w:t>Technological change and metal demand over time: What can we learn from the past? Sustain. Mater. Technol. 16, 54–59. https://doi.org/10.1016/j.susmat.2018.02.001</w:t>
      </w:r>
    </w:p>
    <w:p w14:paraId="2E0EB577" w14:textId="36DDCA0F" w:rsidR="00441F4B" w:rsidRPr="00D763C3" w:rsidRDefault="00441F4B" w:rsidP="00D763C3">
      <w:pPr>
        <w:widowControl w:val="0"/>
        <w:autoSpaceDE w:val="0"/>
        <w:autoSpaceDN w:val="0"/>
        <w:adjustRightInd w:val="0"/>
        <w:spacing w:line="480" w:lineRule="auto"/>
        <w:ind w:left="480" w:hanging="480"/>
        <w:rPr>
          <w:rFonts w:ascii="Calibri" w:hAnsi="Calibri" w:cs="Calibri"/>
          <w:noProof/>
        </w:rPr>
      </w:pPr>
      <w:r w:rsidRPr="00B4107A">
        <w:rPr>
          <w:rFonts w:ascii="Calibri" w:hAnsi="Calibri" w:cs="Calibri"/>
          <w:noProof/>
          <w:highlight w:val="yellow"/>
        </w:rPr>
        <w:t xml:space="preserve">Lapko, Y., Trianni, A., Nuur, C., Masi, D., 2018. In Pursuit of Closed-Loop Supply hains for Critical </w:t>
      </w:r>
      <w:r w:rsidRPr="00B4107A">
        <w:rPr>
          <w:rFonts w:ascii="Calibri" w:hAnsi="Calibri" w:cs="Calibri"/>
          <w:noProof/>
          <w:highlight w:val="yellow"/>
        </w:rPr>
        <w:lastRenderedPageBreak/>
        <w:t>Materials: An Exploratory Study in the Green Energy Sector. Journal of Industrial Ecology 23, 181-196. https://doi.org/10.1111/jiec.12741</w:t>
      </w:r>
    </w:p>
    <w:p w14:paraId="704ECB53" w14:textId="77777777" w:rsidR="00D763C3" w:rsidRPr="00D763C3" w:rsidRDefault="00D763C3" w:rsidP="00D763C3">
      <w:pPr>
        <w:widowControl w:val="0"/>
        <w:autoSpaceDE w:val="0"/>
        <w:autoSpaceDN w:val="0"/>
        <w:adjustRightInd w:val="0"/>
        <w:spacing w:line="480" w:lineRule="auto"/>
        <w:ind w:left="480" w:hanging="480"/>
        <w:rPr>
          <w:rFonts w:ascii="Calibri" w:hAnsi="Calibri" w:cs="Calibri"/>
          <w:noProof/>
        </w:rPr>
      </w:pPr>
      <w:r w:rsidRPr="00D763C3">
        <w:rPr>
          <w:rFonts w:ascii="Calibri" w:hAnsi="Calibri" w:cs="Calibri"/>
          <w:noProof/>
        </w:rPr>
        <w:t>Lee, Mi-Hye, Hool, A., Young, S.B., Kim, S.-Y., Park, T.-G., Lee, Min-Ha, 2019. Understanding material criticality: Korean methodology for critical raw materials assessment. Submitt. to Miner.</w:t>
      </w:r>
    </w:p>
    <w:p w14:paraId="19DB1522" w14:textId="77777777" w:rsidR="00D763C3" w:rsidRPr="00D763C3" w:rsidRDefault="00D763C3" w:rsidP="00D763C3">
      <w:pPr>
        <w:widowControl w:val="0"/>
        <w:autoSpaceDE w:val="0"/>
        <w:autoSpaceDN w:val="0"/>
        <w:adjustRightInd w:val="0"/>
        <w:spacing w:line="480" w:lineRule="auto"/>
        <w:ind w:left="480" w:hanging="480"/>
        <w:rPr>
          <w:rFonts w:ascii="Calibri" w:hAnsi="Calibri" w:cs="Calibri"/>
          <w:noProof/>
        </w:rPr>
      </w:pPr>
      <w:r w:rsidRPr="00D763C3">
        <w:rPr>
          <w:rFonts w:ascii="Calibri" w:hAnsi="Calibri" w:cs="Calibri"/>
          <w:noProof/>
        </w:rPr>
        <w:t>Liu, G., Bangs, C., Müller, D.B., 2013. Stock Dynamics and Emission Pathways of the Global Aluminum Cycle. REWAS 2013 Enabling Mater. Resour. Sustain. 3, 178. https://doi.org/10.1002/9781118679401.ch46</w:t>
      </w:r>
    </w:p>
    <w:p w14:paraId="04C67513" w14:textId="77777777" w:rsidR="00D763C3" w:rsidRPr="002916F4" w:rsidRDefault="00D763C3" w:rsidP="00D763C3">
      <w:pPr>
        <w:widowControl w:val="0"/>
        <w:autoSpaceDE w:val="0"/>
        <w:autoSpaceDN w:val="0"/>
        <w:adjustRightInd w:val="0"/>
        <w:spacing w:line="480" w:lineRule="auto"/>
        <w:ind w:left="480" w:hanging="480"/>
        <w:rPr>
          <w:rFonts w:ascii="Calibri" w:hAnsi="Calibri" w:cs="Calibri"/>
          <w:noProof/>
          <w:lang w:val="fr-FR"/>
        </w:rPr>
      </w:pPr>
      <w:r w:rsidRPr="00D763C3">
        <w:rPr>
          <w:rFonts w:ascii="Calibri" w:hAnsi="Calibri" w:cs="Calibri"/>
          <w:noProof/>
        </w:rPr>
        <w:t xml:space="preserve">Liu, G., Müller, D.B., 2013a. Mapping the global journey of anthropogenic aluminum: A trade-linked multilevel material flow analysis. </w:t>
      </w:r>
      <w:r w:rsidRPr="00652FC0">
        <w:rPr>
          <w:rFonts w:ascii="Calibri" w:hAnsi="Calibri" w:cs="Calibri"/>
          <w:noProof/>
          <w:lang w:val="fr-FR"/>
        </w:rPr>
        <w:t>Environ. Sci. Technol. 47, 11873–11881. https://d</w:t>
      </w:r>
      <w:r w:rsidRPr="002916F4">
        <w:rPr>
          <w:rFonts w:ascii="Calibri" w:hAnsi="Calibri" w:cs="Calibri"/>
          <w:noProof/>
          <w:lang w:val="fr-FR"/>
        </w:rPr>
        <w:t>oi.org/10.1021/es4024404</w:t>
      </w:r>
    </w:p>
    <w:p w14:paraId="4C860476" w14:textId="77777777" w:rsidR="00D763C3" w:rsidRPr="002916F4" w:rsidRDefault="00D763C3" w:rsidP="00D763C3">
      <w:pPr>
        <w:widowControl w:val="0"/>
        <w:autoSpaceDE w:val="0"/>
        <w:autoSpaceDN w:val="0"/>
        <w:adjustRightInd w:val="0"/>
        <w:spacing w:line="480" w:lineRule="auto"/>
        <w:ind w:left="480" w:hanging="480"/>
        <w:rPr>
          <w:rFonts w:ascii="Calibri" w:hAnsi="Calibri" w:cs="Calibri"/>
          <w:noProof/>
          <w:lang w:val="fr-FR"/>
        </w:rPr>
      </w:pPr>
      <w:r w:rsidRPr="00AA2385">
        <w:rPr>
          <w:rFonts w:ascii="Calibri" w:hAnsi="Calibri" w:cs="Calibri"/>
          <w:noProof/>
          <w:lang w:val="fr-FR"/>
        </w:rPr>
        <w:t xml:space="preserve">Liu, G., Müller, D.B., 2013b. </w:t>
      </w:r>
      <w:r w:rsidRPr="00D763C3">
        <w:rPr>
          <w:rFonts w:ascii="Calibri" w:hAnsi="Calibri" w:cs="Calibri"/>
          <w:noProof/>
        </w:rPr>
        <w:t xml:space="preserve">Centennial evolution of aluminum in-use stocks on our aluminized planet. </w:t>
      </w:r>
      <w:r w:rsidRPr="00652FC0">
        <w:rPr>
          <w:rFonts w:ascii="Calibri" w:hAnsi="Calibri" w:cs="Calibri"/>
          <w:noProof/>
          <w:lang w:val="fr-FR"/>
        </w:rPr>
        <w:t>Environ. Sci. Technol. 47, 4882–4888. https://doi.org/10.1021/es305108p</w:t>
      </w:r>
    </w:p>
    <w:p w14:paraId="4C66034D" w14:textId="6935A09F" w:rsidR="00D763C3" w:rsidRDefault="00D763C3" w:rsidP="00D763C3">
      <w:pPr>
        <w:widowControl w:val="0"/>
        <w:autoSpaceDE w:val="0"/>
        <w:autoSpaceDN w:val="0"/>
        <w:adjustRightInd w:val="0"/>
        <w:spacing w:line="480" w:lineRule="auto"/>
        <w:ind w:left="480" w:hanging="480"/>
        <w:rPr>
          <w:rFonts w:ascii="Calibri" w:hAnsi="Calibri" w:cs="Calibri"/>
          <w:noProof/>
        </w:rPr>
      </w:pPr>
      <w:r w:rsidRPr="002916F4">
        <w:rPr>
          <w:rFonts w:ascii="Calibri" w:hAnsi="Calibri" w:cs="Calibri"/>
          <w:noProof/>
          <w:lang w:val="fr-FR"/>
        </w:rPr>
        <w:t xml:space="preserve">Lloyd, S., Lee, J., Clifton, A., Elghali, L., France, C., 2012. </w:t>
      </w:r>
      <w:r w:rsidRPr="00D763C3">
        <w:rPr>
          <w:rFonts w:ascii="Calibri" w:hAnsi="Calibri" w:cs="Calibri"/>
          <w:noProof/>
        </w:rPr>
        <w:t>Recommendations for assessing materials criticality. Proc. Inst. Civ. Eng. - Waste Resour. Manag. 165, 191–200. https://doi.org/10.1680/warm.12.00002</w:t>
      </w:r>
    </w:p>
    <w:p w14:paraId="495FDCD0" w14:textId="4BA93ED9" w:rsidR="0027102A" w:rsidRPr="00B4107A" w:rsidRDefault="0027102A" w:rsidP="0027102A">
      <w:pPr>
        <w:widowControl w:val="0"/>
        <w:autoSpaceDE w:val="0"/>
        <w:autoSpaceDN w:val="0"/>
        <w:adjustRightInd w:val="0"/>
        <w:spacing w:line="480" w:lineRule="auto"/>
        <w:ind w:left="480" w:hanging="480"/>
        <w:rPr>
          <w:rFonts w:ascii="Calibri" w:hAnsi="Calibri" w:cs="Calibri"/>
          <w:noProof/>
          <w:lang w:val="de-CH"/>
        </w:rPr>
      </w:pPr>
      <w:r w:rsidRPr="00B4107A">
        <w:rPr>
          <w:rFonts w:ascii="Calibri" w:hAnsi="Calibri" w:cs="Calibri"/>
          <w:noProof/>
          <w:highlight w:val="yellow"/>
        </w:rPr>
        <w:t>Mancheeri, N., Sprecher, B., Deetman, S., Young, Steven B., Bleischwitz, R., Dong, L., Kleijn, R., Tukker, R.</w:t>
      </w:r>
      <w:r w:rsidR="00084BFC" w:rsidRPr="00B4107A">
        <w:rPr>
          <w:rFonts w:ascii="Calibri" w:hAnsi="Calibri" w:cs="Calibri"/>
          <w:noProof/>
          <w:highlight w:val="yellow"/>
        </w:rPr>
        <w:t xml:space="preserve"> 2018</w:t>
      </w:r>
      <w:r w:rsidRPr="00B4107A">
        <w:rPr>
          <w:rFonts w:ascii="Calibri" w:hAnsi="Calibri" w:cs="Calibri"/>
          <w:noProof/>
          <w:highlight w:val="yellow"/>
        </w:rPr>
        <w:t xml:space="preserve">: Resilience in the tantalum supply chain. </w:t>
      </w:r>
      <w:r w:rsidRPr="00B4107A">
        <w:rPr>
          <w:rFonts w:ascii="Calibri" w:hAnsi="Calibri" w:cs="Calibri"/>
          <w:noProof/>
          <w:highlight w:val="yellow"/>
          <w:lang w:val="de-CH"/>
        </w:rPr>
        <w:t xml:space="preserve">Resources, Conservation and Recycling 129, 56-69. </w:t>
      </w:r>
      <w:hyperlink r:id="rId21" w:tgtFrame="_blank" w:tooltip="Persistent link using digital object identifier" w:history="1">
        <w:r w:rsidRPr="00B4107A">
          <w:rPr>
            <w:rFonts w:ascii="Calibri" w:hAnsi="Calibri" w:cs="Calibri"/>
            <w:noProof/>
            <w:highlight w:val="yellow"/>
            <w:lang w:val="de-CH"/>
          </w:rPr>
          <w:t>https://doi.org/10.1016/j.resconrec.2017.10.018</w:t>
        </w:r>
      </w:hyperlink>
    </w:p>
    <w:p w14:paraId="0099720D" w14:textId="1E72F658" w:rsidR="00D763C3" w:rsidRPr="00B4107A" w:rsidRDefault="00D763C3" w:rsidP="00D763C3">
      <w:pPr>
        <w:widowControl w:val="0"/>
        <w:autoSpaceDE w:val="0"/>
        <w:autoSpaceDN w:val="0"/>
        <w:adjustRightInd w:val="0"/>
        <w:spacing w:line="480" w:lineRule="auto"/>
        <w:ind w:left="480" w:hanging="480"/>
        <w:rPr>
          <w:rFonts w:ascii="Calibri" w:hAnsi="Calibri" w:cs="Calibri"/>
          <w:noProof/>
          <w:lang w:val="de-CH"/>
        </w:rPr>
      </w:pPr>
      <w:r w:rsidRPr="00B4107A">
        <w:rPr>
          <w:rFonts w:ascii="Calibri" w:hAnsi="Calibri" w:cs="Calibri"/>
          <w:noProof/>
          <w:lang w:val="de-CH"/>
        </w:rPr>
        <w:t xml:space="preserve">Manhart, A., Dehoust, G., Möck, A., Blepp, M., Schmidt, G., Vogt, R., Kämper, C., Auberger, A., Giegrich, J., Priester, M., Rechlin, A., Dolega, P., 2017. Erörterung ökologischer Grenzen der Primärrohstoffgewinnung und Entwicklung einer Methode zur Bewertung der ökologischen </w:t>
      </w:r>
      <w:r w:rsidRPr="00B4107A">
        <w:rPr>
          <w:rFonts w:ascii="Calibri" w:hAnsi="Calibri" w:cs="Calibri"/>
          <w:noProof/>
          <w:lang w:val="de-CH"/>
        </w:rPr>
        <w:lastRenderedPageBreak/>
        <w:t>Rohstoffverfügbarkeit zur Weiterentwicklung des Kritikalitätskonzeptes (ÖkoRess I) - Methode für einen rohstoffbezogenen Ansatz.</w:t>
      </w:r>
    </w:p>
    <w:p w14:paraId="19B8FE5E" w14:textId="77777777" w:rsidR="00D763C3" w:rsidRPr="00D763C3" w:rsidRDefault="00D763C3" w:rsidP="00D763C3">
      <w:pPr>
        <w:widowControl w:val="0"/>
        <w:autoSpaceDE w:val="0"/>
        <w:autoSpaceDN w:val="0"/>
        <w:adjustRightInd w:val="0"/>
        <w:spacing w:line="480" w:lineRule="auto"/>
        <w:ind w:left="480" w:hanging="480"/>
        <w:rPr>
          <w:rFonts w:ascii="Calibri" w:hAnsi="Calibri" w:cs="Calibri"/>
          <w:noProof/>
        </w:rPr>
      </w:pPr>
      <w:r w:rsidRPr="00461A6A">
        <w:rPr>
          <w:rFonts w:ascii="Calibri" w:hAnsi="Calibri" w:cs="Calibri"/>
          <w:noProof/>
          <w:lang w:val="nl-NL"/>
        </w:rPr>
        <w:t xml:space="preserve">Manhart, A., Vogt, R., Priester, M., Dehoust, G., Auberger, A., Blepp, M., Dolega, P., Kämper, C., Giegrich, J., Schmidt, G., Kosmol, J., 2018. </w:t>
      </w:r>
      <w:r w:rsidRPr="00D763C3">
        <w:rPr>
          <w:rFonts w:ascii="Calibri" w:hAnsi="Calibri" w:cs="Calibri"/>
          <w:noProof/>
        </w:rPr>
        <w:t>The environmental criticality of primary raw materials – A new methodology to assess global environmental hazard potentials of minerals and metals from mining. Miner. Econ. https://doi.org/10.1007/s13563-018-0160-0</w:t>
      </w:r>
    </w:p>
    <w:p w14:paraId="690324FA" w14:textId="77777777" w:rsidR="00D763C3" w:rsidRPr="00D763C3" w:rsidRDefault="00D763C3" w:rsidP="00D763C3">
      <w:pPr>
        <w:widowControl w:val="0"/>
        <w:autoSpaceDE w:val="0"/>
        <w:autoSpaceDN w:val="0"/>
        <w:adjustRightInd w:val="0"/>
        <w:spacing w:line="480" w:lineRule="auto"/>
        <w:ind w:left="480" w:hanging="480"/>
        <w:rPr>
          <w:rFonts w:ascii="Calibri" w:hAnsi="Calibri" w:cs="Calibri"/>
          <w:noProof/>
        </w:rPr>
      </w:pPr>
      <w:r w:rsidRPr="00D763C3">
        <w:rPr>
          <w:rFonts w:ascii="Calibri" w:hAnsi="Calibri" w:cs="Calibri"/>
          <w:noProof/>
        </w:rPr>
        <w:t>Marsden, W., O’Hare, J., Goddin, J., Clifton, A., 2013. Material Selection: Taking Environmental Business Risks Into Account, in: Aeromat 24 Conference and Exposition American Society for Metals. p. April.</w:t>
      </w:r>
    </w:p>
    <w:p w14:paraId="38AE8571" w14:textId="77777777" w:rsidR="00D763C3" w:rsidRPr="00D763C3" w:rsidRDefault="00D763C3" w:rsidP="00D763C3">
      <w:pPr>
        <w:widowControl w:val="0"/>
        <w:autoSpaceDE w:val="0"/>
        <w:autoSpaceDN w:val="0"/>
        <w:adjustRightInd w:val="0"/>
        <w:spacing w:line="480" w:lineRule="auto"/>
        <w:ind w:left="480" w:hanging="480"/>
        <w:rPr>
          <w:rFonts w:ascii="Calibri" w:hAnsi="Calibri" w:cs="Calibri"/>
          <w:noProof/>
        </w:rPr>
      </w:pPr>
      <w:r w:rsidRPr="00D763C3">
        <w:rPr>
          <w:rFonts w:ascii="Calibri" w:hAnsi="Calibri" w:cs="Calibri"/>
          <w:noProof/>
        </w:rPr>
        <w:t>McCullough, E., Nassar, N.T., 2017. Assessment of critical minerals: updated application of an early-warning screening methodology. Miner. Econ. 30, 257–272. https://doi.org/10.1007/s13563-017-0119-6</w:t>
      </w:r>
    </w:p>
    <w:p w14:paraId="1A421087" w14:textId="77777777" w:rsidR="00D763C3" w:rsidRPr="00D763C3" w:rsidRDefault="00D763C3" w:rsidP="00D763C3">
      <w:pPr>
        <w:widowControl w:val="0"/>
        <w:autoSpaceDE w:val="0"/>
        <w:autoSpaceDN w:val="0"/>
        <w:adjustRightInd w:val="0"/>
        <w:spacing w:line="480" w:lineRule="auto"/>
        <w:ind w:left="480" w:hanging="480"/>
        <w:rPr>
          <w:rFonts w:ascii="Calibri" w:hAnsi="Calibri" w:cs="Calibri"/>
          <w:noProof/>
        </w:rPr>
      </w:pPr>
      <w:r w:rsidRPr="00D763C3">
        <w:rPr>
          <w:rFonts w:ascii="Calibri" w:hAnsi="Calibri" w:cs="Calibri"/>
          <w:noProof/>
        </w:rPr>
        <w:t>Ministry of Land and Resources of the People’s Republic of China, 2016. Press Conference.</w:t>
      </w:r>
    </w:p>
    <w:p w14:paraId="7380C1AA" w14:textId="77777777" w:rsidR="00D763C3" w:rsidRPr="00D763C3" w:rsidRDefault="00D763C3" w:rsidP="00D763C3">
      <w:pPr>
        <w:widowControl w:val="0"/>
        <w:autoSpaceDE w:val="0"/>
        <w:autoSpaceDN w:val="0"/>
        <w:adjustRightInd w:val="0"/>
        <w:spacing w:line="480" w:lineRule="auto"/>
        <w:ind w:left="480" w:hanging="480"/>
        <w:rPr>
          <w:rFonts w:ascii="Calibri" w:hAnsi="Calibri" w:cs="Calibri"/>
          <w:noProof/>
        </w:rPr>
      </w:pPr>
      <w:r w:rsidRPr="00D763C3">
        <w:rPr>
          <w:rFonts w:ascii="Calibri" w:hAnsi="Calibri" w:cs="Calibri"/>
          <w:noProof/>
        </w:rPr>
        <w:t>Morley, N., Eatherley, D., 2008. Material Security - Ensuring Resource Availability for the UK Economy.</w:t>
      </w:r>
    </w:p>
    <w:p w14:paraId="2D92808F" w14:textId="77777777" w:rsidR="00D763C3" w:rsidRPr="00D763C3" w:rsidRDefault="00D763C3" w:rsidP="00D763C3">
      <w:pPr>
        <w:widowControl w:val="0"/>
        <w:autoSpaceDE w:val="0"/>
        <w:autoSpaceDN w:val="0"/>
        <w:adjustRightInd w:val="0"/>
        <w:spacing w:line="480" w:lineRule="auto"/>
        <w:ind w:left="480" w:hanging="480"/>
        <w:rPr>
          <w:rFonts w:ascii="Calibri" w:hAnsi="Calibri" w:cs="Calibri"/>
          <w:noProof/>
        </w:rPr>
      </w:pPr>
      <w:r w:rsidRPr="00D763C3">
        <w:rPr>
          <w:rFonts w:ascii="Calibri" w:hAnsi="Calibri" w:cs="Calibri"/>
          <w:noProof/>
        </w:rPr>
        <w:t>Moss, R., Tzimas, E., Willis, P., Arendorf, J., Thompson, P., Chapman, A., Morley, N., Sims, E., Bryson, R., Peason, J., Tercero Espinoza, L., Marscheider-Weidemann, F., Soulier, M., Lüllmann, A., Sartorius, C., Ostertag, K., 2013. Critical Metals in the Path towards the Decarbonisation of the EU Energy Sector. https://doi.org/10.2790/46338</w:t>
      </w:r>
    </w:p>
    <w:p w14:paraId="685AB3B5" w14:textId="77777777" w:rsidR="00D763C3" w:rsidRPr="00D763C3" w:rsidRDefault="00D763C3" w:rsidP="00D763C3">
      <w:pPr>
        <w:widowControl w:val="0"/>
        <w:autoSpaceDE w:val="0"/>
        <w:autoSpaceDN w:val="0"/>
        <w:adjustRightInd w:val="0"/>
        <w:spacing w:line="480" w:lineRule="auto"/>
        <w:ind w:left="480" w:hanging="480"/>
        <w:rPr>
          <w:rFonts w:ascii="Calibri" w:hAnsi="Calibri" w:cs="Calibri"/>
          <w:noProof/>
        </w:rPr>
      </w:pPr>
      <w:r w:rsidRPr="00B4107A">
        <w:rPr>
          <w:rFonts w:ascii="Calibri" w:hAnsi="Calibri" w:cs="Calibri"/>
          <w:noProof/>
          <w:lang w:val="de-CH"/>
        </w:rPr>
        <w:t xml:space="preserve">Moss, R.L., Tzimas, E., Kara, H., Willis, P., Kooroshy, J., 2011. </w:t>
      </w:r>
      <w:r w:rsidRPr="00D763C3">
        <w:rPr>
          <w:rFonts w:ascii="Calibri" w:hAnsi="Calibri" w:cs="Calibri"/>
          <w:noProof/>
        </w:rPr>
        <w:t xml:space="preserve">Critical Metals in Strategic Energy Technologies, JRC-scientific and strategic reports, European Commission Joint Research </w:t>
      </w:r>
      <w:r w:rsidRPr="00D763C3">
        <w:rPr>
          <w:rFonts w:ascii="Calibri" w:hAnsi="Calibri" w:cs="Calibri"/>
          <w:noProof/>
        </w:rPr>
        <w:lastRenderedPageBreak/>
        <w:t>Centre Institute for Energy and Transport. https://doi.org/10.2790/35600</w:t>
      </w:r>
    </w:p>
    <w:p w14:paraId="7AAD04B6" w14:textId="77777777" w:rsidR="00D763C3" w:rsidRPr="00D763C3" w:rsidRDefault="00D763C3" w:rsidP="00D763C3">
      <w:pPr>
        <w:widowControl w:val="0"/>
        <w:autoSpaceDE w:val="0"/>
        <w:autoSpaceDN w:val="0"/>
        <w:adjustRightInd w:val="0"/>
        <w:spacing w:line="480" w:lineRule="auto"/>
        <w:ind w:left="480" w:hanging="480"/>
        <w:rPr>
          <w:rFonts w:ascii="Calibri" w:hAnsi="Calibri" w:cs="Calibri"/>
          <w:noProof/>
        </w:rPr>
      </w:pPr>
      <w:r w:rsidRPr="00D763C3">
        <w:rPr>
          <w:rFonts w:ascii="Calibri" w:hAnsi="Calibri" w:cs="Calibri"/>
          <w:noProof/>
        </w:rPr>
        <w:t>Nansai, K., Nakajima, K., Kagawa, S., Kondo, Y., Shigetomi, Y., Suh, S., 2015. Global mining risk footprint of critical metals necessary for low-carbon technologies: The case of neodymium, cobalt, and platinum in Japan. Environ. Sci. Technol. 49, 2022–2031. https://doi.org/10.1021/es504255r</w:t>
      </w:r>
    </w:p>
    <w:p w14:paraId="5A9AB1C7" w14:textId="77777777" w:rsidR="00D763C3" w:rsidRPr="00D763C3" w:rsidRDefault="00D763C3" w:rsidP="00D763C3">
      <w:pPr>
        <w:widowControl w:val="0"/>
        <w:autoSpaceDE w:val="0"/>
        <w:autoSpaceDN w:val="0"/>
        <w:adjustRightInd w:val="0"/>
        <w:spacing w:line="480" w:lineRule="auto"/>
        <w:ind w:left="480" w:hanging="480"/>
        <w:rPr>
          <w:rFonts w:ascii="Calibri" w:hAnsi="Calibri" w:cs="Calibri"/>
          <w:noProof/>
        </w:rPr>
      </w:pPr>
      <w:r w:rsidRPr="00D763C3">
        <w:rPr>
          <w:rFonts w:ascii="Calibri" w:hAnsi="Calibri" w:cs="Calibri"/>
          <w:noProof/>
        </w:rPr>
        <w:t>Nansai, K., Nakajima, K., Suh, S., Kagawa, S., Kondo, Y., Takayanagi, W., Shigetomi, Y., 2017. The role of primary processing in the supply risks of critical metals. Econ. Syst. Res. 29, 335–356. https://doi.org/10.1080/09535314.2017.1295923</w:t>
      </w:r>
    </w:p>
    <w:p w14:paraId="7BA2FC47" w14:textId="77777777" w:rsidR="00D763C3" w:rsidRPr="00D763C3" w:rsidRDefault="00D763C3" w:rsidP="00D763C3">
      <w:pPr>
        <w:widowControl w:val="0"/>
        <w:autoSpaceDE w:val="0"/>
        <w:autoSpaceDN w:val="0"/>
        <w:adjustRightInd w:val="0"/>
        <w:spacing w:line="480" w:lineRule="auto"/>
        <w:ind w:left="480" w:hanging="480"/>
        <w:rPr>
          <w:rFonts w:ascii="Calibri" w:hAnsi="Calibri" w:cs="Calibri"/>
          <w:noProof/>
        </w:rPr>
      </w:pPr>
      <w:r w:rsidRPr="00D763C3">
        <w:rPr>
          <w:rFonts w:ascii="Calibri" w:hAnsi="Calibri" w:cs="Calibri"/>
          <w:noProof/>
        </w:rPr>
        <w:t>NEDO, 2009. Trend Report of Development in Materials for Substitution of Scarce Metals. Tokyo.</w:t>
      </w:r>
    </w:p>
    <w:p w14:paraId="36B51998" w14:textId="77777777" w:rsidR="00D763C3" w:rsidRPr="00D763C3" w:rsidRDefault="00D763C3" w:rsidP="00D763C3">
      <w:pPr>
        <w:widowControl w:val="0"/>
        <w:autoSpaceDE w:val="0"/>
        <w:autoSpaceDN w:val="0"/>
        <w:adjustRightInd w:val="0"/>
        <w:spacing w:line="480" w:lineRule="auto"/>
        <w:ind w:left="480" w:hanging="480"/>
        <w:rPr>
          <w:rFonts w:ascii="Calibri" w:hAnsi="Calibri" w:cs="Calibri"/>
          <w:noProof/>
        </w:rPr>
      </w:pPr>
      <w:r w:rsidRPr="00D763C3">
        <w:rPr>
          <w:rFonts w:ascii="Calibri" w:hAnsi="Calibri" w:cs="Calibri"/>
          <w:noProof/>
        </w:rPr>
        <w:t>NRC, 2008. Minerals, Critical Minerals, and the U.S. Economy.</w:t>
      </w:r>
    </w:p>
    <w:p w14:paraId="5CA3A1FA" w14:textId="77777777" w:rsidR="00D763C3" w:rsidRPr="00D763C3" w:rsidRDefault="00D763C3" w:rsidP="00D763C3">
      <w:pPr>
        <w:widowControl w:val="0"/>
        <w:autoSpaceDE w:val="0"/>
        <w:autoSpaceDN w:val="0"/>
        <w:adjustRightInd w:val="0"/>
        <w:spacing w:line="480" w:lineRule="auto"/>
        <w:ind w:left="480" w:hanging="480"/>
        <w:rPr>
          <w:rFonts w:ascii="Calibri" w:hAnsi="Calibri" w:cs="Calibri"/>
          <w:noProof/>
        </w:rPr>
      </w:pPr>
      <w:r w:rsidRPr="00D763C3">
        <w:rPr>
          <w:rFonts w:ascii="Calibri" w:hAnsi="Calibri" w:cs="Calibri"/>
          <w:noProof/>
        </w:rPr>
        <w:t>NSTC, 2018. ASSESSMENT OF CRITICAL MINERALS: UPDATED APPLICATION OF SCREENING METHODOLOGY. J. Air Transp. 9, 1999–2001. https://doi.org/10.1002/mrdd.20080</w:t>
      </w:r>
    </w:p>
    <w:p w14:paraId="0C89D1C9" w14:textId="77777777" w:rsidR="00D763C3" w:rsidRPr="00D763C3" w:rsidRDefault="00D763C3" w:rsidP="00D763C3">
      <w:pPr>
        <w:widowControl w:val="0"/>
        <w:autoSpaceDE w:val="0"/>
        <w:autoSpaceDN w:val="0"/>
        <w:adjustRightInd w:val="0"/>
        <w:spacing w:line="480" w:lineRule="auto"/>
        <w:ind w:left="480" w:hanging="480"/>
        <w:rPr>
          <w:rFonts w:ascii="Calibri" w:hAnsi="Calibri" w:cs="Calibri"/>
          <w:noProof/>
        </w:rPr>
      </w:pPr>
      <w:r w:rsidRPr="00D763C3">
        <w:rPr>
          <w:rFonts w:ascii="Calibri" w:hAnsi="Calibri" w:cs="Calibri"/>
          <w:noProof/>
        </w:rPr>
        <w:t>NSTC, 2016. CSMSC Assessment of Critical Minerals Report 2016-03-16 FINAL. Natl. Sci. Technol. Counc.</w:t>
      </w:r>
    </w:p>
    <w:p w14:paraId="1E41B6F5" w14:textId="77777777" w:rsidR="00D763C3" w:rsidRPr="00D763C3" w:rsidRDefault="00D763C3" w:rsidP="00D763C3">
      <w:pPr>
        <w:widowControl w:val="0"/>
        <w:autoSpaceDE w:val="0"/>
        <w:autoSpaceDN w:val="0"/>
        <w:adjustRightInd w:val="0"/>
        <w:spacing w:line="480" w:lineRule="auto"/>
        <w:ind w:left="480" w:hanging="480"/>
        <w:rPr>
          <w:rFonts w:ascii="Calibri" w:hAnsi="Calibri" w:cs="Calibri"/>
          <w:noProof/>
        </w:rPr>
      </w:pPr>
      <w:r w:rsidRPr="00D763C3">
        <w:rPr>
          <w:rFonts w:ascii="Calibri" w:hAnsi="Calibri" w:cs="Calibri"/>
          <w:noProof/>
        </w:rPr>
        <w:t>Paley, W.S., 1952. Resources for Freedom, Volume 1. Foundations for Growth and Security, The President’s Material Policy Commission Report.</w:t>
      </w:r>
    </w:p>
    <w:p w14:paraId="5A148B8D" w14:textId="77777777" w:rsidR="00D763C3" w:rsidRPr="00D763C3" w:rsidRDefault="00D763C3" w:rsidP="00D763C3">
      <w:pPr>
        <w:widowControl w:val="0"/>
        <w:autoSpaceDE w:val="0"/>
        <w:autoSpaceDN w:val="0"/>
        <w:adjustRightInd w:val="0"/>
        <w:spacing w:line="480" w:lineRule="auto"/>
        <w:ind w:left="480" w:hanging="480"/>
        <w:rPr>
          <w:rFonts w:ascii="Calibri" w:hAnsi="Calibri" w:cs="Calibri"/>
          <w:noProof/>
        </w:rPr>
      </w:pPr>
      <w:r w:rsidRPr="00B4107A">
        <w:rPr>
          <w:rFonts w:ascii="Calibri" w:hAnsi="Calibri" w:cs="Calibri"/>
          <w:noProof/>
          <w:lang w:val="de-CH"/>
        </w:rPr>
        <w:t xml:space="preserve">Pauliuk, S., Milford, R.L., Müller, D.B., Allwood, J.M., 2013. </w:t>
      </w:r>
      <w:r w:rsidRPr="00D763C3">
        <w:rPr>
          <w:rFonts w:ascii="Calibri" w:hAnsi="Calibri" w:cs="Calibri"/>
          <w:noProof/>
        </w:rPr>
        <w:t>The steel scrap age. Environ. Sci. Technol. 47, 3448–3454. https://doi.org/10.1021/es303149z</w:t>
      </w:r>
    </w:p>
    <w:p w14:paraId="613A830D" w14:textId="77777777" w:rsidR="00D763C3" w:rsidRPr="00D763C3" w:rsidRDefault="00D763C3" w:rsidP="00D763C3">
      <w:pPr>
        <w:widowControl w:val="0"/>
        <w:autoSpaceDE w:val="0"/>
        <w:autoSpaceDN w:val="0"/>
        <w:adjustRightInd w:val="0"/>
        <w:spacing w:line="480" w:lineRule="auto"/>
        <w:ind w:left="480" w:hanging="480"/>
        <w:rPr>
          <w:rFonts w:ascii="Calibri" w:hAnsi="Calibri" w:cs="Calibri"/>
          <w:noProof/>
        </w:rPr>
      </w:pPr>
      <w:r w:rsidRPr="00D763C3">
        <w:rPr>
          <w:rFonts w:ascii="Calibri" w:hAnsi="Calibri" w:cs="Calibri"/>
          <w:noProof/>
        </w:rPr>
        <w:t xml:space="preserve">R.L. Moss, Tzimas, E., Willis, P., Arendorf, J., Espinoza, L.T., et al., 2013. Critical Metals in the Path towards the Decarbonisation of the EU Energy Sector. JRC Scientific &amp; Policy Report, European Commission. Luxembourg: Publications Office of the European Union. </w:t>
      </w:r>
      <w:r w:rsidRPr="00D763C3">
        <w:rPr>
          <w:rFonts w:ascii="Calibri" w:hAnsi="Calibri" w:cs="Calibri"/>
          <w:noProof/>
        </w:rPr>
        <w:lastRenderedPageBreak/>
        <w:t>https://doi.org/10.2790/46338</w:t>
      </w:r>
    </w:p>
    <w:p w14:paraId="1CC279F8" w14:textId="77777777" w:rsidR="00D763C3" w:rsidRPr="00D763C3" w:rsidRDefault="00D763C3" w:rsidP="00D763C3">
      <w:pPr>
        <w:widowControl w:val="0"/>
        <w:autoSpaceDE w:val="0"/>
        <w:autoSpaceDN w:val="0"/>
        <w:adjustRightInd w:val="0"/>
        <w:spacing w:line="480" w:lineRule="auto"/>
        <w:ind w:left="480" w:hanging="480"/>
        <w:rPr>
          <w:rFonts w:ascii="Calibri" w:hAnsi="Calibri" w:cs="Calibri"/>
          <w:noProof/>
        </w:rPr>
      </w:pPr>
      <w:r w:rsidRPr="00D763C3">
        <w:rPr>
          <w:rFonts w:ascii="Calibri" w:hAnsi="Calibri" w:cs="Calibri"/>
          <w:noProof/>
        </w:rPr>
        <w:t>Riddle, M., Macal, C.M., Conzelmann, G., Combs, T.E., Bauer, D., Fields, F., 2015. Global critical materials markets: An agent-based modeling approach. Resour. Policy 45, 307–321. https://doi.org/10.1016/j.resourpol.2015.01.002</w:t>
      </w:r>
    </w:p>
    <w:p w14:paraId="6BCDD650" w14:textId="77777777" w:rsidR="00D763C3" w:rsidRPr="00B4107A" w:rsidRDefault="00D763C3" w:rsidP="00D763C3">
      <w:pPr>
        <w:widowControl w:val="0"/>
        <w:autoSpaceDE w:val="0"/>
        <w:autoSpaceDN w:val="0"/>
        <w:adjustRightInd w:val="0"/>
        <w:spacing w:line="480" w:lineRule="auto"/>
        <w:ind w:left="480" w:hanging="480"/>
        <w:rPr>
          <w:rFonts w:ascii="Calibri" w:hAnsi="Calibri" w:cs="Calibri"/>
          <w:noProof/>
          <w:lang w:val="de-CH"/>
        </w:rPr>
      </w:pPr>
      <w:r w:rsidRPr="00D763C3">
        <w:rPr>
          <w:rFonts w:ascii="Calibri" w:hAnsi="Calibri" w:cs="Calibri"/>
          <w:noProof/>
        </w:rPr>
        <w:t xml:space="preserve">Roelich, K., Dawson, D.A., Purnell, P., Knoeri, C., Revell, R., Busch, J., Steinberger, J.K., 2014. Assessing the dynamic material criticality of infrastructure transitions: A case of low carbon electricity. </w:t>
      </w:r>
      <w:r w:rsidRPr="00B4107A">
        <w:rPr>
          <w:rFonts w:ascii="Calibri" w:hAnsi="Calibri" w:cs="Calibri"/>
          <w:noProof/>
          <w:lang w:val="de-CH"/>
        </w:rPr>
        <w:t>Appl. Energy 123, 378–386. https://doi.org/10.1016/j.apenergy.2014.01.052</w:t>
      </w:r>
    </w:p>
    <w:p w14:paraId="52A3B63E" w14:textId="77777777" w:rsidR="00D763C3" w:rsidRPr="00D763C3" w:rsidRDefault="00D763C3" w:rsidP="00D763C3">
      <w:pPr>
        <w:widowControl w:val="0"/>
        <w:autoSpaceDE w:val="0"/>
        <w:autoSpaceDN w:val="0"/>
        <w:adjustRightInd w:val="0"/>
        <w:spacing w:line="480" w:lineRule="auto"/>
        <w:ind w:left="480" w:hanging="480"/>
        <w:rPr>
          <w:rFonts w:ascii="Calibri" w:hAnsi="Calibri" w:cs="Calibri"/>
          <w:noProof/>
        </w:rPr>
      </w:pPr>
      <w:r w:rsidRPr="00B4107A">
        <w:rPr>
          <w:rFonts w:ascii="Calibri" w:hAnsi="Calibri" w:cs="Calibri"/>
          <w:noProof/>
          <w:lang w:val="de-CH"/>
        </w:rPr>
        <w:t xml:space="preserve">Rosenau-Tornow, D., Buchholz, P., Riemann, A., Wagner, M., 2009. </w:t>
      </w:r>
      <w:r w:rsidRPr="00D763C3">
        <w:rPr>
          <w:rFonts w:ascii="Calibri" w:hAnsi="Calibri" w:cs="Calibri"/>
          <w:noProof/>
        </w:rPr>
        <w:t>Assessing the long-term supply risks for mineral raw materials-a combined evaluation of past and future trends. Resour. Policy 34, 161–175. https://doi.org/10.1016/j.resourpol.2009.07.001</w:t>
      </w:r>
    </w:p>
    <w:p w14:paraId="6D935A0A" w14:textId="77777777" w:rsidR="00D763C3" w:rsidRPr="00D763C3" w:rsidRDefault="00D763C3" w:rsidP="00D763C3">
      <w:pPr>
        <w:widowControl w:val="0"/>
        <w:autoSpaceDE w:val="0"/>
        <w:autoSpaceDN w:val="0"/>
        <w:adjustRightInd w:val="0"/>
        <w:spacing w:line="480" w:lineRule="auto"/>
        <w:ind w:left="480" w:hanging="480"/>
        <w:rPr>
          <w:rFonts w:ascii="Calibri" w:hAnsi="Calibri" w:cs="Calibri"/>
          <w:noProof/>
        </w:rPr>
      </w:pPr>
      <w:r w:rsidRPr="00D763C3">
        <w:rPr>
          <w:rFonts w:ascii="Calibri" w:hAnsi="Calibri" w:cs="Calibri"/>
          <w:noProof/>
        </w:rPr>
        <w:t>Speirs, J., Houari, Y., Gross, R., 2013. Materials Availability : Comparison of material criticality studies - methodologies and results Working Paper III. UK Energy Res. Cent. 30.</w:t>
      </w:r>
    </w:p>
    <w:p w14:paraId="48F21297" w14:textId="77777777" w:rsidR="00D763C3" w:rsidRPr="00D763C3" w:rsidRDefault="00D763C3" w:rsidP="00D763C3">
      <w:pPr>
        <w:widowControl w:val="0"/>
        <w:autoSpaceDE w:val="0"/>
        <w:autoSpaceDN w:val="0"/>
        <w:adjustRightInd w:val="0"/>
        <w:spacing w:line="480" w:lineRule="auto"/>
        <w:ind w:left="480" w:hanging="480"/>
        <w:rPr>
          <w:rFonts w:ascii="Calibri" w:hAnsi="Calibri" w:cs="Calibri"/>
          <w:noProof/>
        </w:rPr>
      </w:pPr>
      <w:r w:rsidRPr="00D763C3">
        <w:rPr>
          <w:rFonts w:ascii="Calibri" w:hAnsi="Calibri" w:cs="Calibri"/>
          <w:noProof/>
        </w:rPr>
        <w:t>Spörri, A., Kissling-Näf, I., Seyler, C., Bernath, K., Du, X., Wäger, P., 2017. RESourcenCHECK für KMU - Final report.</w:t>
      </w:r>
    </w:p>
    <w:p w14:paraId="09C0067F" w14:textId="28C8ED64" w:rsidR="00D763C3" w:rsidRPr="00461A6A" w:rsidRDefault="00D763C3" w:rsidP="00D763C3">
      <w:pPr>
        <w:widowControl w:val="0"/>
        <w:autoSpaceDE w:val="0"/>
        <w:autoSpaceDN w:val="0"/>
        <w:adjustRightInd w:val="0"/>
        <w:spacing w:line="480" w:lineRule="auto"/>
        <w:ind w:left="480" w:hanging="480"/>
        <w:rPr>
          <w:rFonts w:ascii="Calibri" w:hAnsi="Calibri" w:cs="Calibri"/>
          <w:noProof/>
        </w:rPr>
      </w:pPr>
      <w:r w:rsidRPr="00B4107A">
        <w:rPr>
          <w:rFonts w:ascii="Calibri" w:hAnsi="Calibri" w:cs="Calibri"/>
          <w:noProof/>
          <w:lang w:val="de-CH"/>
        </w:rPr>
        <w:t xml:space="preserve">Sprecher, B., Daigo, I., Murakami, S., Kleijn, R., Vos, M., Kramer, G.J., 2015. </w:t>
      </w:r>
      <w:r w:rsidRPr="00D763C3">
        <w:rPr>
          <w:rFonts w:ascii="Calibri" w:hAnsi="Calibri" w:cs="Calibri"/>
          <w:noProof/>
        </w:rPr>
        <w:t xml:space="preserve">Framework for resilience in material supply chains, with a case study from the 2010 rare earth crisis. </w:t>
      </w:r>
      <w:r w:rsidRPr="00461A6A">
        <w:rPr>
          <w:rFonts w:ascii="Calibri" w:hAnsi="Calibri" w:cs="Calibri"/>
          <w:noProof/>
        </w:rPr>
        <w:t>Environ. Sci. Technol. 49, 6740–6750. https://doi.org/10.1021/acs.est.5b00206</w:t>
      </w:r>
    </w:p>
    <w:p w14:paraId="3F47EDAB" w14:textId="50FD6961" w:rsidR="00B04A71" w:rsidRPr="00461A6A" w:rsidRDefault="00B04A71" w:rsidP="00B04A71">
      <w:pPr>
        <w:widowControl w:val="0"/>
        <w:autoSpaceDE w:val="0"/>
        <w:autoSpaceDN w:val="0"/>
        <w:adjustRightInd w:val="0"/>
        <w:spacing w:line="480" w:lineRule="auto"/>
        <w:ind w:left="480" w:hanging="480"/>
        <w:rPr>
          <w:rFonts w:ascii="Calibri" w:hAnsi="Calibri" w:cs="Calibri"/>
          <w:noProof/>
        </w:rPr>
      </w:pPr>
      <w:r w:rsidRPr="00461A6A">
        <w:rPr>
          <w:rFonts w:ascii="Calibri" w:hAnsi="Calibri" w:cs="Calibri"/>
          <w:noProof/>
          <w:lang w:val="nl-NL"/>
        </w:rPr>
        <w:t>S</w:t>
      </w:r>
      <w:r w:rsidRPr="00B4107A">
        <w:rPr>
          <w:rFonts w:ascii="Calibri" w:hAnsi="Calibri" w:cs="Calibri"/>
          <w:noProof/>
          <w:highlight w:val="yellow"/>
          <w:lang w:val="nl-NL"/>
        </w:rPr>
        <w:t>precher, B., Daigo, I., Spekkink, W., Vos, M., Kleijn, R., Murakami, S., Kramer, G.J.</w:t>
      </w:r>
      <w:r w:rsidR="00084BFC" w:rsidRPr="00B4107A">
        <w:rPr>
          <w:rFonts w:ascii="Calibri" w:hAnsi="Calibri" w:cs="Calibri"/>
          <w:noProof/>
          <w:highlight w:val="yellow"/>
          <w:lang w:val="nl-NL"/>
        </w:rPr>
        <w:t>, 2017.</w:t>
      </w:r>
      <w:r w:rsidRPr="00B4107A">
        <w:rPr>
          <w:rFonts w:ascii="Calibri" w:hAnsi="Calibri" w:cs="Calibri"/>
          <w:noProof/>
          <w:highlight w:val="yellow"/>
          <w:lang w:val="nl-NL"/>
        </w:rPr>
        <w:t xml:space="preserve"> </w:t>
      </w:r>
      <w:r w:rsidRPr="00B4107A">
        <w:rPr>
          <w:rFonts w:ascii="Calibri" w:hAnsi="Calibri" w:cs="Calibri"/>
          <w:noProof/>
          <w:highlight w:val="yellow"/>
        </w:rPr>
        <w:t xml:space="preserve">Novel Indicators for the Quantification of Resilience in Critical Material Supply Chains, with a 2010 Rare Earth Crisis Case Study. Environ. Sci. Technol. 51, 3860-3870. </w:t>
      </w:r>
      <w:hyperlink r:id="rId22" w:tooltip="DOI URL" w:history="1">
        <w:r w:rsidRPr="00B4107A">
          <w:rPr>
            <w:rFonts w:ascii="Calibri" w:hAnsi="Calibri" w:cs="Calibri"/>
            <w:noProof/>
            <w:highlight w:val="yellow"/>
          </w:rPr>
          <w:t>https://doi.org/10.1021/acs.est.6b05751</w:t>
        </w:r>
      </w:hyperlink>
    </w:p>
    <w:p w14:paraId="26C5EF3C" w14:textId="77777777" w:rsidR="00D763C3" w:rsidRPr="00824A40" w:rsidRDefault="00D763C3" w:rsidP="00D763C3">
      <w:pPr>
        <w:widowControl w:val="0"/>
        <w:autoSpaceDE w:val="0"/>
        <w:autoSpaceDN w:val="0"/>
        <w:adjustRightInd w:val="0"/>
        <w:spacing w:line="480" w:lineRule="auto"/>
        <w:ind w:left="480" w:hanging="480"/>
        <w:rPr>
          <w:rFonts w:ascii="Calibri" w:hAnsi="Calibri" w:cs="Calibri"/>
          <w:noProof/>
        </w:rPr>
      </w:pPr>
      <w:r w:rsidRPr="00461A6A">
        <w:rPr>
          <w:rFonts w:ascii="Calibri" w:hAnsi="Calibri" w:cs="Calibri"/>
          <w:noProof/>
        </w:rPr>
        <w:t xml:space="preserve">Swissmem, 2015. </w:t>
      </w:r>
      <w:r w:rsidRPr="00040D76">
        <w:rPr>
          <w:rFonts w:ascii="Calibri" w:hAnsi="Calibri" w:cs="Calibri"/>
          <w:noProof/>
        </w:rPr>
        <w:t xml:space="preserve">Metal Risk Check [WWW Document]. URL www.metal-risk-check.ch (accessed </w:t>
      </w:r>
      <w:r w:rsidRPr="00040D76">
        <w:rPr>
          <w:rFonts w:ascii="Calibri" w:hAnsi="Calibri" w:cs="Calibri"/>
          <w:noProof/>
        </w:rPr>
        <w:lastRenderedPageBreak/>
        <w:t>6.13.19).</w:t>
      </w:r>
    </w:p>
    <w:p w14:paraId="12779403" w14:textId="77777777" w:rsidR="00D763C3" w:rsidRPr="00000B19" w:rsidRDefault="00D763C3" w:rsidP="00D763C3">
      <w:pPr>
        <w:widowControl w:val="0"/>
        <w:autoSpaceDE w:val="0"/>
        <w:autoSpaceDN w:val="0"/>
        <w:adjustRightInd w:val="0"/>
        <w:spacing w:line="480" w:lineRule="auto"/>
        <w:ind w:left="480" w:hanging="480"/>
        <w:rPr>
          <w:rFonts w:ascii="Calibri" w:hAnsi="Calibri" w:cs="Calibri"/>
          <w:noProof/>
        </w:rPr>
      </w:pPr>
      <w:r w:rsidRPr="00B6610A">
        <w:rPr>
          <w:rFonts w:ascii="Calibri" w:hAnsi="Calibri" w:cs="Calibri"/>
          <w:noProof/>
        </w:rPr>
        <w:t>Thomason, J.S., Atwell, Robert, J., Bajraktari, Y., Bell, J.P., Barnett, D.S., Karvonides, N.S.J., Niles, M.F., Schwartz, E.L., 2010. From National Defense Stockpile (NDS) to Strategic Materials Security Program (SMSP): Evidence and Analytic Support. IDA I</w:t>
      </w:r>
      <w:r w:rsidRPr="00000B19">
        <w:rPr>
          <w:rFonts w:ascii="Calibri" w:hAnsi="Calibri" w:cs="Calibri"/>
          <w:noProof/>
        </w:rPr>
        <w:t>nst. Def. Anal. I.</w:t>
      </w:r>
    </w:p>
    <w:p w14:paraId="1075E7F2" w14:textId="77777777" w:rsidR="00D763C3" w:rsidRPr="00000B19" w:rsidRDefault="00D763C3" w:rsidP="00D763C3">
      <w:pPr>
        <w:widowControl w:val="0"/>
        <w:autoSpaceDE w:val="0"/>
        <w:autoSpaceDN w:val="0"/>
        <w:adjustRightInd w:val="0"/>
        <w:spacing w:line="480" w:lineRule="auto"/>
        <w:ind w:left="480" w:hanging="480"/>
        <w:rPr>
          <w:rFonts w:ascii="Calibri" w:hAnsi="Calibri" w:cs="Calibri"/>
          <w:noProof/>
        </w:rPr>
      </w:pPr>
      <w:r w:rsidRPr="00000B19">
        <w:rPr>
          <w:rFonts w:ascii="Calibri" w:hAnsi="Calibri" w:cs="Calibri"/>
          <w:noProof/>
        </w:rPr>
        <w:t>Tilton, J.E., 2003. On borrowed time? Assessing the threat of mineral depletion. RFF Press, Washington, DC.</w:t>
      </w:r>
    </w:p>
    <w:p w14:paraId="164FF2E0" w14:textId="77777777" w:rsidR="00D763C3" w:rsidRPr="00000B19" w:rsidRDefault="00D763C3" w:rsidP="00D763C3">
      <w:pPr>
        <w:widowControl w:val="0"/>
        <w:autoSpaceDE w:val="0"/>
        <w:autoSpaceDN w:val="0"/>
        <w:adjustRightInd w:val="0"/>
        <w:spacing w:line="480" w:lineRule="auto"/>
        <w:ind w:left="480" w:hanging="480"/>
        <w:rPr>
          <w:rFonts w:ascii="Calibri" w:hAnsi="Calibri" w:cs="Calibri"/>
          <w:noProof/>
        </w:rPr>
      </w:pPr>
      <w:r w:rsidRPr="00000B19">
        <w:rPr>
          <w:rFonts w:ascii="Calibri" w:hAnsi="Calibri" w:cs="Calibri"/>
          <w:noProof/>
        </w:rPr>
        <w:t>Tilton, J.E., 2001. Depletion and the long-run availability of mineral commodities, Workshop on the Long-Run availability of mineral commodities. IIED for WBCSD, Washington D.C.</w:t>
      </w:r>
    </w:p>
    <w:p w14:paraId="14254B8D" w14:textId="77777777" w:rsidR="00D763C3" w:rsidRPr="00000B19" w:rsidRDefault="00D763C3" w:rsidP="00D763C3">
      <w:pPr>
        <w:widowControl w:val="0"/>
        <w:autoSpaceDE w:val="0"/>
        <w:autoSpaceDN w:val="0"/>
        <w:adjustRightInd w:val="0"/>
        <w:spacing w:line="480" w:lineRule="auto"/>
        <w:ind w:left="480" w:hanging="480"/>
        <w:rPr>
          <w:rFonts w:ascii="Calibri" w:hAnsi="Calibri" w:cs="Calibri"/>
          <w:noProof/>
        </w:rPr>
      </w:pPr>
      <w:r w:rsidRPr="00000B19">
        <w:rPr>
          <w:rFonts w:ascii="Calibri" w:hAnsi="Calibri" w:cs="Calibri"/>
          <w:noProof/>
        </w:rPr>
        <w:t>U.S. Department of Energy, 2011. Critical materials strategy.</w:t>
      </w:r>
    </w:p>
    <w:p w14:paraId="75D02155" w14:textId="77777777" w:rsidR="00D763C3" w:rsidRPr="00B4107A" w:rsidRDefault="00D763C3" w:rsidP="00D763C3">
      <w:pPr>
        <w:widowControl w:val="0"/>
        <w:autoSpaceDE w:val="0"/>
        <w:autoSpaceDN w:val="0"/>
        <w:adjustRightInd w:val="0"/>
        <w:spacing w:line="480" w:lineRule="auto"/>
        <w:ind w:left="480" w:hanging="480"/>
        <w:rPr>
          <w:rFonts w:ascii="Calibri" w:hAnsi="Calibri" w:cs="Calibri"/>
          <w:noProof/>
          <w:lang w:val="de-CH"/>
        </w:rPr>
      </w:pPr>
      <w:r w:rsidRPr="00000B19">
        <w:rPr>
          <w:rFonts w:ascii="Calibri" w:hAnsi="Calibri" w:cs="Calibri"/>
          <w:noProof/>
        </w:rPr>
        <w:t xml:space="preserve">UNEP, 2011. Recycling rates of Metals - A Status Report, A Report of the Working Group on the Global Metal Flows to the International Resource Panel. </w:t>
      </w:r>
      <w:r w:rsidRPr="00B4107A">
        <w:rPr>
          <w:rFonts w:ascii="Calibri" w:hAnsi="Calibri" w:cs="Calibri"/>
          <w:noProof/>
          <w:lang w:val="de-CH"/>
        </w:rPr>
        <w:t>Graedel, T. E.; Allwood, J.; Birat, J.-P.; Reck, B.K.; Sibley, S.F.; Sonnemann, G.; Buchert, M.; Hagelüken, C.</w:t>
      </w:r>
    </w:p>
    <w:p w14:paraId="4C9BB429" w14:textId="77777777" w:rsidR="00D763C3" w:rsidRPr="00040D76" w:rsidRDefault="00D763C3" w:rsidP="00D763C3">
      <w:pPr>
        <w:widowControl w:val="0"/>
        <w:autoSpaceDE w:val="0"/>
        <w:autoSpaceDN w:val="0"/>
        <w:adjustRightInd w:val="0"/>
        <w:spacing w:line="480" w:lineRule="auto"/>
        <w:ind w:left="480" w:hanging="480"/>
        <w:rPr>
          <w:rFonts w:ascii="Calibri" w:hAnsi="Calibri" w:cs="Calibri"/>
          <w:noProof/>
        </w:rPr>
      </w:pPr>
      <w:r w:rsidRPr="00040D76">
        <w:rPr>
          <w:rFonts w:ascii="Calibri" w:hAnsi="Calibri" w:cs="Calibri"/>
          <w:noProof/>
        </w:rPr>
        <w:t>US Department of Interior, 2018. Federal Register: Draft List of Critical Minerals. Washington, DC.</w:t>
      </w:r>
    </w:p>
    <w:p w14:paraId="0C5B7385" w14:textId="77777777" w:rsidR="00D763C3" w:rsidRPr="00000B19" w:rsidRDefault="00D763C3" w:rsidP="00D763C3">
      <w:pPr>
        <w:widowControl w:val="0"/>
        <w:autoSpaceDE w:val="0"/>
        <w:autoSpaceDN w:val="0"/>
        <w:adjustRightInd w:val="0"/>
        <w:spacing w:line="480" w:lineRule="auto"/>
        <w:ind w:left="480" w:hanging="480"/>
        <w:rPr>
          <w:rFonts w:ascii="Calibri" w:hAnsi="Calibri" w:cs="Calibri"/>
          <w:noProof/>
        </w:rPr>
      </w:pPr>
      <w:r w:rsidRPr="00B6610A">
        <w:rPr>
          <w:rFonts w:ascii="Calibri" w:hAnsi="Calibri" w:cs="Calibri"/>
          <w:noProof/>
        </w:rPr>
        <w:t>Valero, A., 2015. The Destiny of the Ear</w:t>
      </w:r>
      <w:r w:rsidRPr="00000B19">
        <w:rPr>
          <w:rFonts w:ascii="Calibri" w:hAnsi="Calibri" w:cs="Calibri"/>
          <w:noProof/>
        </w:rPr>
        <w:t>th ’ s A Thermodynamic Cradle-to-Cradle Assessment.</w:t>
      </w:r>
    </w:p>
    <w:p w14:paraId="2B6B7B00" w14:textId="77777777" w:rsidR="00D763C3" w:rsidRPr="00000B19" w:rsidRDefault="00D763C3" w:rsidP="00D763C3">
      <w:pPr>
        <w:widowControl w:val="0"/>
        <w:autoSpaceDE w:val="0"/>
        <w:autoSpaceDN w:val="0"/>
        <w:adjustRightInd w:val="0"/>
        <w:spacing w:line="480" w:lineRule="auto"/>
        <w:ind w:left="480" w:hanging="480"/>
        <w:rPr>
          <w:rFonts w:ascii="Calibri" w:hAnsi="Calibri" w:cs="Calibri"/>
          <w:noProof/>
        </w:rPr>
      </w:pPr>
      <w:r w:rsidRPr="00000B19">
        <w:rPr>
          <w:rFonts w:ascii="Calibri" w:hAnsi="Calibri" w:cs="Calibri"/>
          <w:noProof/>
        </w:rPr>
        <w:t>Valero, Antonio, Agudelo, A., Valero, Alicia, 2011. The crepuscular planet. A model for the exhausted atmosphere and hydrosphere. Energy 36, 3745–3753. https://doi.org/10.1016/j.energy.2010.07.017</w:t>
      </w:r>
    </w:p>
    <w:p w14:paraId="555A85FE" w14:textId="77777777" w:rsidR="00D763C3" w:rsidRPr="00461A6A" w:rsidRDefault="00D763C3" w:rsidP="00D763C3">
      <w:pPr>
        <w:widowControl w:val="0"/>
        <w:autoSpaceDE w:val="0"/>
        <w:autoSpaceDN w:val="0"/>
        <w:adjustRightInd w:val="0"/>
        <w:spacing w:line="480" w:lineRule="auto"/>
        <w:ind w:left="480" w:hanging="480"/>
        <w:rPr>
          <w:rFonts w:ascii="Calibri" w:hAnsi="Calibri" w:cs="Calibri"/>
          <w:noProof/>
          <w:lang w:val="nl-NL"/>
        </w:rPr>
      </w:pPr>
      <w:r w:rsidRPr="00000B19">
        <w:rPr>
          <w:rFonts w:ascii="Calibri" w:hAnsi="Calibri" w:cs="Calibri"/>
          <w:noProof/>
        </w:rPr>
        <w:t xml:space="preserve">VDI, 2018. VDI Standard 4800 Part 2: Resource efficiency - Evaluation of raw material demand [WWW Document]. </w:t>
      </w:r>
      <w:r w:rsidRPr="00461A6A">
        <w:rPr>
          <w:rFonts w:ascii="Calibri" w:hAnsi="Calibri" w:cs="Calibri"/>
          <w:noProof/>
          <w:lang w:val="nl-NL"/>
        </w:rPr>
        <w:t>URL https://www.vdi.de/richtlinien?tx_vdiguidelines_guidelinelist%5Bfilter%5D%5BsearchTerm%5D=4800-2&amp;cHash=ebc6bd6760e6653158a1713e0605477f</w:t>
      </w:r>
    </w:p>
    <w:p w14:paraId="0CD336B2" w14:textId="77777777" w:rsidR="00D763C3" w:rsidRPr="00040D76" w:rsidRDefault="00D763C3" w:rsidP="00D763C3">
      <w:pPr>
        <w:widowControl w:val="0"/>
        <w:autoSpaceDE w:val="0"/>
        <w:autoSpaceDN w:val="0"/>
        <w:adjustRightInd w:val="0"/>
        <w:spacing w:line="480" w:lineRule="auto"/>
        <w:ind w:left="480" w:hanging="480"/>
        <w:rPr>
          <w:rFonts w:ascii="Calibri" w:hAnsi="Calibri" w:cs="Calibri"/>
          <w:noProof/>
        </w:rPr>
      </w:pPr>
      <w:r w:rsidRPr="00461A6A">
        <w:rPr>
          <w:rFonts w:ascii="Calibri" w:hAnsi="Calibri" w:cs="Calibri"/>
          <w:noProof/>
          <w:lang w:val="nl-NL"/>
        </w:rPr>
        <w:lastRenderedPageBreak/>
        <w:t xml:space="preserve">Weidema, B.P., Bauer, C., Hischier, R., Mutel, C., Nemecek, T., Reinhard, J., Vadenbo, C.O., Wernet, G., 2013. </w:t>
      </w:r>
      <w:r w:rsidRPr="00040D76">
        <w:rPr>
          <w:rFonts w:ascii="Calibri" w:hAnsi="Calibri" w:cs="Calibri"/>
          <w:noProof/>
        </w:rPr>
        <w:t>Overview and methodology - Data quality guideline for the ecoinvent database version 3. Ecoinvent Report 1 (v3). St. Gallen: The ecoinvent Centre.</w:t>
      </w:r>
    </w:p>
    <w:p w14:paraId="1DE600D7" w14:textId="77777777" w:rsidR="00D763C3" w:rsidRPr="00000B19" w:rsidRDefault="00D763C3" w:rsidP="00D763C3">
      <w:pPr>
        <w:widowControl w:val="0"/>
        <w:autoSpaceDE w:val="0"/>
        <w:autoSpaceDN w:val="0"/>
        <w:adjustRightInd w:val="0"/>
        <w:spacing w:line="480" w:lineRule="auto"/>
        <w:ind w:left="480" w:hanging="480"/>
        <w:rPr>
          <w:rFonts w:ascii="Calibri" w:hAnsi="Calibri" w:cs="Calibri"/>
          <w:noProof/>
        </w:rPr>
      </w:pPr>
      <w:r w:rsidRPr="00B6610A">
        <w:rPr>
          <w:rFonts w:ascii="Calibri" w:hAnsi="Calibri" w:cs="Calibri"/>
          <w:noProof/>
        </w:rPr>
        <w:t>Weidema, B.P</w:t>
      </w:r>
      <w:r w:rsidRPr="00000B19">
        <w:rPr>
          <w:rFonts w:ascii="Calibri" w:hAnsi="Calibri" w:cs="Calibri"/>
          <w:noProof/>
        </w:rPr>
        <w:t>., Wesnæs, M.S., 1996. Data quality management for life cycle inventories-an example of using data quality indicators. J. Clean. Prod. 4, 167–174. https://doi.org/10.1016/S0959-6526(96)00043-1</w:t>
      </w:r>
    </w:p>
    <w:p w14:paraId="1BBAF819" w14:textId="77777777" w:rsidR="00D763C3" w:rsidRPr="00000B19" w:rsidRDefault="00D763C3" w:rsidP="00D763C3">
      <w:pPr>
        <w:widowControl w:val="0"/>
        <w:autoSpaceDE w:val="0"/>
        <w:autoSpaceDN w:val="0"/>
        <w:adjustRightInd w:val="0"/>
        <w:spacing w:line="480" w:lineRule="auto"/>
        <w:ind w:left="480" w:hanging="480"/>
        <w:rPr>
          <w:rFonts w:ascii="Calibri" w:hAnsi="Calibri" w:cs="Calibri"/>
          <w:noProof/>
        </w:rPr>
      </w:pPr>
      <w:r w:rsidRPr="00000B19">
        <w:rPr>
          <w:rFonts w:ascii="Calibri" w:hAnsi="Calibri" w:cs="Calibri"/>
          <w:noProof/>
        </w:rPr>
        <w:t>Werner, T.T., Mudd, G.M., Jowitt, S.M., 2017. The world’s by-product and critical metal resources part II: A method for quantifying the resources of rarely reported metals. Ore Geol. Rev. 80, 658–675. https://doi.org/10.1016/j.oregeorev.2016.08.008</w:t>
      </w:r>
    </w:p>
    <w:p w14:paraId="6ECC8F33" w14:textId="77777777" w:rsidR="00D763C3" w:rsidRPr="00B03776" w:rsidRDefault="00D763C3" w:rsidP="00D763C3">
      <w:pPr>
        <w:widowControl w:val="0"/>
        <w:autoSpaceDE w:val="0"/>
        <w:autoSpaceDN w:val="0"/>
        <w:adjustRightInd w:val="0"/>
        <w:spacing w:line="480" w:lineRule="auto"/>
        <w:ind w:left="480" w:hanging="480"/>
        <w:rPr>
          <w:rFonts w:ascii="Calibri" w:hAnsi="Calibri" w:cs="Calibri"/>
          <w:noProof/>
        </w:rPr>
      </w:pPr>
      <w:r w:rsidRPr="00000B19">
        <w:rPr>
          <w:rFonts w:ascii="Calibri" w:hAnsi="Calibri" w:cs="Calibri"/>
          <w:noProof/>
        </w:rPr>
        <w:t xml:space="preserve">Wübbeke, J., 2013. Rare earth elements in China: Policies and narratives of reinventing an industry. </w:t>
      </w:r>
      <w:r w:rsidRPr="00B03776">
        <w:rPr>
          <w:rFonts w:ascii="Calibri" w:hAnsi="Calibri" w:cs="Calibri"/>
          <w:noProof/>
        </w:rPr>
        <w:t>Resour. Policy 38, 384–394. https://doi.org/10.1016/j.resourpol.2013.05.005</w:t>
      </w:r>
    </w:p>
    <w:p w14:paraId="30B9755B" w14:textId="67DAB5D1" w:rsidR="009F2906" w:rsidRDefault="005131B9" w:rsidP="00863B14">
      <w:pPr>
        <w:widowControl w:val="0"/>
        <w:autoSpaceDE w:val="0"/>
        <w:autoSpaceDN w:val="0"/>
        <w:adjustRightInd w:val="0"/>
        <w:spacing w:line="480" w:lineRule="auto"/>
        <w:rPr>
          <w:rFonts w:ascii="Arial" w:hAnsi="Arial" w:cs="Arial"/>
          <w:sz w:val="32"/>
          <w:szCs w:val="32"/>
          <w:lang w:val="en-GB"/>
        </w:rPr>
      </w:pPr>
      <w:r>
        <w:fldChar w:fldCharType="end"/>
      </w:r>
      <w:r w:rsidR="00CD76E8">
        <w:rPr>
          <w:rFonts w:ascii="Arial" w:hAnsi="Arial" w:cs="Arial"/>
          <w:sz w:val="32"/>
          <w:szCs w:val="32"/>
          <w:lang w:val="en-GB"/>
        </w:rPr>
        <w:t xml:space="preserve"> </w:t>
      </w:r>
    </w:p>
    <w:p w14:paraId="5A371219" w14:textId="77777777" w:rsidR="009F2906" w:rsidRPr="00033FAA" w:rsidRDefault="009F2906" w:rsidP="00863B14">
      <w:pPr>
        <w:widowControl w:val="0"/>
        <w:autoSpaceDE w:val="0"/>
        <w:autoSpaceDN w:val="0"/>
        <w:adjustRightInd w:val="0"/>
        <w:spacing w:line="480" w:lineRule="auto"/>
        <w:rPr>
          <w:rFonts w:ascii="Arial" w:hAnsi="Arial" w:cs="Arial"/>
          <w:sz w:val="32"/>
          <w:szCs w:val="32"/>
          <w:lang w:val="en-GB"/>
        </w:rPr>
      </w:pPr>
    </w:p>
    <w:sectPr w:rsidR="009F2906" w:rsidRPr="00033FAA" w:rsidSect="00863B14">
      <w:pgSz w:w="12240" w:h="15840"/>
      <w:pgMar w:top="1417" w:right="1417" w:bottom="1417"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1282EB" w14:textId="77777777" w:rsidR="00444B2B" w:rsidRDefault="00444B2B" w:rsidP="004F4B91">
      <w:r>
        <w:separator/>
      </w:r>
    </w:p>
  </w:endnote>
  <w:endnote w:type="continuationSeparator" w:id="0">
    <w:p w14:paraId="0EB82FBE" w14:textId="77777777" w:rsidR="00444B2B" w:rsidRDefault="00444B2B" w:rsidP="004F4B91">
      <w:r>
        <w:continuationSeparator/>
      </w:r>
    </w:p>
  </w:endnote>
  <w:endnote w:type="continuationNotice" w:id="1">
    <w:p w14:paraId="2EFB6E09" w14:textId="77777777" w:rsidR="00444B2B" w:rsidRDefault="00444B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20002A87" w:usb1="00000000" w:usb2="00000000"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altName w:val="Times New Roman"/>
    <w:panose1 w:val="020B0604020202020204"/>
    <w:charset w:val="00"/>
    <w:family w:val="swiss"/>
    <w:pitch w:val="variable"/>
    <w:sig w:usb0="E4002EFF" w:usb1="C000E47F" w:usb2="00000009" w:usb3="00000000" w:csb0="000001FF" w:csb1="00000000"/>
  </w:font>
  <w:font w:name="Tw Cen MT">
    <w:panose1 w:val="020B0602020104020603"/>
    <w:charset w:val="00"/>
    <w:family w:val="swiss"/>
    <w:pitch w:val="variable"/>
    <w:sig w:usb0="00000007" w:usb1="00000000" w:usb2="00000000" w:usb3="00000000" w:csb0="00000003" w:csb1="00000000"/>
  </w:font>
  <w:font w:name="Courier">
    <w:panose1 w:val="000000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307921" w14:textId="77777777" w:rsidR="00461423" w:rsidRDefault="00461423" w:rsidP="002037B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CE6CC17" w14:textId="77777777" w:rsidR="00461423" w:rsidRDefault="00461423" w:rsidP="003E550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1B2267" w14:textId="77777777" w:rsidR="00461423" w:rsidRDefault="00461423" w:rsidP="002037B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F3AC16D" w14:textId="77777777" w:rsidR="00461423" w:rsidRDefault="00461423" w:rsidP="00FD43E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C12946" w14:textId="77777777" w:rsidR="00444B2B" w:rsidRDefault="00444B2B" w:rsidP="004F4B91">
      <w:r>
        <w:separator/>
      </w:r>
    </w:p>
  </w:footnote>
  <w:footnote w:type="continuationSeparator" w:id="0">
    <w:p w14:paraId="2B542658" w14:textId="77777777" w:rsidR="00444B2B" w:rsidRDefault="00444B2B" w:rsidP="004F4B91">
      <w:r>
        <w:continuationSeparator/>
      </w:r>
    </w:p>
  </w:footnote>
  <w:footnote w:type="continuationNotice" w:id="1">
    <w:p w14:paraId="4EC6A100" w14:textId="77777777" w:rsidR="00444B2B" w:rsidRDefault="00444B2B"/>
  </w:footnote>
  <w:footnote w:id="2">
    <w:p w14:paraId="638FCA9A" w14:textId="303E6797" w:rsidR="00461423" w:rsidRPr="00F5125A" w:rsidRDefault="00461423">
      <w:pPr>
        <w:pStyle w:val="FootnoteText"/>
        <w:rPr>
          <w:lang w:val="en-US"/>
        </w:rPr>
      </w:pPr>
      <w:r w:rsidRPr="00E7237E">
        <w:rPr>
          <w:rStyle w:val="FootnoteReference"/>
        </w:rPr>
        <w:footnoteRef/>
      </w:r>
      <w:r>
        <w:t xml:space="preserve"> </w:t>
      </w:r>
      <w:r w:rsidRPr="00F5125A">
        <w:rPr>
          <w:lang w:val="en-US"/>
        </w:rPr>
        <w:t>The goal and scope table is an ongoing work in progress</w:t>
      </w:r>
      <w:r>
        <w:rPr>
          <w:lang w:val="en-US"/>
        </w:rPr>
        <w:t xml:space="preserve"> </w:t>
      </w:r>
      <w:r w:rsidRPr="00461A6A">
        <w:rPr>
          <w:highlight w:val="yellow"/>
          <w:lang w:val="en-US"/>
        </w:rPr>
        <w:t>and will contain methods that are not included in this review</w:t>
      </w:r>
      <w:r w:rsidRPr="00F5125A">
        <w:rPr>
          <w:lang w:val="en-US"/>
        </w:rPr>
        <w:t>. If the reader knows about a method that should be integrated, please contact the corresponding author.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641BC"/>
    <w:multiLevelType w:val="hybridMultilevel"/>
    <w:tmpl w:val="19623254"/>
    <w:lvl w:ilvl="0" w:tplc="16EE2578">
      <w:start w:val="1"/>
      <w:numFmt w:val="decimal"/>
      <w:pStyle w:val="NumberedReferences"/>
      <w:lvlText w:val="%1."/>
      <w:lvlJc w:val="right"/>
      <w:pPr>
        <w:tabs>
          <w:tab w:val="num" w:pos="360"/>
        </w:tabs>
        <w:ind w:left="360" w:hanging="360"/>
      </w:pPr>
      <w:rPr>
        <w:rFonts w:hint="default"/>
        <w:b w:val="0"/>
        <w:sz w:val="18"/>
        <w:szCs w:val="18"/>
      </w:rPr>
    </w:lvl>
    <w:lvl w:ilvl="1" w:tplc="04090019" w:tentative="1">
      <w:start w:val="1"/>
      <w:numFmt w:val="lowerLetter"/>
      <w:lvlText w:val="%2."/>
      <w:lvlJc w:val="left"/>
      <w:pPr>
        <w:tabs>
          <w:tab w:val="num" w:pos="1269"/>
        </w:tabs>
        <w:ind w:left="1269" w:hanging="360"/>
      </w:pPr>
    </w:lvl>
    <w:lvl w:ilvl="2" w:tplc="0409001B" w:tentative="1">
      <w:start w:val="1"/>
      <w:numFmt w:val="lowerRoman"/>
      <w:lvlText w:val="%3."/>
      <w:lvlJc w:val="right"/>
      <w:pPr>
        <w:tabs>
          <w:tab w:val="num" w:pos="1989"/>
        </w:tabs>
        <w:ind w:left="1989" w:hanging="180"/>
      </w:pPr>
    </w:lvl>
    <w:lvl w:ilvl="3" w:tplc="0409000F" w:tentative="1">
      <w:start w:val="1"/>
      <w:numFmt w:val="decimal"/>
      <w:lvlText w:val="%4."/>
      <w:lvlJc w:val="left"/>
      <w:pPr>
        <w:tabs>
          <w:tab w:val="num" w:pos="2709"/>
        </w:tabs>
        <w:ind w:left="2709" w:hanging="360"/>
      </w:pPr>
    </w:lvl>
    <w:lvl w:ilvl="4" w:tplc="04090019" w:tentative="1">
      <w:start w:val="1"/>
      <w:numFmt w:val="lowerLetter"/>
      <w:lvlText w:val="%5."/>
      <w:lvlJc w:val="left"/>
      <w:pPr>
        <w:tabs>
          <w:tab w:val="num" w:pos="3429"/>
        </w:tabs>
        <w:ind w:left="3429" w:hanging="360"/>
      </w:pPr>
    </w:lvl>
    <w:lvl w:ilvl="5" w:tplc="0409001B" w:tentative="1">
      <w:start w:val="1"/>
      <w:numFmt w:val="lowerRoman"/>
      <w:lvlText w:val="%6."/>
      <w:lvlJc w:val="right"/>
      <w:pPr>
        <w:tabs>
          <w:tab w:val="num" w:pos="4149"/>
        </w:tabs>
        <w:ind w:left="4149" w:hanging="180"/>
      </w:pPr>
    </w:lvl>
    <w:lvl w:ilvl="6" w:tplc="0409000F" w:tentative="1">
      <w:start w:val="1"/>
      <w:numFmt w:val="decimal"/>
      <w:lvlText w:val="%7."/>
      <w:lvlJc w:val="left"/>
      <w:pPr>
        <w:tabs>
          <w:tab w:val="num" w:pos="4869"/>
        </w:tabs>
        <w:ind w:left="4869" w:hanging="360"/>
      </w:pPr>
    </w:lvl>
    <w:lvl w:ilvl="7" w:tplc="04090019" w:tentative="1">
      <w:start w:val="1"/>
      <w:numFmt w:val="lowerLetter"/>
      <w:lvlText w:val="%8."/>
      <w:lvlJc w:val="left"/>
      <w:pPr>
        <w:tabs>
          <w:tab w:val="num" w:pos="5589"/>
        </w:tabs>
        <w:ind w:left="5589" w:hanging="360"/>
      </w:pPr>
    </w:lvl>
    <w:lvl w:ilvl="8" w:tplc="0409001B" w:tentative="1">
      <w:start w:val="1"/>
      <w:numFmt w:val="lowerRoman"/>
      <w:lvlText w:val="%9."/>
      <w:lvlJc w:val="right"/>
      <w:pPr>
        <w:tabs>
          <w:tab w:val="num" w:pos="6309"/>
        </w:tabs>
        <w:ind w:left="6309" w:hanging="180"/>
      </w:pPr>
    </w:lvl>
  </w:abstractNum>
  <w:abstractNum w:abstractNumId="1" w15:restartNumberingAfterBreak="0">
    <w:nsid w:val="073105E3"/>
    <w:multiLevelType w:val="hybridMultilevel"/>
    <w:tmpl w:val="FF4464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9D413A"/>
    <w:multiLevelType w:val="hybridMultilevel"/>
    <w:tmpl w:val="08866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401ABC"/>
    <w:multiLevelType w:val="hybridMultilevel"/>
    <w:tmpl w:val="C2222706"/>
    <w:lvl w:ilvl="0" w:tplc="04070005">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 w15:restartNumberingAfterBreak="0">
    <w:nsid w:val="0CD046AB"/>
    <w:multiLevelType w:val="multilevel"/>
    <w:tmpl w:val="41DA9B7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ECF403E"/>
    <w:multiLevelType w:val="hybridMultilevel"/>
    <w:tmpl w:val="896A20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0B051E5"/>
    <w:multiLevelType w:val="multilevel"/>
    <w:tmpl w:val="66705E88"/>
    <w:lvl w:ilvl="0">
      <w:start w:val="1"/>
      <w:numFmt w:val="decimal"/>
      <w:lvlText w:val="%1."/>
      <w:lvlJc w:val="left"/>
      <w:pPr>
        <w:ind w:left="360" w:hanging="360"/>
      </w:pPr>
    </w:lvl>
    <w:lvl w:ilvl="1">
      <w:start w:val="1"/>
      <w:numFmt w:val="decimal"/>
      <w:lvlText w:val="%1.%2."/>
      <w:lvlJc w:val="left"/>
      <w:pPr>
        <w:ind w:left="792" w:hanging="432"/>
      </w:pPr>
      <w:rPr>
        <w:b w:val="0"/>
        <w:color w:val="1F4E79" w:themeColor="accent1" w:themeShade="8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5701987"/>
    <w:multiLevelType w:val="multilevel"/>
    <w:tmpl w:val="D76E219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lang w:val="en-US"/>
      </w:rPr>
    </w:lvl>
    <w:lvl w:ilvl="3">
      <w:start w:val="1"/>
      <w:numFmt w:val="bullet"/>
      <w:lvlText w:val=""/>
      <w:lvlJc w:val="left"/>
      <w:pPr>
        <w:ind w:left="1728" w:hanging="648"/>
      </w:pPr>
      <w:rPr>
        <w:rFonts w:ascii="Symbol" w:hAnsi="Symbol" w:hint="default"/>
      </w:rPr>
    </w:lvl>
    <w:lvl w:ilvl="4">
      <w:start w:val="1"/>
      <w:numFmt w:val="bullet"/>
      <w:lvlText w:val="o"/>
      <w:lvlJc w:val="left"/>
      <w:pPr>
        <w:ind w:left="2232" w:hanging="792"/>
      </w:pPr>
      <w:rPr>
        <w:rFonts w:ascii="Courier New" w:hAnsi="Courier New"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A8D5452"/>
    <w:multiLevelType w:val="hybridMultilevel"/>
    <w:tmpl w:val="C8BA405E"/>
    <w:lvl w:ilvl="0" w:tplc="81BC7422">
      <w:start w:val="4"/>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AF6656"/>
    <w:multiLevelType w:val="multilevel"/>
    <w:tmpl w:val="587879E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lang w:val="en-US"/>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B4E230D"/>
    <w:multiLevelType w:val="hybridMultilevel"/>
    <w:tmpl w:val="A1D0564A"/>
    <w:lvl w:ilvl="0" w:tplc="04070005">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1" w15:restartNumberingAfterBreak="0">
    <w:nsid w:val="1F6409B0"/>
    <w:multiLevelType w:val="hybridMultilevel"/>
    <w:tmpl w:val="CFC2ED36"/>
    <w:lvl w:ilvl="0" w:tplc="6A0CE924">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F5616C"/>
    <w:multiLevelType w:val="multilevel"/>
    <w:tmpl w:val="587879E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lang w:val="en-US"/>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A7742A7"/>
    <w:multiLevelType w:val="hybridMultilevel"/>
    <w:tmpl w:val="AB66F7EE"/>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DFB3663"/>
    <w:multiLevelType w:val="multilevel"/>
    <w:tmpl w:val="D8BC3BD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lang w:val="en-U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5C34B5"/>
    <w:multiLevelType w:val="hybridMultilevel"/>
    <w:tmpl w:val="5798E6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C7756C"/>
    <w:multiLevelType w:val="multilevel"/>
    <w:tmpl w:val="D76E219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lang w:val="en-US"/>
      </w:rPr>
    </w:lvl>
    <w:lvl w:ilvl="3">
      <w:start w:val="1"/>
      <w:numFmt w:val="bullet"/>
      <w:lvlText w:val=""/>
      <w:lvlJc w:val="left"/>
      <w:pPr>
        <w:ind w:left="1728" w:hanging="648"/>
      </w:pPr>
      <w:rPr>
        <w:rFonts w:ascii="Symbol" w:hAnsi="Symbol" w:hint="default"/>
      </w:rPr>
    </w:lvl>
    <w:lvl w:ilvl="4">
      <w:start w:val="1"/>
      <w:numFmt w:val="bullet"/>
      <w:lvlText w:val="o"/>
      <w:lvlJc w:val="left"/>
      <w:pPr>
        <w:ind w:left="2232" w:hanging="792"/>
      </w:pPr>
      <w:rPr>
        <w:rFonts w:ascii="Courier New" w:hAnsi="Courier New"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1670AC9"/>
    <w:multiLevelType w:val="multilevel"/>
    <w:tmpl w:val="F0ACAE48"/>
    <w:lvl w:ilvl="0">
      <w:start w:val="3"/>
      <w:numFmt w:val="decimal"/>
      <w:lvlText w:val="%1."/>
      <w:lvlJc w:val="left"/>
      <w:pPr>
        <w:ind w:left="480" w:hanging="480"/>
      </w:pPr>
      <w:rPr>
        <w:rFonts w:hint="default"/>
      </w:rPr>
    </w:lvl>
    <w:lvl w:ilvl="1">
      <w:start w:val="1"/>
      <w:numFmt w:val="decimal"/>
      <w:lvlText w:val="%1.%2."/>
      <w:lvlJc w:val="left"/>
      <w:pPr>
        <w:ind w:left="905" w:hanging="480"/>
      </w:pPr>
      <w:rPr>
        <w:rFonts w:hint="default"/>
      </w:rPr>
    </w:lvl>
    <w:lvl w:ilvl="2">
      <w:start w:val="5"/>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8" w15:restartNumberingAfterBreak="0">
    <w:nsid w:val="32A9295A"/>
    <w:multiLevelType w:val="hybridMultilevel"/>
    <w:tmpl w:val="2328FA6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4B71F54"/>
    <w:multiLevelType w:val="hybridMultilevel"/>
    <w:tmpl w:val="532414BE"/>
    <w:lvl w:ilvl="0" w:tplc="DC52F93E">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64236AD"/>
    <w:multiLevelType w:val="hybridMultilevel"/>
    <w:tmpl w:val="A426F5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7AC7B27"/>
    <w:multiLevelType w:val="multilevel"/>
    <w:tmpl w:val="587879E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lang w:val="en-US"/>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86D62D9"/>
    <w:multiLevelType w:val="hybridMultilevel"/>
    <w:tmpl w:val="E1646DB6"/>
    <w:lvl w:ilvl="0" w:tplc="1C08B7E4">
      <w:start w:val="3"/>
      <w:numFmt w:val="bullet"/>
      <w:lvlText w:val="-"/>
      <w:lvlJc w:val="left"/>
      <w:pPr>
        <w:ind w:left="720" w:hanging="360"/>
      </w:pPr>
      <w:rPr>
        <w:rFonts w:ascii="Calibri" w:eastAsiaTheme="minorEastAsia"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A97102"/>
    <w:multiLevelType w:val="multilevel"/>
    <w:tmpl w:val="5FBE92B8"/>
    <w:lvl w:ilvl="0">
      <w:start w:val="3"/>
      <w:numFmt w:val="decimal"/>
      <w:lvlText w:val="%1"/>
      <w:lvlJc w:val="left"/>
      <w:pPr>
        <w:ind w:left="440" w:hanging="440"/>
      </w:pPr>
      <w:rPr>
        <w:rFonts w:hint="default"/>
      </w:rPr>
    </w:lvl>
    <w:lvl w:ilvl="1">
      <w:start w:val="1"/>
      <w:numFmt w:val="decimal"/>
      <w:lvlText w:val="%1.%2"/>
      <w:lvlJc w:val="left"/>
      <w:pPr>
        <w:ind w:left="800" w:hanging="4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CF01150"/>
    <w:multiLevelType w:val="hybridMultilevel"/>
    <w:tmpl w:val="8CFC0740"/>
    <w:lvl w:ilvl="0" w:tplc="F59CF72A">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BE6FA8"/>
    <w:multiLevelType w:val="multilevel"/>
    <w:tmpl w:val="86B434C6"/>
    <w:lvl w:ilvl="0">
      <w:start w:val="3"/>
      <w:numFmt w:val="decimal"/>
      <w:lvlText w:val="%1"/>
      <w:lvlJc w:val="left"/>
      <w:pPr>
        <w:ind w:left="440" w:hanging="440"/>
      </w:pPr>
      <w:rPr>
        <w:rFonts w:hint="default"/>
      </w:rPr>
    </w:lvl>
    <w:lvl w:ilvl="1">
      <w:start w:val="2"/>
      <w:numFmt w:val="decimal"/>
      <w:lvlText w:val="%1.%2"/>
      <w:lvlJc w:val="left"/>
      <w:pPr>
        <w:ind w:left="800" w:hanging="4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3E6D2917"/>
    <w:multiLevelType w:val="hybridMultilevel"/>
    <w:tmpl w:val="0B38BD9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C7EC565A">
      <w:numFmt w:val="bullet"/>
      <w:lvlText w:val="-"/>
      <w:lvlJc w:val="left"/>
      <w:pPr>
        <w:ind w:left="2160" w:hanging="360"/>
      </w:pPr>
      <w:rPr>
        <w:rFonts w:ascii="Calibri" w:eastAsiaTheme="minorHAnsi" w:hAnsi="Calibri" w:cstheme="minorBidi" w:hint="default"/>
      </w:rPr>
    </w:lvl>
    <w:lvl w:ilvl="3" w:tplc="8CDEC962">
      <w:start w:val="1"/>
      <w:numFmt w:val="bullet"/>
      <w:lvlText w:val=""/>
      <w:lvlJc w:val="left"/>
      <w:pPr>
        <w:ind w:left="2880" w:hanging="360"/>
      </w:pPr>
      <w:rPr>
        <w:rFonts w:ascii="Symbol" w:hAnsi="Symbol" w:hint="default"/>
        <w:color w:val="auto"/>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E725A37"/>
    <w:multiLevelType w:val="hybridMultilevel"/>
    <w:tmpl w:val="4F6A2C8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416F0875"/>
    <w:multiLevelType w:val="hybridMultilevel"/>
    <w:tmpl w:val="28E08A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3264411"/>
    <w:multiLevelType w:val="hybridMultilevel"/>
    <w:tmpl w:val="E65E5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7D03B9D"/>
    <w:multiLevelType w:val="hybridMultilevel"/>
    <w:tmpl w:val="7C926A4C"/>
    <w:lvl w:ilvl="0" w:tplc="040C0017">
      <w:start w:val="1"/>
      <w:numFmt w:val="lowerLetter"/>
      <w:lvlText w:val="%1)"/>
      <w:lvlJc w:val="left"/>
      <w:pPr>
        <w:ind w:left="770" w:hanging="360"/>
      </w:pPr>
    </w:lvl>
    <w:lvl w:ilvl="1" w:tplc="040C0019" w:tentative="1">
      <w:start w:val="1"/>
      <w:numFmt w:val="lowerLetter"/>
      <w:lvlText w:val="%2."/>
      <w:lvlJc w:val="left"/>
      <w:pPr>
        <w:ind w:left="1490" w:hanging="360"/>
      </w:pPr>
    </w:lvl>
    <w:lvl w:ilvl="2" w:tplc="040C001B" w:tentative="1">
      <w:start w:val="1"/>
      <w:numFmt w:val="lowerRoman"/>
      <w:lvlText w:val="%3."/>
      <w:lvlJc w:val="right"/>
      <w:pPr>
        <w:ind w:left="2210" w:hanging="180"/>
      </w:pPr>
    </w:lvl>
    <w:lvl w:ilvl="3" w:tplc="040C000F" w:tentative="1">
      <w:start w:val="1"/>
      <w:numFmt w:val="decimal"/>
      <w:lvlText w:val="%4."/>
      <w:lvlJc w:val="left"/>
      <w:pPr>
        <w:ind w:left="2930" w:hanging="360"/>
      </w:pPr>
    </w:lvl>
    <w:lvl w:ilvl="4" w:tplc="040C0019" w:tentative="1">
      <w:start w:val="1"/>
      <w:numFmt w:val="lowerLetter"/>
      <w:lvlText w:val="%5."/>
      <w:lvlJc w:val="left"/>
      <w:pPr>
        <w:ind w:left="3650" w:hanging="360"/>
      </w:pPr>
    </w:lvl>
    <w:lvl w:ilvl="5" w:tplc="040C001B" w:tentative="1">
      <w:start w:val="1"/>
      <w:numFmt w:val="lowerRoman"/>
      <w:lvlText w:val="%6."/>
      <w:lvlJc w:val="right"/>
      <w:pPr>
        <w:ind w:left="4370" w:hanging="180"/>
      </w:pPr>
    </w:lvl>
    <w:lvl w:ilvl="6" w:tplc="040C000F" w:tentative="1">
      <w:start w:val="1"/>
      <w:numFmt w:val="decimal"/>
      <w:lvlText w:val="%7."/>
      <w:lvlJc w:val="left"/>
      <w:pPr>
        <w:ind w:left="5090" w:hanging="360"/>
      </w:pPr>
    </w:lvl>
    <w:lvl w:ilvl="7" w:tplc="040C0019" w:tentative="1">
      <w:start w:val="1"/>
      <w:numFmt w:val="lowerLetter"/>
      <w:lvlText w:val="%8."/>
      <w:lvlJc w:val="left"/>
      <w:pPr>
        <w:ind w:left="5810" w:hanging="360"/>
      </w:pPr>
    </w:lvl>
    <w:lvl w:ilvl="8" w:tplc="040C001B" w:tentative="1">
      <w:start w:val="1"/>
      <w:numFmt w:val="lowerRoman"/>
      <w:lvlText w:val="%9."/>
      <w:lvlJc w:val="right"/>
      <w:pPr>
        <w:ind w:left="6530" w:hanging="180"/>
      </w:pPr>
    </w:lvl>
  </w:abstractNum>
  <w:abstractNum w:abstractNumId="31" w15:restartNumberingAfterBreak="0">
    <w:nsid w:val="4A0E3A68"/>
    <w:multiLevelType w:val="hybridMultilevel"/>
    <w:tmpl w:val="CB980A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D684C50"/>
    <w:multiLevelType w:val="hybridMultilevel"/>
    <w:tmpl w:val="C874A6D8"/>
    <w:lvl w:ilvl="0" w:tplc="04070005">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3" w15:restartNumberingAfterBreak="0">
    <w:nsid w:val="4E69685D"/>
    <w:multiLevelType w:val="multilevel"/>
    <w:tmpl w:val="66705E88"/>
    <w:lvl w:ilvl="0">
      <w:start w:val="1"/>
      <w:numFmt w:val="decimal"/>
      <w:lvlText w:val="%1."/>
      <w:lvlJc w:val="left"/>
      <w:pPr>
        <w:ind w:left="360" w:hanging="360"/>
      </w:pPr>
    </w:lvl>
    <w:lvl w:ilvl="1">
      <w:start w:val="1"/>
      <w:numFmt w:val="decimal"/>
      <w:lvlText w:val="%1.%2."/>
      <w:lvlJc w:val="left"/>
      <w:pPr>
        <w:ind w:left="792" w:hanging="432"/>
      </w:pPr>
      <w:rPr>
        <w:b w:val="0"/>
        <w:color w:val="1F4E79" w:themeColor="accent1" w:themeShade="8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03E3205"/>
    <w:multiLevelType w:val="multilevel"/>
    <w:tmpl w:val="5D10A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08E2F26"/>
    <w:multiLevelType w:val="multilevel"/>
    <w:tmpl w:val="5C8828A0"/>
    <w:lvl w:ilvl="0">
      <w:start w:val="1"/>
      <w:numFmt w:val="decimal"/>
      <w:lvlText w:val="%1."/>
      <w:lvlJc w:val="left"/>
      <w:pPr>
        <w:ind w:left="360" w:hanging="360"/>
      </w:pPr>
    </w:lvl>
    <w:lvl w:ilvl="1">
      <w:start w:val="1"/>
      <w:numFmt w:val="decimal"/>
      <w:lvlText w:val="%1.%2."/>
      <w:lvlJc w:val="left"/>
      <w:pPr>
        <w:ind w:left="792" w:hanging="432"/>
      </w:pPr>
      <w:rPr>
        <w:b w:val="0"/>
        <w:color w:val="1F4E79" w:themeColor="accent1" w:themeShade="80"/>
      </w:rPr>
    </w:lvl>
    <w:lvl w:ilvl="2">
      <w:start w:val="1"/>
      <w:numFmt w:val="decimal"/>
      <w:pStyle w:val="Heading4"/>
      <w:lvlText w:val="%1.%2.%3."/>
      <w:lvlJc w:val="left"/>
      <w:pPr>
        <w:ind w:left="1355"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31F0FF2"/>
    <w:multiLevelType w:val="hybridMultilevel"/>
    <w:tmpl w:val="E9E477E8"/>
    <w:lvl w:ilvl="0" w:tplc="04070005">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7" w15:restartNumberingAfterBreak="0">
    <w:nsid w:val="539417F9"/>
    <w:multiLevelType w:val="hybridMultilevel"/>
    <w:tmpl w:val="99803784"/>
    <w:lvl w:ilvl="0" w:tplc="74DCBBB4">
      <w:start w:val="2"/>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50C624D"/>
    <w:multiLevelType w:val="hybridMultilevel"/>
    <w:tmpl w:val="BFE8A04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566C273C"/>
    <w:multiLevelType w:val="multilevel"/>
    <w:tmpl w:val="587879E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lang w:val="en-US"/>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9B24067"/>
    <w:multiLevelType w:val="hybridMultilevel"/>
    <w:tmpl w:val="FFC6D2E8"/>
    <w:lvl w:ilvl="0" w:tplc="BE9AB24E">
      <w:start w:val="1"/>
      <w:numFmt w:val="bullet"/>
      <w:lvlText w:val="-"/>
      <w:lvlJc w:val="left"/>
      <w:pPr>
        <w:ind w:left="720" w:hanging="360"/>
      </w:pPr>
      <w:rPr>
        <w:rFonts w:ascii="Calibri" w:eastAsiaTheme="minorEastAsia"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D9031BF"/>
    <w:multiLevelType w:val="hybridMultilevel"/>
    <w:tmpl w:val="6FC2F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FF62A1E"/>
    <w:multiLevelType w:val="multilevel"/>
    <w:tmpl w:val="4FC4ACD6"/>
    <w:lvl w:ilvl="0">
      <w:start w:val="1"/>
      <w:numFmt w:val="decimal"/>
      <w:lvlText w:val="%1."/>
      <w:lvlJc w:val="left"/>
      <w:pPr>
        <w:ind w:left="720" w:hanging="360"/>
      </w:pPr>
      <w:rPr>
        <w:rFonts w:hint="default"/>
      </w:rPr>
    </w:lvl>
    <w:lvl w:ilvl="1">
      <w:start w:val="2"/>
      <w:numFmt w:val="decimal"/>
      <w:isLgl/>
      <w:lvlText w:val="%1.%2"/>
      <w:lvlJc w:val="left"/>
      <w:pPr>
        <w:ind w:left="1045" w:hanging="4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15" w:hanging="720"/>
      </w:pPr>
      <w:rPr>
        <w:rFonts w:hint="default"/>
      </w:rPr>
    </w:lvl>
    <w:lvl w:ilvl="4">
      <w:start w:val="1"/>
      <w:numFmt w:val="decimal"/>
      <w:isLgl/>
      <w:lvlText w:val="%1.%2.%3.%4.%5"/>
      <w:lvlJc w:val="left"/>
      <w:pPr>
        <w:ind w:left="2420" w:hanging="1080"/>
      </w:pPr>
      <w:rPr>
        <w:rFonts w:hint="default"/>
      </w:rPr>
    </w:lvl>
    <w:lvl w:ilvl="5">
      <w:start w:val="1"/>
      <w:numFmt w:val="decimal"/>
      <w:isLgl/>
      <w:lvlText w:val="%1.%2.%3.%4.%5.%6"/>
      <w:lvlJc w:val="left"/>
      <w:pPr>
        <w:ind w:left="2665" w:hanging="1080"/>
      </w:pPr>
      <w:rPr>
        <w:rFonts w:hint="default"/>
      </w:rPr>
    </w:lvl>
    <w:lvl w:ilvl="6">
      <w:start w:val="1"/>
      <w:numFmt w:val="decimal"/>
      <w:isLgl/>
      <w:lvlText w:val="%1.%2.%3.%4.%5.%6.%7"/>
      <w:lvlJc w:val="left"/>
      <w:pPr>
        <w:ind w:left="3270" w:hanging="1440"/>
      </w:pPr>
      <w:rPr>
        <w:rFonts w:hint="default"/>
      </w:rPr>
    </w:lvl>
    <w:lvl w:ilvl="7">
      <w:start w:val="1"/>
      <w:numFmt w:val="decimal"/>
      <w:isLgl/>
      <w:lvlText w:val="%1.%2.%3.%4.%5.%6.%7.%8"/>
      <w:lvlJc w:val="left"/>
      <w:pPr>
        <w:ind w:left="3515" w:hanging="1440"/>
      </w:pPr>
      <w:rPr>
        <w:rFonts w:hint="default"/>
      </w:rPr>
    </w:lvl>
    <w:lvl w:ilvl="8">
      <w:start w:val="1"/>
      <w:numFmt w:val="decimal"/>
      <w:isLgl/>
      <w:lvlText w:val="%1.%2.%3.%4.%5.%6.%7.%8.%9"/>
      <w:lvlJc w:val="left"/>
      <w:pPr>
        <w:ind w:left="3760" w:hanging="1440"/>
      </w:pPr>
      <w:rPr>
        <w:rFonts w:hint="default"/>
      </w:rPr>
    </w:lvl>
  </w:abstractNum>
  <w:abstractNum w:abstractNumId="43" w15:restartNumberingAfterBreak="0">
    <w:nsid w:val="6636692E"/>
    <w:multiLevelType w:val="hybridMultilevel"/>
    <w:tmpl w:val="58F62BA4"/>
    <w:lvl w:ilvl="0" w:tplc="6F324AD6">
      <w:numFmt w:val="bullet"/>
      <w:lvlText w:val="-"/>
      <w:lvlJc w:val="left"/>
      <w:pPr>
        <w:ind w:left="720" w:hanging="360"/>
      </w:pPr>
      <w:rPr>
        <w:rFonts w:ascii="Calibri" w:eastAsiaTheme="minorEastAsia"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98D0218"/>
    <w:multiLevelType w:val="multilevel"/>
    <w:tmpl w:val="587879E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lang w:val="en-US"/>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6B6B27DE"/>
    <w:multiLevelType w:val="hybridMultilevel"/>
    <w:tmpl w:val="2D72F66E"/>
    <w:lvl w:ilvl="0" w:tplc="C7EC565A">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C7EC565A">
      <w:numFmt w:val="bullet"/>
      <w:lvlText w:val="-"/>
      <w:lvlJc w:val="left"/>
      <w:pPr>
        <w:ind w:left="2160" w:hanging="360"/>
      </w:pPr>
      <w:rPr>
        <w:rFonts w:ascii="Calibri" w:eastAsiaTheme="minorHAnsi" w:hAnsi="Calibri" w:cstheme="minorBidi" w:hint="default"/>
      </w:rPr>
    </w:lvl>
    <w:lvl w:ilvl="3" w:tplc="8CDEC962">
      <w:start w:val="1"/>
      <w:numFmt w:val="bullet"/>
      <w:lvlText w:val=""/>
      <w:lvlJc w:val="left"/>
      <w:pPr>
        <w:ind w:left="2880" w:hanging="360"/>
      </w:pPr>
      <w:rPr>
        <w:rFonts w:ascii="Symbol" w:hAnsi="Symbol" w:hint="default"/>
        <w:color w:val="auto"/>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F270639"/>
    <w:multiLevelType w:val="multilevel"/>
    <w:tmpl w:val="D76E219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lang w:val="en-US"/>
      </w:rPr>
    </w:lvl>
    <w:lvl w:ilvl="3">
      <w:start w:val="1"/>
      <w:numFmt w:val="bullet"/>
      <w:lvlText w:val=""/>
      <w:lvlJc w:val="left"/>
      <w:pPr>
        <w:ind w:left="1728" w:hanging="648"/>
      </w:pPr>
      <w:rPr>
        <w:rFonts w:ascii="Symbol" w:hAnsi="Symbol" w:hint="default"/>
      </w:rPr>
    </w:lvl>
    <w:lvl w:ilvl="4">
      <w:start w:val="1"/>
      <w:numFmt w:val="bullet"/>
      <w:lvlText w:val="o"/>
      <w:lvlJc w:val="left"/>
      <w:pPr>
        <w:ind w:left="2232" w:hanging="792"/>
      </w:pPr>
      <w:rPr>
        <w:rFonts w:ascii="Courier New" w:hAnsi="Courier New"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6F893825"/>
    <w:multiLevelType w:val="hybridMultilevel"/>
    <w:tmpl w:val="3CB2FBE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8" w15:restartNumberingAfterBreak="0">
    <w:nsid w:val="72C84191"/>
    <w:multiLevelType w:val="hybridMultilevel"/>
    <w:tmpl w:val="3DB6F2D4"/>
    <w:lvl w:ilvl="0" w:tplc="04070005">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9" w15:restartNumberingAfterBreak="0">
    <w:nsid w:val="76DC1AA3"/>
    <w:multiLevelType w:val="hybridMultilevel"/>
    <w:tmpl w:val="D24E795A"/>
    <w:lvl w:ilvl="0" w:tplc="1C08B7E4">
      <w:start w:val="3"/>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7833F69"/>
    <w:multiLevelType w:val="hybridMultilevel"/>
    <w:tmpl w:val="5C00CB5A"/>
    <w:lvl w:ilvl="0" w:tplc="1C08B7E4">
      <w:start w:val="3"/>
      <w:numFmt w:val="bullet"/>
      <w:lvlText w:val="-"/>
      <w:lvlJc w:val="left"/>
      <w:pPr>
        <w:ind w:left="720" w:hanging="360"/>
      </w:pPr>
      <w:rPr>
        <w:rFonts w:ascii="Calibri" w:eastAsiaTheme="minorEastAsia"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ACC2B25"/>
    <w:multiLevelType w:val="hybridMultilevel"/>
    <w:tmpl w:val="05B2D6BA"/>
    <w:lvl w:ilvl="0" w:tplc="488457B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7B694690"/>
    <w:multiLevelType w:val="hybridMultilevel"/>
    <w:tmpl w:val="72A4791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53" w15:restartNumberingAfterBreak="0">
    <w:nsid w:val="7BD31AA8"/>
    <w:multiLevelType w:val="hybridMultilevel"/>
    <w:tmpl w:val="394C9958"/>
    <w:lvl w:ilvl="0" w:tplc="A2786940">
      <w:numFmt w:val="bullet"/>
      <w:lvlText w:val="-"/>
      <w:lvlJc w:val="left"/>
      <w:pPr>
        <w:ind w:left="720" w:hanging="360"/>
      </w:pPr>
      <w:rPr>
        <w:rFonts w:ascii="Times" w:eastAsiaTheme="minorHAnsi" w:hAnsi="Time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C62182D"/>
    <w:multiLevelType w:val="hybridMultilevel"/>
    <w:tmpl w:val="7BAA8D50"/>
    <w:lvl w:ilvl="0" w:tplc="2208FE12">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CF35466"/>
    <w:multiLevelType w:val="hybridMultilevel"/>
    <w:tmpl w:val="1B2E3D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7F327FF5"/>
    <w:multiLevelType w:val="multilevel"/>
    <w:tmpl w:val="587879E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lang w:val="en-US"/>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7F8563DC"/>
    <w:multiLevelType w:val="multilevel"/>
    <w:tmpl w:val="D76E219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lang w:val="en-US"/>
      </w:rPr>
    </w:lvl>
    <w:lvl w:ilvl="3">
      <w:start w:val="1"/>
      <w:numFmt w:val="bullet"/>
      <w:lvlText w:val=""/>
      <w:lvlJc w:val="left"/>
      <w:pPr>
        <w:ind w:left="1728" w:hanging="648"/>
      </w:pPr>
      <w:rPr>
        <w:rFonts w:ascii="Symbol" w:hAnsi="Symbol" w:hint="default"/>
      </w:rPr>
    </w:lvl>
    <w:lvl w:ilvl="4">
      <w:start w:val="1"/>
      <w:numFmt w:val="bullet"/>
      <w:lvlText w:val="o"/>
      <w:lvlJc w:val="left"/>
      <w:pPr>
        <w:ind w:left="2232" w:hanging="792"/>
      </w:pPr>
      <w:rPr>
        <w:rFonts w:ascii="Courier New" w:hAnsi="Courier New"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7F954F2D"/>
    <w:multiLevelType w:val="multilevel"/>
    <w:tmpl w:val="66705E88"/>
    <w:lvl w:ilvl="0">
      <w:start w:val="1"/>
      <w:numFmt w:val="decimal"/>
      <w:lvlText w:val="%1."/>
      <w:lvlJc w:val="left"/>
      <w:pPr>
        <w:ind w:left="360" w:hanging="360"/>
      </w:pPr>
    </w:lvl>
    <w:lvl w:ilvl="1">
      <w:start w:val="1"/>
      <w:numFmt w:val="decimal"/>
      <w:lvlText w:val="%1.%2."/>
      <w:lvlJc w:val="left"/>
      <w:pPr>
        <w:ind w:left="792" w:hanging="432"/>
      </w:pPr>
      <w:rPr>
        <w:b w:val="0"/>
        <w:color w:val="1F4E79" w:themeColor="accent1" w:themeShade="8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5"/>
  </w:num>
  <w:num w:numId="2">
    <w:abstractNumId w:val="33"/>
  </w:num>
  <w:num w:numId="3">
    <w:abstractNumId w:val="15"/>
  </w:num>
  <w:num w:numId="4">
    <w:abstractNumId w:val="0"/>
  </w:num>
  <w:num w:numId="5">
    <w:abstractNumId w:val="54"/>
  </w:num>
  <w:num w:numId="6">
    <w:abstractNumId w:val="51"/>
  </w:num>
  <w:num w:numId="7">
    <w:abstractNumId w:val="14"/>
  </w:num>
  <w:num w:numId="8">
    <w:abstractNumId w:val="26"/>
  </w:num>
  <w:num w:numId="9">
    <w:abstractNumId w:val="31"/>
  </w:num>
  <w:num w:numId="10">
    <w:abstractNumId w:val="9"/>
  </w:num>
  <w:num w:numId="11">
    <w:abstractNumId w:val="39"/>
  </w:num>
  <w:num w:numId="12">
    <w:abstractNumId w:val="44"/>
  </w:num>
  <w:num w:numId="13">
    <w:abstractNumId w:val="56"/>
  </w:num>
  <w:num w:numId="14">
    <w:abstractNumId w:val="12"/>
  </w:num>
  <w:num w:numId="15">
    <w:abstractNumId w:val="21"/>
  </w:num>
  <w:num w:numId="16">
    <w:abstractNumId w:val="46"/>
  </w:num>
  <w:num w:numId="17">
    <w:abstractNumId w:val="7"/>
  </w:num>
  <w:num w:numId="18">
    <w:abstractNumId w:val="57"/>
  </w:num>
  <w:num w:numId="19">
    <w:abstractNumId w:val="16"/>
  </w:num>
  <w:num w:numId="20">
    <w:abstractNumId w:val="1"/>
  </w:num>
  <w:num w:numId="21">
    <w:abstractNumId w:val="4"/>
  </w:num>
  <w:num w:numId="22">
    <w:abstractNumId w:val="32"/>
  </w:num>
  <w:num w:numId="23">
    <w:abstractNumId w:val="10"/>
  </w:num>
  <w:num w:numId="24">
    <w:abstractNumId w:val="36"/>
  </w:num>
  <w:num w:numId="25">
    <w:abstractNumId w:val="18"/>
  </w:num>
  <w:num w:numId="26">
    <w:abstractNumId w:val="27"/>
  </w:num>
  <w:num w:numId="27">
    <w:abstractNumId w:val="52"/>
  </w:num>
  <w:num w:numId="28">
    <w:abstractNumId w:val="48"/>
  </w:num>
  <w:num w:numId="29">
    <w:abstractNumId w:val="3"/>
  </w:num>
  <w:num w:numId="30">
    <w:abstractNumId w:val="53"/>
  </w:num>
  <w:num w:numId="31">
    <w:abstractNumId w:val="6"/>
  </w:num>
  <w:num w:numId="32">
    <w:abstractNumId w:val="38"/>
  </w:num>
  <w:num w:numId="33">
    <w:abstractNumId w:val="30"/>
  </w:num>
  <w:num w:numId="34">
    <w:abstractNumId w:val="13"/>
  </w:num>
  <w:num w:numId="35">
    <w:abstractNumId w:val="50"/>
  </w:num>
  <w:num w:numId="36">
    <w:abstractNumId w:val="22"/>
  </w:num>
  <w:num w:numId="37">
    <w:abstractNumId w:val="49"/>
  </w:num>
  <w:num w:numId="38">
    <w:abstractNumId w:val="43"/>
  </w:num>
  <w:num w:numId="39">
    <w:abstractNumId w:val="45"/>
  </w:num>
  <w:num w:numId="40">
    <w:abstractNumId w:val="54"/>
  </w:num>
  <w:num w:numId="41">
    <w:abstractNumId w:val="40"/>
  </w:num>
  <w:num w:numId="42">
    <w:abstractNumId w:val="47"/>
  </w:num>
  <w:num w:numId="43">
    <w:abstractNumId w:val="8"/>
  </w:num>
  <w:num w:numId="44">
    <w:abstractNumId w:val="42"/>
  </w:num>
  <w:num w:numId="45">
    <w:abstractNumId w:val="58"/>
  </w:num>
  <w:num w:numId="46">
    <w:abstractNumId w:val="11"/>
  </w:num>
  <w:num w:numId="47">
    <w:abstractNumId w:val="37"/>
  </w:num>
  <w:num w:numId="48">
    <w:abstractNumId w:val="29"/>
  </w:num>
  <w:num w:numId="49">
    <w:abstractNumId w:val="20"/>
  </w:num>
  <w:num w:numId="50">
    <w:abstractNumId w:val="28"/>
  </w:num>
  <w:num w:numId="51">
    <w:abstractNumId w:val="2"/>
  </w:num>
  <w:num w:numId="52">
    <w:abstractNumId w:val="55"/>
  </w:num>
  <w:num w:numId="53">
    <w:abstractNumId w:val="41"/>
  </w:num>
  <w:num w:numId="54">
    <w:abstractNumId w:val="5"/>
  </w:num>
  <w:num w:numId="55">
    <w:abstractNumId w:val="19"/>
  </w:num>
  <w:num w:numId="56">
    <w:abstractNumId w:val="24"/>
  </w:num>
  <w:num w:numId="57">
    <w:abstractNumId w:val="35"/>
  </w:num>
  <w:num w:numId="58">
    <w:abstractNumId w:val="23"/>
  </w:num>
  <w:num w:numId="59">
    <w:abstractNumId w:val="25"/>
  </w:num>
  <w:num w:numId="60">
    <w:abstractNumId w:val="34"/>
  </w:num>
  <w:num w:numId="61">
    <w:abstractNumId w:val="1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bordersDoNotSurroundHeader/>
  <w:bordersDoNotSurroundFooter/>
  <w:proofState w:spelling="clean"/>
  <w:defaultTabStop w:val="720"/>
  <w:hyphenationZone w:val="425"/>
  <w:characterSpacingControl w:val="doNotCompress"/>
  <w:hdrShapeDefaults>
    <o:shapedefaults v:ext="edit" spidmax="2049">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t7C0MDUxMDQyMzS1MDNQ0lEKTi0uzszPAykwN64FAIdMlXItAAAA"/>
  </w:docVars>
  <w:rsids>
    <w:rsidRoot w:val="007B4881"/>
    <w:rsid w:val="0000008C"/>
    <w:rsid w:val="00000117"/>
    <w:rsid w:val="000003EB"/>
    <w:rsid w:val="00000B19"/>
    <w:rsid w:val="0000110F"/>
    <w:rsid w:val="000018C8"/>
    <w:rsid w:val="0000274A"/>
    <w:rsid w:val="00002774"/>
    <w:rsid w:val="000027C4"/>
    <w:rsid w:val="00003FD9"/>
    <w:rsid w:val="00004299"/>
    <w:rsid w:val="0000493A"/>
    <w:rsid w:val="00004C68"/>
    <w:rsid w:val="00004E97"/>
    <w:rsid w:val="00005A11"/>
    <w:rsid w:val="000065ED"/>
    <w:rsid w:val="00010BBD"/>
    <w:rsid w:val="00010FA9"/>
    <w:rsid w:val="00011550"/>
    <w:rsid w:val="00011757"/>
    <w:rsid w:val="00011C69"/>
    <w:rsid w:val="00011DEF"/>
    <w:rsid w:val="00011E36"/>
    <w:rsid w:val="00011FCE"/>
    <w:rsid w:val="00012ED2"/>
    <w:rsid w:val="0001372B"/>
    <w:rsid w:val="00013ACB"/>
    <w:rsid w:val="00013BB4"/>
    <w:rsid w:val="00014116"/>
    <w:rsid w:val="000142AC"/>
    <w:rsid w:val="000145A4"/>
    <w:rsid w:val="000146BA"/>
    <w:rsid w:val="000148B2"/>
    <w:rsid w:val="0001573B"/>
    <w:rsid w:val="00015D48"/>
    <w:rsid w:val="00015F7A"/>
    <w:rsid w:val="0001716F"/>
    <w:rsid w:val="000173F2"/>
    <w:rsid w:val="0001745E"/>
    <w:rsid w:val="0001749F"/>
    <w:rsid w:val="00017856"/>
    <w:rsid w:val="00020815"/>
    <w:rsid w:val="00020F17"/>
    <w:rsid w:val="0002215B"/>
    <w:rsid w:val="00022218"/>
    <w:rsid w:val="00022613"/>
    <w:rsid w:val="00023B71"/>
    <w:rsid w:val="00024196"/>
    <w:rsid w:val="000247DC"/>
    <w:rsid w:val="000248D5"/>
    <w:rsid w:val="000250AC"/>
    <w:rsid w:val="000254EB"/>
    <w:rsid w:val="00025601"/>
    <w:rsid w:val="00025D6D"/>
    <w:rsid w:val="00026368"/>
    <w:rsid w:val="00026A02"/>
    <w:rsid w:val="00026BF3"/>
    <w:rsid w:val="000273C3"/>
    <w:rsid w:val="00027954"/>
    <w:rsid w:val="000303A2"/>
    <w:rsid w:val="00030946"/>
    <w:rsid w:val="00030994"/>
    <w:rsid w:val="00030AC7"/>
    <w:rsid w:val="00031536"/>
    <w:rsid w:val="00032069"/>
    <w:rsid w:val="000327F6"/>
    <w:rsid w:val="00032B02"/>
    <w:rsid w:val="0003303E"/>
    <w:rsid w:val="00033592"/>
    <w:rsid w:val="00033747"/>
    <w:rsid w:val="00033AC6"/>
    <w:rsid w:val="00033C6E"/>
    <w:rsid w:val="00033EC4"/>
    <w:rsid w:val="00033FAA"/>
    <w:rsid w:val="000345E9"/>
    <w:rsid w:val="00034F7F"/>
    <w:rsid w:val="00035219"/>
    <w:rsid w:val="0003524B"/>
    <w:rsid w:val="000353EB"/>
    <w:rsid w:val="00035A44"/>
    <w:rsid w:val="00035E09"/>
    <w:rsid w:val="0003603D"/>
    <w:rsid w:val="00036373"/>
    <w:rsid w:val="000366EE"/>
    <w:rsid w:val="00037054"/>
    <w:rsid w:val="00037C9F"/>
    <w:rsid w:val="00037D34"/>
    <w:rsid w:val="00040564"/>
    <w:rsid w:val="00040665"/>
    <w:rsid w:val="00040AA4"/>
    <w:rsid w:val="00040BF8"/>
    <w:rsid w:val="00040D76"/>
    <w:rsid w:val="000419F6"/>
    <w:rsid w:val="00041F7D"/>
    <w:rsid w:val="00041F8A"/>
    <w:rsid w:val="00042019"/>
    <w:rsid w:val="00042059"/>
    <w:rsid w:val="000422C3"/>
    <w:rsid w:val="000422F9"/>
    <w:rsid w:val="0004298D"/>
    <w:rsid w:val="00042E86"/>
    <w:rsid w:val="00043992"/>
    <w:rsid w:val="00043C37"/>
    <w:rsid w:val="00043C6D"/>
    <w:rsid w:val="00043F2B"/>
    <w:rsid w:val="00043F60"/>
    <w:rsid w:val="000442DE"/>
    <w:rsid w:val="000442E7"/>
    <w:rsid w:val="000446DA"/>
    <w:rsid w:val="000451F6"/>
    <w:rsid w:val="0004571C"/>
    <w:rsid w:val="00045787"/>
    <w:rsid w:val="00045ECA"/>
    <w:rsid w:val="00046C6A"/>
    <w:rsid w:val="000472C8"/>
    <w:rsid w:val="00047978"/>
    <w:rsid w:val="00047D19"/>
    <w:rsid w:val="00047E69"/>
    <w:rsid w:val="00047FFA"/>
    <w:rsid w:val="00050B3C"/>
    <w:rsid w:val="00051159"/>
    <w:rsid w:val="00051898"/>
    <w:rsid w:val="00051C7A"/>
    <w:rsid w:val="00051D30"/>
    <w:rsid w:val="000526ED"/>
    <w:rsid w:val="0005306B"/>
    <w:rsid w:val="000530CC"/>
    <w:rsid w:val="000531F7"/>
    <w:rsid w:val="00054092"/>
    <w:rsid w:val="00054FCC"/>
    <w:rsid w:val="0005518C"/>
    <w:rsid w:val="000557C2"/>
    <w:rsid w:val="00055A4D"/>
    <w:rsid w:val="00056352"/>
    <w:rsid w:val="00056A31"/>
    <w:rsid w:val="00056F94"/>
    <w:rsid w:val="000576A1"/>
    <w:rsid w:val="00057BB4"/>
    <w:rsid w:val="0006017C"/>
    <w:rsid w:val="0006043F"/>
    <w:rsid w:val="0006058D"/>
    <w:rsid w:val="00060A5B"/>
    <w:rsid w:val="00060CDE"/>
    <w:rsid w:val="00060F81"/>
    <w:rsid w:val="0006133F"/>
    <w:rsid w:val="00061E77"/>
    <w:rsid w:val="000623A8"/>
    <w:rsid w:val="00062E50"/>
    <w:rsid w:val="00063BAB"/>
    <w:rsid w:val="00063D8F"/>
    <w:rsid w:val="00063F33"/>
    <w:rsid w:val="000649E2"/>
    <w:rsid w:val="00064E3B"/>
    <w:rsid w:val="00065F5D"/>
    <w:rsid w:val="000666F9"/>
    <w:rsid w:val="00066976"/>
    <w:rsid w:val="000672DA"/>
    <w:rsid w:val="00067442"/>
    <w:rsid w:val="0006756D"/>
    <w:rsid w:val="0006798A"/>
    <w:rsid w:val="00067F37"/>
    <w:rsid w:val="0007056B"/>
    <w:rsid w:val="000705C9"/>
    <w:rsid w:val="00070960"/>
    <w:rsid w:val="00071285"/>
    <w:rsid w:val="00071E4B"/>
    <w:rsid w:val="000723B9"/>
    <w:rsid w:val="0007254D"/>
    <w:rsid w:val="0007309F"/>
    <w:rsid w:val="00073577"/>
    <w:rsid w:val="000738D6"/>
    <w:rsid w:val="00073D81"/>
    <w:rsid w:val="00073DD1"/>
    <w:rsid w:val="0007400B"/>
    <w:rsid w:val="000740A2"/>
    <w:rsid w:val="00074B2A"/>
    <w:rsid w:val="00074E85"/>
    <w:rsid w:val="00075500"/>
    <w:rsid w:val="00075EE1"/>
    <w:rsid w:val="00076B3F"/>
    <w:rsid w:val="00076FBF"/>
    <w:rsid w:val="00077381"/>
    <w:rsid w:val="0007756B"/>
    <w:rsid w:val="000775A0"/>
    <w:rsid w:val="00077A22"/>
    <w:rsid w:val="00077C46"/>
    <w:rsid w:val="00077E1B"/>
    <w:rsid w:val="00077E2A"/>
    <w:rsid w:val="00080747"/>
    <w:rsid w:val="00080B5C"/>
    <w:rsid w:val="00080CC0"/>
    <w:rsid w:val="000815A7"/>
    <w:rsid w:val="000815FC"/>
    <w:rsid w:val="00081CFB"/>
    <w:rsid w:val="000823A1"/>
    <w:rsid w:val="0008273A"/>
    <w:rsid w:val="00082976"/>
    <w:rsid w:val="00083652"/>
    <w:rsid w:val="00083B0C"/>
    <w:rsid w:val="00083ED6"/>
    <w:rsid w:val="00084BFC"/>
    <w:rsid w:val="00084CB1"/>
    <w:rsid w:val="00084D3E"/>
    <w:rsid w:val="000851AF"/>
    <w:rsid w:val="000852E6"/>
    <w:rsid w:val="00085367"/>
    <w:rsid w:val="00085697"/>
    <w:rsid w:val="00086096"/>
    <w:rsid w:val="00086132"/>
    <w:rsid w:val="00086CD4"/>
    <w:rsid w:val="00086F8F"/>
    <w:rsid w:val="00087737"/>
    <w:rsid w:val="00087ADF"/>
    <w:rsid w:val="00087CA1"/>
    <w:rsid w:val="000902A5"/>
    <w:rsid w:val="00090300"/>
    <w:rsid w:val="00090774"/>
    <w:rsid w:val="00090956"/>
    <w:rsid w:val="00090A9D"/>
    <w:rsid w:val="000914A2"/>
    <w:rsid w:val="000917D2"/>
    <w:rsid w:val="00092875"/>
    <w:rsid w:val="00093D7E"/>
    <w:rsid w:val="00094E0E"/>
    <w:rsid w:val="000950E1"/>
    <w:rsid w:val="0009540C"/>
    <w:rsid w:val="000954BE"/>
    <w:rsid w:val="000957C8"/>
    <w:rsid w:val="00095C1D"/>
    <w:rsid w:val="000961B4"/>
    <w:rsid w:val="00096DCD"/>
    <w:rsid w:val="0009741C"/>
    <w:rsid w:val="000A02F9"/>
    <w:rsid w:val="000A047E"/>
    <w:rsid w:val="000A085F"/>
    <w:rsid w:val="000A0E0A"/>
    <w:rsid w:val="000A1AB5"/>
    <w:rsid w:val="000A1E08"/>
    <w:rsid w:val="000A1FE2"/>
    <w:rsid w:val="000A32F4"/>
    <w:rsid w:val="000A3695"/>
    <w:rsid w:val="000A4056"/>
    <w:rsid w:val="000A45CD"/>
    <w:rsid w:val="000A495D"/>
    <w:rsid w:val="000A4A55"/>
    <w:rsid w:val="000A4C13"/>
    <w:rsid w:val="000A501C"/>
    <w:rsid w:val="000A5167"/>
    <w:rsid w:val="000A51F6"/>
    <w:rsid w:val="000A5322"/>
    <w:rsid w:val="000A5A18"/>
    <w:rsid w:val="000A6011"/>
    <w:rsid w:val="000A701A"/>
    <w:rsid w:val="000A71CE"/>
    <w:rsid w:val="000A76EA"/>
    <w:rsid w:val="000A7F92"/>
    <w:rsid w:val="000B0254"/>
    <w:rsid w:val="000B04D1"/>
    <w:rsid w:val="000B0527"/>
    <w:rsid w:val="000B0D55"/>
    <w:rsid w:val="000B109C"/>
    <w:rsid w:val="000B1BA1"/>
    <w:rsid w:val="000B1EEB"/>
    <w:rsid w:val="000B2552"/>
    <w:rsid w:val="000B2E31"/>
    <w:rsid w:val="000B441F"/>
    <w:rsid w:val="000B49D4"/>
    <w:rsid w:val="000B4B72"/>
    <w:rsid w:val="000B53D5"/>
    <w:rsid w:val="000B5AE7"/>
    <w:rsid w:val="000B6124"/>
    <w:rsid w:val="000B62C1"/>
    <w:rsid w:val="000B6791"/>
    <w:rsid w:val="000B6BF2"/>
    <w:rsid w:val="000C064C"/>
    <w:rsid w:val="000C0A66"/>
    <w:rsid w:val="000C1039"/>
    <w:rsid w:val="000C1367"/>
    <w:rsid w:val="000C1D0F"/>
    <w:rsid w:val="000C22A2"/>
    <w:rsid w:val="000C25F7"/>
    <w:rsid w:val="000C3A2B"/>
    <w:rsid w:val="000C44B6"/>
    <w:rsid w:val="000C44E7"/>
    <w:rsid w:val="000C493F"/>
    <w:rsid w:val="000C4A50"/>
    <w:rsid w:val="000C4C17"/>
    <w:rsid w:val="000C50E5"/>
    <w:rsid w:val="000C5BB3"/>
    <w:rsid w:val="000C607F"/>
    <w:rsid w:val="000C659F"/>
    <w:rsid w:val="000C6A22"/>
    <w:rsid w:val="000D0304"/>
    <w:rsid w:val="000D0C1D"/>
    <w:rsid w:val="000D14A0"/>
    <w:rsid w:val="000D1570"/>
    <w:rsid w:val="000D28A5"/>
    <w:rsid w:val="000D2CEA"/>
    <w:rsid w:val="000D2D61"/>
    <w:rsid w:val="000D3002"/>
    <w:rsid w:val="000D31A5"/>
    <w:rsid w:val="000D3599"/>
    <w:rsid w:val="000D378E"/>
    <w:rsid w:val="000D3F74"/>
    <w:rsid w:val="000D43B8"/>
    <w:rsid w:val="000D4698"/>
    <w:rsid w:val="000D4D8E"/>
    <w:rsid w:val="000D5B53"/>
    <w:rsid w:val="000D5E40"/>
    <w:rsid w:val="000D65FB"/>
    <w:rsid w:val="000E0004"/>
    <w:rsid w:val="000E1018"/>
    <w:rsid w:val="000E2448"/>
    <w:rsid w:val="000E2ED8"/>
    <w:rsid w:val="000E31AF"/>
    <w:rsid w:val="000E3959"/>
    <w:rsid w:val="000E3C5E"/>
    <w:rsid w:val="000E4331"/>
    <w:rsid w:val="000E55E5"/>
    <w:rsid w:val="000E5FB8"/>
    <w:rsid w:val="000E72EC"/>
    <w:rsid w:val="000E7317"/>
    <w:rsid w:val="000E79C0"/>
    <w:rsid w:val="000E7D3C"/>
    <w:rsid w:val="000F0780"/>
    <w:rsid w:val="000F0B0E"/>
    <w:rsid w:val="000F11D1"/>
    <w:rsid w:val="000F21A5"/>
    <w:rsid w:val="000F30E0"/>
    <w:rsid w:val="000F35F8"/>
    <w:rsid w:val="000F37CA"/>
    <w:rsid w:val="000F3BBF"/>
    <w:rsid w:val="000F4144"/>
    <w:rsid w:val="000F4739"/>
    <w:rsid w:val="000F5266"/>
    <w:rsid w:val="000F563F"/>
    <w:rsid w:val="000F5855"/>
    <w:rsid w:val="000F5A22"/>
    <w:rsid w:val="000F5E1C"/>
    <w:rsid w:val="000F670C"/>
    <w:rsid w:val="000F685E"/>
    <w:rsid w:val="000F6A37"/>
    <w:rsid w:val="000F6FBF"/>
    <w:rsid w:val="00100568"/>
    <w:rsid w:val="00100CF3"/>
    <w:rsid w:val="00101049"/>
    <w:rsid w:val="00101274"/>
    <w:rsid w:val="00101C15"/>
    <w:rsid w:val="00101DB4"/>
    <w:rsid w:val="00102776"/>
    <w:rsid w:val="001029A1"/>
    <w:rsid w:val="0010418D"/>
    <w:rsid w:val="00104682"/>
    <w:rsid w:val="00105354"/>
    <w:rsid w:val="0010567C"/>
    <w:rsid w:val="001057C9"/>
    <w:rsid w:val="001059AB"/>
    <w:rsid w:val="001064EA"/>
    <w:rsid w:val="001068D3"/>
    <w:rsid w:val="00106C2F"/>
    <w:rsid w:val="001101EB"/>
    <w:rsid w:val="00110689"/>
    <w:rsid w:val="00110723"/>
    <w:rsid w:val="001116FA"/>
    <w:rsid w:val="00111B50"/>
    <w:rsid w:val="00111C4C"/>
    <w:rsid w:val="00111D07"/>
    <w:rsid w:val="001120F5"/>
    <w:rsid w:val="00112BEB"/>
    <w:rsid w:val="00112CB7"/>
    <w:rsid w:val="001132CE"/>
    <w:rsid w:val="0011337F"/>
    <w:rsid w:val="0011377F"/>
    <w:rsid w:val="00113A42"/>
    <w:rsid w:val="00113A4C"/>
    <w:rsid w:val="00114D21"/>
    <w:rsid w:val="00114D46"/>
    <w:rsid w:val="00115885"/>
    <w:rsid w:val="00115893"/>
    <w:rsid w:val="00116A2A"/>
    <w:rsid w:val="001174BF"/>
    <w:rsid w:val="0011772F"/>
    <w:rsid w:val="00117FE0"/>
    <w:rsid w:val="001206CF"/>
    <w:rsid w:val="001206E6"/>
    <w:rsid w:val="00120961"/>
    <w:rsid w:val="00120CD7"/>
    <w:rsid w:val="00120E70"/>
    <w:rsid w:val="00121800"/>
    <w:rsid w:val="00123241"/>
    <w:rsid w:val="001234BC"/>
    <w:rsid w:val="00123F7D"/>
    <w:rsid w:val="001246BD"/>
    <w:rsid w:val="00124DF0"/>
    <w:rsid w:val="001252C3"/>
    <w:rsid w:val="0012588A"/>
    <w:rsid w:val="001262C8"/>
    <w:rsid w:val="001262DE"/>
    <w:rsid w:val="001263E3"/>
    <w:rsid w:val="00126677"/>
    <w:rsid w:val="00126B51"/>
    <w:rsid w:val="0012715F"/>
    <w:rsid w:val="001275CA"/>
    <w:rsid w:val="0012782B"/>
    <w:rsid w:val="00130269"/>
    <w:rsid w:val="00130A0D"/>
    <w:rsid w:val="00132E2A"/>
    <w:rsid w:val="00134179"/>
    <w:rsid w:val="00134351"/>
    <w:rsid w:val="001344DC"/>
    <w:rsid w:val="00134501"/>
    <w:rsid w:val="001345C9"/>
    <w:rsid w:val="00134F71"/>
    <w:rsid w:val="00134F8E"/>
    <w:rsid w:val="00135230"/>
    <w:rsid w:val="001352B2"/>
    <w:rsid w:val="0013552A"/>
    <w:rsid w:val="00137441"/>
    <w:rsid w:val="00137B9B"/>
    <w:rsid w:val="0014007A"/>
    <w:rsid w:val="0014045D"/>
    <w:rsid w:val="00140932"/>
    <w:rsid w:val="00140A20"/>
    <w:rsid w:val="00140BFC"/>
    <w:rsid w:val="00140E6A"/>
    <w:rsid w:val="00140F44"/>
    <w:rsid w:val="0014196B"/>
    <w:rsid w:val="0014215B"/>
    <w:rsid w:val="0014240D"/>
    <w:rsid w:val="00144707"/>
    <w:rsid w:val="00144B05"/>
    <w:rsid w:val="00144B54"/>
    <w:rsid w:val="00144C4E"/>
    <w:rsid w:val="00145A29"/>
    <w:rsid w:val="00145D97"/>
    <w:rsid w:val="001461BA"/>
    <w:rsid w:val="0014751C"/>
    <w:rsid w:val="001502E0"/>
    <w:rsid w:val="001502F6"/>
    <w:rsid w:val="0015073E"/>
    <w:rsid w:val="0015182D"/>
    <w:rsid w:val="00151BEB"/>
    <w:rsid w:val="00151E9E"/>
    <w:rsid w:val="00151FFF"/>
    <w:rsid w:val="001521C2"/>
    <w:rsid w:val="0015275A"/>
    <w:rsid w:val="00152AD4"/>
    <w:rsid w:val="00152DF0"/>
    <w:rsid w:val="0015350F"/>
    <w:rsid w:val="00154B51"/>
    <w:rsid w:val="00154D33"/>
    <w:rsid w:val="00154DF4"/>
    <w:rsid w:val="00155155"/>
    <w:rsid w:val="001552A1"/>
    <w:rsid w:val="0015582D"/>
    <w:rsid w:val="00155C6D"/>
    <w:rsid w:val="00155EB4"/>
    <w:rsid w:val="0015634E"/>
    <w:rsid w:val="001565FD"/>
    <w:rsid w:val="0015714A"/>
    <w:rsid w:val="0015754D"/>
    <w:rsid w:val="00157CB5"/>
    <w:rsid w:val="00160294"/>
    <w:rsid w:val="00160723"/>
    <w:rsid w:val="00160F47"/>
    <w:rsid w:val="0016144C"/>
    <w:rsid w:val="00162518"/>
    <w:rsid w:val="001627BC"/>
    <w:rsid w:val="00162997"/>
    <w:rsid w:val="00162AFB"/>
    <w:rsid w:val="0016341E"/>
    <w:rsid w:val="0016359E"/>
    <w:rsid w:val="001638E0"/>
    <w:rsid w:val="00163A4C"/>
    <w:rsid w:val="00163C59"/>
    <w:rsid w:val="001640A4"/>
    <w:rsid w:val="0016445F"/>
    <w:rsid w:val="0016520F"/>
    <w:rsid w:val="0016535E"/>
    <w:rsid w:val="00165543"/>
    <w:rsid w:val="00165565"/>
    <w:rsid w:val="0016595E"/>
    <w:rsid w:val="00165AD5"/>
    <w:rsid w:val="00165DAD"/>
    <w:rsid w:val="00165F22"/>
    <w:rsid w:val="001678B7"/>
    <w:rsid w:val="00167C80"/>
    <w:rsid w:val="00170D6C"/>
    <w:rsid w:val="00171082"/>
    <w:rsid w:val="0017115B"/>
    <w:rsid w:val="001716C9"/>
    <w:rsid w:val="001719F2"/>
    <w:rsid w:val="00171D30"/>
    <w:rsid w:val="00172028"/>
    <w:rsid w:val="001725D6"/>
    <w:rsid w:val="00173CF9"/>
    <w:rsid w:val="00174B02"/>
    <w:rsid w:val="00175A47"/>
    <w:rsid w:val="00176006"/>
    <w:rsid w:val="001760A6"/>
    <w:rsid w:val="001760CD"/>
    <w:rsid w:val="0017713F"/>
    <w:rsid w:val="001775A6"/>
    <w:rsid w:val="0018005D"/>
    <w:rsid w:val="00180922"/>
    <w:rsid w:val="00180E1F"/>
    <w:rsid w:val="001810B3"/>
    <w:rsid w:val="001810F3"/>
    <w:rsid w:val="00182697"/>
    <w:rsid w:val="001828B0"/>
    <w:rsid w:val="00182A32"/>
    <w:rsid w:val="00183217"/>
    <w:rsid w:val="001834F5"/>
    <w:rsid w:val="00183DBA"/>
    <w:rsid w:val="0018431B"/>
    <w:rsid w:val="00184597"/>
    <w:rsid w:val="001846E8"/>
    <w:rsid w:val="001846F0"/>
    <w:rsid w:val="001849B8"/>
    <w:rsid w:val="00184A5F"/>
    <w:rsid w:val="00184DB8"/>
    <w:rsid w:val="00184F8E"/>
    <w:rsid w:val="00185131"/>
    <w:rsid w:val="001856B1"/>
    <w:rsid w:val="00186A41"/>
    <w:rsid w:val="00186F41"/>
    <w:rsid w:val="00187548"/>
    <w:rsid w:val="00190433"/>
    <w:rsid w:val="00190470"/>
    <w:rsid w:val="001915BF"/>
    <w:rsid w:val="0019184E"/>
    <w:rsid w:val="0019196B"/>
    <w:rsid w:val="00191A9D"/>
    <w:rsid w:val="00191EB9"/>
    <w:rsid w:val="00192304"/>
    <w:rsid w:val="001928F2"/>
    <w:rsid w:val="001932E0"/>
    <w:rsid w:val="00193F34"/>
    <w:rsid w:val="001940AF"/>
    <w:rsid w:val="00194543"/>
    <w:rsid w:val="00194C73"/>
    <w:rsid w:val="001955DE"/>
    <w:rsid w:val="0019624D"/>
    <w:rsid w:val="001968BC"/>
    <w:rsid w:val="00196AF1"/>
    <w:rsid w:val="001978AA"/>
    <w:rsid w:val="00197F57"/>
    <w:rsid w:val="001A025C"/>
    <w:rsid w:val="001A086F"/>
    <w:rsid w:val="001A0BE9"/>
    <w:rsid w:val="001A227C"/>
    <w:rsid w:val="001A27FD"/>
    <w:rsid w:val="001A2A54"/>
    <w:rsid w:val="001A323A"/>
    <w:rsid w:val="001A5EE3"/>
    <w:rsid w:val="001A6572"/>
    <w:rsid w:val="001A66BF"/>
    <w:rsid w:val="001A7A31"/>
    <w:rsid w:val="001A7AAF"/>
    <w:rsid w:val="001A7AEB"/>
    <w:rsid w:val="001A7E64"/>
    <w:rsid w:val="001B0265"/>
    <w:rsid w:val="001B039F"/>
    <w:rsid w:val="001B0657"/>
    <w:rsid w:val="001B095C"/>
    <w:rsid w:val="001B199D"/>
    <w:rsid w:val="001B1A74"/>
    <w:rsid w:val="001B1D43"/>
    <w:rsid w:val="001B2EA9"/>
    <w:rsid w:val="001B3E16"/>
    <w:rsid w:val="001B43C4"/>
    <w:rsid w:val="001B4EB6"/>
    <w:rsid w:val="001B5A0C"/>
    <w:rsid w:val="001B5A5E"/>
    <w:rsid w:val="001B6090"/>
    <w:rsid w:val="001B6233"/>
    <w:rsid w:val="001B629A"/>
    <w:rsid w:val="001B6421"/>
    <w:rsid w:val="001B6431"/>
    <w:rsid w:val="001B6687"/>
    <w:rsid w:val="001B6691"/>
    <w:rsid w:val="001B788D"/>
    <w:rsid w:val="001B79CB"/>
    <w:rsid w:val="001B7C2B"/>
    <w:rsid w:val="001C00B0"/>
    <w:rsid w:val="001C0444"/>
    <w:rsid w:val="001C07EC"/>
    <w:rsid w:val="001C0D46"/>
    <w:rsid w:val="001C1558"/>
    <w:rsid w:val="001C1B45"/>
    <w:rsid w:val="001C2663"/>
    <w:rsid w:val="001C2BCA"/>
    <w:rsid w:val="001C32A5"/>
    <w:rsid w:val="001C341A"/>
    <w:rsid w:val="001C3713"/>
    <w:rsid w:val="001C3A96"/>
    <w:rsid w:val="001C4355"/>
    <w:rsid w:val="001C54DD"/>
    <w:rsid w:val="001C56A4"/>
    <w:rsid w:val="001C5801"/>
    <w:rsid w:val="001C587B"/>
    <w:rsid w:val="001C6122"/>
    <w:rsid w:val="001C6A05"/>
    <w:rsid w:val="001C7DB9"/>
    <w:rsid w:val="001D0670"/>
    <w:rsid w:val="001D0A58"/>
    <w:rsid w:val="001D0E58"/>
    <w:rsid w:val="001D0E76"/>
    <w:rsid w:val="001D106D"/>
    <w:rsid w:val="001D15B5"/>
    <w:rsid w:val="001D1D6F"/>
    <w:rsid w:val="001D2F31"/>
    <w:rsid w:val="001D356F"/>
    <w:rsid w:val="001D38FA"/>
    <w:rsid w:val="001D405D"/>
    <w:rsid w:val="001D43D3"/>
    <w:rsid w:val="001D4656"/>
    <w:rsid w:val="001D479A"/>
    <w:rsid w:val="001D581F"/>
    <w:rsid w:val="001D5E31"/>
    <w:rsid w:val="001D61FD"/>
    <w:rsid w:val="001D7019"/>
    <w:rsid w:val="001D7285"/>
    <w:rsid w:val="001D76AD"/>
    <w:rsid w:val="001D79F6"/>
    <w:rsid w:val="001E0033"/>
    <w:rsid w:val="001E046E"/>
    <w:rsid w:val="001E13FA"/>
    <w:rsid w:val="001E1CE8"/>
    <w:rsid w:val="001E207B"/>
    <w:rsid w:val="001E20ED"/>
    <w:rsid w:val="001E2854"/>
    <w:rsid w:val="001E2AC7"/>
    <w:rsid w:val="001E3969"/>
    <w:rsid w:val="001E484C"/>
    <w:rsid w:val="001E4EEC"/>
    <w:rsid w:val="001E4FA4"/>
    <w:rsid w:val="001E545F"/>
    <w:rsid w:val="001E5E9E"/>
    <w:rsid w:val="001E6897"/>
    <w:rsid w:val="001E69BD"/>
    <w:rsid w:val="001E713E"/>
    <w:rsid w:val="001E7817"/>
    <w:rsid w:val="001E789A"/>
    <w:rsid w:val="001F0479"/>
    <w:rsid w:val="001F06FF"/>
    <w:rsid w:val="001F0A77"/>
    <w:rsid w:val="001F0F88"/>
    <w:rsid w:val="001F133F"/>
    <w:rsid w:val="001F13FA"/>
    <w:rsid w:val="001F17B8"/>
    <w:rsid w:val="001F1BD3"/>
    <w:rsid w:val="001F1BD6"/>
    <w:rsid w:val="001F1E1C"/>
    <w:rsid w:val="001F2341"/>
    <w:rsid w:val="001F24F7"/>
    <w:rsid w:val="001F2782"/>
    <w:rsid w:val="001F2D09"/>
    <w:rsid w:val="001F32C3"/>
    <w:rsid w:val="001F33D6"/>
    <w:rsid w:val="001F3719"/>
    <w:rsid w:val="001F3936"/>
    <w:rsid w:val="001F3C25"/>
    <w:rsid w:val="001F4634"/>
    <w:rsid w:val="001F464C"/>
    <w:rsid w:val="001F4F38"/>
    <w:rsid w:val="001F533A"/>
    <w:rsid w:val="001F5661"/>
    <w:rsid w:val="001F59A2"/>
    <w:rsid w:val="001F5C94"/>
    <w:rsid w:val="001F6AB2"/>
    <w:rsid w:val="001F6DD7"/>
    <w:rsid w:val="001F71ED"/>
    <w:rsid w:val="001F7405"/>
    <w:rsid w:val="001F7674"/>
    <w:rsid w:val="001F7C6A"/>
    <w:rsid w:val="001F7CA0"/>
    <w:rsid w:val="001F7F2B"/>
    <w:rsid w:val="001F7F9B"/>
    <w:rsid w:val="0020049C"/>
    <w:rsid w:val="00200958"/>
    <w:rsid w:val="00200AA9"/>
    <w:rsid w:val="00200C39"/>
    <w:rsid w:val="0020107A"/>
    <w:rsid w:val="00201229"/>
    <w:rsid w:val="0020126A"/>
    <w:rsid w:val="002019DF"/>
    <w:rsid w:val="00201F0E"/>
    <w:rsid w:val="002022CB"/>
    <w:rsid w:val="00202410"/>
    <w:rsid w:val="0020265A"/>
    <w:rsid w:val="002028EC"/>
    <w:rsid w:val="00202DD5"/>
    <w:rsid w:val="0020335E"/>
    <w:rsid w:val="002037B3"/>
    <w:rsid w:val="00204036"/>
    <w:rsid w:val="00204152"/>
    <w:rsid w:val="0020438F"/>
    <w:rsid w:val="002049A4"/>
    <w:rsid w:val="00204B02"/>
    <w:rsid w:val="002053EB"/>
    <w:rsid w:val="00205758"/>
    <w:rsid w:val="002063FA"/>
    <w:rsid w:val="00207228"/>
    <w:rsid w:val="00210CB0"/>
    <w:rsid w:val="00211350"/>
    <w:rsid w:val="00211523"/>
    <w:rsid w:val="002119B2"/>
    <w:rsid w:val="00211C2E"/>
    <w:rsid w:val="0021287F"/>
    <w:rsid w:val="00212A06"/>
    <w:rsid w:val="00212EA4"/>
    <w:rsid w:val="00212ED6"/>
    <w:rsid w:val="00213E7E"/>
    <w:rsid w:val="002143F3"/>
    <w:rsid w:val="00214A5D"/>
    <w:rsid w:val="00214D30"/>
    <w:rsid w:val="00214D45"/>
    <w:rsid w:val="00215192"/>
    <w:rsid w:val="00215C87"/>
    <w:rsid w:val="00215CA0"/>
    <w:rsid w:val="00215FC5"/>
    <w:rsid w:val="002165EC"/>
    <w:rsid w:val="00216859"/>
    <w:rsid w:val="00216EFB"/>
    <w:rsid w:val="0021712D"/>
    <w:rsid w:val="0021749A"/>
    <w:rsid w:val="00217BFA"/>
    <w:rsid w:val="00220459"/>
    <w:rsid w:val="00220855"/>
    <w:rsid w:val="00220F74"/>
    <w:rsid w:val="0022101C"/>
    <w:rsid w:val="0022186E"/>
    <w:rsid w:val="002228E2"/>
    <w:rsid w:val="002229EE"/>
    <w:rsid w:val="00222E71"/>
    <w:rsid w:val="00223575"/>
    <w:rsid w:val="002237BB"/>
    <w:rsid w:val="00223996"/>
    <w:rsid w:val="00223DAD"/>
    <w:rsid w:val="0022427C"/>
    <w:rsid w:val="002248D3"/>
    <w:rsid w:val="00224A61"/>
    <w:rsid w:val="00224C6B"/>
    <w:rsid w:val="00224F87"/>
    <w:rsid w:val="00225028"/>
    <w:rsid w:val="00225129"/>
    <w:rsid w:val="00225158"/>
    <w:rsid w:val="00225EC8"/>
    <w:rsid w:val="002260B1"/>
    <w:rsid w:val="0022617F"/>
    <w:rsid w:val="00226F1A"/>
    <w:rsid w:val="00227022"/>
    <w:rsid w:val="002271A9"/>
    <w:rsid w:val="00227335"/>
    <w:rsid w:val="00227685"/>
    <w:rsid w:val="002276EE"/>
    <w:rsid w:val="00227F7D"/>
    <w:rsid w:val="00230B94"/>
    <w:rsid w:val="00230F11"/>
    <w:rsid w:val="002313A5"/>
    <w:rsid w:val="00231589"/>
    <w:rsid w:val="002315BD"/>
    <w:rsid w:val="002315CA"/>
    <w:rsid w:val="002317C8"/>
    <w:rsid w:val="00231B0E"/>
    <w:rsid w:val="00231B92"/>
    <w:rsid w:val="00232FD0"/>
    <w:rsid w:val="00233A60"/>
    <w:rsid w:val="002362F6"/>
    <w:rsid w:val="002363A3"/>
    <w:rsid w:val="00236569"/>
    <w:rsid w:val="00236954"/>
    <w:rsid w:val="00236A3E"/>
    <w:rsid w:val="00236F72"/>
    <w:rsid w:val="002403BF"/>
    <w:rsid w:val="0024071A"/>
    <w:rsid w:val="00240E21"/>
    <w:rsid w:val="00241354"/>
    <w:rsid w:val="00241492"/>
    <w:rsid w:val="00242057"/>
    <w:rsid w:val="00242838"/>
    <w:rsid w:val="00242A59"/>
    <w:rsid w:val="00243EAC"/>
    <w:rsid w:val="00244641"/>
    <w:rsid w:val="002449DD"/>
    <w:rsid w:val="00244EE3"/>
    <w:rsid w:val="002451DF"/>
    <w:rsid w:val="002457C3"/>
    <w:rsid w:val="00246180"/>
    <w:rsid w:val="00246B0E"/>
    <w:rsid w:val="0024733D"/>
    <w:rsid w:val="0024779E"/>
    <w:rsid w:val="002479F9"/>
    <w:rsid w:val="00247FBC"/>
    <w:rsid w:val="0025083C"/>
    <w:rsid w:val="00250A1A"/>
    <w:rsid w:val="00250EF8"/>
    <w:rsid w:val="0025174F"/>
    <w:rsid w:val="00251BC9"/>
    <w:rsid w:val="00252897"/>
    <w:rsid w:val="00252B60"/>
    <w:rsid w:val="00252BDC"/>
    <w:rsid w:val="00252E3F"/>
    <w:rsid w:val="00253501"/>
    <w:rsid w:val="00253FE4"/>
    <w:rsid w:val="002540D1"/>
    <w:rsid w:val="0025420B"/>
    <w:rsid w:val="0025455E"/>
    <w:rsid w:val="002548BA"/>
    <w:rsid w:val="00254A05"/>
    <w:rsid w:val="00254FC3"/>
    <w:rsid w:val="00255170"/>
    <w:rsid w:val="00255A22"/>
    <w:rsid w:val="00255B15"/>
    <w:rsid w:val="00255C3E"/>
    <w:rsid w:val="002563C8"/>
    <w:rsid w:val="00256517"/>
    <w:rsid w:val="002566ED"/>
    <w:rsid w:val="002575DF"/>
    <w:rsid w:val="00257896"/>
    <w:rsid w:val="00257DC9"/>
    <w:rsid w:val="002600E2"/>
    <w:rsid w:val="00260194"/>
    <w:rsid w:val="002607B7"/>
    <w:rsid w:val="00260FB1"/>
    <w:rsid w:val="00261001"/>
    <w:rsid w:val="002618BA"/>
    <w:rsid w:val="00261931"/>
    <w:rsid w:val="00262781"/>
    <w:rsid w:val="002628E8"/>
    <w:rsid w:val="002629C0"/>
    <w:rsid w:val="00262FC1"/>
    <w:rsid w:val="002632AA"/>
    <w:rsid w:val="00263B3F"/>
    <w:rsid w:val="00263FA9"/>
    <w:rsid w:val="00264652"/>
    <w:rsid w:val="0026578A"/>
    <w:rsid w:val="00265C93"/>
    <w:rsid w:val="00266116"/>
    <w:rsid w:val="00267294"/>
    <w:rsid w:val="00267555"/>
    <w:rsid w:val="00267566"/>
    <w:rsid w:val="002700EC"/>
    <w:rsid w:val="00270399"/>
    <w:rsid w:val="00270DC9"/>
    <w:rsid w:val="00270F17"/>
    <w:rsid w:val="00270FF1"/>
    <w:rsid w:val="0027102A"/>
    <w:rsid w:val="00272752"/>
    <w:rsid w:val="00272CAD"/>
    <w:rsid w:val="00272E5B"/>
    <w:rsid w:val="00273082"/>
    <w:rsid w:val="00273570"/>
    <w:rsid w:val="00273A6C"/>
    <w:rsid w:val="00274B34"/>
    <w:rsid w:val="00274C3D"/>
    <w:rsid w:val="00274DEF"/>
    <w:rsid w:val="00274E91"/>
    <w:rsid w:val="0027509B"/>
    <w:rsid w:val="00276659"/>
    <w:rsid w:val="00277DDF"/>
    <w:rsid w:val="0028067E"/>
    <w:rsid w:val="0028134E"/>
    <w:rsid w:val="002818E3"/>
    <w:rsid w:val="00281ADD"/>
    <w:rsid w:val="0028247D"/>
    <w:rsid w:val="00282646"/>
    <w:rsid w:val="00283760"/>
    <w:rsid w:val="002851EC"/>
    <w:rsid w:val="002863CF"/>
    <w:rsid w:val="00286A23"/>
    <w:rsid w:val="00286D6B"/>
    <w:rsid w:val="00286E52"/>
    <w:rsid w:val="00287773"/>
    <w:rsid w:val="00287BBC"/>
    <w:rsid w:val="00290E9C"/>
    <w:rsid w:val="0029124A"/>
    <w:rsid w:val="00291668"/>
    <w:rsid w:val="002916F4"/>
    <w:rsid w:val="00292093"/>
    <w:rsid w:val="00292A61"/>
    <w:rsid w:val="00292BB4"/>
    <w:rsid w:val="00292D3C"/>
    <w:rsid w:val="00293BB9"/>
    <w:rsid w:val="002942EA"/>
    <w:rsid w:val="00294334"/>
    <w:rsid w:val="00294D96"/>
    <w:rsid w:val="00294FD0"/>
    <w:rsid w:val="00295493"/>
    <w:rsid w:val="0029560A"/>
    <w:rsid w:val="0029564D"/>
    <w:rsid w:val="002957FB"/>
    <w:rsid w:val="00296243"/>
    <w:rsid w:val="00296436"/>
    <w:rsid w:val="0029647F"/>
    <w:rsid w:val="0029686E"/>
    <w:rsid w:val="002974D5"/>
    <w:rsid w:val="002A07CF"/>
    <w:rsid w:val="002A0C66"/>
    <w:rsid w:val="002A10C8"/>
    <w:rsid w:val="002A1EDD"/>
    <w:rsid w:val="002A2381"/>
    <w:rsid w:val="002A27BC"/>
    <w:rsid w:val="002A2E17"/>
    <w:rsid w:val="002A3800"/>
    <w:rsid w:val="002A3B1D"/>
    <w:rsid w:val="002A3B3C"/>
    <w:rsid w:val="002A3D5A"/>
    <w:rsid w:val="002A43F8"/>
    <w:rsid w:val="002A46F3"/>
    <w:rsid w:val="002A47E8"/>
    <w:rsid w:val="002A4A69"/>
    <w:rsid w:val="002A4BAE"/>
    <w:rsid w:val="002A505D"/>
    <w:rsid w:val="002A52D0"/>
    <w:rsid w:val="002A533E"/>
    <w:rsid w:val="002A5630"/>
    <w:rsid w:val="002A6079"/>
    <w:rsid w:val="002A643A"/>
    <w:rsid w:val="002A64C7"/>
    <w:rsid w:val="002A6903"/>
    <w:rsid w:val="002A6A75"/>
    <w:rsid w:val="002A6DDD"/>
    <w:rsid w:val="002A707E"/>
    <w:rsid w:val="002A76B4"/>
    <w:rsid w:val="002B054B"/>
    <w:rsid w:val="002B0645"/>
    <w:rsid w:val="002B09CF"/>
    <w:rsid w:val="002B0C8F"/>
    <w:rsid w:val="002B326B"/>
    <w:rsid w:val="002B378F"/>
    <w:rsid w:val="002B3BFF"/>
    <w:rsid w:val="002B3F8C"/>
    <w:rsid w:val="002B424E"/>
    <w:rsid w:val="002B4569"/>
    <w:rsid w:val="002B45EF"/>
    <w:rsid w:val="002B4B6B"/>
    <w:rsid w:val="002B50F1"/>
    <w:rsid w:val="002B5168"/>
    <w:rsid w:val="002B5230"/>
    <w:rsid w:val="002B57CD"/>
    <w:rsid w:val="002B5A5C"/>
    <w:rsid w:val="002B5B64"/>
    <w:rsid w:val="002B6D30"/>
    <w:rsid w:val="002B7D1D"/>
    <w:rsid w:val="002B7D6E"/>
    <w:rsid w:val="002B7D9B"/>
    <w:rsid w:val="002C064A"/>
    <w:rsid w:val="002C06B5"/>
    <w:rsid w:val="002C0EFE"/>
    <w:rsid w:val="002C109B"/>
    <w:rsid w:val="002C158A"/>
    <w:rsid w:val="002C1A15"/>
    <w:rsid w:val="002C22B9"/>
    <w:rsid w:val="002C23EC"/>
    <w:rsid w:val="002C29D4"/>
    <w:rsid w:val="002C2E97"/>
    <w:rsid w:val="002C3200"/>
    <w:rsid w:val="002C338E"/>
    <w:rsid w:val="002C36CB"/>
    <w:rsid w:val="002C3B84"/>
    <w:rsid w:val="002C3CBF"/>
    <w:rsid w:val="002C3F2B"/>
    <w:rsid w:val="002C4541"/>
    <w:rsid w:val="002C49AB"/>
    <w:rsid w:val="002C5533"/>
    <w:rsid w:val="002C60C7"/>
    <w:rsid w:val="002C65CB"/>
    <w:rsid w:val="002C664F"/>
    <w:rsid w:val="002C6C5C"/>
    <w:rsid w:val="002C74E5"/>
    <w:rsid w:val="002C7807"/>
    <w:rsid w:val="002D0601"/>
    <w:rsid w:val="002D0E0D"/>
    <w:rsid w:val="002D105E"/>
    <w:rsid w:val="002D1DDE"/>
    <w:rsid w:val="002D22BD"/>
    <w:rsid w:val="002D27DE"/>
    <w:rsid w:val="002D31F3"/>
    <w:rsid w:val="002D4206"/>
    <w:rsid w:val="002D4A97"/>
    <w:rsid w:val="002D4D95"/>
    <w:rsid w:val="002D549A"/>
    <w:rsid w:val="002D591B"/>
    <w:rsid w:val="002D6031"/>
    <w:rsid w:val="002D690E"/>
    <w:rsid w:val="002D6951"/>
    <w:rsid w:val="002D6B02"/>
    <w:rsid w:val="002D6B19"/>
    <w:rsid w:val="002D6EC0"/>
    <w:rsid w:val="002D6F0E"/>
    <w:rsid w:val="002D7E8B"/>
    <w:rsid w:val="002E001E"/>
    <w:rsid w:val="002E003A"/>
    <w:rsid w:val="002E022E"/>
    <w:rsid w:val="002E07BF"/>
    <w:rsid w:val="002E0AD4"/>
    <w:rsid w:val="002E0D1B"/>
    <w:rsid w:val="002E0D20"/>
    <w:rsid w:val="002E17B0"/>
    <w:rsid w:val="002E247A"/>
    <w:rsid w:val="002E348B"/>
    <w:rsid w:val="002E380B"/>
    <w:rsid w:val="002E3A51"/>
    <w:rsid w:val="002E3AC2"/>
    <w:rsid w:val="002E3DBB"/>
    <w:rsid w:val="002E4134"/>
    <w:rsid w:val="002E616C"/>
    <w:rsid w:val="002E7288"/>
    <w:rsid w:val="002E7FEA"/>
    <w:rsid w:val="002F0465"/>
    <w:rsid w:val="002F077A"/>
    <w:rsid w:val="002F0799"/>
    <w:rsid w:val="002F0AF0"/>
    <w:rsid w:val="002F1087"/>
    <w:rsid w:val="002F163B"/>
    <w:rsid w:val="002F20CF"/>
    <w:rsid w:val="002F2169"/>
    <w:rsid w:val="002F2397"/>
    <w:rsid w:val="002F27B5"/>
    <w:rsid w:val="002F2DE7"/>
    <w:rsid w:val="002F3371"/>
    <w:rsid w:val="002F35AA"/>
    <w:rsid w:val="002F3AE0"/>
    <w:rsid w:val="002F3C10"/>
    <w:rsid w:val="002F415B"/>
    <w:rsid w:val="002F42E2"/>
    <w:rsid w:val="002F4F14"/>
    <w:rsid w:val="002F4FF3"/>
    <w:rsid w:val="002F51D4"/>
    <w:rsid w:val="002F5789"/>
    <w:rsid w:val="002F649E"/>
    <w:rsid w:val="002F750D"/>
    <w:rsid w:val="0030001F"/>
    <w:rsid w:val="00300617"/>
    <w:rsid w:val="00300672"/>
    <w:rsid w:val="0030083E"/>
    <w:rsid w:val="00300A00"/>
    <w:rsid w:val="00300E12"/>
    <w:rsid w:val="0030146E"/>
    <w:rsid w:val="003016DE"/>
    <w:rsid w:val="003017E2"/>
    <w:rsid w:val="0030197D"/>
    <w:rsid w:val="00301BAC"/>
    <w:rsid w:val="003024F1"/>
    <w:rsid w:val="0030254D"/>
    <w:rsid w:val="003026B2"/>
    <w:rsid w:val="00302799"/>
    <w:rsid w:val="0030299A"/>
    <w:rsid w:val="00302B13"/>
    <w:rsid w:val="00302C47"/>
    <w:rsid w:val="00302D94"/>
    <w:rsid w:val="00302FD9"/>
    <w:rsid w:val="00303166"/>
    <w:rsid w:val="0030395B"/>
    <w:rsid w:val="00303AA4"/>
    <w:rsid w:val="00303C39"/>
    <w:rsid w:val="00303EC2"/>
    <w:rsid w:val="003047E1"/>
    <w:rsid w:val="00304812"/>
    <w:rsid w:val="00304EEA"/>
    <w:rsid w:val="00305531"/>
    <w:rsid w:val="0030568A"/>
    <w:rsid w:val="0030587D"/>
    <w:rsid w:val="00305BA0"/>
    <w:rsid w:val="00306450"/>
    <w:rsid w:val="00306678"/>
    <w:rsid w:val="0030687B"/>
    <w:rsid w:val="00306D3E"/>
    <w:rsid w:val="00307773"/>
    <w:rsid w:val="00307FDE"/>
    <w:rsid w:val="003102D9"/>
    <w:rsid w:val="00312149"/>
    <w:rsid w:val="00312948"/>
    <w:rsid w:val="00312A8D"/>
    <w:rsid w:val="00313138"/>
    <w:rsid w:val="003137A0"/>
    <w:rsid w:val="003137E6"/>
    <w:rsid w:val="00313B00"/>
    <w:rsid w:val="00313EEC"/>
    <w:rsid w:val="003143DA"/>
    <w:rsid w:val="003145D6"/>
    <w:rsid w:val="00314623"/>
    <w:rsid w:val="00314726"/>
    <w:rsid w:val="0031479B"/>
    <w:rsid w:val="00314EBC"/>
    <w:rsid w:val="0031502C"/>
    <w:rsid w:val="0031565C"/>
    <w:rsid w:val="003162F9"/>
    <w:rsid w:val="00316378"/>
    <w:rsid w:val="003164BE"/>
    <w:rsid w:val="00316D5C"/>
    <w:rsid w:val="00316F64"/>
    <w:rsid w:val="00317914"/>
    <w:rsid w:val="0032003E"/>
    <w:rsid w:val="0032016C"/>
    <w:rsid w:val="0032071A"/>
    <w:rsid w:val="00320A41"/>
    <w:rsid w:val="00320FF2"/>
    <w:rsid w:val="003212E5"/>
    <w:rsid w:val="0032139C"/>
    <w:rsid w:val="00322035"/>
    <w:rsid w:val="003222F2"/>
    <w:rsid w:val="00322373"/>
    <w:rsid w:val="00322499"/>
    <w:rsid w:val="00322CB1"/>
    <w:rsid w:val="00322F50"/>
    <w:rsid w:val="003234C0"/>
    <w:rsid w:val="00324C29"/>
    <w:rsid w:val="003253FB"/>
    <w:rsid w:val="00325C7B"/>
    <w:rsid w:val="003266DB"/>
    <w:rsid w:val="0032676A"/>
    <w:rsid w:val="00326BE0"/>
    <w:rsid w:val="003273FB"/>
    <w:rsid w:val="0033012C"/>
    <w:rsid w:val="00330375"/>
    <w:rsid w:val="003307FD"/>
    <w:rsid w:val="00330FBD"/>
    <w:rsid w:val="00331912"/>
    <w:rsid w:val="003319D9"/>
    <w:rsid w:val="00331E77"/>
    <w:rsid w:val="003321B7"/>
    <w:rsid w:val="00332D58"/>
    <w:rsid w:val="0033379A"/>
    <w:rsid w:val="003342C9"/>
    <w:rsid w:val="003344FC"/>
    <w:rsid w:val="00334879"/>
    <w:rsid w:val="003349EA"/>
    <w:rsid w:val="00335765"/>
    <w:rsid w:val="003357DD"/>
    <w:rsid w:val="0033588D"/>
    <w:rsid w:val="00335971"/>
    <w:rsid w:val="00335CD7"/>
    <w:rsid w:val="00336E31"/>
    <w:rsid w:val="00337897"/>
    <w:rsid w:val="00337C5E"/>
    <w:rsid w:val="00337ECE"/>
    <w:rsid w:val="00340394"/>
    <w:rsid w:val="003405D3"/>
    <w:rsid w:val="00340AA6"/>
    <w:rsid w:val="00340CA4"/>
    <w:rsid w:val="00341330"/>
    <w:rsid w:val="00341B90"/>
    <w:rsid w:val="0034205D"/>
    <w:rsid w:val="0034239F"/>
    <w:rsid w:val="00343659"/>
    <w:rsid w:val="00345352"/>
    <w:rsid w:val="00345DAE"/>
    <w:rsid w:val="003465DB"/>
    <w:rsid w:val="0034677B"/>
    <w:rsid w:val="00346D5B"/>
    <w:rsid w:val="0034740E"/>
    <w:rsid w:val="003474ED"/>
    <w:rsid w:val="003475F6"/>
    <w:rsid w:val="00351030"/>
    <w:rsid w:val="003511C2"/>
    <w:rsid w:val="00351AF3"/>
    <w:rsid w:val="00351B0B"/>
    <w:rsid w:val="003522E1"/>
    <w:rsid w:val="003525BD"/>
    <w:rsid w:val="00352779"/>
    <w:rsid w:val="00352FBA"/>
    <w:rsid w:val="00353343"/>
    <w:rsid w:val="003533CA"/>
    <w:rsid w:val="003534F4"/>
    <w:rsid w:val="00353866"/>
    <w:rsid w:val="003539FE"/>
    <w:rsid w:val="00353B31"/>
    <w:rsid w:val="00353F13"/>
    <w:rsid w:val="00353FE8"/>
    <w:rsid w:val="00354FDE"/>
    <w:rsid w:val="00355328"/>
    <w:rsid w:val="003557E9"/>
    <w:rsid w:val="00355E19"/>
    <w:rsid w:val="00356936"/>
    <w:rsid w:val="00356967"/>
    <w:rsid w:val="00357083"/>
    <w:rsid w:val="00357979"/>
    <w:rsid w:val="003600EC"/>
    <w:rsid w:val="00360749"/>
    <w:rsid w:val="00361885"/>
    <w:rsid w:val="00361DF9"/>
    <w:rsid w:val="003629DB"/>
    <w:rsid w:val="003635A5"/>
    <w:rsid w:val="00363F31"/>
    <w:rsid w:val="0036433A"/>
    <w:rsid w:val="00364B81"/>
    <w:rsid w:val="00366504"/>
    <w:rsid w:val="00366901"/>
    <w:rsid w:val="00366D9F"/>
    <w:rsid w:val="003670E0"/>
    <w:rsid w:val="003671B2"/>
    <w:rsid w:val="00367358"/>
    <w:rsid w:val="003679CF"/>
    <w:rsid w:val="00367B68"/>
    <w:rsid w:val="00370868"/>
    <w:rsid w:val="003717A6"/>
    <w:rsid w:val="00371A9A"/>
    <w:rsid w:val="00373083"/>
    <w:rsid w:val="00373230"/>
    <w:rsid w:val="003733B4"/>
    <w:rsid w:val="00373B4B"/>
    <w:rsid w:val="00375C6D"/>
    <w:rsid w:val="0037712B"/>
    <w:rsid w:val="00377479"/>
    <w:rsid w:val="00377688"/>
    <w:rsid w:val="00377952"/>
    <w:rsid w:val="003805BA"/>
    <w:rsid w:val="003811BD"/>
    <w:rsid w:val="003811E3"/>
    <w:rsid w:val="00381FA6"/>
    <w:rsid w:val="00382012"/>
    <w:rsid w:val="003821A4"/>
    <w:rsid w:val="00382BA2"/>
    <w:rsid w:val="00382BD6"/>
    <w:rsid w:val="00382D5D"/>
    <w:rsid w:val="00382FA4"/>
    <w:rsid w:val="003837BD"/>
    <w:rsid w:val="00383909"/>
    <w:rsid w:val="00383919"/>
    <w:rsid w:val="003839E7"/>
    <w:rsid w:val="00383E52"/>
    <w:rsid w:val="003844F5"/>
    <w:rsid w:val="003845D6"/>
    <w:rsid w:val="00385208"/>
    <w:rsid w:val="00385CB0"/>
    <w:rsid w:val="00386291"/>
    <w:rsid w:val="00386E61"/>
    <w:rsid w:val="0038711F"/>
    <w:rsid w:val="00387AB9"/>
    <w:rsid w:val="00390E2C"/>
    <w:rsid w:val="00390F0F"/>
    <w:rsid w:val="00391141"/>
    <w:rsid w:val="0039123F"/>
    <w:rsid w:val="003915C5"/>
    <w:rsid w:val="00391778"/>
    <w:rsid w:val="00391E8F"/>
    <w:rsid w:val="00391EA8"/>
    <w:rsid w:val="003920BC"/>
    <w:rsid w:val="0039260F"/>
    <w:rsid w:val="00393059"/>
    <w:rsid w:val="00393269"/>
    <w:rsid w:val="003941A6"/>
    <w:rsid w:val="003943FD"/>
    <w:rsid w:val="00394A04"/>
    <w:rsid w:val="00395EA5"/>
    <w:rsid w:val="00395F1F"/>
    <w:rsid w:val="003962F8"/>
    <w:rsid w:val="003970D8"/>
    <w:rsid w:val="003976F6"/>
    <w:rsid w:val="00397850"/>
    <w:rsid w:val="00397B1C"/>
    <w:rsid w:val="003A03F8"/>
    <w:rsid w:val="003A0880"/>
    <w:rsid w:val="003A12C3"/>
    <w:rsid w:val="003A1AD7"/>
    <w:rsid w:val="003A2609"/>
    <w:rsid w:val="003A398D"/>
    <w:rsid w:val="003A39D2"/>
    <w:rsid w:val="003A3FCD"/>
    <w:rsid w:val="003A56E0"/>
    <w:rsid w:val="003A59F5"/>
    <w:rsid w:val="003A5D13"/>
    <w:rsid w:val="003A6081"/>
    <w:rsid w:val="003A6601"/>
    <w:rsid w:val="003A66DC"/>
    <w:rsid w:val="003A675C"/>
    <w:rsid w:val="003A70F8"/>
    <w:rsid w:val="003A75CA"/>
    <w:rsid w:val="003A7A1E"/>
    <w:rsid w:val="003B0BA5"/>
    <w:rsid w:val="003B0C46"/>
    <w:rsid w:val="003B11C0"/>
    <w:rsid w:val="003B2637"/>
    <w:rsid w:val="003B294D"/>
    <w:rsid w:val="003B2A24"/>
    <w:rsid w:val="003B2D13"/>
    <w:rsid w:val="003B2F64"/>
    <w:rsid w:val="003B31EC"/>
    <w:rsid w:val="003B33C9"/>
    <w:rsid w:val="003B3428"/>
    <w:rsid w:val="003B3829"/>
    <w:rsid w:val="003B3C1D"/>
    <w:rsid w:val="003B4601"/>
    <w:rsid w:val="003B4E3B"/>
    <w:rsid w:val="003B5847"/>
    <w:rsid w:val="003B5AF6"/>
    <w:rsid w:val="003B5B35"/>
    <w:rsid w:val="003B5BD7"/>
    <w:rsid w:val="003B5F0F"/>
    <w:rsid w:val="003B5FF9"/>
    <w:rsid w:val="003B6649"/>
    <w:rsid w:val="003B6F17"/>
    <w:rsid w:val="003B77C7"/>
    <w:rsid w:val="003B7989"/>
    <w:rsid w:val="003B79BC"/>
    <w:rsid w:val="003C0342"/>
    <w:rsid w:val="003C064D"/>
    <w:rsid w:val="003C10FD"/>
    <w:rsid w:val="003C14B8"/>
    <w:rsid w:val="003C16DC"/>
    <w:rsid w:val="003C1BA7"/>
    <w:rsid w:val="003C1D92"/>
    <w:rsid w:val="003C20F0"/>
    <w:rsid w:val="003C238E"/>
    <w:rsid w:val="003C23AE"/>
    <w:rsid w:val="003C33FC"/>
    <w:rsid w:val="003C39DA"/>
    <w:rsid w:val="003C46A8"/>
    <w:rsid w:val="003C5859"/>
    <w:rsid w:val="003C633E"/>
    <w:rsid w:val="003C64A7"/>
    <w:rsid w:val="003C6611"/>
    <w:rsid w:val="003C67E1"/>
    <w:rsid w:val="003C7C45"/>
    <w:rsid w:val="003D026C"/>
    <w:rsid w:val="003D0668"/>
    <w:rsid w:val="003D08ED"/>
    <w:rsid w:val="003D0A33"/>
    <w:rsid w:val="003D16F7"/>
    <w:rsid w:val="003D1AAA"/>
    <w:rsid w:val="003D25B7"/>
    <w:rsid w:val="003D286E"/>
    <w:rsid w:val="003D2926"/>
    <w:rsid w:val="003D2980"/>
    <w:rsid w:val="003D2C24"/>
    <w:rsid w:val="003D340E"/>
    <w:rsid w:val="003D4221"/>
    <w:rsid w:val="003D43BA"/>
    <w:rsid w:val="003D4841"/>
    <w:rsid w:val="003D5850"/>
    <w:rsid w:val="003D6023"/>
    <w:rsid w:val="003D610F"/>
    <w:rsid w:val="003D64E1"/>
    <w:rsid w:val="003D6F89"/>
    <w:rsid w:val="003D7570"/>
    <w:rsid w:val="003D76A1"/>
    <w:rsid w:val="003D777D"/>
    <w:rsid w:val="003D7A89"/>
    <w:rsid w:val="003E01E4"/>
    <w:rsid w:val="003E0ACA"/>
    <w:rsid w:val="003E0E9F"/>
    <w:rsid w:val="003E1071"/>
    <w:rsid w:val="003E2990"/>
    <w:rsid w:val="003E2DB0"/>
    <w:rsid w:val="003E39A8"/>
    <w:rsid w:val="003E3BFA"/>
    <w:rsid w:val="003E3C1F"/>
    <w:rsid w:val="003E471F"/>
    <w:rsid w:val="003E47D9"/>
    <w:rsid w:val="003E48A5"/>
    <w:rsid w:val="003E4A64"/>
    <w:rsid w:val="003E4B14"/>
    <w:rsid w:val="003E5222"/>
    <w:rsid w:val="003E5506"/>
    <w:rsid w:val="003E55A1"/>
    <w:rsid w:val="003E55B1"/>
    <w:rsid w:val="003E5BDA"/>
    <w:rsid w:val="003E5C49"/>
    <w:rsid w:val="003E6A28"/>
    <w:rsid w:val="003E752D"/>
    <w:rsid w:val="003E7952"/>
    <w:rsid w:val="003F07B6"/>
    <w:rsid w:val="003F0CF2"/>
    <w:rsid w:val="003F0F17"/>
    <w:rsid w:val="003F109F"/>
    <w:rsid w:val="003F1330"/>
    <w:rsid w:val="003F1725"/>
    <w:rsid w:val="003F18BB"/>
    <w:rsid w:val="003F1985"/>
    <w:rsid w:val="003F1D4C"/>
    <w:rsid w:val="003F1FBE"/>
    <w:rsid w:val="003F21AB"/>
    <w:rsid w:val="003F251E"/>
    <w:rsid w:val="003F26B4"/>
    <w:rsid w:val="003F2A96"/>
    <w:rsid w:val="003F2B86"/>
    <w:rsid w:val="003F2C65"/>
    <w:rsid w:val="003F3001"/>
    <w:rsid w:val="003F3268"/>
    <w:rsid w:val="003F3530"/>
    <w:rsid w:val="003F358D"/>
    <w:rsid w:val="003F3803"/>
    <w:rsid w:val="003F3AE0"/>
    <w:rsid w:val="003F3BD4"/>
    <w:rsid w:val="003F3D62"/>
    <w:rsid w:val="003F4563"/>
    <w:rsid w:val="003F5602"/>
    <w:rsid w:val="003F5F25"/>
    <w:rsid w:val="003F6010"/>
    <w:rsid w:val="003F61D1"/>
    <w:rsid w:val="003F669D"/>
    <w:rsid w:val="003F6B2A"/>
    <w:rsid w:val="003F6B3C"/>
    <w:rsid w:val="003F7229"/>
    <w:rsid w:val="003F724D"/>
    <w:rsid w:val="003F73A7"/>
    <w:rsid w:val="003F7438"/>
    <w:rsid w:val="004000A3"/>
    <w:rsid w:val="00400292"/>
    <w:rsid w:val="00400609"/>
    <w:rsid w:val="0040160E"/>
    <w:rsid w:val="004029B9"/>
    <w:rsid w:val="004032BD"/>
    <w:rsid w:val="00403B2C"/>
    <w:rsid w:val="00403BB4"/>
    <w:rsid w:val="00403CA8"/>
    <w:rsid w:val="004043BF"/>
    <w:rsid w:val="00404CB4"/>
    <w:rsid w:val="004055DF"/>
    <w:rsid w:val="00405F56"/>
    <w:rsid w:val="00406BB0"/>
    <w:rsid w:val="00407024"/>
    <w:rsid w:val="00407C98"/>
    <w:rsid w:val="0041010E"/>
    <w:rsid w:val="00410604"/>
    <w:rsid w:val="00410B55"/>
    <w:rsid w:val="00410B63"/>
    <w:rsid w:val="00411594"/>
    <w:rsid w:val="00411BC0"/>
    <w:rsid w:val="00411C4C"/>
    <w:rsid w:val="004122F0"/>
    <w:rsid w:val="00412410"/>
    <w:rsid w:val="00412593"/>
    <w:rsid w:val="00412C5E"/>
    <w:rsid w:val="00412DE0"/>
    <w:rsid w:val="00413339"/>
    <w:rsid w:val="0041413A"/>
    <w:rsid w:val="00414809"/>
    <w:rsid w:val="00414ACD"/>
    <w:rsid w:val="00414D9F"/>
    <w:rsid w:val="0041522C"/>
    <w:rsid w:val="00415439"/>
    <w:rsid w:val="00415E55"/>
    <w:rsid w:val="00415EA9"/>
    <w:rsid w:val="004163A1"/>
    <w:rsid w:val="00416419"/>
    <w:rsid w:val="00416762"/>
    <w:rsid w:val="0041765B"/>
    <w:rsid w:val="00417A39"/>
    <w:rsid w:val="0042018A"/>
    <w:rsid w:val="004201B8"/>
    <w:rsid w:val="00421A4E"/>
    <w:rsid w:val="00421DEA"/>
    <w:rsid w:val="00421E07"/>
    <w:rsid w:val="004223A0"/>
    <w:rsid w:val="004223FD"/>
    <w:rsid w:val="00422C71"/>
    <w:rsid w:val="004233CA"/>
    <w:rsid w:val="00423671"/>
    <w:rsid w:val="00423979"/>
    <w:rsid w:val="00424949"/>
    <w:rsid w:val="00424AC1"/>
    <w:rsid w:val="00426B9B"/>
    <w:rsid w:val="00427839"/>
    <w:rsid w:val="00427A45"/>
    <w:rsid w:val="00427C21"/>
    <w:rsid w:val="00431051"/>
    <w:rsid w:val="004316AB"/>
    <w:rsid w:val="00431881"/>
    <w:rsid w:val="00431AC8"/>
    <w:rsid w:val="00432242"/>
    <w:rsid w:val="004327C3"/>
    <w:rsid w:val="00432FCA"/>
    <w:rsid w:val="004334D8"/>
    <w:rsid w:val="00433815"/>
    <w:rsid w:val="00433CFA"/>
    <w:rsid w:val="00434626"/>
    <w:rsid w:val="0043503C"/>
    <w:rsid w:val="0043585A"/>
    <w:rsid w:val="00435A0D"/>
    <w:rsid w:val="00435E30"/>
    <w:rsid w:val="004361B3"/>
    <w:rsid w:val="0043731E"/>
    <w:rsid w:val="00437EEE"/>
    <w:rsid w:val="00440156"/>
    <w:rsid w:val="00440F3F"/>
    <w:rsid w:val="00441AED"/>
    <w:rsid w:val="00441AF6"/>
    <w:rsid w:val="00441C46"/>
    <w:rsid w:val="00441F4B"/>
    <w:rsid w:val="0044210D"/>
    <w:rsid w:val="0044252C"/>
    <w:rsid w:val="0044278B"/>
    <w:rsid w:val="00442C82"/>
    <w:rsid w:val="004431A8"/>
    <w:rsid w:val="00443F08"/>
    <w:rsid w:val="004441B0"/>
    <w:rsid w:val="00444B2B"/>
    <w:rsid w:val="00444ED2"/>
    <w:rsid w:val="0044533E"/>
    <w:rsid w:val="00445423"/>
    <w:rsid w:val="00445BD5"/>
    <w:rsid w:val="0044688D"/>
    <w:rsid w:val="004471B1"/>
    <w:rsid w:val="00447578"/>
    <w:rsid w:val="00450431"/>
    <w:rsid w:val="0045091F"/>
    <w:rsid w:val="00450AC1"/>
    <w:rsid w:val="00450E07"/>
    <w:rsid w:val="00450E85"/>
    <w:rsid w:val="00450F3A"/>
    <w:rsid w:val="00451081"/>
    <w:rsid w:val="0045140D"/>
    <w:rsid w:val="004519C6"/>
    <w:rsid w:val="004519DC"/>
    <w:rsid w:val="004519E6"/>
    <w:rsid w:val="004520D4"/>
    <w:rsid w:val="00452A13"/>
    <w:rsid w:val="0045392D"/>
    <w:rsid w:val="00453B42"/>
    <w:rsid w:val="00453BD6"/>
    <w:rsid w:val="00454096"/>
    <w:rsid w:val="00454E32"/>
    <w:rsid w:val="004555EB"/>
    <w:rsid w:val="004561FE"/>
    <w:rsid w:val="004562C7"/>
    <w:rsid w:val="00456660"/>
    <w:rsid w:val="004569C8"/>
    <w:rsid w:val="004578CE"/>
    <w:rsid w:val="00457F11"/>
    <w:rsid w:val="00460678"/>
    <w:rsid w:val="00460C40"/>
    <w:rsid w:val="00461423"/>
    <w:rsid w:val="00461585"/>
    <w:rsid w:val="00461A6A"/>
    <w:rsid w:val="00461C77"/>
    <w:rsid w:val="00461F8A"/>
    <w:rsid w:val="00462095"/>
    <w:rsid w:val="004621F0"/>
    <w:rsid w:val="00462A57"/>
    <w:rsid w:val="00463034"/>
    <w:rsid w:val="00463659"/>
    <w:rsid w:val="00463923"/>
    <w:rsid w:val="00464544"/>
    <w:rsid w:val="004645E0"/>
    <w:rsid w:val="004650B9"/>
    <w:rsid w:val="004650EF"/>
    <w:rsid w:val="0046574C"/>
    <w:rsid w:val="004657C4"/>
    <w:rsid w:val="00466094"/>
    <w:rsid w:val="00466297"/>
    <w:rsid w:val="004663EA"/>
    <w:rsid w:val="004676A7"/>
    <w:rsid w:val="004676C4"/>
    <w:rsid w:val="004709FA"/>
    <w:rsid w:val="00470A24"/>
    <w:rsid w:val="00470B9B"/>
    <w:rsid w:val="004719A8"/>
    <w:rsid w:val="00471E92"/>
    <w:rsid w:val="00472C9A"/>
    <w:rsid w:val="00473921"/>
    <w:rsid w:val="004753BE"/>
    <w:rsid w:val="004754D5"/>
    <w:rsid w:val="0047564C"/>
    <w:rsid w:val="00476B22"/>
    <w:rsid w:val="00477FDB"/>
    <w:rsid w:val="00481096"/>
    <w:rsid w:val="004814C9"/>
    <w:rsid w:val="00481780"/>
    <w:rsid w:val="0048196F"/>
    <w:rsid w:val="004822C6"/>
    <w:rsid w:val="004822FD"/>
    <w:rsid w:val="00483804"/>
    <w:rsid w:val="004841FF"/>
    <w:rsid w:val="00484861"/>
    <w:rsid w:val="00485118"/>
    <w:rsid w:val="00485634"/>
    <w:rsid w:val="00485803"/>
    <w:rsid w:val="00485ACE"/>
    <w:rsid w:val="004862C5"/>
    <w:rsid w:val="0048688B"/>
    <w:rsid w:val="00487DAA"/>
    <w:rsid w:val="0049058C"/>
    <w:rsid w:val="004907F5"/>
    <w:rsid w:val="004909C2"/>
    <w:rsid w:val="00490FD9"/>
    <w:rsid w:val="0049139D"/>
    <w:rsid w:val="00491B44"/>
    <w:rsid w:val="00491C79"/>
    <w:rsid w:val="00491DD5"/>
    <w:rsid w:val="00491E03"/>
    <w:rsid w:val="004936E7"/>
    <w:rsid w:val="00493C7A"/>
    <w:rsid w:val="00494241"/>
    <w:rsid w:val="00494EC6"/>
    <w:rsid w:val="004950CD"/>
    <w:rsid w:val="00495139"/>
    <w:rsid w:val="00495911"/>
    <w:rsid w:val="00495A43"/>
    <w:rsid w:val="00495D03"/>
    <w:rsid w:val="00495F27"/>
    <w:rsid w:val="00496788"/>
    <w:rsid w:val="00496ADA"/>
    <w:rsid w:val="00496B6E"/>
    <w:rsid w:val="00497462"/>
    <w:rsid w:val="004A021F"/>
    <w:rsid w:val="004A03DD"/>
    <w:rsid w:val="004A0B54"/>
    <w:rsid w:val="004A0C94"/>
    <w:rsid w:val="004A0CC5"/>
    <w:rsid w:val="004A12AF"/>
    <w:rsid w:val="004A1BD4"/>
    <w:rsid w:val="004A367C"/>
    <w:rsid w:val="004A3F61"/>
    <w:rsid w:val="004A403F"/>
    <w:rsid w:val="004A4E01"/>
    <w:rsid w:val="004A5995"/>
    <w:rsid w:val="004A6239"/>
    <w:rsid w:val="004A6A0F"/>
    <w:rsid w:val="004A7281"/>
    <w:rsid w:val="004A7373"/>
    <w:rsid w:val="004A75E4"/>
    <w:rsid w:val="004A7849"/>
    <w:rsid w:val="004A79E9"/>
    <w:rsid w:val="004A7D2C"/>
    <w:rsid w:val="004B0073"/>
    <w:rsid w:val="004B046A"/>
    <w:rsid w:val="004B07EE"/>
    <w:rsid w:val="004B096A"/>
    <w:rsid w:val="004B0DE5"/>
    <w:rsid w:val="004B1329"/>
    <w:rsid w:val="004B178C"/>
    <w:rsid w:val="004B2604"/>
    <w:rsid w:val="004B2736"/>
    <w:rsid w:val="004B2B7D"/>
    <w:rsid w:val="004B2BAD"/>
    <w:rsid w:val="004B2DD5"/>
    <w:rsid w:val="004B35DA"/>
    <w:rsid w:val="004B3A9A"/>
    <w:rsid w:val="004B3F1D"/>
    <w:rsid w:val="004B4810"/>
    <w:rsid w:val="004B4EB5"/>
    <w:rsid w:val="004B52C6"/>
    <w:rsid w:val="004B5660"/>
    <w:rsid w:val="004B6340"/>
    <w:rsid w:val="004B6387"/>
    <w:rsid w:val="004B693C"/>
    <w:rsid w:val="004B6B11"/>
    <w:rsid w:val="004B6CD9"/>
    <w:rsid w:val="004B7314"/>
    <w:rsid w:val="004C02BF"/>
    <w:rsid w:val="004C0614"/>
    <w:rsid w:val="004C0F3A"/>
    <w:rsid w:val="004C1338"/>
    <w:rsid w:val="004C15FF"/>
    <w:rsid w:val="004C19AD"/>
    <w:rsid w:val="004C1DBB"/>
    <w:rsid w:val="004C2A25"/>
    <w:rsid w:val="004C383F"/>
    <w:rsid w:val="004C484D"/>
    <w:rsid w:val="004C4F79"/>
    <w:rsid w:val="004C572E"/>
    <w:rsid w:val="004C5887"/>
    <w:rsid w:val="004C6145"/>
    <w:rsid w:val="004C6489"/>
    <w:rsid w:val="004C6BF9"/>
    <w:rsid w:val="004C7DFA"/>
    <w:rsid w:val="004D088B"/>
    <w:rsid w:val="004D0977"/>
    <w:rsid w:val="004D0E8B"/>
    <w:rsid w:val="004D127E"/>
    <w:rsid w:val="004D16C5"/>
    <w:rsid w:val="004D266D"/>
    <w:rsid w:val="004D26CF"/>
    <w:rsid w:val="004D2EA9"/>
    <w:rsid w:val="004D3267"/>
    <w:rsid w:val="004D39DC"/>
    <w:rsid w:val="004D3A5A"/>
    <w:rsid w:val="004D47DB"/>
    <w:rsid w:val="004D4D30"/>
    <w:rsid w:val="004D5B30"/>
    <w:rsid w:val="004D5FAB"/>
    <w:rsid w:val="004D60FC"/>
    <w:rsid w:val="004D6117"/>
    <w:rsid w:val="004D63F5"/>
    <w:rsid w:val="004D67C1"/>
    <w:rsid w:val="004D6BB2"/>
    <w:rsid w:val="004D6CA8"/>
    <w:rsid w:val="004D70BF"/>
    <w:rsid w:val="004D7BE0"/>
    <w:rsid w:val="004D7F8B"/>
    <w:rsid w:val="004E12C4"/>
    <w:rsid w:val="004E1D37"/>
    <w:rsid w:val="004E23F4"/>
    <w:rsid w:val="004E2B3C"/>
    <w:rsid w:val="004E2B8A"/>
    <w:rsid w:val="004E2D5D"/>
    <w:rsid w:val="004E2DB4"/>
    <w:rsid w:val="004E2E2E"/>
    <w:rsid w:val="004E3476"/>
    <w:rsid w:val="004E35C6"/>
    <w:rsid w:val="004E49E4"/>
    <w:rsid w:val="004E4FC9"/>
    <w:rsid w:val="004E50A6"/>
    <w:rsid w:val="004E5AB9"/>
    <w:rsid w:val="004E5AF1"/>
    <w:rsid w:val="004E5BCC"/>
    <w:rsid w:val="004E5FA3"/>
    <w:rsid w:val="004E665E"/>
    <w:rsid w:val="004E665F"/>
    <w:rsid w:val="004E7941"/>
    <w:rsid w:val="004E7D3A"/>
    <w:rsid w:val="004E7FF4"/>
    <w:rsid w:val="004F01E0"/>
    <w:rsid w:val="004F05AF"/>
    <w:rsid w:val="004F0F97"/>
    <w:rsid w:val="004F110C"/>
    <w:rsid w:val="004F2064"/>
    <w:rsid w:val="004F24F9"/>
    <w:rsid w:val="004F25AD"/>
    <w:rsid w:val="004F2DDD"/>
    <w:rsid w:val="004F3780"/>
    <w:rsid w:val="004F3FE2"/>
    <w:rsid w:val="004F4B91"/>
    <w:rsid w:val="004F4D10"/>
    <w:rsid w:val="004F4DFD"/>
    <w:rsid w:val="004F57A8"/>
    <w:rsid w:val="004F5B00"/>
    <w:rsid w:val="004F7D0B"/>
    <w:rsid w:val="0050073E"/>
    <w:rsid w:val="00500EF0"/>
    <w:rsid w:val="005012D0"/>
    <w:rsid w:val="0050189D"/>
    <w:rsid w:val="00501BDA"/>
    <w:rsid w:val="00501EE6"/>
    <w:rsid w:val="005030AB"/>
    <w:rsid w:val="005035D6"/>
    <w:rsid w:val="00503825"/>
    <w:rsid w:val="00503CBB"/>
    <w:rsid w:val="00503EC3"/>
    <w:rsid w:val="00504944"/>
    <w:rsid w:val="0050596D"/>
    <w:rsid w:val="00505F98"/>
    <w:rsid w:val="005064C7"/>
    <w:rsid w:val="00506548"/>
    <w:rsid w:val="00506A88"/>
    <w:rsid w:val="00506BCB"/>
    <w:rsid w:val="00506E62"/>
    <w:rsid w:val="00507BAA"/>
    <w:rsid w:val="00507E31"/>
    <w:rsid w:val="00510087"/>
    <w:rsid w:val="00510367"/>
    <w:rsid w:val="0051046F"/>
    <w:rsid w:val="00510513"/>
    <w:rsid w:val="005111A3"/>
    <w:rsid w:val="00511205"/>
    <w:rsid w:val="0051160E"/>
    <w:rsid w:val="005116FD"/>
    <w:rsid w:val="0051191D"/>
    <w:rsid w:val="0051192D"/>
    <w:rsid w:val="00511CDA"/>
    <w:rsid w:val="0051285E"/>
    <w:rsid w:val="005131B9"/>
    <w:rsid w:val="00513992"/>
    <w:rsid w:val="00513C3D"/>
    <w:rsid w:val="005143F0"/>
    <w:rsid w:val="00514773"/>
    <w:rsid w:val="00515471"/>
    <w:rsid w:val="00515F63"/>
    <w:rsid w:val="005161EC"/>
    <w:rsid w:val="00516459"/>
    <w:rsid w:val="00516A2F"/>
    <w:rsid w:val="00517771"/>
    <w:rsid w:val="0051791E"/>
    <w:rsid w:val="005179B5"/>
    <w:rsid w:val="00517F6B"/>
    <w:rsid w:val="005201D8"/>
    <w:rsid w:val="00520483"/>
    <w:rsid w:val="00520E60"/>
    <w:rsid w:val="00521A6B"/>
    <w:rsid w:val="0052264A"/>
    <w:rsid w:val="00523618"/>
    <w:rsid w:val="0052461F"/>
    <w:rsid w:val="00525042"/>
    <w:rsid w:val="00525BCE"/>
    <w:rsid w:val="005262D1"/>
    <w:rsid w:val="00526E70"/>
    <w:rsid w:val="0052720C"/>
    <w:rsid w:val="005275A2"/>
    <w:rsid w:val="00527629"/>
    <w:rsid w:val="00527B29"/>
    <w:rsid w:val="00527C5D"/>
    <w:rsid w:val="00527D52"/>
    <w:rsid w:val="00530480"/>
    <w:rsid w:val="005305C9"/>
    <w:rsid w:val="00530B4A"/>
    <w:rsid w:val="00530F9C"/>
    <w:rsid w:val="00531622"/>
    <w:rsid w:val="0053241F"/>
    <w:rsid w:val="0053275B"/>
    <w:rsid w:val="00532FEC"/>
    <w:rsid w:val="005335A4"/>
    <w:rsid w:val="00535F8E"/>
    <w:rsid w:val="005362A3"/>
    <w:rsid w:val="0053699D"/>
    <w:rsid w:val="0053713C"/>
    <w:rsid w:val="00537424"/>
    <w:rsid w:val="0054023C"/>
    <w:rsid w:val="005407B9"/>
    <w:rsid w:val="00540D23"/>
    <w:rsid w:val="00540D70"/>
    <w:rsid w:val="00540EA3"/>
    <w:rsid w:val="00541838"/>
    <w:rsid w:val="00541941"/>
    <w:rsid w:val="00541DE5"/>
    <w:rsid w:val="00541E4F"/>
    <w:rsid w:val="005422C0"/>
    <w:rsid w:val="005424CC"/>
    <w:rsid w:val="00542B16"/>
    <w:rsid w:val="00542E83"/>
    <w:rsid w:val="00542FA8"/>
    <w:rsid w:val="00543622"/>
    <w:rsid w:val="005439EF"/>
    <w:rsid w:val="00544414"/>
    <w:rsid w:val="00544436"/>
    <w:rsid w:val="0054477A"/>
    <w:rsid w:val="00544DA6"/>
    <w:rsid w:val="00544DEF"/>
    <w:rsid w:val="00544E16"/>
    <w:rsid w:val="00545A19"/>
    <w:rsid w:val="0054606F"/>
    <w:rsid w:val="005465EF"/>
    <w:rsid w:val="00546B47"/>
    <w:rsid w:val="005473CA"/>
    <w:rsid w:val="0054750D"/>
    <w:rsid w:val="00547ED7"/>
    <w:rsid w:val="00550612"/>
    <w:rsid w:val="00550DB3"/>
    <w:rsid w:val="00551FAF"/>
    <w:rsid w:val="0055234B"/>
    <w:rsid w:val="00552E32"/>
    <w:rsid w:val="00553779"/>
    <w:rsid w:val="00553853"/>
    <w:rsid w:val="00553B00"/>
    <w:rsid w:val="00553E56"/>
    <w:rsid w:val="00554623"/>
    <w:rsid w:val="0055484E"/>
    <w:rsid w:val="00554C1A"/>
    <w:rsid w:val="00554EE0"/>
    <w:rsid w:val="005551E4"/>
    <w:rsid w:val="0055558C"/>
    <w:rsid w:val="00556334"/>
    <w:rsid w:val="005566AD"/>
    <w:rsid w:val="0055728D"/>
    <w:rsid w:val="005573C5"/>
    <w:rsid w:val="00557DAB"/>
    <w:rsid w:val="00560722"/>
    <w:rsid w:val="00560CAA"/>
    <w:rsid w:val="00560D96"/>
    <w:rsid w:val="005612A5"/>
    <w:rsid w:val="005613E1"/>
    <w:rsid w:val="00561678"/>
    <w:rsid w:val="00562664"/>
    <w:rsid w:val="00562AF4"/>
    <w:rsid w:val="00563C37"/>
    <w:rsid w:val="0056431E"/>
    <w:rsid w:val="0056477E"/>
    <w:rsid w:val="00564C5B"/>
    <w:rsid w:val="00565249"/>
    <w:rsid w:val="005653A5"/>
    <w:rsid w:val="00565948"/>
    <w:rsid w:val="005659B9"/>
    <w:rsid w:val="0056621D"/>
    <w:rsid w:val="005672CE"/>
    <w:rsid w:val="0056791D"/>
    <w:rsid w:val="00567A32"/>
    <w:rsid w:val="00567E59"/>
    <w:rsid w:val="0057062C"/>
    <w:rsid w:val="00570D96"/>
    <w:rsid w:val="00570ED6"/>
    <w:rsid w:val="005716DA"/>
    <w:rsid w:val="00572489"/>
    <w:rsid w:val="00572650"/>
    <w:rsid w:val="0057354A"/>
    <w:rsid w:val="005737D1"/>
    <w:rsid w:val="00573A53"/>
    <w:rsid w:val="0057568E"/>
    <w:rsid w:val="0057590F"/>
    <w:rsid w:val="00576127"/>
    <w:rsid w:val="0057724A"/>
    <w:rsid w:val="0057739A"/>
    <w:rsid w:val="00577E2E"/>
    <w:rsid w:val="00577FF1"/>
    <w:rsid w:val="005800FA"/>
    <w:rsid w:val="005801CC"/>
    <w:rsid w:val="00581699"/>
    <w:rsid w:val="00582090"/>
    <w:rsid w:val="005822E5"/>
    <w:rsid w:val="00583038"/>
    <w:rsid w:val="00584357"/>
    <w:rsid w:val="00584429"/>
    <w:rsid w:val="00584C33"/>
    <w:rsid w:val="00585E8C"/>
    <w:rsid w:val="00586255"/>
    <w:rsid w:val="0058669D"/>
    <w:rsid w:val="00586A66"/>
    <w:rsid w:val="00586F2B"/>
    <w:rsid w:val="00587AD3"/>
    <w:rsid w:val="00587CA6"/>
    <w:rsid w:val="00587E05"/>
    <w:rsid w:val="00591417"/>
    <w:rsid w:val="00591B96"/>
    <w:rsid w:val="00591F29"/>
    <w:rsid w:val="00592148"/>
    <w:rsid w:val="0059292E"/>
    <w:rsid w:val="00593BEA"/>
    <w:rsid w:val="00594015"/>
    <w:rsid w:val="00594227"/>
    <w:rsid w:val="0059446C"/>
    <w:rsid w:val="0059499A"/>
    <w:rsid w:val="00594FAE"/>
    <w:rsid w:val="00595A7F"/>
    <w:rsid w:val="00595B8C"/>
    <w:rsid w:val="00595BAF"/>
    <w:rsid w:val="00596AB6"/>
    <w:rsid w:val="00596DF2"/>
    <w:rsid w:val="00597E18"/>
    <w:rsid w:val="00597E43"/>
    <w:rsid w:val="005A05F6"/>
    <w:rsid w:val="005A0727"/>
    <w:rsid w:val="005A090C"/>
    <w:rsid w:val="005A1D7F"/>
    <w:rsid w:val="005A2943"/>
    <w:rsid w:val="005A35B7"/>
    <w:rsid w:val="005A3DC7"/>
    <w:rsid w:val="005A41C9"/>
    <w:rsid w:val="005A556A"/>
    <w:rsid w:val="005A55D9"/>
    <w:rsid w:val="005A5D55"/>
    <w:rsid w:val="005A72C4"/>
    <w:rsid w:val="005A73BB"/>
    <w:rsid w:val="005A7C4E"/>
    <w:rsid w:val="005A7D8C"/>
    <w:rsid w:val="005B019A"/>
    <w:rsid w:val="005B071A"/>
    <w:rsid w:val="005B08DD"/>
    <w:rsid w:val="005B0C18"/>
    <w:rsid w:val="005B1909"/>
    <w:rsid w:val="005B1CCD"/>
    <w:rsid w:val="005B1D52"/>
    <w:rsid w:val="005B24A8"/>
    <w:rsid w:val="005B2D54"/>
    <w:rsid w:val="005B2E59"/>
    <w:rsid w:val="005B31F5"/>
    <w:rsid w:val="005B3320"/>
    <w:rsid w:val="005B33CE"/>
    <w:rsid w:val="005B441C"/>
    <w:rsid w:val="005B5070"/>
    <w:rsid w:val="005B53EA"/>
    <w:rsid w:val="005B5549"/>
    <w:rsid w:val="005B5599"/>
    <w:rsid w:val="005B6023"/>
    <w:rsid w:val="005B61A7"/>
    <w:rsid w:val="005B6250"/>
    <w:rsid w:val="005B7193"/>
    <w:rsid w:val="005B7FE8"/>
    <w:rsid w:val="005C012F"/>
    <w:rsid w:val="005C084A"/>
    <w:rsid w:val="005C0CDB"/>
    <w:rsid w:val="005C160F"/>
    <w:rsid w:val="005C1ABA"/>
    <w:rsid w:val="005C1CD3"/>
    <w:rsid w:val="005C2AAD"/>
    <w:rsid w:val="005C2D31"/>
    <w:rsid w:val="005C4FC6"/>
    <w:rsid w:val="005C53DB"/>
    <w:rsid w:val="005C5615"/>
    <w:rsid w:val="005C6B8D"/>
    <w:rsid w:val="005C6D13"/>
    <w:rsid w:val="005C6D31"/>
    <w:rsid w:val="005C797E"/>
    <w:rsid w:val="005C7A53"/>
    <w:rsid w:val="005C7FD1"/>
    <w:rsid w:val="005D0220"/>
    <w:rsid w:val="005D183B"/>
    <w:rsid w:val="005D1C1F"/>
    <w:rsid w:val="005D22BD"/>
    <w:rsid w:val="005D283A"/>
    <w:rsid w:val="005D291A"/>
    <w:rsid w:val="005D3C08"/>
    <w:rsid w:val="005D401F"/>
    <w:rsid w:val="005D434C"/>
    <w:rsid w:val="005D45BD"/>
    <w:rsid w:val="005D4E0B"/>
    <w:rsid w:val="005D51DC"/>
    <w:rsid w:val="005D6E2B"/>
    <w:rsid w:val="005D745E"/>
    <w:rsid w:val="005D7ED4"/>
    <w:rsid w:val="005D7F19"/>
    <w:rsid w:val="005E0AF0"/>
    <w:rsid w:val="005E126A"/>
    <w:rsid w:val="005E1592"/>
    <w:rsid w:val="005E193B"/>
    <w:rsid w:val="005E2434"/>
    <w:rsid w:val="005E3356"/>
    <w:rsid w:val="005E33A4"/>
    <w:rsid w:val="005E346B"/>
    <w:rsid w:val="005E42B5"/>
    <w:rsid w:val="005E4984"/>
    <w:rsid w:val="005E4AD1"/>
    <w:rsid w:val="005E4C64"/>
    <w:rsid w:val="005E5780"/>
    <w:rsid w:val="005E59CE"/>
    <w:rsid w:val="005E5ADB"/>
    <w:rsid w:val="005E60A4"/>
    <w:rsid w:val="005E6206"/>
    <w:rsid w:val="005E65D7"/>
    <w:rsid w:val="005E6A13"/>
    <w:rsid w:val="005E6CDA"/>
    <w:rsid w:val="005E6D72"/>
    <w:rsid w:val="005E7A04"/>
    <w:rsid w:val="005E7A6A"/>
    <w:rsid w:val="005F0028"/>
    <w:rsid w:val="005F1585"/>
    <w:rsid w:val="005F186A"/>
    <w:rsid w:val="005F2307"/>
    <w:rsid w:val="005F24A3"/>
    <w:rsid w:val="005F26EF"/>
    <w:rsid w:val="005F2AD3"/>
    <w:rsid w:val="005F2B9A"/>
    <w:rsid w:val="005F3573"/>
    <w:rsid w:val="005F3784"/>
    <w:rsid w:val="005F3A36"/>
    <w:rsid w:val="005F472C"/>
    <w:rsid w:val="005F52D9"/>
    <w:rsid w:val="005F593C"/>
    <w:rsid w:val="005F64DC"/>
    <w:rsid w:val="005F66CA"/>
    <w:rsid w:val="005F7177"/>
    <w:rsid w:val="005F7A6A"/>
    <w:rsid w:val="005F7E60"/>
    <w:rsid w:val="00600CD9"/>
    <w:rsid w:val="00601800"/>
    <w:rsid w:val="006027E9"/>
    <w:rsid w:val="00602C6A"/>
    <w:rsid w:val="00602EC2"/>
    <w:rsid w:val="006030CC"/>
    <w:rsid w:val="006031FB"/>
    <w:rsid w:val="00603DF6"/>
    <w:rsid w:val="00603EF4"/>
    <w:rsid w:val="00604652"/>
    <w:rsid w:val="0060478C"/>
    <w:rsid w:val="00604DD3"/>
    <w:rsid w:val="00605A83"/>
    <w:rsid w:val="00605B1A"/>
    <w:rsid w:val="0060624D"/>
    <w:rsid w:val="006067AF"/>
    <w:rsid w:val="006069A8"/>
    <w:rsid w:val="00607066"/>
    <w:rsid w:val="00607089"/>
    <w:rsid w:val="006075B2"/>
    <w:rsid w:val="00607A24"/>
    <w:rsid w:val="00610051"/>
    <w:rsid w:val="006115B5"/>
    <w:rsid w:val="006116C9"/>
    <w:rsid w:val="00611CAF"/>
    <w:rsid w:val="00612081"/>
    <w:rsid w:val="0061278A"/>
    <w:rsid w:val="00612C7D"/>
    <w:rsid w:val="00613297"/>
    <w:rsid w:val="00613AC3"/>
    <w:rsid w:val="00613B82"/>
    <w:rsid w:val="0061465B"/>
    <w:rsid w:val="006149A0"/>
    <w:rsid w:val="00614B31"/>
    <w:rsid w:val="00614DAE"/>
    <w:rsid w:val="00615338"/>
    <w:rsid w:val="00615C5A"/>
    <w:rsid w:val="00616135"/>
    <w:rsid w:val="0061654C"/>
    <w:rsid w:val="00616DA4"/>
    <w:rsid w:val="0061741B"/>
    <w:rsid w:val="00617442"/>
    <w:rsid w:val="0061762C"/>
    <w:rsid w:val="006176BA"/>
    <w:rsid w:val="00617A1C"/>
    <w:rsid w:val="00621C7F"/>
    <w:rsid w:val="00621EBE"/>
    <w:rsid w:val="00621FBA"/>
    <w:rsid w:val="00622F53"/>
    <w:rsid w:val="00623195"/>
    <w:rsid w:val="006235F5"/>
    <w:rsid w:val="00623730"/>
    <w:rsid w:val="00623BEA"/>
    <w:rsid w:val="00624B36"/>
    <w:rsid w:val="0062525E"/>
    <w:rsid w:val="00625261"/>
    <w:rsid w:val="006252E1"/>
    <w:rsid w:val="00625302"/>
    <w:rsid w:val="006256C0"/>
    <w:rsid w:val="00625A11"/>
    <w:rsid w:val="00625ADF"/>
    <w:rsid w:val="00625D4A"/>
    <w:rsid w:val="0062687B"/>
    <w:rsid w:val="00626FA4"/>
    <w:rsid w:val="006279BB"/>
    <w:rsid w:val="0063039B"/>
    <w:rsid w:val="00630749"/>
    <w:rsid w:val="00630C7D"/>
    <w:rsid w:val="00631079"/>
    <w:rsid w:val="0063123B"/>
    <w:rsid w:val="00631678"/>
    <w:rsid w:val="006316E0"/>
    <w:rsid w:val="0063177A"/>
    <w:rsid w:val="006319CE"/>
    <w:rsid w:val="00631AE2"/>
    <w:rsid w:val="00631AE9"/>
    <w:rsid w:val="00633882"/>
    <w:rsid w:val="00633BCD"/>
    <w:rsid w:val="00633CC6"/>
    <w:rsid w:val="00633FAA"/>
    <w:rsid w:val="00634A80"/>
    <w:rsid w:val="00635379"/>
    <w:rsid w:val="00635C4E"/>
    <w:rsid w:val="00635E36"/>
    <w:rsid w:val="006377CB"/>
    <w:rsid w:val="00637D8C"/>
    <w:rsid w:val="00637E74"/>
    <w:rsid w:val="006401F7"/>
    <w:rsid w:val="00640F12"/>
    <w:rsid w:val="006411A0"/>
    <w:rsid w:val="006414D7"/>
    <w:rsid w:val="00641660"/>
    <w:rsid w:val="00641B4D"/>
    <w:rsid w:val="00641E8F"/>
    <w:rsid w:val="00642734"/>
    <w:rsid w:val="006428A3"/>
    <w:rsid w:val="00642C32"/>
    <w:rsid w:val="0064302B"/>
    <w:rsid w:val="00643477"/>
    <w:rsid w:val="00643677"/>
    <w:rsid w:val="00643C44"/>
    <w:rsid w:val="0064480B"/>
    <w:rsid w:val="0064492C"/>
    <w:rsid w:val="006451F6"/>
    <w:rsid w:val="00645DF9"/>
    <w:rsid w:val="006467CF"/>
    <w:rsid w:val="00646D14"/>
    <w:rsid w:val="00646EF8"/>
    <w:rsid w:val="00647D31"/>
    <w:rsid w:val="00647F6A"/>
    <w:rsid w:val="006518BC"/>
    <w:rsid w:val="00652051"/>
    <w:rsid w:val="006522EF"/>
    <w:rsid w:val="00652FC0"/>
    <w:rsid w:val="00653348"/>
    <w:rsid w:val="00653354"/>
    <w:rsid w:val="00653A02"/>
    <w:rsid w:val="00653FFE"/>
    <w:rsid w:val="00654258"/>
    <w:rsid w:val="006547B9"/>
    <w:rsid w:val="0065588A"/>
    <w:rsid w:val="0065681C"/>
    <w:rsid w:val="00657594"/>
    <w:rsid w:val="00657B19"/>
    <w:rsid w:val="006600CE"/>
    <w:rsid w:val="00660113"/>
    <w:rsid w:val="006609E7"/>
    <w:rsid w:val="00660B7F"/>
    <w:rsid w:val="00661A3D"/>
    <w:rsid w:val="006622FE"/>
    <w:rsid w:val="006623CD"/>
    <w:rsid w:val="006626EE"/>
    <w:rsid w:val="00662E93"/>
    <w:rsid w:val="006636D2"/>
    <w:rsid w:val="00663FCE"/>
    <w:rsid w:val="006641AB"/>
    <w:rsid w:val="00664BF2"/>
    <w:rsid w:val="00664C99"/>
    <w:rsid w:val="006650EA"/>
    <w:rsid w:val="006658BA"/>
    <w:rsid w:val="0066640E"/>
    <w:rsid w:val="0066648C"/>
    <w:rsid w:val="00666630"/>
    <w:rsid w:val="00666CA7"/>
    <w:rsid w:val="006677BE"/>
    <w:rsid w:val="0067017D"/>
    <w:rsid w:val="00670432"/>
    <w:rsid w:val="00670D77"/>
    <w:rsid w:val="006711E4"/>
    <w:rsid w:val="006714D4"/>
    <w:rsid w:val="00671589"/>
    <w:rsid w:val="00671647"/>
    <w:rsid w:val="00671699"/>
    <w:rsid w:val="00672FB4"/>
    <w:rsid w:val="00672FF4"/>
    <w:rsid w:val="00673941"/>
    <w:rsid w:val="0067399C"/>
    <w:rsid w:val="00674B17"/>
    <w:rsid w:val="0067515E"/>
    <w:rsid w:val="00675C02"/>
    <w:rsid w:val="00675CF3"/>
    <w:rsid w:val="00676184"/>
    <w:rsid w:val="0067693E"/>
    <w:rsid w:val="006769C2"/>
    <w:rsid w:val="00676D77"/>
    <w:rsid w:val="00676FAF"/>
    <w:rsid w:val="0067709E"/>
    <w:rsid w:val="00677152"/>
    <w:rsid w:val="006772F4"/>
    <w:rsid w:val="006777D0"/>
    <w:rsid w:val="006778A8"/>
    <w:rsid w:val="00677BD1"/>
    <w:rsid w:val="00680C46"/>
    <w:rsid w:val="0068171E"/>
    <w:rsid w:val="006819D7"/>
    <w:rsid w:val="00681FD3"/>
    <w:rsid w:val="00682788"/>
    <w:rsid w:val="006827FF"/>
    <w:rsid w:val="00682BA6"/>
    <w:rsid w:val="00682D67"/>
    <w:rsid w:val="00683368"/>
    <w:rsid w:val="0068341E"/>
    <w:rsid w:val="006836A4"/>
    <w:rsid w:val="00683F2D"/>
    <w:rsid w:val="006841A6"/>
    <w:rsid w:val="00684DEF"/>
    <w:rsid w:val="0068560B"/>
    <w:rsid w:val="0068626E"/>
    <w:rsid w:val="006862ED"/>
    <w:rsid w:val="00686885"/>
    <w:rsid w:val="00686AF2"/>
    <w:rsid w:val="00687124"/>
    <w:rsid w:val="006875BA"/>
    <w:rsid w:val="00690FDF"/>
    <w:rsid w:val="006910CE"/>
    <w:rsid w:val="00691C35"/>
    <w:rsid w:val="006924A3"/>
    <w:rsid w:val="00692E09"/>
    <w:rsid w:val="006934AD"/>
    <w:rsid w:val="00693C75"/>
    <w:rsid w:val="00693EB2"/>
    <w:rsid w:val="00695018"/>
    <w:rsid w:val="006950A6"/>
    <w:rsid w:val="006959B6"/>
    <w:rsid w:val="00695A4A"/>
    <w:rsid w:val="0069638C"/>
    <w:rsid w:val="00697658"/>
    <w:rsid w:val="006A0A16"/>
    <w:rsid w:val="006A0B49"/>
    <w:rsid w:val="006A1131"/>
    <w:rsid w:val="006A1432"/>
    <w:rsid w:val="006A179C"/>
    <w:rsid w:val="006A1C09"/>
    <w:rsid w:val="006A1CE0"/>
    <w:rsid w:val="006A1DC4"/>
    <w:rsid w:val="006A2C0F"/>
    <w:rsid w:val="006A367B"/>
    <w:rsid w:val="006A3BB4"/>
    <w:rsid w:val="006A3FF4"/>
    <w:rsid w:val="006A4A6E"/>
    <w:rsid w:val="006A4CA6"/>
    <w:rsid w:val="006A4DDA"/>
    <w:rsid w:val="006A51E8"/>
    <w:rsid w:val="006A551D"/>
    <w:rsid w:val="006A63C5"/>
    <w:rsid w:val="006A64DB"/>
    <w:rsid w:val="006A655D"/>
    <w:rsid w:val="006A6EA0"/>
    <w:rsid w:val="006A718D"/>
    <w:rsid w:val="006A7E63"/>
    <w:rsid w:val="006B0072"/>
    <w:rsid w:val="006B05B7"/>
    <w:rsid w:val="006B0CAE"/>
    <w:rsid w:val="006B1F82"/>
    <w:rsid w:val="006B2502"/>
    <w:rsid w:val="006B26DC"/>
    <w:rsid w:val="006B2859"/>
    <w:rsid w:val="006B2D5C"/>
    <w:rsid w:val="006B3421"/>
    <w:rsid w:val="006B3BE8"/>
    <w:rsid w:val="006B3D94"/>
    <w:rsid w:val="006B47C6"/>
    <w:rsid w:val="006B4908"/>
    <w:rsid w:val="006B5244"/>
    <w:rsid w:val="006B5676"/>
    <w:rsid w:val="006B6DF3"/>
    <w:rsid w:val="006B6E4E"/>
    <w:rsid w:val="006B758A"/>
    <w:rsid w:val="006B7BD4"/>
    <w:rsid w:val="006B7CDB"/>
    <w:rsid w:val="006B7D87"/>
    <w:rsid w:val="006B7E76"/>
    <w:rsid w:val="006C27FE"/>
    <w:rsid w:val="006C3283"/>
    <w:rsid w:val="006C436D"/>
    <w:rsid w:val="006C43F7"/>
    <w:rsid w:val="006C4545"/>
    <w:rsid w:val="006C4551"/>
    <w:rsid w:val="006C4610"/>
    <w:rsid w:val="006C4D4B"/>
    <w:rsid w:val="006C4F53"/>
    <w:rsid w:val="006C58C9"/>
    <w:rsid w:val="006C5BB1"/>
    <w:rsid w:val="006C60BF"/>
    <w:rsid w:val="006C6289"/>
    <w:rsid w:val="006C6C7C"/>
    <w:rsid w:val="006C6EB5"/>
    <w:rsid w:val="006C7100"/>
    <w:rsid w:val="006C7294"/>
    <w:rsid w:val="006C73B3"/>
    <w:rsid w:val="006C7DD1"/>
    <w:rsid w:val="006D00A4"/>
    <w:rsid w:val="006D0805"/>
    <w:rsid w:val="006D0865"/>
    <w:rsid w:val="006D1021"/>
    <w:rsid w:val="006D107B"/>
    <w:rsid w:val="006D2A99"/>
    <w:rsid w:val="006D2C64"/>
    <w:rsid w:val="006D2F19"/>
    <w:rsid w:val="006D373F"/>
    <w:rsid w:val="006D3AEF"/>
    <w:rsid w:val="006D40FD"/>
    <w:rsid w:val="006D5A1F"/>
    <w:rsid w:val="006D6622"/>
    <w:rsid w:val="006D66F8"/>
    <w:rsid w:val="006D794E"/>
    <w:rsid w:val="006D7D72"/>
    <w:rsid w:val="006D7F54"/>
    <w:rsid w:val="006E0334"/>
    <w:rsid w:val="006E1620"/>
    <w:rsid w:val="006E193D"/>
    <w:rsid w:val="006E206A"/>
    <w:rsid w:val="006E33F2"/>
    <w:rsid w:val="006E42A4"/>
    <w:rsid w:val="006E4804"/>
    <w:rsid w:val="006E48F1"/>
    <w:rsid w:val="006E4B25"/>
    <w:rsid w:val="006E517D"/>
    <w:rsid w:val="006E5776"/>
    <w:rsid w:val="006E599F"/>
    <w:rsid w:val="006E5D73"/>
    <w:rsid w:val="006E69F3"/>
    <w:rsid w:val="006E6DFA"/>
    <w:rsid w:val="006E75EA"/>
    <w:rsid w:val="006F06E0"/>
    <w:rsid w:val="006F0D9D"/>
    <w:rsid w:val="006F0EF3"/>
    <w:rsid w:val="006F13D5"/>
    <w:rsid w:val="006F3204"/>
    <w:rsid w:val="006F3EDA"/>
    <w:rsid w:val="006F42F3"/>
    <w:rsid w:val="006F4D6F"/>
    <w:rsid w:val="006F55DB"/>
    <w:rsid w:val="006F5A59"/>
    <w:rsid w:val="006F5AAD"/>
    <w:rsid w:val="006F5F6E"/>
    <w:rsid w:val="006F62D1"/>
    <w:rsid w:val="006F63FC"/>
    <w:rsid w:val="006F6554"/>
    <w:rsid w:val="006F6D19"/>
    <w:rsid w:val="006F6D33"/>
    <w:rsid w:val="006F6E73"/>
    <w:rsid w:val="006F7505"/>
    <w:rsid w:val="006F760C"/>
    <w:rsid w:val="00701702"/>
    <w:rsid w:val="007019E6"/>
    <w:rsid w:val="00701E24"/>
    <w:rsid w:val="007023D7"/>
    <w:rsid w:val="00702E46"/>
    <w:rsid w:val="007035A1"/>
    <w:rsid w:val="00703761"/>
    <w:rsid w:val="00703A9E"/>
    <w:rsid w:val="00703EBD"/>
    <w:rsid w:val="00703FBC"/>
    <w:rsid w:val="00704D6D"/>
    <w:rsid w:val="00704FAC"/>
    <w:rsid w:val="0070625F"/>
    <w:rsid w:val="00706286"/>
    <w:rsid w:val="00706768"/>
    <w:rsid w:val="00706789"/>
    <w:rsid w:val="00706C88"/>
    <w:rsid w:val="00706CE6"/>
    <w:rsid w:val="00710711"/>
    <w:rsid w:val="00710F3F"/>
    <w:rsid w:val="00712F51"/>
    <w:rsid w:val="007130D6"/>
    <w:rsid w:val="00713618"/>
    <w:rsid w:val="0071422B"/>
    <w:rsid w:val="00714556"/>
    <w:rsid w:val="00714961"/>
    <w:rsid w:val="007153A0"/>
    <w:rsid w:val="007155F0"/>
    <w:rsid w:val="00715A52"/>
    <w:rsid w:val="00715B84"/>
    <w:rsid w:val="00715C1D"/>
    <w:rsid w:val="00716224"/>
    <w:rsid w:val="00716BDB"/>
    <w:rsid w:val="00717CDB"/>
    <w:rsid w:val="007204EF"/>
    <w:rsid w:val="00720624"/>
    <w:rsid w:val="00720F0A"/>
    <w:rsid w:val="0072228D"/>
    <w:rsid w:val="0072244A"/>
    <w:rsid w:val="00722531"/>
    <w:rsid w:val="007225CA"/>
    <w:rsid w:val="00722757"/>
    <w:rsid w:val="00722B28"/>
    <w:rsid w:val="00722F09"/>
    <w:rsid w:val="00723316"/>
    <w:rsid w:val="0072414A"/>
    <w:rsid w:val="00724504"/>
    <w:rsid w:val="007249A2"/>
    <w:rsid w:val="00724B41"/>
    <w:rsid w:val="00724C30"/>
    <w:rsid w:val="00726D6B"/>
    <w:rsid w:val="00726FED"/>
    <w:rsid w:val="00727378"/>
    <w:rsid w:val="00727636"/>
    <w:rsid w:val="007279BC"/>
    <w:rsid w:val="00727C34"/>
    <w:rsid w:val="00727DA0"/>
    <w:rsid w:val="0073034D"/>
    <w:rsid w:val="00730471"/>
    <w:rsid w:val="00730CB4"/>
    <w:rsid w:val="0073174B"/>
    <w:rsid w:val="00732384"/>
    <w:rsid w:val="00732B66"/>
    <w:rsid w:val="00732CED"/>
    <w:rsid w:val="00734317"/>
    <w:rsid w:val="00734363"/>
    <w:rsid w:val="00734CCF"/>
    <w:rsid w:val="0073531D"/>
    <w:rsid w:val="00735483"/>
    <w:rsid w:val="00735644"/>
    <w:rsid w:val="00735AD0"/>
    <w:rsid w:val="0073611F"/>
    <w:rsid w:val="007374D4"/>
    <w:rsid w:val="007375CE"/>
    <w:rsid w:val="007377D4"/>
    <w:rsid w:val="00741281"/>
    <w:rsid w:val="007412C6"/>
    <w:rsid w:val="00741D35"/>
    <w:rsid w:val="00741F80"/>
    <w:rsid w:val="00742FEC"/>
    <w:rsid w:val="00743688"/>
    <w:rsid w:val="0074385E"/>
    <w:rsid w:val="007447F2"/>
    <w:rsid w:val="00745190"/>
    <w:rsid w:val="0074527A"/>
    <w:rsid w:val="00745B91"/>
    <w:rsid w:val="0074627D"/>
    <w:rsid w:val="007463FD"/>
    <w:rsid w:val="00746FD6"/>
    <w:rsid w:val="007472E0"/>
    <w:rsid w:val="00747E86"/>
    <w:rsid w:val="007505C6"/>
    <w:rsid w:val="007509BB"/>
    <w:rsid w:val="00750DDD"/>
    <w:rsid w:val="00750DE2"/>
    <w:rsid w:val="00751253"/>
    <w:rsid w:val="00751509"/>
    <w:rsid w:val="00752689"/>
    <w:rsid w:val="00752F4F"/>
    <w:rsid w:val="0075309F"/>
    <w:rsid w:val="007533A0"/>
    <w:rsid w:val="007542F5"/>
    <w:rsid w:val="00754326"/>
    <w:rsid w:val="00754B84"/>
    <w:rsid w:val="00754B99"/>
    <w:rsid w:val="00756E61"/>
    <w:rsid w:val="0075707A"/>
    <w:rsid w:val="00757783"/>
    <w:rsid w:val="00757C14"/>
    <w:rsid w:val="00760283"/>
    <w:rsid w:val="00760672"/>
    <w:rsid w:val="00760BA6"/>
    <w:rsid w:val="00760C65"/>
    <w:rsid w:val="00760EE3"/>
    <w:rsid w:val="007611DF"/>
    <w:rsid w:val="00761253"/>
    <w:rsid w:val="00761322"/>
    <w:rsid w:val="00761FE3"/>
    <w:rsid w:val="007631B1"/>
    <w:rsid w:val="00763458"/>
    <w:rsid w:val="007636BD"/>
    <w:rsid w:val="0076385A"/>
    <w:rsid w:val="00763DCE"/>
    <w:rsid w:val="00764244"/>
    <w:rsid w:val="007643D0"/>
    <w:rsid w:val="007644DA"/>
    <w:rsid w:val="00764DA4"/>
    <w:rsid w:val="00764E6D"/>
    <w:rsid w:val="00764FB0"/>
    <w:rsid w:val="00765BBE"/>
    <w:rsid w:val="00765F0D"/>
    <w:rsid w:val="0076635D"/>
    <w:rsid w:val="0076666F"/>
    <w:rsid w:val="00766C3D"/>
    <w:rsid w:val="00766D2E"/>
    <w:rsid w:val="0076741C"/>
    <w:rsid w:val="00770504"/>
    <w:rsid w:val="00771221"/>
    <w:rsid w:val="00771431"/>
    <w:rsid w:val="00771B49"/>
    <w:rsid w:val="00771F19"/>
    <w:rsid w:val="0077252A"/>
    <w:rsid w:val="00772DB7"/>
    <w:rsid w:val="00773513"/>
    <w:rsid w:val="00773837"/>
    <w:rsid w:val="00773986"/>
    <w:rsid w:val="00773B46"/>
    <w:rsid w:val="007743AE"/>
    <w:rsid w:val="00775416"/>
    <w:rsid w:val="00775CB0"/>
    <w:rsid w:val="00776A96"/>
    <w:rsid w:val="00776BE7"/>
    <w:rsid w:val="0077742C"/>
    <w:rsid w:val="007774CA"/>
    <w:rsid w:val="00777780"/>
    <w:rsid w:val="00777B14"/>
    <w:rsid w:val="00777C03"/>
    <w:rsid w:val="00777DF6"/>
    <w:rsid w:val="00777F30"/>
    <w:rsid w:val="00780F79"/>
    <w:rsid w:val="00781B82"/>
    <w:rsid w:val="00781C03"/>
    <w:rsid w:val="00781F50"/>
    <w:rsid w:val="007826B3"/>
    <w:rsid w:val="007826B7"/>
    <w:rsid w:val="007827E5"/>
    <w:rsid w:val="0078294E"/>
    <w:rsid w:val="00782DAF"/>
    <w:rsid w:val="00782F25"/>
    <w:rsid w:val="0078308A"/>
    <w:rsid w:val="007832AA"/>
    <w:rsid w:val="00783780"/>
    <w:rsid w:val="007842E1"/>
    <w:rsid w:val="00784421"/>
    <w:rsid w:val="007844DA"/>
    <w:rsid w:val="00784582"/>
    <w:rsid w:val="00784C8C"/>
    <w:rsid w:val="007854B8"/>
    <w:rsid w:val="0078610C"/>
    <w:rsid w:val="0078616D"/>
    <w:rsid w:val="00786588"/>
    <w:rsid w:val="00786837"/>
    <w:rsid w:val="00786A74"/>
    <w:rsid w:val="007879C4"/>
    <w:rsid w:val="00790DCF"/>
    <w:rsid w:val="00790F56"/>
    <w:rsid w:val="00791469"/>
    <w:rsid w:val="0079244E"/>
    <w:rsid w:val="00792FB6"/>
    <w:rsid w:val="00793B2A"/>
    <w:rsid w:val="00793D32"/>
    <w:rsid w:val="00794442"/>
    <w:rsid w:val="0079454F"/>
    <w:rsid w:val="00794981"/>
    <w:rsid w:val="0079541B"/>
    <w:rsid w:val="007956BF"/>
    <w:rsid w:val="00795CBC"/>
    <w:rsid w:val="007961AE"/>
    <w:rsid w:val="007961F6"/>
    <w:rsid w:val="00796355"/>
    <w:rsid w:val="00796BB4"/>
    <w:rsid w:val="00797647"/>
    <w:rsid w:val="007A018A"/>
    <w:rsid w:val="007A0C76"/>
    <w:rsid w:val="007A1336"/>
    <w:rsid w:val="007A14D8"/>
    <w:rsid w:val="007A176B"/>
    <w:rsid w:val="007A23A5"/>
    <w:rsid w:val="007A2512"/>
    <w:rsid w:val="007A2633"/>
    <w:rsid w:val="007A274D"/>
    <w:rsid w:val="007A29C0"/>
    <w:rsid w:val="007A31F9"/>
    <w:rsid w:val="007A3BAE"/>
    <w:rsid w:val="007A412C"/>
    <w:rsid w:val="007A4F2E"/>
    <w:rsid w:val="007A63B8"/>
    <w:rsid w:val="007A6D1B"/>
    <w:rsid w:val="007A6D39"/>
    <w:rsid w:val="007A702D"/>
    <w:rsid w:val="007A7636"/>
    <w:rsid w:val="007A767B"/>
    <w:rsid w:val="007A7936"/>
    <w:rsid w:val="007A7958"/>
    <w:rsid w:val="007A7AB2"/>
    <w:rsid w:val="007B028D"/>
    <w:rsid w:val="007B060A"/>
    <w:rsid w:val="007B0871"/>
    <w:rsid w:val="007B09C6"/>
    <w:rsid w:val="007B10A0"/>
    <w:rsid w:val="007B12A3"/>
    <w:rsid w:val="007B1866"/>
    <w:rsid w:val="007B22C1"/>
    <w:rsid w:val="007B289D"/>
    <w:rsid w:val="007B3A7E"/>
    <w:rsid w:val="007B3CDF"/>
    <w:rsid w:val="007B3EFC"/>
    <w:rsid w:val="007B3F64"/>
    <w:rsid w:val="007B4881"/>
    <w:rsid w:val="007B51F2"/>
    <w:rsid w:val="007B52F0"/>
    <w:rsid w:val="007B572E"/>
    <w:rsid w:val="007B62F9"/>
    <w:rsid w:val="007B63A8"/>
    <w:rsid w:val="007B65A4"/>
    <w:rsid w:val="007B71B9"/>
    <w:rsid w:val="007B76AC"/>
    <w:rsid w:val="007C0A21"/>
    <w:rsid w:val="007C154A"/>
    <w:rsid w:val="007C1AEC"/>
    <w:rsid w:val="007C3147"/>
    <w:rsid w:val="007C31EB"/>
    <w:rsid w:val="007C3A1B"/>
    <w:rsid w:val="007C3ED0"/>
    <w:rsid w:val="007C4273"/>
    <w:rsid w:val="007C5029"/>
    <w:rsid w:val="007C547F"/>
    <w:rsid w:val="007C5B5A"/>
    <w:rsid w:val="007C5D67"/>
    <w:rsid w:val="007C684E"/>
    <w:rsid w:val="007C6D01"/>
    <w:rsid w:val="007C71A2"/>
    <w:rsid w:val="007C72D7"/>
    <w:rsid w:val="007C732D"/>
    <w:rsid w:val="007C739C"/>
    <w:rsid w:val="007C78E7"/>
    <w:rsid w:val="007C7D8D"/>
    <w:rsid w:val="007D0A2B"/>
    <w:rsid w:val="007D190A"/>
    <w:rsid w:val="007D2132"/>
    <w:rsid w:val="007D2922"/>
    <w:rsid w:val="007D30C9"/>
    <w:rsid w:val="007D3584"/>
    <w:rsid w:val="007D430C"/>
    <w:rsid w:val="007D4327"/>
    <w:rsid w:val="007D46AF"/>
    <w:rsid w:val="007D5613"/>
    <w:rsid w:val="007D5619"/>
    <w:rsid w:val="007D62C5"/>
    <w:rsid w:val="007D6354"/>
    <w:rsid w:val="007D73A9"/>
    <w:rsid w:val="007D79DB"/>
    <w:rsid w:val="007D7AF8"/>
    <w:rsid w:val="007D7F9E"/>
    <w:rsid w:val="007E0362"/>
    <w:rsid w:val="007E06A8"/>
    <w:rsid w:val="007E0831"/>
    <w:rsid w:val="007E1580"/>
    <w:rsid w:val="007E1D14"/>
    <w:rsid w:val="007E238E"/>
    <w:rsid w:val="007E27FE"/>
    <w:rsid w:val="007E29C3"/>
    <w:rsid w:val="007E2BF2"/>
    <w:rsid w:val="007E2D50"/>
    <w:rsid w:val="007E3217"/>
    <w:rsid w:val="007E34D0"/>
    <w:rsid w:val="007E39DE"/>
    <w:rsid w:val="007E44E3"/>
    <w:rsid w:val="007E452F"/>
    <w:rsid w:val="007E47A0"/>
    <w:rsid w:val="007E4985"/>
    <w:rsid w:val="007E4A0C"/>
    <w:rsid w:val="007E4C51"/>
    <w:rsid w:val="007E4DD5"/>
    <w:rsid w:val="007E55DA"/>
    <w:rsid w:val="007E5774"/>
    <w:rsid w:val="007E57D1"/>
    <w:rsid w:val="007E60DD"/>
    <w:rsid w:val="007E6110"/>
    <w:rsid w:val="007E6267"/>
    <w:rsid w:val="007E66DC"/>
    <w:rsid w:val="007E6AB4"/>
    <w:rsid w:val="007E6E89"/>
    <w:rsid w:val="007E6FCE"/>
    <w:rsid w:val="007E7A16"/>
    <w:rsid w:val="007E7EB8"/>
    <w:rsid w:val="007F045F"/>
    <w:rsid w:val="007F0AB8"/>
    <w:rsid w:val="007F15CC"/>
    <w:rsid w:val="007F280C"/>
    <w:rsid w:val="007F2F53"/>
    <w:rsid w:val="007F38C4"/>
    <w:rsid w:val="007F4379"/>
    <w:rsid w:val="007F49E3"/>
    <w:rsid w:val="007F4A37"/>
    <w:rsid w:val="007F4B0B"/>
    <w:rsid w:val="007F4BA5"/>
    <w:rsid w:val="007F4C0A"/>
    <w:rsid w:val="007F5D69"/>
    <w:rsid w:val="007F62E0"/>
    <w:rsid w:val="007F7FC0"/>
    <w:rsid w:val="00800070"/>
    <w:rsid w:val="008005B4"/>
    <w:rsid w:val="00800ABE"/>
    <w:rsid w:val="00801450"/>
    <w:rsid w:val="008016BC"/>
    <w:rsid w:val="00801B3F"/>
    <w:rsid w:val="008026B6"/>
    <w:rsid w:val="00802977"/>
    <w:rsid w:val="00802B96"/>
    <w:rsid w:val="00802C53"/>
    <w:rsid w:val="00803300"/>
    <w:rsid w:val="0080339F"/>
    <w:rsid w:val="00803715"/>
    <w:rsid w:val="0080403E"/>
    <w:rsid w:val="00804193"/>
    <w:rsid w:val="00804E1D"/>
    <w:rsid w:val="00804E83"/>
    <w:rsid w:val="00804F42"/>
    <w:rsid w:val="00804F76"/>
    <w:rsid w:val="008053DC"/>
    <w:rsid w:val="00805583"/>
    <w:rsid w:val="00805B4C"/>
    <w:rsid w:val="00805D37"/>
    <w:rsid w:val="00806593"/>
    <w:rsid w:val="008077A6"/>
    <w:rsid w:val="008077C9"/>
    <w:rsid w:val="00807B27"/>
    <w:rsid w:val="00810E86"/>
    <w:rsid w:val="008110FF"/>
    <w:rsid w:val="008122E0"/>
    <w:rsid w:val="008125D3"/>
    <w:rsid w:val="00812779"/>
    <w:rsid w:val="0081302D"/>
    <w:rsid w:val="008132C5"/>
    <w:rsid w:val="00813348"/>
    <w:rsid w:val="00813580"/>
    <w:rsid w:val="00813590"/>
    <w:rsid w:val="0081439C"/>
    <w:rsid w:val="008146F2"/>
    <w:rsid w:val="00814B46"/>
    <w:rsid w:val="00814CAB"/>
    <w:rsid w:val="00814DFB"/>
    <w:rsid w:val="00814DFF"/>
    <w:rsid w:val="00815D4C"/>
    <w:rsid w:val="00816758"/>
    <w:rsid w:val="0082005B"/>
    <w:rsid w:val="00820BD2"/>
    <w:rsid w:val="0082147C"/>
    <w:rsid w:val="00821485"/>
    <w:rsid w:val="00821BF9"/>
    <w:rsid w:val="0082201A"/>
    <w:rsid w:val="00822126"/>
    <w:rsid w:val="00822303"/>
    <w:rsid w:val="0082243C"/>
    <w:rsid w:val="00822CB5"/>
    <w:rsid w:val="00822E62"/>
    <w:rsid w:val="00823239"/>
    <w:rsid w:val="0082333D"/>
    <w:rsid w:val="00823743"/>
    <w:rsid w:val="00823B45"/>
    <w:rsid w:val="00824017"/>
    <w:rsid w:val="00824A40"/>
    <w:rsid w:val="00825E2C"/>
    <w:rsid w:val="008262BD"/>
    <w:rsid w:val="00826397"/>
    <w:rsid w:val="00826CD7"/>
    <w:rsid w:val="00827511"/>
    <w:rsid w:val="00827741"/>
    <w:rsid w:val="0082774D"/>
    <w:rsid w:val="008277C2"/>
    <w:rsid w:val="00827CF9"/>
    <w:rsid w:val="00827D49"/>
    <w:rsid w:val="008309B8"/>
    <w:rsid w:val="00831336"/>
    <w:rsid w:val="00831648"/>
    <w:rsid w:val="008318EE"/>
    <w:rsid w:val="00831AB1"/>
    <w:rsid w:val="00832130"/>
    <w:rsid w:val="00832F01"/>
    <w:rsid w:val="0083333D"/>
    <w:rsid w:val="0083379B"/>
    <w:rsid w:val="00834205"/>
    <w:rsid w:val="008358D0"/>
    <w:rsid w:val="008369A3"/>
    <w:rsid w:val="00836FE9"/>
    <w:rsid w:val="0083713E"/>
    <w:rsid w:val="0083718D"/>
    <w:rsid w:val="00840383"/>
    <w:rsid w:val="00840549"/>
    <w:rsid w:val="00840F55"/>
    <w:rsid w:val="00841438"/>
    <w:rsid w:val="008417DF"/>
    <w:rsid w:val="00841B10"/>
    <w:rsid w:val="0084227B"/>
    <w:rsid w:val="008429F0"/>
    <w:rsid w:val="00842DEB"/>
    <w:rsid w:val="00842FD1"/>
    <w:rsid w:val="00843B61"/>
    <w:rsid w:val="00844381"/>
    <w:rsid w:val="00844459"/>
    <w:rsid w:val="00844A41"/>
    <w:rsid w:val="00845643"/>
    <w:rsid w:val="00845725"/>
    <w:rsid w:val="008459EF"/>
    <w:rsid w:val="00845F2A"/>
    <w:rsid w:val="00845F7F"/>
    <w:rsid w:val="00846255"/>
    <w:rsid w:val="00846DAD"/>
    <w:rsid w:val="00847052"/>
    <w:rsid w:val="00847EDB"/>
    <w:rsid w:val="008504B7"/>
    <w:rsid w:val="00850608"/>
    <w:rsid w:val="00850623"/>
    <w:rsid w:val="0085062D"/>
    <w:rsid w:val="008506FA"/>
    <w:rsid w:val="00850A2E"/>
    <w:rsid w:val="00850DCD"/>
    <w:rsid w:val="0085268F"/>
    <w:rsid w:val="0085287D"/>
    <w:rsid w:val="00852DD3"/>
    <w:rsid w:val="008534BE"/>
    <w:rsid w:val="00853720"/>
    <w:rsid w:val="00853E29"/>
    <w:rsid w:val="00854144"/>
    <w:rsid w:val="0085430F"/>
    <w:rsid w:val="0085438F"/>
    <w:rsid w:val="00854D09"/>
    <w:rsid w:val="008550ED"/>
    <w:rsid w:val="00855345"/>
    <w:rsid w:val="00855B79"/>
    <w:rsid w:val="00855D23"/>
    <w:rsid w:val="00856CF2"/>
    <w:rsid w:val="00857288"/>
    <w:rsid w:val="0085778C"/>
    <w:rsid w:val="00857C20"/>
    <w:rsid w:val="00857E3D"/>
    <w:rsid w:val="008605C9"/>
    <w:rsid w:val="00860AF1"/>
    <w:rsid w:val="00860D99"/>
    <w:rsid w:val="00861352"/>
    <w:rsid w:val="00861453"/>
    <w:rsid w:val="008618E0"/>
    <w:rsid w:val="00862092"/>
    <w:rsid w:val="00862278"/>
    <w:rsid w:val="0086245F"/>
    <w:rsid w:val="0086259A"/>
    <w:rsid w:val="00863171"/>
    <w:rsid w:val="0086320B"/>
    <w:rsid w:val="00863B14"/>
    <w:rsid w:val="0086480E"/>
    <w:rsid w:val="008654A0"/>
    <w:rsid w:val="00865DA9"/>
    <w:rsid w:val="008662E7"/>
    <w:rsid w:val="00866BD1"/>
    <w:rsid w:val="008672A6"/>
    <w:rsid w:val="00867511"/>
    <w:rsid w:val="00867B6D"/>
    <w:rsid w:val="00870367"/>
    <w:rsid w:val="008707D4"/>
    <w:rsid w:val="00870A3C"/>
    <w:rsid w:val="00870A41"/>
    <w:rsid w:val="00870AE9"/>
    <w:rsid w:val="0087133E"/>
    <w:rsid w:val="00872285"/>
    <w:rsid w:val="008743DB"/>
    <w:rsid w:val="00874A1B"/>
    <w:rsid w:val="00875164"/>
    <w:rsid w:val="008754AF"/>
    <w:rsid w:val="00875C61"/>
    <w:rsid w:val="0087620A"/>
    <w:rsid w:val="00876721"/>
    <w:rsid w:val="00876BE5"/>
    <w:rsid w:val="00877FD4"/>
    <w:rsid w:val="008800A7"/>
    <w:rsid w:val="00880599"/>
    <w:rsid w:val="00881282"/>
    <w:rsid w:val="008812A3"/>
    <w:rsid w:val="00881374"/>
    <w:rsid w:val="00881697"/>
    <w:rsid w:val="008816C2"/>
    <w:rsid w:val="0088297E"/>
    <w:rsid w:val="00882F79"/>
    <w:rsid w:val="00883ADF"/>
    <w:rsid w:val="008840B4"/>
    <w:rsid w:val="00884C07"/>
    <w:rsid w:val="00884C0D"/>
    <w:rsid w:val="0088526D"/>
    <w:rsid w:val="008855B9"/>
    <w:rsid w:val="00885F0F"/>
    <w:rsid w:val="00886942"/>
    <w:rsid w:val="0088737E"/>
    <w:rsid w:val="0088753F"/>
    <w:rsid w:val="0088778A"/>
    <w:rsid w:val="0089048F"/>
    <w:rsid w:val="00890625"/>
    <w:rsid w:val="0089157D"/>
    <w:rsid w:val="00891919"/>
    <w:rsid w:val="00891E72"/>
    <w:rsid w:val="00892692"/>
    <w:rsid w:val="00892D32"/>
    <w:rsid w:val="00892FFA"/>
    <w:rsid w:val="00893788"/>
    <w:rsid w:val="008938FA"/>
    <w:rsid w:val="0089417E"/>
    <w:rsid w:val="00894884"/>
    <w:rsid w:val="00895286"/>
    <w:rsid w:val="00895660"/>
    <w:rsid w:val="00895A44"/>
    <w:rsid w:val="00895F24"/>
    <w:rsid w:val="00896995"/>
    <w:rsid w:val="00896AA2"/>
    <w:rsid w:val="0089730C"/>
    <w:rsid w:val="0089751E"/>
    <w:rsid w:val="00897613"/>
    <w:rsid w:val="0089786C"/>
    <w:rsid w:val="008A087B"/>
    <w:rsid w:val="008A0967"/>
    <w:rsid w:val="008A0CE3"/>
    <w:rsid w:val="008A166F"/>
    <w:rsid w:val="008A1A93"/>
    <w:rsid w:val="008A24D2"/>
    <w:rsid w:val="008A386D"/>
    <w:rsid w:val="008A451C"/>
    <w:rsid w:val="008A5D0C"/>
    <w:rsid w:val="008A5D3A"/>
    <w:rsid w:val="008A5F5B"/>
    <w:rsid w:val="008A61BD"/>
    <w:rsid w:val="008A62C5"/>
    <w:rsid w:val="008A6450"/>
    <w:rsid w:val="008A64D3"/>
    <w:rsid w:val="008A65B8"/>
    <w:rsid w:val="008A6B76"/>
    <w:rsid w:val="008A6FD0"/>
    <w:rsid w:val="008B004C"/>
    <w:rsid w:val="008B0B05"/>
    <w:rsid w:val="008B12DE"/>
    <w:rsid w:val="008B1806"/>
    <w:rsid w:val="008B1A0E"/>
    <w:rsid w:val="008B2074"/>
    <w:rsid w:val="008B238C"/>
    <w:rsid w:val="008B2713"/>
    <w:rsid w:val="008B2AFA"/>
    <w:rsid w:val="008B4006"/>
    <w:rsid w:val="008B490B"/>
    <w:rsid w:val="008B4CA8"/>
    <w:rsid w:val="008B55B0"/>
    <w:rsid w:val="008B579F"/>
    <w:rsid w:val="008B5C25"/>
    <w:rsid w:val="008B5D52"/>
    <w:rsid w:val="008B5F38"/>
    <w:rsid w:val="008B64B4"/>
    <w:rsid w:val="008B6B73"/>
    <w:rsid w:val="008B7A42"/>
    <w:rsid w:val="008B7A6D"/>
    <w:rsid w:val="008B7F22"/>
    <w:rsid w:val="008C0DD0"/>
    <w:rsid w:val="008C0FF0"/>
    <w:rsid w:val="008C1012"/>
    <w:rsid w:val="008C10CE"/>
    <w:rsid w:val="008C140C"/>
    <w:rsid w:val="008C2F36"/>
    <w:rsid w:val="008C32D0"/>
    <w:rsid w:val="008C3FA2"/>
    <w:rsid w:val="008C4A43"/>
    <w:rsid w:val="008C54A3"/>
    <w:rsid w:val="008C56F3"/>
    <w:rsid w:val="008C5D9F"/>
    <w:rsid w:val="008C5ED3"/>
    <w:rsid w:val="008C62B2"/>
    <w:rsid w:val="008C6AAD"/>
    <w:rsid w:val="008C6BA0"/>
    <w:rsid w:val="008C706F"/>
    <w:rsid w:val="008C763A"/>
    <w:rsid w:val="008C7714"/>
    <w:rsid w:val="008C7A59"/>
    <w:rsid w:val="008D09A8"/>
    <w:rsid w:val="008D1444"/>
    <w:rsid w:val="008D14DB"/>
    <w:rsid w:val="008D156A"/>
    <w:rsid w:val="008D206E"/>
    <w:rsid w:val="008D2136"/>
    <w:rsid w:val="008D21D5"/>
    <w:rsid w:val="008D2771"/>
    <w:rsid w:val="008D2814"/>
    <w:rsid w:val="008D3350"/>
    <w:rsid w:val="008D33CA"/>
    <w:rsid w:val="008D3E40"/>
    <w:rsid w:val="008D5BF3"/>
    <w:rsid w:val="008D6960"/>
    <w:rsid w:val="008D6BC3"/>
    <w:rsid w:val="008D6F5C"/>
    <w:rsid w:val="008D78AA"/>
    <w:rsid w:val="008D7AA2"/>
    <w:rsid w:val="008E0AE7"/>
    <w:rsid w:val="008E0EC6"/>
    <w:rsid w:val="008E1948"/>
    <w:rsid w:val="008E1AFD"/>
    <w:rsid w:val="008E2054"/>
    <w:rsid w:val="008E2C3C"/>
    <w:rsid w:val="008E3A17"/>
    <w:rsid w:val="008E42CB"/>
    <w:rsid w:val="008E4955"/>
    <w:rsid w:val="008E55C5"/>
    <w:rsid w:val="008E626C"/>
    <w:rsid w:val="008E667D"/>
    <w:rsid w:val="008E7089"/>
    <w:rsid w:val="008E70B6"/>
    <w:rsid w:val="008E78B2"/>
    <w:rsid w:val="008E7C50"/>
    <w:rsid w:val="008F00F9"/>
    <w:rsid w:val="008F05A4"/>
    <w:rsid w:val="008F0990"/>
    <w:rsid w:val="008F0A0E"/>
    <w:rsid w:val="008F0A62"/>
    <w:rsid w:val="008F0C47"/>
    <w:rsid w:val="008F117D"/>
    <w:rsid w:val="008F14C9"/>
    <w:rsid w:val="008F17EB"/>
    <w:rsid w:val="008F17F5"/>
    <w:rsid w:val="008F1AD3"/>
    <w:rsid w:val="008F2541"/>
    <w:rsid w:val="008F2CB1"/>
    <w:rsid w:val="008F2F72"/>
    <w:rsid w:val="008F356A"/>
    <w:rsid w:val="008F375C"/>
    <w:rsid w:val="008F37C4"/>
    <w:rsid w:val="008F3BB4"/>
    <w:rsid w:val="008F3CC8"/>
    <w:rsid w:val="008F4116"/>
    <w:rsid w:val="008F42B8"/>
    <w:rsid w:val="008F4CC7"/>
    <w:rsid w:val="008F53C0"/>
    <w:rsid w:val="008F59ED"/>
    <w:rsid w:val="008F6B21"/>
    <w:rsid w:val="008F6B41"/>
    <w:rsid w:val="009003FD"/>
    <w:rsid w:val="0090059C"/>
    <w:rsid w:val="00900C89"/>
    <w:rsid w:val="00900E63"/>
    <w:rsid w:val="00901DEE"/>
    <w:rsid w:val="00902334"/>
    <w:rsid w:val="00902909"/>
    <w:rsid w:val="00902AD5"/>
    <w:rsid w:val="00902EC7"/>
    <w:rsid w:val="009032AE"/>
    <w:rsid w:val="009036A7"/>
    <w:rsid w:val="0090379F"/>
    <w:rsid w:val="00903E94"/>
    <w:rsid w:val="00904083"/>
    <w:rsid w:val="009049AF"/>
    <w:rsid w:val="00905A64"/>
    <w:rsid w:val="00905F21"/>
    <w:rsid w:val="0090634B"/>
    <w:rsid w:val="009065FF"/>
    <w:rsid w:val="0090768E"/>
    <w:rsid w:val="00907A18"/>
    <w:rsid w:val="00910013"/>
    <w:rsid w:val="00910DBC"/>
    <w:rsid w:val="0091143D"/>
    <w:rsid w:val="00911CA8"/>
    <w:rsid w:val="0091229A"/>
    <w:rsid w:val="00913ADC"/>
    <w:rsid w:val="00913D51"/>
    <w:rsid w:val="009143CD"/>
    <w:rsid w:val="00914A03"/>
    <w:rsid w:val="00914B62"/>
    <w:rsid w:val="009152A8"/>
    <w:rsid w:val="00915D30"/>
    <w:rsid w:val="009162AB"/>
    <w:rsid w:val="00916AEA"/>
    <w:rsid w:val="00916E26"/>
    <w:rsid w:val="00916E98"/>
    <w:rsid w:val="0091777D"/>
    <w:rsid w:val="00917D53"/>
    <w:rsid w:val="009205F7"/>
    <w:rsid w:val="0092064F"/>
    <w:rsid w:val="00921418"/>
    <w:rsid w:val="009214A9"/>
    <w:rsid w:val="00921D65"/>
    <w:rsid w:val="00921D99"/>
    <w:rsid w:val="009222B2"/>
    <w:rsid w:val="009235D4"/>
    <w:rsid w:val="009244AC"/>
    <w:rsid w:val="009248C1"/>
    <w:rsid w:val="00924C2B"/>
    <w:rsid w:val="009257A9"/>
    <w:rsid w:val="00925CA0"/>
    <w:rsid w:val="00925EB3"/>
    <w:rsid w:val="00926285"/>
    <w:rsid w:val="00926411"/>
    <w:rsid w:val="0092644D"/>
    <w:rsid w:val="00930183"/>
    <w:rsid w:val="009304EA"/>
    <w:rsid w:val="00930C9E"/>
    <w:rsid w:val="009318DC"/>
    <w:rsid w:val="009324D9"/>
    <w:rsid w:val="009333CD"/>
    <w:rsid w:val="0093350D"/>
    <w:rsid w:val="00933964"/>
    <w:rsid w:val="00933B24"/>
    <w:rsid w:val="0093456D"/>
    <w:rsid w:val="00935029"/>
    <w:rsid w:val="0093528C"/>
    <w:rsid w:val="0093565E"/>
    <w:rsid w:val="009356C6"/>
    <w:rsid w:val="00935B63"/>
    <w:rsid w:val="00935DB9"/>
    <w:rsid w:val="009368A0"/>
    <w:rsid w:val="009373B0"/>
    <w:rsid w:val="00937592"/>
    <w:rsid w:val="00937AB1"/>
    <w:rsid w:val="00937E68"/>
    <w:rsid w:val="009401FB"/>
    <w:rsid w:val="0094073B"/>
    <w:rsid w:val="00940E4F"/>
    <w:rsid w:val="00941CA9"/>
    <w:rsid w:val="0094268C"/>
    <w:rsid w:val="00942854"/>
    <w:rsid w:val="00942915"/>
    <w:rsid w:val="00942C18"/>
    <w:rsid w:val="00942CDC"/>
    <w:rsid w:val="00943588"/>
    <w:rsid w:val="00943B28"/>
    <w:rsid w:val="00944B50"/>
    <w:rsid w:val="00944C47"/>
    <w:rsid w:val="00944C87"/>
    <w:rsid w:val="00944F85"/>
    <w:rsid w:val="00945215"/>
    <w:rsid w:val="0094531A"/>
    <w:rsid w:val="00945614"/>
    <w:rsid w:val="00945863"/>
    <w:rsid w:val="009458B1"/>
    <w:rsid w:val="009463A1"/>
    <w:rsid w:val="00946A00"/>
    <w:rsid w:val="009470B7"/>
    <w:rsid w:val="00947221"/>
    <w:rsid w:val="009474A8"/>
    <w:rsid w:val="009503F0"/>
    <w:rsid w:val="00950514"/>
    <w:rsid w:val="00950DDA"/>
    <w:rsid w:val="00950ECF"/>
    <w:rsid w:val="00953898"/>
    <w:rsid w:val="00953D90"/>
    <w:rsid w:val="00953E18"/>
    <w:rsid w:val="00953F00"/>
    <w:rsid w:val="00954219"/>
    <w:rsid w:val="009542A5"/>
    <w:rsid w:val="009555E9"/>
    <w:rsid w:val="00955627"/>
    <w:rsid w:val="00955E47"/>
    <w:rsid w:val="00956303"/>
    <w:rsid w:val="0095673A"/>
    <w:rsid w:val="00956BF6"/>
    <w:rsid w:val="009577B4"/>
    <w:rsid w:val="00957B87"/>
    <w:rsid w:val="00957D68"/>
    <w:rsid w:val="009600F9"/>
    <w:rsid w:val="0096039B"/>
    <w:rsid w:val="009603AD"/>
    <w:rsid w:val="00960E49"/>
    <w:rsid w:val="00961538"/>
    <w:rsid w:val="0096169E"/>
    <w:rsid w:val="009619FB"/>
    <w:rsid w:val="00961B69"/>
    <w:rsid w:val="00961C67"/>
    <w:rsid w:val="00961EA6"/>
    <w:rsid w:val="0096307F"/>
    <w:rsid w:val="00963827"/>
    <w:rsid w:val="00964B64"/>
    <w:rsid w:val="009656B1"/>
    <w:rsid w:val="0096618B"/>
    <w:rsid w:val="009668A2"/>
    <w:rsid w:val="00966D0F"/>
    <w:rsid w:val="0096725C"/>
    <w:rsid w:val="00970CA7"/>
    <w:rsid w:val="00971209"/>
    <w:rsid w:val="0097123C"/>
    <w:rsid w:val="0097140E"/>
    <w:rsid w:val="00971928"/>
    <w:rsid w:val="00971F8C"/>
    <w:rsid w:val="009725D7"/>
    <w:rsid w:val="00973BBA"/>
    <w:rsid w:val="00974575"/>
    <w:rsid w:val="009746F6"/>
    <w:rsid w:val="00974C4A"/>
    <w:rsid w:val="00975EE9"/>
    <w:rsid w:val="00976D12"/>
    <w:rsid w:val="00977D55"/>
    <w:rsid w:val="00980154"/>
    <w:rsid w:val="009801E4"/>
    <w:rsid w:val="00980200"/>
    <w:rsid w:val="00980A85"/>
    <w:rsid w:val="00980C7C"/>
    <w:rsid w:val="00980D4A"/>
    <w:rsid w:val="00981707"/>
    <w:rsid w:val="00981E5C"/>
    <w:rsid w:val="00981EA8"/>
    <w:rsid w:val="00981F99"/>
    <w:rsid w:val="00982034"/>
    <w:rsid w:val="009822A0"/>
    <w:rsid w:val="00982429"/>
    <w:rsid w:val="00982441"/>
    <w:rsid w:val="00982EC0"/>
    <w:rsid w:val="00983549"/>
    <w:rsid w:val="009835C5"/>
    <w:rsid w:val="00983BE2"/>
    <w:rsid w:val="00984436"/>
    <w:rsid w:val="009849B2"/>
    <w:rsid w:val="00985122"/>
    <w:rsid w:val="009857EE"/>
    <w:rsid w:val="0098584D"/>
    <w:rsid w:val="00986445"/>
    <w:rsid w:val="0098688D"/>
    <w:rsid w:val="00986C9E"/>
    <w:rsid w:val="00987B33"/>
    <w:rsid w:val="00987FF3"/>
    <w:rsid w:val="009905C1"/>
    <w:rsid w:val="00990C94"/>
    <w:rsid w:val="00990CC7"/>
    <w:rsid w:val="00990EA0"/>
    <w:rsid w:val="0099137B"/>
    <w:rsid w:val="00991537"/>
    <w:rsid w:val="0099222C"/>
    <w:rsid w:val="00993706"/>
    <w:rsid w:val="00993D75"/>
    <w:rsid w:val="00994FDC"/>
    <w:rsid w:val="0099539E"/>
    <w:rsid w:val="0099681C"/>
    <w:rsid w:val="0099697C"/>
    <w:rsid w:val="00996BDD"/>
    <w:rsid w:val="00997227"/>
    <w:rsid w:val="00997704"/>
    <w:rsid w:val="00997AFB"/>
    <w:rsid w:val="00997EF6"/>
    <w:rsid w:val="009A06EF"/>
    <w:rsid w:val="009A0811"/>
    <w:rsid w:val="009A0A05"/>
    <w:rsid w:val="009A0A12"/>
    <w:rsid w:val="009A0DF1"/>
    <w:rsid w:val="009A0ED4"/>
    <w:rsid w:val="009A1181"/>
    <w:rsid w:val="009A11FF"/>
    <w:rsid w:val="009A1544"/>
    <w:rsid w:val="009A1B02"/>
    <w:rsid w:val="009A2BB2"/>
    <w:rsid w:val="009A2BD0"/>
    <w:rsid w:val="009A2C69"/>
    <w:rsid w:val="009A38B0"/>
    <w:rsid w:val="009A3D92"/>
    <w:rsid w:val="009A426C"/>
    <w:rsid w:val="009A4B93"/>
    <w:rsid w:val="009A4BB3"/>
    <w:rsid w:val="009A53D2"/>
    <w:rsid w:val="009A5731"/>
    <w:rsid w:val="009A5BD3"/>
    <w:rsid w:val="009A5CB0"/>
    <w:rsid w:val="009A609C"/>
    <w:rsid w:val="009A6622"/>
    <w:rsid w:val="009A693B"/>
    <w:rsid w:val="009A6A8C"/>
    <w:rsid w:val="009A748B"/>
    <w:rsid w:val="009B0AE2"/>
    <w:rsid w:val="009B0E03"/>
    <w:rsid w:val="009B191B"/>
    <w:rsid w:val="009B1952"/>
    <w:rsid w:val="009B2D00"/>
    <w:rsid w:val="009B2E90"/>
    <w:rsid w:val="009B2F55"/>
    <w:rsid w:val="009B2F83"/>
    <w:rsid w:val="009B319B"/>
    <w:rsid w:val="009B326E"/>
    <w:rsid w:val="009B3CAC"/>
    <w:rsid w:val="009B4F47"/>
    <w:rsid w:val="009B52FC"/>
    <w:rsid w:val="009B5556"/>
    <w:rsid w:val="009B5A2A"/>
    <w:rsid w:val="009B5A47"/>
    <w:rsid w:val="009B651B"/>
    <w:rsid w:val="009B6849"/>
    <w:rsid w:val="009B700D"/>
    <w:rsid w:val="009B76CF"/>
    <w:rsid w:val="009B786F"/>
    <w:rsid w:val="009C036C"/>
    <w:rsid w:val="009C1618"/>
    <w:rsid w:val="009C1E5C"/>
    <w:rsid w:val="009C2274"/>
    <w:rsid w:val="009C27A8"/>
    <w:rsid w:val="009C2C8A"/>
    <w:rsid w:val="009C2FA8"/>
    <w:rsid w:val="009C3383"/>
    <w:rsid w:val="009C4B59"/>
    <w:rsid w:val="009C4BF3"/>
    <w:rsid w:val="009C4C2F"/>
    <w:rsid w:val="009C6776"/>
    <w:rsid w:val="009C6795"/>
    <w:rsid w:val="009C69C5"/>
    <w:rsid w:val="009C6AB5"/>
    <w:rsid w:val="009C6AE1"/>
    <w:rsid w:val="009C7296"/>
    <w:rsid w:val="009C7FB9"/>
    <w:rsid w:val="009D00EC"/>
    <w:rsid w:val="009D0532"/>
    <w:rsid w:val="009D08EE"/>
    <w:rsid w:val="009D0B4A"/>
    <w:rsid w:val="009D1A3B"/>
    <w:rsid w:val="009D25CA"/>
    <w:rsid w:val="009D2EE0"/>
    <w:rsid w:val="009D3E0E"/>
    <w:rsid w:val="009D4179"/>
    <w:rsid w:val="009D43EC"/>
    <w:rsid w:val="009D45C4"/>
    <w:rsid w:val="009D51AC"/>
    <w:rsid w:val="009D6021"/>
    <w:rsid w:val="009D6694"/>
    <w:rsid w:val="009D6A4A"/>
    <w:rsid w:val="009D6B8F"/>
    <w:rsid w:val="009D6C9D"/>
    <w:rsid w:val="009D73A5"/>
    <w:rsid w:val="009E0D73"/>
    <w:rsid w:val="009E1398"/>
    <w:rsid w:val="009E15E2"/>
    <w:rsid w:val="009E1C6A"/>
    <w:rsid w:val="009E2241"/>
    <w:rsid w:val="009E2D67"/>
    <w:rsid w:val="009E3486"/>
    <w:rsid w:val="009E39AB"/>
    <w:rsid w:val="009E3BD8"/>
    <w:rsid w:val="009E3E82"/>
    <w:rsid w:val="009E4C81"/>
    <w:rsid w:val="009E5231"/>
    <w:rsid w:val="009E545C"/>
    <w:rsid w:val="009E5864"/>
    <w:rsid w:val="009E59EC"/>
    <w:rsid w:val="009E6029"/>
    <w:rsid w:val="009E643A"/>
    <w:rsid w:val="009E67EC"/>
    <w:rsid w:val="009E6BC5"/>
    <w:rsid w:val="009E6C95"/>
    <w:rsid w:val="009E7677"/>
    <w:rsid w:val="009E7E94"/>
    <w:rsid w:val="009F0ABC"/>
    <w:rsid w:val="009F0E00"/>
    <w:rsid w:val="009F1035"/>
    <w:rsid w:val="009F124C"/>
    <w:rsid w:val="009F1BF3"/>
    <w:rsid w:val="009F1E27"/>
    <w:rsid w:val="009F2402"/>
    <w:rsid w:val="009F2906"/>
    <w:rsid w:val="009F3B49"/>
    <w:rsid w:val="009F42C8"/>
    <w:rsid w:val="009F45D1"/>
    <w:rsid w:val="009F5000"/>
    <w:rsid w:val="009F56E6"/>
    <w:rsid w:val="009F5E92"/>
    <w:rsid w:val="009F6329"/>
    <w:rsid w:val="009F6600"/>
    <w:rsid w:val="009F6954"/>
    <w:rsid w:val="009F6C54"/>
    <w:rsid w:val="009F6EF8"/>
    <w:rsid w:val="009F7F4E"/>
    <w:rsid w:val="00A00F6A"/>
    <w:rsid w:val="00A01476"/>
    <w:rsid w:val="00A0219B"/>
    <w:rsid w:val="00A023C8"/>
    <w:rsid w:val="00A02706"/>
    <w:rsid w:val="00A02A3D"/>
    <w:rsid w:val="00A03485"/>
    <w:rsid w:val="00A04640"/>
    <w:rsid w:val="00A04CC3"/>
    <w:rsid w:val="00A04EB7"/>
    <w:rsid w:val="00A0501E"/>
    <w:rsid w:val="00A05021"/>
    <w:rsid w:val="00A0538D"/>
    <w:rsid w:val="00A06753"/>
    <w:rsid w:val="00A06862"/>
    <w:rsid w:val="00A07554"/>
    <w:rsid w:val="00A10250"/>
    <w:rsid w:val="00A11521"/>
    <w:rsid w:val="00A11815"/>
    <w:rsid w:val="00A118E3"/>
    <w:rsid w:val="00A11BB5"/>
    <w:rsid w:val="00A1204B"/>
    <w:rsid w:val="00A12583"/>
    <w:rsid w:val="00A125A7"/>
    <w:rsid w:val="00A12E68"/>
    <w:rsid w:val="00A13934"/>
    <w:rsid w:val="00A13BC6"/>
    <w:rsid w:val="00A142FA"/>
    <w:rsid w:val="00A14551"/>
    <w:rsid w:val="00A14667"/>
    <w:rsid w:val="00A14BE0"/>
    <w:rsid w:val="00A14D55"/>
    <w:rsid w:val="00A15473"/>
    <w:rsid w:val="00A15B50"/>
    <w:rsid w:val="00A15B52"/>
    <w:rsid w:val="00A16518"/>
    <w:rsid w:val="00A17136"/>
    <w:rsid w:val="00A179D5"/>
    <w:rsid w:val="00A17F4B"/>
    <w:rsid w:val="00A17FEE"/>
    <w:rsid w:val="00A20209"/>
    <w:rsid w:val="00A2031B"/>
    <w:rsid w:val="00A20D6A"/>
    <w:rsid w:val="00A20E4B"/>
    <w:rsid w:val="00A21BEB"/>
    <w:rsid w:val="00A22C5A"/>
    <w:rsid w:val="00A23043"/>
    <w:rsid w:val="00A23727"/>
    <w:rsid w:val="00A23934"/>
    <w:rsid w:val="00A241EC"/>
    <w:rsid w:val="00A25A3D"/>
    <w:rsid w:val="00A26A3C"/>
    <w:rsid w:val="00A26A7C"/>
    <w:rsid w:val="00A26B21"/>
    <w:rsid w:val="00A26CFD"/>
    <w:rsid w:val="00A26E60"/>
    <w:rsid w:val="00A2716A"/>
    <w:rsid w:val="00A27740"/>
    <w:rsid w:val="00A27A74"/>
    <w:rsid w:val="00A3029B"/>
    <w:rsid w:val="00A30431"/>
    <w:rsid w:val="00A30467"/>
    <w:rsid w:val="00A30839"/>
    <w:rsid w:val="00A30DE2"/>
    <w:rsid w:val="00A3149E"/>
    <w:rsid w:val="00A31ED0"/>
    <w:rsid w:val="00A324A7"/>
    <w:rsid w:val="00A327DE"/>
    <w:rsid w:val="00A32C56"/>
    <w:rsid w:val="00A32D4D"/>
    <w:rsid w:val="00A32D73"/>
    <w:rsid w:val="00A3329F"/>
    <w:rsid w:val="00A3340D"/>
    <w:rsid w:val="00A33C8C"/>
    <w:rsid w:val="00A33CFB"/>
    <w:rsid w:val="00A34FDB"/>
    <w:rsid w:val="00A3512E"/>
    <w:rsid w:val="00A35F06"/>
    <w:rsid w:val="00A36036"/>
    <w:rsid w:val="00A36AB1"/>
    <w:rsid w:val="00A36C78"/>
    <w:rsid w:val="00A36E5A"/>
    <w:rsid w:val="00A37493"/>
    <w:rsid w:val="00A37636"/>
    <w:rsid w:val="00A377EA"/>
    <w:rsid w:val="00A37A9F"/>
    <w:rsid w:val="00A37E1E"/>
    <w:rsid w:val="00A37F55"/>
    <w:rsid w:val="00A4014A"/>
    <w:rsid w:val="00A40159"/>
    <w:rsid w:val="00A40A60"/>
    <w:rsid w:val="00A40D43"/>
    <w:rsid w:val="00A419EB"/>
    <w:rsid w:val="00A41A45"/>
    <w:rsid w:val="00A426CF"/>
    <w:rsid w:val="00A42C0E"/>
    <w:rsid w:val="00A42F72"/>
    <w:rsid w:val="00A43557"/>
    <w:rsid w:val="00A43E79"/>
    <w:rsid w:val="00A4486F"/>
    <w:rsid w:val="00A44A0A"/>
    <w:rsid w:val="00A44DF7"/>
    <w:rsid w:val="00A45D88"/>
    <w:rsid w:val="00A46938"/>
    <w:rsid w:val="00A46C7B"/>
    <w:rsid w:val="00A46D5C"/>
    <w:rsid w:val="00A46FF1"/>
    <w:rsid w:val="00A50000"/>
    <w:rsid w:val="00A504FE"/>
    <w:rsid w:val="00A51234"/>
    <w:rsid w:val="00A519A6"/>
    <w:rsid w:val="00A525EA"/>
    <w:rsid w:val="00A5299B"/>
    <w:rsid w:val="00A52A02"/>
    <w:rsid w:val="00A52A80"/>
    <w:rsid w:val="00A52D16"/>
    <w:rsid w:val="00A53099"/>
    <w:rsid w:val="00A5364E"/>
    <w:rsid w:val="00A53788"/>
    <w:rsid w:val="00A53A7D"/>
    <w:rsid w:val="00A54CA8"/>
    <w:rsid w:val="00A55E09"/>
    <w:rsid w:val="00A568DF"/>
    <w:rsid w:val="00A56D1B"/>
    <w:rsid w:val="00A56F67"/>
    <w:rsid w:val="00A600B5"/>
    <w:rsid w:val="00A603EE"/>
    <w:rsid w:val="00A60814"/>
    <w:rsid w:val="00A618C8"/>
    <w:rsid w:val="00A61C78"/>
    <w:rsid w:val="00A61F8A"/>
    <w:rsid w:val="00A6204C"/>
    <w:rsid w:val="00A62A03"/>
    <w:rsid w:val="00A63094"/>
    <w:rsid w:val="00A63F80"/>
    <w:rsid w:val="00A6470C"/>
    <w:rsid w:val="00A655D0"/>
    <w:rsid w:val="00A65B7A"/>
    <w:rsid w:val="00A65C26"/>
    <w:rsid w:val="00A65D11"/>
    <w:rsid w:val="00A65D19"/>
    <w:rsid w:val="00A664B1"/>
    <w:rsid w:val="00A66797"/>
    <w:rsid w:val="00A66CC9"/>
    <w:rsid w:val="00A6733B"/>
    <w:rsid w:val="00A6747D"/>
    <w:rsid w:val="00A67926"/>
    <w:rsid w:val="00A67A05"/>
    <w:rsid w:val="00A67EB4"/>
    <w:rsid w:val="00A7072A"/>
    <w:rsid w:val="00A71447"/>
    <w:rsid w:val="00A71683"/>
    <w:rsid w:val="00A71828"/>
    <w:rsid w:val="00A7275A"/>
    <w:rsid w:val="00A72E1B"/>
    <w:rsid w:val="00A7328B"/>
    <w:rsid w:val="00A73697"/>
    <w:rsid w:val="00A73B66"/>
    <w:rsid w:val="00A74DCB"/>
    <w:rsid w:val="00A75EFC"/>
    <w:rsid w:val="00A75F71"/>
    <w:rsid w:val="00A76D0A"/>
    <w:rsid w:val="00A779C2"/>
    <w:rsid w:val="00A8025A"/>
    <w:rsid w:val="00A80811"/>
    <w:rsid w:val="00A80E28"/>
    <w:rsid w:val="00A82407"/>
    <w:rsid w:val="00A825A6"/>
    <w:rsid w:val="00A82A41"/>
    <w:rsid w:val="00A8304B"/>
    <w:rsid w:val="00A844D7"/>
    <w:rsid w:val="00A8576E"/>
    <w:rsid w:val="00A86733"/>
    <w:rsid w:val="00A8708D"/>
    <w:rsid w:val="00A87231"/>
    <w:rsid w:val="00A8744E"/>
    <w:rsid w:val="00A874E7"/>
    <w:rsid w:val="00A874F0"/>
    <w:rsid w:val="00A87AA7"/>
    <w:rsid w:val="00A9000A"/>
    <w:rsid w:val="00A906F8"/>
    <w:rsid w:val="00A90BE1"/>
    <w:rsid w:val="00A90E0D"/>
    <w:rsid w:val="00A90FA8"/>
    <w:rsid w:val="00A910D7"/>
    <w:rsid w:val="00A913B5"/>
    <w:rsid w:val="00A917D5"/>
    <w:rsid w:val="00A91A18"/>
    <w:rsid w:val="00A91E4D"/>
    <w:rsid w:val="00A9207B"/>
    <w:rsid w:val="00A934C5"/>
    <w:rsid w:val="00A93CB6"/>
    <w:rsid w:val="00A9454D"/>
    <w:rsid w:val="00A952DD"/>
    <w:rsid w:val="00A95863"/>
    <w:rsid w:val="00A9595A"/>
    <w:rsid w:val="00A95C05"/>
    <w:rsid w:val="00A95D3C"/>
    <w:rsid w:val="00A95E18"/>
    <w:rsid w:val="00A96090"/>
    <w:rsid w:val="00A9654D"/>
    <w:rsid w:val="00A967D3"/>
    <w:rsid w:val="00A96CFB"/>
    <w:rsid w:val="00A978A0"/>
    <w:rsid w:val="00A97C0D"/>
    <w:rsid w:val="00A97C38"/>
    <w:rsid w:val="00AA0472"/>
    <w:rsid w:val="00AA08D6"/>
    <w:rsid w:val="00AA0C9E"/>
    <w:rsid w:val="00AA0CB8"/>
    <w:rsid w:val="00AA10E5"/>
    <w:rsid w:val="00AA111D"/>
    <w:rsid w:val="00AA144A"/>
    <w:rsid w:val="00AA1A36"/>
    <w:rsid w:val="00AA1E93"/>
    <w:rsid w:val="00AA2385"/>
    <w:rsid w:val="00AA4255"/>
    <w:rsid w:val="00AA46AD"/>
    <w:rsid w:val="00AA4F00"/>
    <w:rsid w:val="00AA50D1"/>
    <w:rsid w:val="00AA513E"/>
    <w:rsid w:val="00AA5275"/>
    <w:rsid w:val="00AA5EE5"/>
    <w:rsid w:val="00AA66EC"/>
    <w:rsid w:val="00AA68FD"/>
    <w:rsid w:val="00AA7010"/>
    <w:rsid w:val="00AA7235"/>
    <w:rsid w:val="00AA73CA"/>
    <w:rsid w:val="00AA7470"/>
    <w:rsid w:val="00AB0267"/>
    <w:rsid w:val="00AB0295"/>
    <w:rsid w:val="00AB0832"/>
    <w:rsid w:val="00AB08E7"/>
    <w:rsid w:val="00AB0940"/>
    <w:rsid w:val="00AB0E38"/>
    <w:rsid w:val="00AB13CD"/>
    <w:rsid w:val="00AB17C6"/>
    <w:rsid w:val="00AB1CF2"/>
    <w:rsid w:val="00AB1E0C"/>
    <w:rsid w:val="00AB1FCB"/>
    <w:rsid w:val="00AB2156"/>
    <w:rsid w:val="00AB23A8"/>
    <w:rsid w:val="00AB2C53"/>
    <w:rsid w:val="00AB32AF"/>
    <w:rsid w:val="00AB32C8"/>
    <w:rsid w:val="00AB35A5"/>
    <w:rsid w:val="00AB3775"/>
    <w:rsid w:val="00AB37B7"/>
    <w:rsid w:val="00AB3CC4"/>
    <w:rsid w:val="00AB3D3E"/>
    <w:rsid w:val="00AB43E8"/>
    <w:rsid w:val="00AB4AC1"/>
    <w:rsid w:val="00AB4DF6"/>
    <w:rsid w:val="00AB5214"/>
    <w:rsid w:val="00AB5DB2"/>
    <w:rsid w:val="00AB605B"/>
    <w:rsid w:val="00AB761D"/>
    <w:rsid w:val="00AB761E"/>
    <w:rsid w:val="00AB79F9"/>
    <w:rsid w:val="00AB7B6B"/>
    <w:rsid w:val="00AB7FDE"/>
    <w:rsid w:val="00AB7FE4"/>
    <w:rsid w:val="00AC0063"/>
    <w:rsid w:val="00AC03E4"/>
    <w:rsid w:val="00AC0833"/>
    <w:rsid w:val="00AC0B25"/>
    <w:rsid w:val="00AC0BAD"/>
    <w:rsid w:val="00AC0DD2"/>
    <w:rsid w:val="00AC19CC"/>
    <w:rsid w:val="00AC1C6E"/>
    <w:rsid w:val="00AC34D6"/>
    <w:rsid w:val="00AC3796"/>
    <w:rsid w:val="00AC39CB"/>
    <w:rsid w:val="00AC3BB5"/>
    <w:rsid w:val="00AC3DFC"/>
    <w:rsid w:val="00AC3F86"/>
    <w:rsid w:val="00AC4013"/>
    <w:rsid w:val="00AC4125"/>
    <w:rsid w:val="00AC42D3"/>
    <w:rsid w:val="00AC4E1E"/>
    <w:rsid w:val="00AC5497"/>
    <w:rsid w:val="00AC5B16"/>
    <w:rsid w:val="00AC5C7E"/>
    <w:rsid w:val="00AC5CC7"/>
    <w:rsid w:val="00AC5CCC"/>
    <w:rsid w:val="00AC602F"/>
    <w:rsid w:val="00AC6614"/>
    <w:rsid w:val="00AC6DD3"/>
    <w:rsid w:val="00AC72F9"/>
    <w:rsid w:val="00AC73B8"/>
    <w:rsid w:val="00AC7E2D"/>
    <w:rsid w:val="00AD0FE9"/>
    <w:rsid w:val="00AD2807"/>
    <w:rsid w:val="00AD2818"/>
    <w:rsid w:val="00AD2EB3"/>
    <w:rsid w:val="00AD31BD"/>
    <w:rsid w:val="00AD32DE"/>
    <w:rsid w:val="00AD39A2"/>
    <w:rsid w:val="00AD3C28"/>
    <w:rsid w:val="00AD4C5C"/>
    <w:rsid w:val="00AD5C61"/>
    <w:rsid w:val="00AD671A"/>
    <w:rsid w:val="00AD6ECA"/>
    <w:rsid w:val="00AE014A"/>
    <w:rsid w:val="00AE0C09"/>
    <w:rsid w:val="00AE244F"/>
    <w:rsid w:val="00AE31A4"/>
    <w:rsid w:val="00AE327E"/>
    <w:rsid w:val="00AE3514"/>
    <w:rsid w:val="00AE379D"/>
    <w:rsid w:val="00AE3ED4"/>
    <w:rsid w:val="00AE4265"/>
    <w:rsid w:val="00AE56AD"/>
    <w:rsid w:val="00AE5D35"/>
    <w:rsid w:val="00AE6904"/>
    <w:rsid w:val="00AE6D28"/>
    <w:rsid w:val="00AE7499"/>
    <w:rsid w:val="00AF04B3"/>
    <w:rsid w:val="00AF080E"/>
    <w:rsid w:val="00AF1015"/>
    <w:rsid w:val="00AF112E"/>
    <w:rsid w:val="00AF1F25"/>
    <w:rsid w:val="00AF1F33"/>
    <w:rsid w:val="00AF23B5"/>
    <w:rsid w:val="00AF2727"/>
    <w:rsid w:val="00AF2B3E"/>
    <w:rsid w:val="00AF30B8"/>
    <w:rsid w:val="00AF33A1"/>
    <w:rsid w:val="00AF34BD"/>
    <w:rsid w:val="00AF4479"/>
    <w:rsid w:val="00AF49C3"/>
    <w:rsid w:val="00AF4C47"/>
    <w:rsid w:val="00AF4E3B"/>
    <w:rsid w:val="00AF4F17"/>
    <w:rsid w:val="00AF5EC3"/>
    <w:rsid w:val="00AF634C"/>
    <w:rsid w:val="00AF664B"/>
    <w:rsid w:val="00AF671E"/>
    <w:rsid w:val="00AF6D61"/>
    <w:rsid w:val="00AF77CE"/>
    <w:rsid w:val="00AF7A19"/>
    <w:rsid w:val="00AF7D99"/>
    <w:rsid w:val="00B00078"/>
    <w:rsid w:val="00B0027A"/>
    <w:rsid w:val="00B01894"/>
    <w:rsid w:val="00B01D1A"/>
    <w:rsid w:val="00B022CA"/>
    <w:rsid w:val="00B02703"/>
    <w:rsid w:val="00B029AC"/>
    <w:rsid w:val="00B02B34"/>
    <w:rsid w:val="00B02B5D"/>
    <w:rsid w:val="00B02E7C"/>
    <w:rsid w:val="00B031F3"/>
    <w:rsid w:val="00B0323E"/>
    <w:rsid w:val="00B032D1"/>
    <w:rsid w:val="00B03776"/>
    <w:rsid w:val="00B0448D"/>
    <w:rsid w:val="00B0472E"/>
    <w:rsid w:val="00B048C4"/>
    <w:rsid w:val="00B04938"/>
    <w:rsid w:val="00B04A71"/>
    <w:rsid w:val="00B04C4D"/>
    <w:rsid w:val="00B0502D"/>
    <w:rsid w:val="00B059DF"/>
    <w:rsid w:val="00B05A17"/>
    <w:rsid w:val="00B061A4"/>
    <w:rsid w:val="00B06943"/>
    <w:rsid w:val="00B0723D"/>
    <w:rsid w:val="00B0798B"/>
    <w:rsid w:val="00B104CB"/>
    <w:rsid w:val="00B11495"/>
    <w:rsid w:val="00B11861"/>
    <w:rsid w:val="00B11CF6"/>
    <w:rsid w:val="00B1216F"/>
    <w:rsid w:val="00B128FD"/>
    <w:rsid w:val="00B13AE5"/>
    <w:rsid w:val="00B13C6C"/>
    <w:rsid w:val="00B13CF1"/>
    <w:rsid w:val="00B146E0"/>
    <w:rsid w:val="00B1561B"/>
    <w:rsid w:val="00B157B1"/>
    <w:rsid w:val="00B15ACB"/>
    <w:rsid w:val="00B15C83"/>
    <w:rsid w:val="00B15DC1"/>
    <w:rsid w:val="00B15FD7"/>
    <w:rsid w:val="00B1617E"/>
    <w:rsid w:val="00B16B8E"/>
    <w:rsid w:val="00B17394"/>
    <w:rsid w:val="00B17874"/>
    <w:rsid w:val="00B17A05"/>
    <w:rsid w:val="00B21378"/>
    <w:rsid w:val="00B219FB"/>
    <w:rsid w:val="00B21F4D"/>
    <w:rsid w:val="00B2240D"/>
    <w:rsid w:val="00B2285F"/>
    <w:rsid w:val="00B23131"/>
    <w:rsid w:val="00B235EB"/>
    <w:rsid w:val="00B23800"/>
    <w:rsid w:val="00B249C4"/>
    <w:rsid w:val="00B24C5C"/>
    <w:rsid w:val="00B24EDB"/>
    <w:rsid w:val="00B24F8D"/>
    <w:rsid w:val="00B2510E"/>
    <w:rsid w:val="00B25924"/>
    <w:rsid w:val="00B25C32"/>
    <w:rsid w:val="00B26B49"/>
    <w:rsid w:val="00B2768E"/>
    <w:rsid w:val="00B305F3"/>
    <w:rsid w:val="00B30CB1"/>
    <w:rsid w:val="00B31052"/>
    <w:rsid w:val="00B313D3"/>
    <w:rsid w:val="00B31413"/>
    <w:rsid w:val="00B318D5"/>
    <w:rsid w:val="00B31916"/>
    <w:rsid w:val="00B32EC8"/>
    <w:rsid w:val="00B334B1"/>
    <w:rsid w:val="00B34368"/>
    <w:rsid w:val="00B34647"/>
    <w:rsid w:val="00B34712"/>
    <w:rsid w:val="00B349A5"/>
    <w:rsid w:val="00B35387"/>
    <w:rsid w:val="00B356AA"/>
    <w:rsid w:val="00B35C0F"/>
    <w:rsid w:val="00B35C52"/>
    <w:rsid w:val="00B35EBF"/>
    <w:rsid w:val="00B35F4F"/>
    <w:rsid w:val="00B361C7"/>
    <w:rsid w:val="00B36678"/>
    <w:rsid w:val="00B36818"/>
    <w:rsid w:val="00B3692D"/>
    <w:rsid w:val="00B40528"/>
    <w:rsid w:val="00B40993"/>
    <w:rsid w:val="00B4107A"/>
    <w:rsid w:val="00B41288"/>
    <w:rsid w:val="00B41C43"/>
    <w:rsid w:val="00B423E6"/>
    <w:rsid w:val="00B42768"/>
    <w:rsid w:val="00B43C82"/>
    <w:rsid w:val="00B442ED"/>
    <w:rsid w:val="00B44563"/>
    <w:rsid w:val="00B44F0F"/>
    <w:rsid w:val="00B455F9"/>
    <w:rsid w:val="00B457B0"/>
    <w:rsid w:val="00B45951"/>
    <w:rsid w:val="00B460A1"/>
    <w:rsid w:val="00B4649A"/>
    <w:rsid w:val="00B4704A"/>
    <w:rsid w:val="00B47072"/>
    <w:rsid w:val="00B477F9"/>
    <w:rsid w:val="00B47ED2"/>
    <w:rsid w:val="00B502A2"/>
    <w:rsid w:val="00B50819"/>
    <w:rsid w:val="00B512D2"/>
    <w:rsid w:val="00B517B0"/>
    <w:rsid w:val="00B51ECD"/>
    <w:rsid w:val="00B5290F"/>
    <w:rsid w:val="00B539DA"/>
    <w:rsid w:val="00B53AC1"/>
    <w:rsid w:val="00B53F9D"/>
    <w:rsid w:val="00B54120"/>
    <w:rsid w:val="00B54192"/>
    <w:rsid w:val="00B545BA"/>
    <w:rsid w:val="00B54881"/>
    <w:rsid w:val="00B54D46"/>
    <w:rsid w:val="00B54E8F"/>
    <w:rsid w:val="00B54FBD"/>
    <w:rsid w:val="00B552E5"/>
    <w:rsid w:val="00B554D2"/>
    <w:rsid w:val="00B55517"/>
    <w:rsid w:val="00B564D7"/>
    <w:rsid w:val="00B568A0"/>
    <w:rsid w:val="00B56975"/>
    <w:rsid w:val="00B56A3D"/>
    <w:rsid w:val="00B5702D"/>
    <w:rsid w:val="00B600BB"/>
    <w:rsid w:val="00B602C4"/>
    <w:rsid w:val="00B60460"/>
    <w:rsid w:val="00B609D1"/>
    <w:rsid w:val="00B60F94"/>
    <w:rsid w:val="00B612DA"/>
    <w:rsid w:val="00B61BF9"/>
    <w:rsid w:val="00B61E7B"/>
    <w:rsid w:val="00B61E9C"/>
    <w:rsid w:val="00B62AEB"/>
    <w:rsid w:val="00B62FE1"/>
    <w:rsid w:val="00B63FFC"/>
    <w:rsid w:val="00B64309"/>
    <w:rsid w:val="00B644B8"/>
    <w:rsid w:val="00B645F9"/>
    <w:rsid w:val="00B6471F"/>
    <w:rsid w:val="00B652AA"/>
    <w:rsid w:val="00B65DEB"/>
    <w:rsid w:val="00B6610A"/>
    <w:rsid w:val="00B668E4"/>
    <w:rsid w:val="00B66E12"/>
    <w:rsid w:val="00B67FD0"/>
    <w:rsid w:val="00B7057F"/>
    <w:rsid w:val="00B708F6"/>
    <w:rsid w:val="00B70CD0"/>
    <w:rsid w:val="00B70CE8"/>
    <w:rsid w:val="00B71335"/>
    <w:rsid w:val="00B713D9"/>
    <w:rsid w:val="00B71418"/>
    <w:rsid w:val="00B7159D"/>
    <w:rsid w:val="00B7197B"/>
    <w:rsid w:val="00B72340"/>
    <w:rsid w:val="00B73E1E"/>
    <w:rsid w:val="00B745E9"/>
    <w:rsid w:val="00B74872"/>
    <w:rsid w:val="00B74B9C"/>
    <w:rsid w:val="00B75BD6"/>
    <w:rsid w:val="00B75DEF"/>
    <w:rsid w:val="00B75EE8"/>
    <w:rsid w:val="00B7624F"/>
    <w:rsid w:val="00B7648C"/>
    <w:rsid w:val="00B76AC4"/>
    <w:rsid w:val="00B76D3B"/>
    <w:rsid w:val="00B77100"/>
    <w:rsid w:val="00B771E2"/>
    <w:rsid w:val="00B7744B"/>
    <w:rsid w:val="00B809CD"/>
    <w:rsid w:val="00B81617"/>
    <w:rsid w:val="00B81FFC"/>
    <w:rsid w:val="00B8236C"/>
    <w:rsid w:val="00B82C7B"/>
    <w:rsid w:val="00B8352E"/>
    <w:rsid w:val="00B83C1C"/>
    <w:rsid w:val="00B84584"/>
    <w:rsid w:val="00B85219"/>
    <w:rsid w:val="00B853A0"/>
    <w:rsid w:val="00B858C3"/>
    <w:rsid w:val="00B8601E"/>
    <w:rsid w:val="00B86219"/>
    <w:rsid w:val="00B867C1"/>
    <w:rsid w:val="00B86A6C"/>
    <w:rsid w:val="00B86BDF"/>
    <w:rsid w:val="00B90105"/>
    <w:rsid w:val="00B90492"/>
    <w:rsid w:val="00B905C1"/>
    <w:rsid w:val="00B907F1"/>
    <w:rsid w:val="00B90B16"/>
    <w:rsid w:val="00B90BF5"/>
    <w:rsid w:val="00B911D6"/>
    <w:rsid w:val="00B914A1"/>
    <w:rsid w:val="00B91738"/>
    <w:rsid w:val="00B91856"/>
    <w:rsid w:val="00B919BC"/>
    <w:rsid w:val="00B92225"/>
    <w:rsid w:val="00B92A52"/>
    <w:rsid w:val="00B93B7A"/>
    <w:rsid w:val="00B93D90"/>
    <w:rsid w:val="00B94158"/>
    <w:rsid w:val="00B94442"/>
    <w:rsid w:val="00B94EF2"/>
    <w:rsid w:val="00B94F4E"/>
    <w:rsid w:val="00B951FD"/>
    <w:rsid w:val="00B9550B"/>
    <w:rsid w:val="00B9578E"/>
    <w:rsid w:val="00B95F57"/>
    <w:rsid w:val="00B95FDF"/>
    <w:rsid w:val="00B967FD"/>
    <w:rsid w:val="00B96918"/>
    <w:rsid w:val="00B96966"/>
    <w:rsid w:val="00B96D33"/>
    <w:rsid w:val="00B97073"/>
    <w:rsid w:val="00B97B89"/>
    <w:rsid w:val="00BA0449"/>
    <w:rsid w:val="00BA281D"/>
    <w:rsid w:val="00BA2B62"/>
    <w:rsid w:val="00BA2E2F"/>
    <w:rsid w:val="00BA30BC"/>
    <w:rsid w:val="00BA31DA"/>
    <w:rsid w:val="00BA3BB9"/>
    <w:rsid w:val="00BA3C04"/>
    <w:rsid w:val="00BA40FE"/>
    <w:rsid w:val="00BA4BCD"/>
    <w:rsid w:val="00BA4F78"/>
    <w:rsid w:val="00BA5002"/>
    <w:rsid w:val="00BA56DB"/>
    <w:rsid w:val="00BA57F1"/>
    <w:rsid w:val="00BA5F35"/>
    <w:rsid w:val="00BA7104"/>
    <w:rsid w:val="00BA7584"/>
    <w:rsid w:val="00BA7C23"/>
    <w:rsid w:val="00BA7D8B"/>
    <w:rsid w:val="00BB0125"/>
    <w:rsid w:val="00BB0C59"/>
    <w:rsid w:val="00BB17AB"/>
    <w:rsid w:val="00BB28E5"/>
    <w:rsid w:val="00BB2A11"/>
    <w:rsid w:val="00BB3271"/>
    <w:rsid w:val="00BB3C45"/>
    <w:rsid w:val="00BB4427"/>
    <w:rsid w:val="00BB4D25"/>
    <w:rsid w:val="00BB4ED0"/>
    <w:rsid w:val="00BB5521"/>
    <w:rsid w:val="00BB57EB"/>
    <w:rsid w:val="00BB5E8F"/>
    <w:rsid w:val="00BB5F17"/>
    <w:rsid w:val="00BB6143"/>
    <w:rsid w:val="00BB668C"/>
    <w:rsid w:val="00BB69A0"/>
    <w:rsid w:val="00BB69A4"/>
    <w:rsid w:val="00BB6BE6"/>
    <w:rsid w:val="00BB7113"/>
    <w:rsid w:val="00BB726E"/>
    <w:rsid w:val="00BB74FA"/>
    <w:rsid w:val="00BB77F5"/>
    <w:rsid w:val="00BC03F0"/>
    <w:rsid w:val="00BC0641"/>
    <w:rsid w:val="00BC0799"/>
    <w:rsid w:val="00BC0C00"/>
    <w:rsid w:val="00BC1147"/>
    <w:rsid w:val="00BC12B4"/>
    <w:rsid w:val="00BC17EB"/>
    <w:rsid w:val="00BC18C5"/>
    <w:rsid w:val="00BC19FA"/>
    <w:rsid w:val="00BC2E1E"/>
    <w:rsid w:val="00BC3839"/>
    <w:rsid w:val="00BC3DA5"/>
    <w:rsid w:val="00BC551A"/>
    <w:rsid w:val="00BC6592"/>
    <w:rsid w:val="00BC65DF"/>
    <w:rsid w:val="00BC6789"/>
    <w:rsid w:val="00BC68C4"/>
    <w:rsid w:val="00BC6DAD"/>
    <w:rsid w:val="00BC6FF4"/>
    <w:rsid w:val="00BC7195"/>
    <w:rsid w:val="00BC748E"/>
    <w:rsid w:val="00BC79FF"/>
    <w:rsid w:val="00BD00FC"/>
    <w:rsid w:val="00BD0995"/>
    <w:rsid w:val="00BD0C5C"/>
    <w:rsid w:val="00BD10C0"/>
    <w:rsid w:val="00BD11A8"/>
    <w:rsid w:val="00BD321D"/>
    <w:rsid w:val="00BD3761"/>
    <w:rsid w:val="00BD39E1"/>
    <w:rsid w:val="00BD458B"/>
    <w:rsid w:val="00BD4762"/>
    <w:rsid w:val="00BD4A38"/>
    <w:rsid w:val="00BD4EB5"/>
    <w:rsid w:val="00BD4F1D"/>
    <w:rsid w:val="00BD4F64"/>
    <w:rsid w:val="00BD5B3C"/>
    <w:rsid w:val="00BD5DEF"/>
    <w:rsid w:val="00BD619D"/>
    <w:rsid w:val="00BD6328"/>
    <w:rsid w:val="00BD78CF"/>
    <w:rsid w:val="00BE0001"/>
    <w:rsid w:val="00BE0CF1"/>
    <w:rsid w:val="00BE11D0"/>
    <w:rsid w:val="00BE13C2"/>
    <w:rsid w:val="00BE17A3"/>
    <w:rsid w:val="00BE1882"/>
    <w:rsid w:val="00BE1BC9"/>
    <w:rsid w:val="00BE1E35"/>
    <w:rsid w:val="00BE1F4C"/>
    <w:rsid w:val="00BE1F78"/>
    <w:rsid w:val="00BE3571"/>
    <w:rsid w:val="00BE3AC0"/>
    <w:rsid w:val="00BE41E4"/>
    <w:rsid w:val="00BE46AB"/>
    <w:rsid w:val="00BE4B11"/>
    <w:rsid w:val="00BE4F5A"/>
    <w:rsid w:val="00BE568F"/>
    <w:rsid w:val="00BE5BF2"/>
    <w:rsid w:val="00BE5EC7"/>
    <w:rsid w:val="00BE5F7B"/>
    <w:rsid w:val="00BE6198"/>
    <w:rsid w:val="00BE7651"/>
    <w:rsid w:val="00BE78E9"/>
    <w:rsid w:val="00BF0658"/>
    <w:rsid w:val="00BF1AF7"/>
    <w:rsid w:val="00BF1CD4"/>
    <w:rsid w:val="00BF2827"/>
    <w:rsid w:val="00BF29FE"/>
    <w:rsid w:val="00BF2D8C"/>
    <w:rsid w:val="00BF3807"/>
    <w:rsid w:val="00BF3AD1"/>
    <w:rsid w:val="00BF3AE3"/>
    <w:rsid w:val="00BF4207"/>
    <w:rsid w:val="00BF4308"/>
    <w:rsid w:val="00BF4312"/>
    <w:rsid w:val="00BF479E"/>
    <w:rsid w:val="00BF49D9"/>
    <w:rsid w:val="00BF4EB5"/>
    <w:rsid w:val="00BF546B"/>
    <w:rsid w:val="00BF5B88"/>
    <w:rsid w:val="00BF5D31"/>
    <w:rsid w:val="00BF70AC"/>
    <w:rsid w:val="00BF72F6"/>
    <w:rsid w:val="00BF7674"/>
    <w:rsid w:val="00BF7A2D"/>
    <w:rsid w:val="00C00388"/>
    <w:rsid w:val="00C00E07"/>
    <w:rsid w:val="00C0229E"/>
    <w:rsid w:val="00C032B2"/>
    <w:rsid w:val="00C0331D"/>
    <w:rsid w:val="00C03583"/>
    <w:rsid w:val="00C037EE"/>
    <w:rsid w:val="00C04436"/>
    <w:rsid w:val="00C04901"/>
    <w:rsid w:val="00C0490C"/>
    <w:rsid w:val="00C04915"/>
    <w:rsid w:val="00C04A0B"/>
    <w:rsid w:val="00C04B5C"/>
    <w:rsid w:val="00C04E5B"/>
    <w:rsid w:val="00C0564C"/>
    <w:rsid w:val="00C07271"/>
    <w:rsid w:val="00C07ED6"/>
    <w:rsid w:val="00C101A4"/>
    <w:rsid w:val="00C104C3"/>
    <w:rsid w:val="00C10BA0"/>
    <w:rsid w:val="00C10CFA"/>
    <w:rsid w:val="00C10F69"/>
    <w:rsid w:val="00C114E1"/>
    <w:rsid w:val="00C11900"/>
    <w:rsid w:val="00C12706"/>
    <w:rsid w:val="00C12EC9"/>
    <w:rsid w:val="00C1379B"/>
    <w:rsid w:val="00C13934"/>
    <w:rsid w:val="00C13E06"/>
    <w:rsid w:val="00C144C4"/>
    <w:rsid w:val="00C146E4"/>
    <w:rsid w:val="00C1479E"/>
    <w:rsid w:val="00C14854"/>
    <w:rsid w:val="00C14A19"/>
    <w:rsid w:val="00C15300"/>
    <w:rsid w:val="00C15C83"/>
    <w:rsid w:val="00C15E57"/>
    <w:rsid w:val="00C1698D"/>
    <w:rsid w:val="00C16E65"/>
    <w:rsid w:val="00C20919"/>
    <w:rsid w:val="00C20C57"/>
    <w:rsid w:val="00C20D55"/>
    <w:rsid w:val="00C20FF8"/>
    <w:rsid w:val="00C21745"/>
    <w:rsid w:val="00C2280C"/>
    <w:rsid w:val="00C2316E"/>
    <w:rsid w:val="00C231C1"/>
    <w:rsid w:val="00C231C2"/>
    <w:rsid w:val="00C23BB8"/>
    <w:rsid w:val="00C24F55"/>
    <w:rsid w:val="00C25213"/>
    <w:rsid w:val="00C254A8"/>
    <w:rsid w:val="00C25516"/>
    <w:rsid w:val="00C25BAB"/>
    <w:rsid w:val="00C25E47"/>
    <w:rsid w:val="00C264A0"/>
    <w:rsid w:val="00C2699B"/>
    <w:rsid w:val="00C26C27"/>
    <w:rsid w:val="00C274D1"/>
    <w:rsid w:val="00C2774D"/>
    <w:rsid w:val="00C307B9"/>
    <w:rsid w:val="00C30885"/>
    <w:rsid w:val="00C30892"/>
    <w:rsid w:val="00C31119"/>
    <w:rsid w:val="00C3185A"/>
    <w:rsid w:val="00C31A2D"/>
    <w:rsid w:val="00C32911"/>
    <w:rsid w:val="00C3296F"/>
    <w:rsid w:val="00C33126"/>
    <w:rsid w:val="00C33B7B"/>
    <w:rsid w:val="00C33F33"/>
    <w:rsid w:val="00C34357"/>
    <w:rsid w:val="00C34C66"/>
    <w:rsid w:val="00C34CAA"/>
    <w:rsid w:val="00C34E1A"/>
    <w:rsid w:val="00C35CE5"/>
    <w:rsid w:val="00C36B42"/>
    <w:rsid w:val="00C370EF"/>
    <w:rsid w:val="00C407B5"/>
    <w:rsid w:val="00C40939"/>
    <w:rsid w:val="00C409E3"/>
    <w:rsid w:val="00C40C3D"/>
    <w:rsid w:val="00C419C9"/>
    <w:rsid w:val="00C41E67"/>
    <w:rsid w:val="00C42010"/>
    <w:rsid w:val="00C43B62"/>
    <w:rsid w:val="00C43F55"/>
    <w:rsid w:val="00C44164"/>
    <w:rsid w:val="00C443B0"/>
    <w:rsid w:val="00C44A83"/>
    <w:rsid w:val="00C44CB0"/>
    <w:rsid w:val="00C44D35"/>
    <w:rsid w:val="00C44E78"/>
    <w:rsid w:val="00C45428"/>
    <w:rsid w:val="00C464B3"/>
    <w:rsid w:val="00C467D9"/>
    <w:rsid w:val="00C468A4"/>
    <w:rsid w:val="00C46E7A"/>
    <w:rsid w:val="00C47BEF"/>
    <w:rsid w:val="00C47C07"/>
    <w:rsid w:val="00C510DA"/>
    <w:rsid w:val="00C51528"/>
    <w:rsid w:val="00C51A2C"/>
    <w:rsid w:val="00C52837"/>
    <w:rsid w:val="00C52AD5"/>
    <w:rsid w:val="00C52C41"/>
    <w:rsid w:val="00C52FEB"/>
    <w:rsid w:val="00C53387"/>
    <w:rsid w:val="00C54051"/>
    <w:rsid w:val="00C54303"/>
    <w:rsid w:val="00C54904"/>
    <w:rsid w:val="00C55131"/>
    <w:rsid w:val="00C559BE"/>
    <w:rsid w:val="00C560FC"/>
    <w:rsid w:val="00C5665B"/>
    <w:rsid w:val="00C56B35"/>
    <w:rsid w:val="00C572FD"/>
    <w:rsid w:val="00C574A1"/>
    <w:rsid w:val="00C578B2"/>
    <w:rsid w:val="00C57C5D"/>
    <w:rsid w:val="00C60089"/>
    <w:rsid w:val="00C6051D"/>
    <w:rsid w:val="00C6091E"/>
    <w:rsid w:val="00C60A0D"/>
    <w:rsid w:val="00C60C68"/>
    <w:rsid w:val="00C61349"/>
    <w:rsid w:val="00C62345"/>
    <w:rsid w:val="00C626E4"/>
    <w:rsid w:val="00C628E4"/>
    <w:rsid w:val="00C63084"/>
    <w:rsid w:val="00C6371F"/>
    <w:rsid w:val="00C64641"/>
    <w:rsid w:val="00C65458"/>
    <w:rsid w:val="00C656A1"/>
    <w:rsid w:val="00C65A88"/>
    <w:rsid w:val="00C66AAF"/>
    <w:rsid w:val="00C66ADA"/>
    <w:rsid w:val="00C66D3F"/>
    <w:rsid w:val="00C66F2D"/>
    <w:rsid w:val="00C6704F"/>
    <w:rsid w:val="00C677DF"/>
    <w:rsid w:val="00C70188"/>
    <w:rsid w:val="00C701BB"/>
    <w:rsid w:val="00C718AD"/>
    <w:rsid w:val="00C71F85"/>
    <w:rsid w:val="00C7201F"/>
    <w:rsid w:val="00C72020"/>
    <w:rsid w:val="00C72737"/>
    <w:rsid w:val="00C729D0"/>
    <w:rsid w:val="00C72DB3"/>
    <w:rsid w:val="00C7358C"/>
    <w:rsid w:val="00C73E29"/>
    <w:rsid w:val="00C73F36"/>
    <w:rsid w:val="00C742C3"/>
    <w:rsid w:val="00C7487F"/>
    <w:rsid w:val="00C74A65"/>
    <w:rsid w:val="00C7592B"/>
    <w:rsid w:val="00C75DE0"/>
    <w:rsid w:val="00C76C95"/>
    <w:rsid w:val="00C76FBC"/>
    <w:rsid w:val="00C8012B"/>
    <w:rsid w:val="00C80243"/>
    <w:rsid w:val="00C80576"/>
    <w:rsid w:val="00C80EE5"/>
    <w:rsid w:val="00C814B8"/>
    <w:rsid w:val="00C82011"/>
    <w:rsid w:val="00C82932"/>
    <w:rsid w:val="00C82A04"/>
    <w:rsid w:val="00C8385A"/>
    <w:rsid w:val="00C83AE4"/>
    <w:rsid w:val="00C83AEA"/>
    <w:rsid w:val="00C84203"/>
    <w:rsid w:val="00C844B0"/>
    <w:rsid w:val="00C84D21"/>
    <w:rsid w:val="00C8589B"/>
    <w:rsid w:val="00C86780"/>
    <w:rsid w:val="00C86992"/>
    <w:rsid w:val="00C869D0"/>
    <w:rsid w:val="00C86CF5"/>
    <w:rsid w:val="00C9247A"/>
    <w:rsid w:val="00C93081"/>
    <w:rsid w:val="00C93D75"/>
    <w:rsid w:val="00C93EB5"/>
    <w:rsid w:val="00C94091"/>
    <w:rsid w:val="00C9466B"/>
    <w:rsid w:val="00C9479C"/>
    <w:rsid w:val="00C955C9"/>
    <w:rsid w:val="00C95F89"/>
    <w:rsid w:val="00C9660A"/>
    <w:rsid w:val="00C96974"/>
    <w:rsid w:val="00C97149"/>
    <w:rsid w:val="00C97502"/>
    <w:rsid w:val="00CA0C13"/>
    <w:rsid w:val="00CA0CFF"/>
    <w:rsid w:val="00CA111E"/>
    <w:rsid w:val="00CA149A"/>
    <w:rsid w:val="00CA163F"/>
    <w:rsid w:val="00CA1869"/>
    <w:rsid w:val="00CA1C6E"/>
    <w:rsid w:val="00CA28CB"/>
    <w:rsid w:val="00CA329C"/>
    <w:rsid w:val="00CA3702"/>
    <w:rsid w:val="00CA428B"/>
    <w:rsid w:val="00CA5730"/>
    <w:rsid w:val="00CA5874"/>
    <w:rsid w:val="00CA5A55"/>
    <w:rsid w:val="00CA5D72"/>
    <w:rsid w:val="00CA5F6E"/>
    <w:rsid w:val="00CA667B"/>
    <w:rsid w:val="00CA73C3"/>
    <w:rsid w:val="00CA771C"/>
    <w:rsid w:val="00CB0736"/>
    <w:rsid w:val="00CB0C17"/>
    <w:rsid w:val="00CB104F"/>
    <w:rsid w:val="00CB2473"/>
    <w:rsid w:val="00CB35E2"/>
    <w:rsid w:val="00CB36E2"/>
    <w:rsid w:val="00CB4878"/>
    <w:rsid w:val="00CB4E2C"/>
    <w:rsid w:val="00CB5A0D"/>
    <w:rsid w:val="00CB5B68"/>
    <w:rsid w:val="00CB5D22"/>
    <w:rsid w:val="00CB634B"/>
    <w:rsid w:val="00CB77B4"/>
    <w:rsid w:val="00CB7E7E"/>
    <w:rsid w:val="00CC0029"/>
    <w:rsid w:val="00CC00AA"/>
    <w:rsid w:val="00CC0115"/>
    <w:rsid w:val="00CC028E"/>
    <w:rsid w:val="00CC0304"/>
    <w:rsid w:val="00CC0A83"/>
    <w:rsid w:val="00CC133B"/>
    <w:rsid w:val="00CC1425"/>
    <w:rsid w:val="00CC148D"/>
    <w:rsid w:val="00CC1749"/>
    <w:rsid w:val="00CC1DA5"/>
    <w:rsid w:val="00CC2325"/>
    <w:rsid w:val="00CC2C39"/>
    <w:rsid w:val="00CC2CA2"/>
    <w:rsid w:val="00CC2EC2"/>
    <w:rsid w:val="00CC3C35"/>
    <w:rsid w:val="00CC3CE8"/>
    <w:rsid w:val="00CC4BF8"/>
    <w:rsid w:val="00CC5D88"/>
    <w:rsid w:val="00CC5E37"/>
    <w:rsid w:val="00CC5E9D"/>
    <w:rsid w:val="00CC61B8"/>
    <w:rsid w:val="00CC64DC"/>
    <w:rsid w:val="00CC6843"/>
    <w:rsid w:val="00CC6AD1"/>
    <w:rsid w:val="00CC7396"/>
    <w:rsid w:val="00CD09D2"/>
    <w:rsid w:val="00CD0B52"/>
    <w:rsid w:val="00CD129E"/>
    <w:rsid w:val="00CD1532"/>
    <w:rsid w:val="00CD15C9"/>
    <w:rsid w:val="00CD1BE7"/>
    <w:rsid w:val="00CD2010"/>
    <w:rsid w:val="00CD2382"/>
    <w:rsid w:val="00CD2395"/>
    <w:rsid w:val="00CD2489"/>
    <w:rsid w:val="00CD2745"/>
    <w:rsid w:val="00CD3240"/>
    <w:rsid w:val="00CD37F8"/>
    <w:rsid w:val="00CD38E7"/>
    <w:rsid w:val="00CD3900"/>
    <w:rsid w:val="00CD397E"/>
    <w:rsid w:val="00CD40E7"/>
    <w:rsid w:val="00CD44A2"/>
    <w:rsid w:val="00CD4545"/>
    <w:rsid w:val="00CD474D"/>
    <w:rsid w:val="00CD4F78"/>
    <w:rsid w:val="00CD52E2"/>
    <w:rsid w:val="00CD5332"/>
    <w:rsid w:val="00CD53F6"/>
    <w:rsid w:val="00CD5BEF"/>
    <w:rsid w:val="00CD5D56"/>
    <w:rsid w:val="00CD648C"/>
    <w:rsid w:val="00CD6BA3"/>
    <w:rsid w:val="00CD6F7C"/>
    <w:rsid w:val="00CD70C4"/>
    <w:rsid w:val="00CD7694"/>
    <w:rsid w:val="00CD76E8"/>
    <w:rsid w:val="00CD7AE4"/>
    <w:rsid w:val="00CD7E43"/>
    <w:rsid w:val="00CE05D6"/>
    <w:rsid w:val="00CE0A2C"/>
    <w:rsid w:val="00CE1219"/>
    <w:rsid w:val="00CE1782"/>
    <w:rsid w:val="00CE1880"/>
    <w:rsid w:val="00CE262E"/>
    <w:rsid w:val="00CE2640"/>
    <w:rsid w:val="00CE3462"/>
    <w:rsid w:val="00CE34F5"/>
    <w:rsid w:val="00CE3819"/>
    <w:rsid w:val="00CE3CA2"/>
    <w:rsid w:val="00CE44BF"/>
    <w:rsid w:val="00CE47AC"/>
    <w:rsid w:val="00CE492C"/>
    <w:rsid w:val="00CE492F"/>
    <w:rsid w:val="00CE514B"/>
    <w:rsid w:val="00CE5242"/>
    <w:rsid w:val="00CE53FD"/>
    <w:rsid w:val="00CE55AC"/>
    <w:rsid w:val="00CE57D6"/>
    <w:rsid w:val="00CE5E70"/>
    <w:rsid w:val="00CE6014"/>
    <w:rsid w:val="00CE63D6"/>
    <w:rsid w:val="00CE6D0E"/>
    <w:rsid w:val="00CE6E2E"/>
    <w:rsid w:val="00CE6F07"/>
    <w:rsid w:val="00CE7093"/>
    <w:rsid w:val="00CF0072"/>
    <w:rsid w:val="00CF01E4"/>
    <w:rsid w:val="00CF0E53"/>
    <w:rsid w:val="00CF1184"/>
    <w:rsid w:val="00CF17FD"/>
    <w:rsid w:val="00CF19A6"/>
    <w:rsid w:val="00CF2034"/>
    <w:rsid w:val="00CF232E"/>
    <w:rsid w:val="00CF3090"/>
    <w:rsid w:val="00CF3C81"/>
    <w:rsid w:val="00CF3D3E"/>
    <w:rsid w:val="00CF427B"/>
    <w:rsid w:val="00CF4492"/>
    <w:rsid w:val="00CF47B6"/>
    <w:rsid w:val="00CF47C0"/>
    <w:rsid w:val="00CF50AE"/>
    <w:rsid w:val="00CF5EC3"/>
    <w:rsid w:val="00CF6344"/>
    <w:rsid w:val="00CF65EE"/>
    <w:rsid w:val="00CF69CC"/>
    <w:rsid w:val="00CF6A83"/>
    <w:rsid w:val="00CF7FAD"/>
    <w:rsid w:val="00D004AB"/>
    <w:rsid w:val="00D008FC"/>
    <w:rsid w:val="00D01066"/>
    <w:rsid w:val="00D014E2"/>
    <w:rsid w:val="00D019BB"/>
    <w:rsid w:val="00D01C3F"/>
    <w:rsid w:val="00D01E34"/>
    <w:rsid w:val="00D01EAA"/>
    <w:rsid w:val="00D01ED1"/>
    <w:rsid w:val="00D0287B"/>
    <w:rsid w:val="00D02C93"/>
    <w:rsid w:val="00D02E9F"/>
    <w:rsid w:val="00D03920"/>
    <w:rsid w:val="00D04CFF"/>
    <w:rsid w:val="00D04FC4"/>
    <w:rsid w:val="00D05099"/>
    <w:rsid w:val="00D05A82"/>
    <w:rsid w:val="00D05C0F"/>
    <w:rsid w:val="00D0633D"/>
    <w:rsid w:val="00D06A6A"/>
    <w:rsid w:val="00D06AC5"/>
    <w:rsid w:val="00D06BD9"/>
    <w:rsid w:val="00D06E89"/>
    <w:rsid w:val="00D0752E"/>
    <w:rsid w:val="00D07E87"/>
    <w:rsid w:val="00D10FDA"/>
    <w:rsid w:val="00D11152"/>
    <w:rsid w:val="00D11431"/>
    <w:rsid w:val="00D11ADD"/>
    <w:rsid w:val="00D11F8B"/>
    <w:rsid w:val="00D120A3"/>
    <w:rsid w:val="00D12560"/>
    <w:rsid w:val="00D12F22"/>
    <w:rsid w:val="00D13908"/>
    <w:rsid w:val="00D14DCF"/>
    <w:rsid w:val="00D14EE3"/>
    <w:rsid w:val="00D153CC"/>
    <w:rsid w:val="00D159C4"/>
    <w:rsid w:val="00D15BE4"/>
    <w:rsid w:val="00D15F6B"/>
    <w:rsid w:val="00D15FC7"/>
    <w:rsid w:val="00D16FF7"/>
    <w:rsid w:val="00D173A3"/>
    <w:rsid w:val="00D1758D"/>
    <w:rsid w:val="00D179ED"/>
    <w:rsid w:val="00D17D64"/>
    <w:rsid w:val="00D17E82"/>
    <w:rsid w:val="00D20645"/>
    <w:rsid w:val="00D2075E"/>
    <w:rsid w:val="00D21289"/>
    <w:rsid w:val="00D21608"/>
    <w:rsid w:val="00D21A1E"/>
    <w:rsid w:val="00D22340"/>
    <w:rsid w:val="00D23D1D"/>
    <w:rsid w:val="00D2419D"/>
    <w:rsid w:val="00D247C0"/>
    <w:rsid w:val="00D24970"/>
    <w:rsid w:val="00D24986"/>
    <w:rsid w:val="00D24A20"/>
    <w:rsid w:val="00D24AA6"/>
    <w:rsid w:val="00D25101"/>
    <w:rsid w:val="00D251F7"/>
    <w:rsid w:val="00D26028"/>
    <w:rsid w:val="00D261B8"/>
    <w:rsid w:val="00D26671"/>
    <w:rsid w:val="00D26D92"/>
    <w:rsid w:val="00D2769E"/>
    <w:rsid w:val="00D27796"/>
    <w:rsid w:val="00D279C0"/>
    <w:rsid w:val="00D27C3A"/>
    <w:rsid w:val="00D27C7A"/>
    <w:rsid w:val="00D27CBA"/>
    <w:rsid w:val="00D30DF9"/>
    <w:rsid w:val="00D30EDB"/>
    <w:rsid w:val="00D31106"/>
    <w:rsid w:val="00D3137A"/>
    <w:rsid w:val="00D3195C"/>
    <w:rsid w:val="00D3272E"/>
    <w:rsid w:val="00D328E9"/>
    <w:rsid w:val="00D3304D"/>
    <w:rsid w:val="00D3374F"/>
    <w:rsid w:val="00D34354"/>
    <w:rsid w:val="00D34441"/>
    <w:rsid w:val="00D34DA0"/>
    <w:rsid w:val="00D35203"/>
    <w:rsid w:val="00D352CD"/>
    <w:rsid w:val="00D355B1"/>
    <w:rsid w:val="00D35A79"/>
    <w:rsid w:val="00D35B6A"/>
    <w:rsid w:val="00D35F6A"/>
    <w:rsid w:val="00D368A1"/>
    <w:rsid w:val="00D3719C"/>
    <w:rsid w:val="00D376AD"/>
    <w:rsid w:val="00D37AAA"/>
    <w:rsid w:val="00D37AF8"/>
    <w:rsid w:val="00D37F61"/>
    <w:rsid w:val="00D40305"/>
    <w:rsid w:val="00D40AD1"/>
    <w:rsid w:val="00D40C5B"/>
    <w:rsid w:val="00D410CB"/>
    <w:rsid w:val="00D4122F"/>
    <w:rsid w:val="00D41455"/>
    <w:rsid w:val="00D41CEA"/>
    <w:rsid w:val="00D41F69"/>
    <w:rsid w:val="00D4203D"/>
    <w:rsid w:val="00D42098"/>
    <w:rsid w:val="00D422A8"/>
    <w:rsid w:val="00D42817"/>
    <w:rsid w:val="00D42876"/>
    <w:rsid w:val="00D43095"/>
    <w:rsid w:val="00D43848"/>
    <w:rsid w:val="00D4388B"/>
    <w:rsid w:val="00D445CB"/>
    <w:rsid w:val="00D44893"/>
    <w:rsid w:val="00D4505B"/>
    <w:rsid w:val="00D451B5"/>
    <w:rsid w:val="00D45B35"/>
    <w:rsid w:val="00D46E96"/>
    <w:rsid w:val="00D47763"/>
    <w:rsid w:val="00D479B4"/>
    <w:rsid w:val="00D50FC5"/>
    <w:rsid w:val="00D510F0"/>
    <w:rsid w:val="00D5112F"/>
    <w:rsid w:val="00D51C3A"/>
    <w:rsid w:val="00D52524"/>
    <w:rsid w:val="00D525C9"/>
    <w:rsid w:val="00D52E30"/>
    <w:rsid w:val="00D52F65"/>
    <w:rsid w:val="00D53459"/>
    <w:rsid w:val="00D54075"/>
    <w:rsid w:val="00D5586D"/>
    <w:rsid w:val="00D56118"/>
    <w:rsid w:val="00D565B8"/>
    <w:rsid w:val="00D565F3"/>
    <w:rsid w:val="00D56AD2"/>
    <w:rsid w:val="00D61D2D"/>
    <w:rsid w:val="00D61EAD"/>
    <w:rsid w:val="00D624DD"/>
    <w:rsid w:val="00D62516"/>
    <w:rsid w:val="00D62DD8"/>
    <w:rsid w:val="00D63465"/>
    <w:rsid w:val="00D63609"/>
    <w:rsid w:val="00D638EC"/>
    <w:rsid w:val="00D650DA"/>
    <w:rsid w:val="00D6589A"/>
    <w:rsid w:val="00D65D03"/>
    <w:rsid w:val="00D6705F"/>
    <w:rsid w:val="00D67AFC"/>
    <w:rsid w:val="00D67E5F"/>
    <w:rsid w:val="00D67EF5"/>
    <w:rsid w:val="00D7001E"/>
    <w:rsid w:val="00D70C54"/>
    <w:rsid w:val="00D71044"/>
    <w:rsid w:val="00D713E7"/>
    <w:rsid w:val="00D719E1"/>
    <w:rsid w:val="00D71C7B"/>
    <w:rsid w:val="00D7213E"/>
    <w:rsid w:val="00D72365"/>
    <w:rsid w:val="00D72B17"/>
    <w:rsid w:val="00D72B6E"/>
    <w:rsid w:val="00D731F2"/>
    <w:rsid w:val="00D733CE"/>
    <w:rsid w:val="00D734A8"/>
    <w:rsid w:val="00D73633"/>
    <w:rsid w:val="00D736DC"/>
    <w:rsid w:val="00D73D69"/>
    <w:rsid w:val="00D74112"/>
    <w:rsid w:val="00D741A0"/>
    <w:rsid w:val="00D74531"/>
    <w:rsid w:val="00D75949"/>
    <w:rsid w:val="00D763C3"/>
    <w:rsid w:val="00D76E0E"/>
    <w:rsid w:val="00D7703A"/>
    <w:rsid w:val="00D77C45"/>
    <w:rsid w:val="00D800C3"/>
    <w:rsid w:val="00D8033B"/>
    <w:rsid w:val="00D80E97"/>
    <w:rsid w:val="00D813A6"/>
    <w:rsid w:val="00D81BFD"/>
    <w:rsid w:val="00D81D3C"/>
    <w:rsid w:val="00D81E88"/>
    <w:rsid w:val="00D81EB0"/>
    <w:rsid w:val="00D826F2"/>
    <w:rsid w:val="00D8328D"/>
    <w:rsid w:val="00D835E2"/>
    <w:rsid w:val="00D83CEF"/>
    <w:rsid w:val="00D84002"/>
    <w:rsid w:val="00D84131"/>
    <w:rsid w:val="00D85286"/>
    <w:rsid w:val="00D852F5"/>
    <w:rsid w:val="00D8555D"/>
    <w:rsid w:val="00D856B3"/>
    <w:rsid w:val="00D85B8B"/>
    <w:rsid w:val="00D86455"/>
    <w:rsid w:val="00D867BA"/>
    <w:rsid w:val="00D868FC"/>
    <w:rsid w:val="00D86A1F"/>
    <w:rsid w:val="00D86CD2"/>
    <w:rsid w:val="00D87199"/>
    <w:rsid w:val="00D875D3"/>
    <w:rsid w:val="00D876BA"/>
    <w:rsid w:val="00D87CE4"/>
    <w:rsid w:val="00D87F12"/>
    <w:rsid w:val="00D9064A"/>
    <w:rsid w:val="00D906C9"/>
    <w:rsid w:val="00D9149E"/>
    <w:rsid w:val="00D92054"/>
    <w:rsid w:val="00D9212A"/>
    <w:rsid w:val="00D928E7"/>
    <w:rsid w:val="00D93376"/>
    <w:rsid w:val="00D93C46"/>
    <w:rsid w:val="00D94083"/>
    <w:rsid w:val="00D9440D"/>
    <w:rsid w:val="00D94670"/>
    <w:rsid w:val="00D94BEF"/>
    <w:rsid w:val="00D94C3D"/>
    <w:rsid w:val="00D94EAC"/>
    <w:rsid w:val="00D9529A"/>
    <w:rsid w:val="00D964BF"/>
    <w:rsid w:val="00D96986"/>
    <w:rsid w:val="00D969A6"/>
    <w:rsid w:val="00D969E8"/>
    <w:rsid w:val="00D971E2"/>
    <w:rsid w:val="00D97AD0"/>
    <w:rsid w:val="00DA0C36"/>
    <w:rsid w:val="00DA0F45"/>
    <w:rsid w:val="00DA12C5"/>
    <w:rsid w:val="00DA1330"/>
    <w:rsid w:val="00DA13F1"/>
    <w:rsid w:val="00DA18E5"/>
    <w:rsid w:val="00DA1A48"/>
    <w:rsid w:val="00DA1BBD"/>
    <w:rsid w:val="00DA3558"/>
    <w:rsid w:val="00DA3732"/>
    <w:rsid w:val="00DA382F"/>
    <w:rsid w:val="00DA3872"/>
    <w:rsid w:val="00DA43DC"/>
    <w:rsid w:val="00DA472C"/>
    <w:rsid w:val="00DA47C9"/>
    <w:rsid w:val="00DA5203"/>
    <w:rsid w:val="00DA557B"/>
    <w:rsid w:val="00DA5B68"/>
    <w:rsid w:val="00DA5E3A"/>
    <w:rsid w:val="00DA6597"/>
    <w:rsid w:val="00DA6611"/>
    <w:rsid w:val="00DA6A74"/>
    <w:rsid w:val="00DA6F25"/>
    <w:rsid w:val="00DA704D"/>
    <w:rsid w:val="00DA79F4"/>
    <w:rsid w:val="00DB08C3"/>
    <w:rsid w:val="00DB091E"/>
    <w:rsid w:val="00DB0E38"/>
    <w:rsid w:val="00DB1227"/>
    <w:rsid w:val="00DB1F3A"/>
    <w:rsid w:val="00DB2737"/>
    <w:rsid w:val="00DB2E43"/>
    <w:rsid w:val="00DB3646"/>
    <w:rsid w:val="00DB388D"/>
    <w:rsid w:val="00DB5FCD"/>
    <w:rsid w:val="00DB6031"/>
    <w:rsid w:val="00DB6222"/>
    <w:rsid w:val="00DB66FD"/>
    <w:rsid w:val="00DB6977"/>
    <w:rsid w:val="00DB6C07"/>
    <w:rsid w:val="00DB7698"/>
    <w:rsid w:val="00DB7BDF"/>
    <w:rsid w:val="00DB7D1C"/>
    <w:rsid w:val="00DB7ED0"/>
    <w:rsid w:val="00DC02AA"/>
    <w:rsid w:val="00DC07E3"/>
    <w:rsid w:val="00DC095E"/>
    <w:rsid w:val="00DC0970"/>
    <w:rsid w:val="00DC09A4"/>
    <w:rsid w:val="00DC1200"/>
    <w:rsid w:val="00DC1CC5"/>
    <w:rsid w:val="00DC1F98"/>
    <w:rsid w:val="00DC2436"/>
    <w:rsid w:val="00DC358E"/>
    <w:rsid w:val="00DC4754"/>
    <w:rsid w:val="00DC5251"/>
    <w:rsid w:val="00DC5799"/>
    <w:rsid w:val="00DC5CF5"/>
    <w:rsid w:val="00DC63CB"/>
    <w:rsid w:val="00DC6826"/>
    <w:rsid w:val="00DC6A13"/>
    <w:rsid w:val="00DC7F71"/>
    <w:rsid w:val="00DD05E5"/>
    <w:rsid w:val="00DD06B8"/>
    <w:rsid w:val="00DD1544"/>
    <w:rsid w:val="00DD197F"/>
    <w:rsid w:val="00DD1ECB"/>
    <w:rsid w:val="00DD233B"/>
    <w:rsid w:val="00DD2456"/>
    <w:rsid w:val="00DD26B2"/>
    <w:rsid w:val="00DD2E40"/>
    <w:rsid w:val="00DD2F06"/>
    <w:rsid w:val="00DD3272"/>
    <w:rsid w:val="00DD3955"/>
    <w:rsid w:val="00DD53E5"/>
    <w:rsid w:val="00DD6453"/>
    <w:rsid w:val="00DD6520"/>
    <w:rsid w:val="00DD7006"/>
    <w:rsid w:val="00DD7160"/>
    <w:rsid w:val="00DD7214"/>
    <w:rsid w:val="00DD7476"/>
    <w:rsid w:val="00DD753D"/>
    <w:rsid w:val="00DD76E2"/>
    <w:rsid w:val="00DD7743"/>
    <w:rsid w:val="00DD7F0F"/>
    <w:rsid w:val="00DE0363"/>
    <w:rsid w:val="00DE0DC3"/>
    <w:rsid w:val="00DE1408"/>
    <w:rsid w:val="00DE16BE"/>
    <w:rsid w:val="00DE1A0D"/>
    <w:rsid w:val="00DE2D69"/>
    <w:rsid w:val="00DE2FC8"/>
    <w:rsid w:val="00DE3E7E"/>
    <w:rsid w:val="00DE4544"/>
    <w:rsid w:val="00DE468A"/>
    <w:rsid w:val="00DE4961"/>
    <w:rsid w:val="00DE5ED2"/>
    <w:rsid w:val="00DE62E5"/>
    <w:rsid w:val="00DE65B0"/>
    <w:rsid w:val="00DE6AB5"/>
    <w:rsid w:val="00DE7086"/>
    <w:rsid w:val="00DE73A5"/>
    <w:rsid w:val="00DE7C32"/>
    <w:rsid w:val="00DE7C3C"/>
    <w:rsid w:val="00DF000D"/>
    <w:rsid w:val="00DF08B2"/>
    <w:rsid w:val="00DF0AF2"/>
    <w:rsid w:val="00DF1029"/>
    <w:rsid w:val="00DF15F9"/>
    <w:rsid w:val="00DF1679"/>
    <w:rsid w:val="00DF17AC"/>
    <w:rsid w:val="00DF185E"/>
    <w:rsid w:val="00DF2898"/>
    <w:rsid w:val="00DF313D"/>
    <w:rsid w:val="00DF34C0"/>
    <w:rsid w:val="00DF379D"/>
    <w:rsid w:val="00DF3BB2"/>
    <w:rsid w:val="00DF49CE"/>
    <w:rsid w:val="00DF4A74"/>
    <w:rsid w:val="00DF4B74"/>
    <w:rsid w:val="00DF59C3"/>
    <w:rsid w:val="00DF5D9C"/>
    <w:rsid w:val="00DF64CA"/>
    <w:rsid w:val="00DF67F7"/>
    <w:rsid w:val="00DF730B"/>
    <w:rsid w:val="00DF7874"/>
    <w:rsid w:val="00DF79CD"/>
    <w:rsid w:val="00DF7CE9"/>
    <w:rsid w:val="00DF7E4B"/>
    <w:rsid w:val="00E008F1"/>
    <w:rsid w:val="00E00CDF"/>
    <w:rsid w:val="00E01C97"/>
    <w:rsid w:val="00E01CD1"/>
    <w:rsid w:val="00E01CEF"/>
    <w:rsid w:val="00E02817"/>
    <w:rsid w:val="00E03197"/>
    <w:rsid w:val="00E0343C"/>
    <w:rsid w:val="00E035FE"/>
    <w:rsid w:val="00E03749"/>
    <w:rsid w:val="00E039E6"/>
    <w:rsid w:val="00E043A0"/>
    <w:rsid w:val="00E052E2"/>
    <w:rsid w:val="00E0548F"/>
    <w:rsid w:val="00E05772"/>
    <w:rsid w:val="00E05979"/>
    <w:rsid w:val="00E0622B"/>
    <w:rsid w:val="00E06858"/>
    <w:rsid w:val="00E06A5D"/>
    <w:rsid w:val="00E06AC7"/>
    <w:rsid w:val="00E071B1"/>
    <w:rsid w:val="00E1004C"/>
    <w:rsid w:val="00E113A6"/>
    <w:rsid w:val="00E11432"/>
    <w:rsid w:val="00E12FE7"/>
    <w:rsid w:val="00E13379"/>
    <w:rsid w:val="00E135A6"/>
    <w:rsid w:val="00E13A09"/>
    <w:rsid w:val="00E1421F"/>
    <w:rsid w:val="00E148D7"/>
    <w:rsid w:val="00E15743"/>
    <w:rsid w:val="00E15836"/>
    <w:rsid w:val="00E158D0"/>
    <w:rsid w:val="00E16654"/>
    <w:rsid w:val="00E17835"/>
    <w:rsid w:val="00E17B08"/>
    <w:rsid w:val="00E17E1C"/>
    <w:rsid w:val="00E17F4D"/>
    <w:rsid w:val="00E20635"/>
    <w:rsid w:val="00E20AEA"/>
    <w:rsid w:val="00E20B1F"/>
    <w:rsid w:val="00E20CBB"/>
    <w:rsid w:val="00E215DF"/>
    <w:rsid w:val="00E2179F"/>
    <w:rsid w:val="00E21C61"/>
    <w:rsid w:val="00E21DEF"/>
    <w:rsid w:val="00E223C4"/>
    <w:rsid w:val="00E22618"/>
    <w:rsid w:val="00E22CC6"/>
    <w:rsid w:val="00E23487"/>
    <w:rsid w:val="00E234E3"/>
    <w:rsid w:val="00E23511"/>
    <w:rsid w:val="00E23A8F"/>
    <w:rsid w:val="00E24466"/>
    <w:rsid w:val="00E24CD7"/>
    <w:rsid w:val="00E250D1"/>
    <w:rsid w:val="00E25327"/>
    <w:rsid w:val="00E2570C"/>
    <w:rsid w:val="00E25E30"/>
    <w:rsid w:val="00E261F4"/>
    <w:rsid w:val="00E26282"/>
    <w:rsid w:val="00E26A14"/>
    <w:rsid w:val="00E27195"/>
    <w:rsid w:val="00E27289"/>
    <w:rsid w:val="00E272E5"/>
    <w:rsid w:val="00E27564"/>
    <w:rsid w:val="00E27717"/>
    <w:rsid w:val="00E27DB4"/>
    <w:rsid w:val="00E30368"/>
    <w:rsid w:val="00E31159"/>
    <w:rsid w:val="00E31266"/>
    <w:rsid w:val="00E31413"/>
    <w:rsid w:val="00E31666"/>
    <w:rsid w:val="00E3196B"/>
    <w:rsid w:val="00E31D03"/>
    <w:rsid w:val="00E31D1E"/>
    <w:rsid w:val="00E31E21"/>
    <w:rsid w:val="00E32281"/>
    <w:rsid w:val="00E32476"/>
    <w:rsid w:val="00E32C3A"/>
    <w:rsid w:val="00E32D00"/>
    <w:rsid w:val="00E3304E"/>
    <w:rsid w:val="00E33DD5"/>
    <w:rsid w:val="00E34166"/>
    <w:rsid w:val="00E3433F"/>
    <w:rsid w:val="00E346BD"/>
    <w:rsid w:val="00E354E6"/>
    <w:rsid w:val="00E3579C"/>
    <w:rsid w:val="00E3736C"/>
    <w:rsid w:val="00E373D1"/>
    <w:rsid w:val="00E37A6A"/>
    <w:rsid w:val="00E401D2"/>
    <w:rsid w:val="00E40217"/>
    <w:rsid w:val="00E4119F"/>
    <w:rsid w:val="00E419FA"/>
    <w:rsid w:val="00E41DA4"/>
    <w:rsid w:val="00E427FF"/>
    <w:rsid w:val="00E439B5"/>
    <w:rsid w:val="00E43AA7"/>
    <w:rsid w:val="00E444B9"/>
    <w:rsid w:val="00E44922"/>
    <w:rsid w:val="00E449C2"/>
    <w:rsid w:val="00E449D9"/>
    <w:rsid w:val="00E44A6A"/>
    <w:rsid w:val="00E45245"/>
    <w:rsid w:val="00E4551A"/>
    <w:rsid w:val="00E462E5"/>
    <w:rsid w:val="00E46809"/>
    <w:rsid w:val="00E46A97"/>
    <w:rsid w:val="00E47744"/>
    <w:rsid w:val="00E47E35"/>
    <w:rsid w:val="00E513B1"/>
    <w:rsid w:val="00E513B2"/>
    <w:rsid w:val="00E515FE"/>
    <w:rsid w:val="00E516DF"/>
    <w:rsid w:val="00E53118"/>
    <w:rsid w:val="00E531F2"/>
    <w:rsid w:val="00E534A5"/>
    <w:rsid w:val="00E53A08"/>
    <w:rsid w:val="00E53D3F"/>
    <w:rsid w:val="00E540B0"/>
    <w:rsid w:val="00E5587C"/>
    <w:rsid w:val="00E55962"/>
    <w:rsid w:val="00E559A3"/>
    <w:rsid w:val="00E5613D"/>
    <w:rsid w:val="00E5668A"/>
    <w:rsid w:val="00E56694"/>
    <w:rsid w:val="00E56CA1"/>
    <w:rsid w:val="00E56CEE"/>
    <w:rsid w:val="00E56CF1"/>
    <w:rsid w:val="00E57039"/>
    <w:rsid w:val="00E572B9"/>
    <w:rsid w:val="00E5769A"/>
    <w:rsid w:val="00E579CD"/>
    <w:rsid w:val="00E600B2"/>
    <w:rsid w:val="00E608A2"/>
    <w:rsid w:val="00E619CA"/>
    <w:rsid w:val="00E61EB1"/>
    <w:rsid w:val="00E61FF6"/>
    <w:rsid w:val="00E62420"/>
    <w:rsid w:val="00E62805"/>
    <w:rsid w:val="00E62A7B"/>
    <w:rsid w:val="00E63893"/>
    <w:rsid w:val="00E6392E"/>
    <w:rsid w:val="00E63B31"/>
    <w:rsid w:val="00E63BBE"/>
    <w:rsid w:val="00E64304"/>
    <w:rsid w:val="00E64961"/>
    <w:rsid w:val="00E64C5D"/>
    <w:rsid w:val="00E64E88"/>
    <w:rsid w:val="00E6542B"/>
    <w:rsid w:val="00E657F1"/>
    <w:rsid w:val="00E65A70"/>
    <w:rsid w:val="00E65FB3"/>
    <w:rsid w:val="00E66053"/>
    <w:rsid w:val="00E661FB"/>
    <w:rsid w:val="00E66D7F"/>
    <w:rsid w:val="00E66DFA"/>
    <w:rsid w:val="00E66E33"/>
    <w:rsid w:val="00E66E73"/>
    <w:rsid w:val="00E67037"/>
    <w:rsid w:val="00E672E9"/>
    <w:rsid w:val="00E67385"/>
    <w:rsid w:val="00E675A4"/>
    <w:rsid w:val="00E67AEB"/>
    <w:rsid w:val="00E67E67"/>
    <w:rsid w:val="00E70C8C"/>
    <w:rsid w:val="00E7110C"/>
    <w:rsid w:val="00E71116"/>
    <w:rsid w:val="00E711A5"/>
    <w:rsid w:val="00E716A6"/>
    <w:rsid w:val="00E71A30"/>
    <w:rsid w:val="00E71C8E"/>
    <w:rsid w:val="00E71DE2"/>
    <w:rsid w:val="00E7237E"/>
    <w:rsid w:val="00E724DA"/>
    <w:rsid w:val="00E72AC0"/>
    <w:rsid w:val="00E7308B"/>
    <w:rsid w:val="00E7405A"/>
    <w:rsid w:val="00E74060"/>
    <w:rsid w:val="00E740C8"/>
    <w:rsid w:val="00E741C6"/>
    <w:rsid w:val="00E747D4"/>
    <w:rsid w:val="00E756EF"/>
    <w:rsid w:val="00E758EB"/>
    <w:rsid w:val="00E76792"/>
    <w:rsid w:val="00E76EAF"/>
    <w:rsid w:val="00E773BB"/>
    <w:rsid w:val="00E77AD3"/>
    <w:rsid w:val="00E8009E"/>
    <w:rsid w:val="00E8072B"/>
    <w:rsid w:val="00E8081A"/>
    <w:rsid w:val="00E813AC"/>
    <w:rsid w:val="00E817BE"/>
    <w:rsid w:val="00E822D5"/>
    <w:rsid w:val="00E82834"/>
    <w:rsid w:val="00E82DC3"/>
    <w:rsid w:val="00E839FA"/>
    <w:rsid w:val="00E83ABF"/>
    <w:rsid w:val="00E83E0A"/>
    <w:rsid w:val="00E8401D"/>
    <w:rsid w:val="00E845F6"/>
    <w:rsid w:val="00E84CD6"/>
    <w:rsid w:val="00E84DE8"/>
    <w:rsid w:val="00E85041"/>
    <w:rsid w:val="00E85B56"/>
    <w:rsid w:val="00E85CFC"/>
    <w:rsid w:val="00E86947"/>
    <w:rsid w:val="00E86AD9"/>
    <w:rsid w:val="00E86F51"/>
    <w:rsid w:val="00E86FD6"/>
    <w:rsid w:val="00E87602"/>
    <w:rsid w:val="00E901EE"/>
    <w:rsid w:val="00E90271"/>
    <w:rsid w:val="00E90871"/>
    <w:rsid w:val="00E90C71"/>
    <w:rsid w:val="00E90E7B"/>
    <w:rsid w:val="00E90ED1"/>
    <w:rsid w:val="00E90F18"/>
    <w:rsid w:val="00E9157E"/>
    <w:rsid w:val="00E916CB"/>
    <w:rsid w:val="00E9197C"/>
    <w:rsid w:val="00E91A6E"/>
    <w:rsid w:val="00E91AE3"/>
    <w:rsid w:val="00E91D9A"/>
    <w:rsid w:val="00E921F7"/>
    <w:rsid w:val="00E927A6"/>
    <w:rsid w:val="00E933F0"/>
    <w:rsid w:val="00E9363B"/>
    <w:rsid w:val="00E93AC9"/>
    <w:rsid w:val="00E93ADD"/>
    <w:rsid w:val="00E944F3"/>
    <w:rsid w:val="00E94749"/>
    <w:rsid w:val="00E94E63"/>
    <w:rsid w:val="00E94F49"/>
    <w:rsid w:val="00E94F92"/>
    <w:rsid w:val="00E95449"/>
    <w:rsid w:val="00E9553B"/>
    <w:rsid w:val="00E95C2C"/>
    <w:rsid w:val="00E96BD3"/>
    <w:rsid w:val="00E96F36"/>
    <w:rsid w:val="00E971C9"/>
    <w:rsid w:val="00EA067C"/>
    <w:rsid w:val="00EA08D4"/>
    <w:rsid w:val="00EA091D"/>
    <w:rsid w:val="00EA093A"/>
    <w:rsid w:val="00EA0AAA"/>
    <w:rsid w:val="00EA0D15"/>
    <w:rsid w:val="00EA11AD"/>
    <w:rsid w:val="00EA41B3"/>
    <w:rsid w:val="00EA45E3"/>
    <w:rsid w:val="00EA516B"/>
    <w:rsid w:val="00EA640F"/>
    <w:rsid w:val="00EA6E2C"/>
    <w:rsid w:val="00EA759B"/>
    <w:rsid w:val="00EA787C"/>
    <w:rsid w:val="00EA7C0A"/>
    <w:rsid w:val="00EA7F25"/>
    <w:rsid w:val="00EB0921"/>
    <w:rsid w:val="00EB0AC9"/>
    <w:rsid w:val="00EB1F01"/>
    <w:rsid w:val="00EB265C"/>
    <w:rsid w:val="00EB2D46"/>
    <w:rsid w:val="00EB2EA7"/>
    <w:rsid w:val="00EB35D7"/>
    <w:rsid w:val="00EB40BA"/>
    <w:rsid w:val="00EB4175"/>
    <w:rsid w:val="00EB4B91"/>
    <w:rsid w:val="00EB5935"/>
    <w:rsid w:val="00EB5950"/>
    <w:rsid w:val="00EB63D2"/>
    <w:rsid w:val="00EB64DD"/>
    <w:rsid w:val="00EB666D"/>
    <w:rsid w:val="00EB679B"/>
    <w:rsid w:val="00EB6FDF"/>
    <w:rsid w:val="00EC0499"/>
    <w:rsid w:val="00EC08D0"/>
    <w:rsid w:val="00EC0DC7"/>
    <w:rsid w:val="00EC1130"/>
    <w:rsid w:val="00EC1380"/>
    <w:rsid w:val="00EC165B"/>
    <w:rsid w:val="00EC171D"/>
    <w:rsid w:val="00EC1A39"/>
    <w:rsid w:val="00EC1B5C"/>
    <w:rsid w:val="00EC24BC"/>
    <w:rsid w:val="00EC308F"/>
    <w:rsid w:val="00EC386A"/>
    <w:rsid w:val="00EC3897"/>
    <w:rsid w:val="00EC38DF"/>
    <w:rsid w:val="00EC3974"/>
    <w:rsid w:val="00EC3BCE"/>
    <w:rsid w:val="00EC41F6"/>
    <w:rsid w:val="00EC5BB8"/>
    <w:rsid w:val="00EC5D38"/>
    <w:rsid w:val="00EC6389"/>
    <w:rsid w:val="00EC6811"/>
    <w:rsid w:val="00EC6F32"/>
    <w:rsid w:val="00EC7B95"/>
    <w:rsid w:val="00EC7CF4"/>
    <w:rsid w:val="00EC7DF7"/>
    <w:rsid w:val="00ED04C2"/>
    <w:rsid w:val="00ED059F"/>
    <w:rsid w:val="00ED098B"/>
    <w:rsid w:val="00ED0D53"/>
    <w:rsid w:val="00ED0DA7"/>
    <w:rsid w:val="00ED1A33"/>
    <w:rsid w:val="00ED1ACB"/>
    <w:rsid w:val="00ED21D2"/>
    <w:rsid w:val="00ED269A"/>
    <w:rsid w:val="00ED277E"/>
    <w:rsid w:val="00ED2A48"/>
    <w:rsid w:val="00ED2A8F"/>
    <w:rsid w:val="00ED33C0"/>
    <w:rsid w:val="00ED382D"/>
    <w:rsid w:val="00ED4A8D"/>
    <w:rsid w:val="00ED52E7"/>
    <w:rsid w:val="00ED55B8"/>
    <w:rsid w:val="00ED571C"/>
    <w:rsid w:val="00ED5B5A"/>
    <w:rsid w:val="00ED6B3E"/>
    <w:rsid w:val="00ED6F78"/>
    <w:rsid w:val="00ED730C"/>
    <w:rsid w:val="00ED7A13"/>
    <w:rsid w:val="00ED7CA3"/>
    <w:rsid w:val="00ED7FE4"/>
    <w:rsid w:val="00EE10D5"/>
    <w:rsid w:val="00EE18E2"/>
    <w:rsid w:val="00EE1D8C"/>
    <w:rsid w:val="00EE22C2"/>
    <w:rsid w:val="00EE27C1"/>
    <w:rsid w:val="00EE30B5"/>
    <w:rsid w:val="00EE3217"/>
    <w:rsid w:val="00EE33EC"/>
    <w:rsid w:val="00EE3BAC"/>
    <w:rsid w:val="00EE3EF3"/>
    <w:rsid w:val="00EE413D"/>
    <w:rsid w:val="00EE4675"/>
    <w:rsid w:val="00EE4A90"/>
    <w:rsid w:val="00EE533C"/>
    <w:rsid w:val="00EE5CB1"/>
    <w:rsid w:val="00EE5D4E"/>
    <w:rsid w:val="00EE608B"/>
    <w:rsid w:val="00EE6E43"/>
    <w:rsid w:val="00EE736D"/>
    <w:rsid w:val="00EE7D20"/>
    <w:rsid w:val="00EF00A2"/>
    <w:rsid w:val="00EF0253"/>
    <w:rsid w:val="00EF087B"/>
    <w:rsid w:val="00EF0A42"/>
    <w:rsid w:val="00EF1756"/>
    <w:rsid w:val="00EF17D3"/>
    <w:rsid w:val="00EF1E33"/>
    <w:rsid w:val="00EF2282"/>
    <w:rsid w:val="00EF344E"/>
    <w:rsid w:val="00EF367B"/>
    <w:rsid w:val="00EF3B13"/>
    <w:rsid w:val="00EF4981"/>
    <w:rsid w:val="00EF54D6"/>
    <w:rsid w:val="00EF5B5F"/>
    <w:rsid w:val="00EF5E48"/>
    <w:rsid w:val="00EF64C0"/>
    <w:rsid w:val="00EF6A16"/>
    <w:rsid w:val="00EF6B67"/>
    <w:rsid w:val="00EF6C1E"/>
    <w:rsid w:val="00EF778A"/>
    <w:rsid w:val="00EF77CF"/>
    <w:rsid w:val="00F005A7"/>
    <w:rsid w:val="00F005F6"/>
    <w:rsid w:val="00F008BE"/>
    <w:rsid w:val="00F00CDC"/>
    <w:rsid w:val="00F01273"/>
    <w:rsid w:val="00F01478"/>
    <w:rsid w:val="00F018CE"/>
    <w:rsid w:val="00F021F2"/>
    <w:rsid w:val="00F02722"/>
    <w:rsid w:val="00F0282D"/>
    <w:rsid w:val="00F028D7"/>
    <w:rsid w:val="00F030A8"/>
    <w:rsid w:val="00F036EE"/>
    <w:rsid w:val="00F03776"/>
    <w:rsid w:val="00F04BB9"/>
    <w:rsid w:val="00F052D2"/>
    <w:rsid w:val="00F059EA"/>
    <w:rsid w:val="00F0637A"/>
    <w:rsid w:val="00F06E70"/>
    <w:rsid w:val="00F06FA0"/>
    <w:rsid w:val="00F07432"/>
    <w:rsid w:val="00F07666"/>
    <w:rsid w:val="00F077A7"/>
    <w:rsid w:val="00F07DA0"/>
    <w:rsid w:val="00F10245"/>
    <w:rsid w:val="00F1045C"/>
    <w:rsid w:val="00F1085A"/>
    <w:rsid w:val="00F111B9"/>
    <w:rsid w:val="00F119CB"/>
    <w:rsid w:val="00F12152"/>
    <w:rsid w:val="00F124DA"/>
    <w:rsid w:val="00F1288C"/>
    <w:rsid w:val="00F12B37"/>
    <w:rsid w:val="00F133B6"/>
    <w:rsid w:val="00F136C3"/>
    <w:rsid w:val="00F1384F"/>
    <w:rsid w:val="00F13DC2"/>
    <w:rsid w:val="00F147C6"/>
    <w:rsid w:val="00F15900"/>
    <w:rsid w:val="00F15969"/>
    <w:rsid w:val="00F15C81"/>
    <w:rsid w:val="00F16069"/>
    <w:rsid w:val="00F1616A"/>
    <w:rsid w:val="00F163CB"/>
    <w:rsid w:val="00F16506"/>
    <w:rsid w:val="00F1741D"/>
    <w:rsid w:val="00F179E1"/>
    <w:rsid w:val="00F17A41"/>
    <w:rsid w:val="00F17A5A"/>
    <w:rsid w:val="00F206D7"/>
    <w:rsid w:val="00F20B26"/>
    <w:rsid w:val="00F211D2"/>
    <w:rsid w:val="00F21798"/>
    <w:rsid w:val="00F21B42"/>
    <w:rsid w:val="00F225E2"/>
    <w:rsid w:val="00F22615"/>
    <w:rsid w:val="00F22997"/>
    <w:rsid w:val="00F23AFB"/>
    <w:rsid w:val="00F23B13"/>
    <w:rsid w:val="00F23E67"/>
    <w:rsid w:val="00F2415B"/>
    <w:rsid w:val="00F24182"/>
    <w:rsid w:val="00F24EF0"/>
    <w:rsid w:val="00F25BF1"/>
    <w:rsid w:val="00F25D5F"/>
    <w:rsid w:val="00F260A1"/>
    <w:rsid w:val="00F26475"/>
    <w:rsid w:val="00F268EB"/>
    <w:rsid w:val="00F26CD6"/>
    <w:rsid w:val="00F26ED7"/>
    <w:rsid w:val="00F27501"/>
    <w:rsid w:val="00F27710"/>
    <w:rsid w:val="00F27782"/>
    <w:rsid w:val="00F27DE5"/>
    <w:rsid w:val="00F313A6"/>
    <w:rsid w:val="00F313A7"/>
    <w:rsid w:val="00F32972"/>
    <w:rsid w:val="00F32979"/>
    <w:rsid w:val="00F32D2B"/>
    <w:rsid w:val="00F32DA7"/>
    <w:rsid w:val="00F3321E"/>
    <w:rsid w:val="00F33D15"/>
    <w:rsid w:val="00F33DD4"/>
    <w:rsid w:val="00F33FBF"/>
    <w:rsid w:val="00F3459F"/>
    <w:rsid w:val="00F34747"/>
    <w:rsid w:val="00F34A8C"/>
    <w:rsid w:val="00F35971"/>
    <w:rsid w:val="00F35A6A"/>
    <w:rsid w:val="00F35B56"/>
    <w:rsid w:val="00F36234"/>
    <w:rsid w:val="00F3643D"/>
    <w:rsid w:val="00F36A81"/>
    <w:rsid w:val="00F36FD7"/>
    <w:rsid w:val="00F374AC"/>
    <w:rsid w:val="00F37CB0"/>
    <w:rsid w:val="00F37E28"/>
    <w:rsid w:val="00F40061"/>
    <w:rsid w:val="00F405E2"/>
    <w:rsid w:val="00F4063B"/>
    <w:rsid w:val="00F40877"/>
    <w:rsid w:val="00F409EA"/>
    <w:rsid w:val="00F40C08"/>
    <w:rsid w:val="00F40DE9"/>
    <w:rsid w:val="00F410BC"/>
    <w:rsid w:val="00F413E1"/>
    <w:rsid w:val="00F41563"/>
    <w:rsid w:val="00F4198F"/>
    <w:rsid w:val="00F41D48"/>
    <w:rsid w:val="00F41F4C"/>
    <w:rsid w:val="00F422C6"/>
    <w:rsid w:val="00F4230E"/>
    <w:rsid w:val="00F42E98"/>
    <w:rsid w:val="00F4343C"/>
    <w:rsid w:val="00F43473"/>
    <w:rsid w:val="00F43542"/>
    <w:rsid w:val="00F43667"/>
    <w:rsid w:val="00F44E41"/>
    <w:rsid w:val="00F44E8C"/>
    <w:rsid w:val="00F45162"/>
    <w:rsid w:val="00F453C0"/>
    <w:rsid w:val="00F455B5"/>
    <w:rsid w:val="00F4590E"/>
    <w:rsid w:val="00F4594A"/>
    <w:rsid w:val="00F461A7"/>
    <w:rsid w:val="00F46CCC"/>
    <w:rsid w:val="00F46E00"/>
    <w:rsid w:val="00F477CC"/>
    <w:rsid w:val="00F47E5A"/>
    <w:rsid w:val="00F505BF"/>
    <w:rsid w:val="00F50754"/>
    <w:rsid w:val="00F507B0"/>
    <w:rsid w:val="00F50D0D"/>
    <w:rsid w:val="00F511EE"/>
    <w:rsid w:val="00F5125A"/>
    <w:rsid w:val="00F51B1F"/>
    <w:rsid w:val="00F5213F"/>
    <w:rsid w:val="00F529ED"/>
    <w:rsid w:val="00F53176"/>
    <w:rsid w:val="00F534A4"/>
    <w:rsid w:val="00F5365E"/>
    <w:rsid w:val="00F537A2"/>
    <w:rsid w:val="00F53B28"/>
    <w:rsid w:val="00F54C03"/>
    <w:rsid w:val="00F55432"/>
    <w:rsid w:val="00F55E35"/>
    <w:rsid w:val="00F56BED"/>
    <w:rsid w:val="00F56D32"/>
    <w:rsid w:val="00F5753D"/>
    <w:rsid w:val="00F577BA"/>
    <w:rsid w:val="00F57D85"/>
    <w:rsid w:val="00F57E0C"/>
    <w:rsid w:val="00F612CA"/>
    <w:rsid w:val="00F61B5C"/>
    <w:rsid w:val="00F62019"/>
    <w:rsid w:val="00F621E9"/>
    <w:rsid w:val="00F62460"/>
    <w:rsid w:val="00F62BC2"/>
    <w:rsid w:val="00F6331F"/>
    <w:rsid w:val="00F644CF"/>
    <w:rsid w:val="00F645D3"/>
    <w:rsid w:val="00F64DFF"/>
    <w:rsid w:val="00F657F5"/>
    <w:rsid w:val="00F658D5"/>
    <w:rsid w:val="00F65CDA"/>
    <w:rsid w:val="00F65E4D"/>
    <w:rsid w:val="00F66041"/>
    <w:rsid w:val="00F66283"/>
    <w:rsid w:val="00F70271"/>
    <w:rsid w:val="00F70B9D"/>
    <w:rsid w:val="00F710DC"/>
    <w:rsid w:val="00F71BED"/>
    <w:rsid w:val="00F72183"/>
    <w:rsid w:val="00F72B6C"/>
    <w:rsid w:val="00F73076"/>
    <w:rsid w:val="00F7337C"/>
    <w:rsid w:val="00F736A5"/>
    <w:rsid w:val="00F739D8"/>
    <w:rsid w:val="00F75126"/>
    <w:rsid w:val="00F75339"/>
    <w:rsid w:val="00F75B53"/>
    <w:rsid w:val="00F76706"/>
    <w:rsid w:val="00F774E2"/>
    <w:rsid w:val="00F7752B"/>
    <w:rsid w:val="00F77656"/>
    <w:rsid w:val="00F77DA0"/>
    <w:rsid w:val="00F8010F"/>
    <w:rsid w:val="00F807BE"/>
    <w:rsid w:val="00F8088F"/>
    <w:rsid w:val="00F809B5"/>
    <w:rsid w:val="00F80AF8"/>
    <w:rsid w:val="00F8163F"/>
    <w:rsid w:val="00F816C6"/>
    <w:rsid w:val="00F819F7"/>
    <w:rsid w:val="00F823E5"/>
    <w:rsid w:val="00F828A5"/>
    <w:rsid w:val="00F82999"/>
    <w:rsid w:val="00F82CE4"/>
    <w:rsid w:val="00F832B7"/>
    <w:rsid w:val="00F83653"/>
    <w:rsid w:val="00F847F4"/>
    <w:rsid w:val="00F848A9"/>
    <w:rsid w:val="00F84985"/>
    <w:rsid w:val="00F84BD2"/>
    <w:rsid w:val="00F8566E"/>
    <w:rsid w:val="00F85AD4"/>
    <w:rsid w:val="00F8626D"/>
    <w:rsid w:val="00F86391"/>
    <w:rsid w:val="00F8679D"/>
    <w:rsid w:val="00F86EB3"/>
    <w:rsid w:val="00F87276"/>
    <w:rsid w:val="00F9033E"/>
    <w:rsid w:val="00F9084C"/>
    <w:rsid w:val="00F90A96"/>
    <w:rsid w:val="00F90F81"/>
    <w:rsid w:val="00F91A31"/>
    <w:rsid w:val="00F91FF4"/>
    <w:rsid w:val="00F9238E"/>
    <w:rsid w:val="00F926FB"/>
    <w:rsid w:val="00F93614"/>
    <w:rsid w:val="00F962F1"/>
    <w:rsid w:val="00F97D00"/>
    <w:rsid w:val="00FA0695"/>
    <w:rsid w:val="00FA083B"/>
    <w:rsid w:val="00FA0A15"/>
    <w:rsid w:val="00FA0BD5"/>
    <w:rsid w:val="00FA12BE"/>
    <w:rsid w:val="00FA176D"/>
    <w:rsid w:val="00FA1AEE"/>
    <w:rsid w:val="00FA2250"/>
    <w:rsid w:val="00FA2469"/>
    <w:rsid w:val="00FA2915"/>
    <w:rsid w:val="00FA2E54"/>
    <w:rsid w:val="00FA320C"/>
    <w:rsid w:val="00FA334C"/>
    <w:rsid w:val="00FA3894"/>
    <w:rsid w:val="00FA3C86"/>
    <w:rsid w:val="00FA3EF0"/>
    <w:rsid w:val="00FA4A01"/>
    <w:rsid w:val="00FA6BDC"/>
    <w:rsid w:val="00FA6F24"/>
    <w:rsid w:val="00FA78ED"/>
    <w:rsid w:val="00FA7B22"/>
    <w:rsid w:val="00FB02D0"/>
    <w:rsid w:val="00FB0DBE"/>
    <w:rsid w:val="00FB1035"/>
    <w:rsid w:val="00FB1462"/>
    <w:rsid w:val="00FB16BD"/>
    <w:rsid w:val="00FB1942"/>
    <w:rsid w:val="00FB1AFA"/>
    <w:rsid w:val="00FB2B06"/>
    <w:rsid w:val="00FB2E6C"/>
    <w:rsid w:val="00FB3CBF"/>
    <w:rsid w:val="00FB4D64"/>
    <w:rsid w:val="00FB4EFF"/>
    <w:rsid w:val="00FB5935"/>
    <w:rsid w:val="00FB5B8B"/>
    <w:rsid w:val="00FB699A"/>
    <w:rsid w:val="00FB73F1"/>
    <w:rsid w:val="00FB7490"/>
    <w:rsid w:val="00FB77E6"/>
    <w:rsid w:val="00FB7AAC"/>
    <w:rsid w:val="00FB7E0C"/>
    <w:rsid w:val="00FC074A"/>
    <w:rsid w:val="00FC0875"/>
    <w:rsid w:val="00FC12A0"/>
    <w:rsid w:val="00FC14BA"/>
    <w:rsid w:val="00FC2133"/>
    <w:rsid w:val="00FC34ED"/>
    <w:rsid w:val="00FC36DA"/>
    <w:rsid w:val="00FC3FC9"/>
    <w:rsid w:val="00FC4385"/>
    <w:rsid w:val="00FC48EB"/>
    <w:rsid w:val="00FC50E9"/>
    <w:rsid w:val="00FC6380"/>
    <w:rsid w:val="00FC74A1"/>
    <w:rsid w:val="00FC74E8"/>
    <w:rsid w:val="00FC77DF"/>
    <w:rsid w:val="00FC7895"/>
    <w:rsid w:val="00FC7C2F"/>
    <w:rsid w:val="00FD0043"/>
    <w:rsid w:val="00FD0C83"/>
    <w:rsid w:val="00FD1E54"/>
    <w:rsid w:val="00FD218A"/>
    <w:rsid w:val="00FD2FAB"/>
    <w:rsid w:val="00FD370C"/>
    <w:rsid w:val="00FD3A3A"/>
    <w:rsid w:val="00FD3B4C"/>
    <w:rsid w:val="00FD3DE4"/>
    <w:rsid w:val="00FD41DB"/>
    <w:rsid w:val="00FD43E6"/>
    <w:rsid w:val="00FD461D"/>
    <w:rsid w:val="00FD49F3"/>
    <w:rsid w:val="00FD4F0B"/>
    <w:rsid w:val="00FD5478"/>
    <w:rsid w:val="00FD5543"/>
    <w:rsid w:val="00FD5C21"/>
    <w:rsid w:val="00FD69FE"/>
    <w:rsid w:val="00FD7154"/>
    <w:rsid w:val="00FD7284"/>
    <w:rsid w:val="00FD7ADE"/>
    <w:rsid w:val="00FD7C2A"/>
    <w:rsid w:val="00FD7F7A"/>
    <w:rsid w:val="00FE032B"/>
    <w:rsid w:val="00FE0594"/>
    <w:rsid w:val="00FE0A1E"/>
    <w:rsid w:val="00FE1370"/>
    <w:rsid w:val="00FE14E7"/>
    <w:rsid w:val="00FE23C1"/>
    <w:rsid w:val="00FE2DE3"/>
    <w:rsid w:val="00FE35E7"/>
    <w:rsid w:val="00FE3C51"/>
    <w:rsid w:val="00FE3FA3"/>
    <w:rsid w:val="00FE456A"/>
    <w:rsid w:val="00FE457D"/>
    <w:rsid w:val="00FE4AB0"/>
    <w:rsid w:val="00FE5AD5"/>
    <w:rsid w:val="00FE5D4F"/>
    <w:rsid w:val="00FE615F"/>
    <w:rsid w:val="00FE6340"/>
    <w:rsid w:val="00FE6D32"/>
    <w:rsid w:val="00FE7257"/>
    <w:rsid w:val="00FF0095"/>
    <w:rsid w:val="00FF01D3"/>
    <w:rsid w:val="00FF07DB"/>
    <w:rsid w:val="00FF0C02"/>
    <w:rsid w:val="00FF0E1A"/>
    <w:rsid w:val="00FF0F28"/>
    <w:rsid w:val="00FF19E6"/>
    <w:rsid w:val="00FF2322"/>
    <w:rsid w:val="00FF246D"/>
    <w:rsid w:val="00FF2ADC"/>
    <w:rsid w:val="00FF349F"/>
    <w:rsid w:val="00FF3898"/>
    <w:rsid w:val="00FF39FC"/>
    <w:rsid w:val="00FF3A57"/>
    <w:rsid w:val="00FF3A97"/>
    <w:rsid w:val="00FF4B6A"/>
    <w:rsid w:val="00FF4D5B"/>
    <w:rsid w:val="00FF4DC2"/>
    <w:rsid w:val="00FF5084"/>
    <w:rsid w:val="00FF509C"/>
    <w:rsid w:val="00FF528D"/>
    <w:rsid w:val="00FF5AC9"/>
    <w:rsid w:val="00FF5E94"/>
    <w:rsid w:val="00FF6152"/>
    <w:rsid w:val="00FF73A7"/>
    <w:rsid w:val="00FF7598"/>
    <w:rsid w:val="00FF7F87"/>
    <w:rsid w:val="5F3D6197"/>
    <w:rsid w:val="7F5A24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658ED784"/>
  <w15:docId w15:val="{8F1A582D-362E-4499-82D9-EB486D128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C633E"/>
    <w:pPr>
      <w:spacing w:after="0" w:line="240" w:lineRule="auto"/>
    </w:pPr>
    <w:rPr>
      <w:rFonts w:ascii="Times New Roman" w:eastAsia="Times New Roman" w:hAnsi="Times New Roman" w:cs="Times New Roman"/>
      <w:sz w:val="24"/>
      <w:szCs w:val="24"/>
      <w:lang w:eastAsia="zh-CN"/>
    </w:rPr>
  </w:style>
  <w:style w:type="paragraph" w:styleId="Heading1">
    <w:name w:val="heading 1"/>
    <w:basedOn w:val="Normal"/>
    <w:next w:val="Normal"/>
    <w:link w:val="Heading1Char"/>
    <w:uiPriority w:val="9"/>
    <w:qFormat/>
    <w:rsid w:val="00D63609"/>
    <w:pPr>
      <w:keepNext/>
      <w:keepLines/>
      <w:spacing w:before="240" w:line="259" w:lineRule="auto"/>
      <w:outlineLvl w:val="0"/>
    </w:pPr>
    <w:rPr>
      <w:rFonts w:asciiTheme="majorHAnsi" w:eastAsiaTheme="majorEastAsia" w:hAnsiTheme="majorHAnsi" w:cstheme="majorBidi"/>
      <w:color w:val="2E74B5" w:themeColor="accent1" w:themeShade="BF"/>
      <w:sz w:val="32"/>
      <w:szCs w:val="32"/>
      <w:lang w:eastAsia="en-US"/>
    </w:rPr>
  </w:style>
  <w:style w:type="paragraph" w:styleId="Heading2">
    <w:name w:val="heading 2"/>
    <w:basedOn w:val="Normal"/>
    <w:next w:val="Normal"/>
    <w:link w:val="Heading2Char"/>
    <w:uiPriority w:val="9"/>
    <w:unhideWhenUsed/>
    <w:qFormat/>
    <w:rsid w:val="00D63609"/>
    <w:pPr>
      <w:keepNext/>
      <w:keepLines/>
      <w:spacing w:before="40" w:after="12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Heading3">
    <w:name w:val="heading 3"/>
    <w:basedOn w:val="Normal"/>
    <w:next w:val="Normal"/>
    <w:link w:val="Heading3Char"/>
    <w:uiPriority w:val="9"/>
    <w:unhideWhenUsed/>
    <w:qFormat/>
    <w:rsid w:val="008C1012"/>
    <w:pPr>
      <w:keepNext/>
      <w:keepLines/>
      <w:spacing w:before="40" w:line="259" w:lineRule="auto"/>
      <w:outlineLvl w:val="2"/>
    </w:pPr>
    <w:rPr>
      <w:rFonts w:asciiTheme="majorHAnsi" w:eastAsiaTheme="majorEastAsia" w:hAnsiTheme="majorHAnsi" w:cstheme="majorBidi"/>
      <w:color w:val="1F4D78" w:themeColor="accent1" w:themeShade="7F"/>
      <w:lang w:eastAsia="en-US"/>
    </w:rPr>
  </w:style>
  <w:style w:type="paragraph" w:styleId="Heading4">
    <w:name w:val="heading 4"/>
    <w:basedOn w:val="Normal"/>
    <w:next w:val="Normal"/>
    <w:link w:val="Heading4Char"/>
    <w:uiPriority w:val="9"/>
    <w:unhideWhenUsed/>
    <w:qFormat/>
    <w:rsid w:val="00CF3090"/>
    <w:pPr>
      <w:keepNext/>
      <w:keepLines/>
      <w:numPr>
        <w:ilvl w:val="2"/>
        <w:numId w:val="57"/>
      </w:numPr>
      <w:spacing w:before="40" w:line="480" w:lineRule="auto"/>
      <w:outlineLvl w:val="3"/>
    </w:pPr>
    <w:rPr>
      <w:rFonts w:asciiTheme="majorHAnsi" w:eastAsiaTheme="majorEastAsia" w:hAnsiTheme="majorHAnsi" w:cstheme="majorBidi"/>
      <w:i/>
      <w:iCs/>
      <w:color w:val="2E74B5" w:themeColor="accent1" w:themeShade="BF"/>
      <w:sz w:val="22"/>
      <w:szCs w:val="22"/>
      <w:lang w:val="en-GB" w:eastAsia="en-US"/>
    </w:rPr>
  </w:style>
  <w:style w:type="paragraph" w:styleId="Heading5">
    <w:name w:val="heading 5"/>
    <w:basedOn w:val="Normal"/>
    <w:next w:val="Normal"/>
    <w:link w:val="Heading5Char"/>
    <w:uiPriority w:val="9"/>
    <w:unhideWhenUsed/>
    <w:qFormat/>
    <w:rsid w:val="004676C4"/>
    <w:pPr>
      <w:keepNext/>
      <w:keepLines/>
      <w:spacing w:before="40" w:line="259" w:lineRule="auto"/>
      <w:outlineLvl w:val="4"/>
    </w:pPr>
    <w:rPr>
      <w:rFonts w:asciiTheme="majorHAnsi" w:eastAsiaTheme="majorEastAsia" w:hAnsiTheme="majorHAnsi" w:cstheme="majorBidi"/>
      <w:color w:val="2E74B5" w:themeColor="accent1" w:themeShade="BF"/>
      <w:sz w:val="22"/>
      <w:szCs w:val="22"/>
      <w:lang w:eastAsia="en-US"/>
    </w:rPr>
  </w:style>
  <w:style w:type="paragraph" w:styleId="Heading6">
    <w:name w:val="heading 6"/>
    <w:basedOn w:val="Normal"/>
    <w:next w:val="Normal"/>
    <w:link w:val="Heading6Char"/>
    <w:uiPriority w:val="9"/>
    <w:unhideWhenUsed/>
    <w:qFormat/>
    <w:rsid w:val="00E3196B"/>
    <w:pPr>
      <w:keepNext/>
      <w:keepLines/>
      <w:spacing w:before="40" w:line="259" w:lineRule="auto"/>
      <w:outlineLvl w:val="5"/>
    </w:pPr>
    <w:rPr>
      <w:rFonts w:asciiTheme="majorHAnsi" w:eastAsiaTheme="majorEastAsia" w:hAnsiTheme="majorHAnsi" w:cstheme="majorBidi"/>
      <w:color w:val="1F4D78" w:themeColor="accent1" w:themeShade="7F"/>
      <w:sz w:val="22"/>
      <w:szCs w:val="22"/>
      <w:lang w:eastAsia="en-US"/>
    </w:rPr>
  </w:style>
  <w:style w:type="paragraph" w:styleId="Heading7">
    <w:name w:val="heading 7"/>
    <w:basedOn w:val="Normal"/>
    <w:next w:val="Normal"/>
    <w:link w:val="Heading7Char"/>
    <w:uiPriority w:val="9"/>
    <w:unhideWhenUsed/>
    <w:qFormat/>
    <w:rsid w:val="00E3196B"/>
    <w:pPr>
      <w:keepNext/>
      <w:keepLines/>
      <w:spacing w:before="40" w:line="259" w:lineRule="auto"/>
      <w:outlineLvl w:val="6"/>
    </w:pPr>
    <w:rPr>
      <w:rFonts w:asciiTheme="majorHAnsi" w:eastAsiaTheme="majorEastAsia" w:hAnsiTheme="majorHAnsi" w:cstheme="majorBidi"/>
      <w:i/>
      <w:iCs/>
      <w:color w:val="1F4D78" w:themeColor="accent1" w:themeShade="7F"/>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4881"/>
    <w:pPr>
      <w:spacing w:after="160" w:line="259" w:lineRule="auto"/>
      <w:ind w:left="720"/>
      <w:contextualSpacing/>
    </w:pPr>
    <w:rPr>
      <w:rFonts w:asciiTheme="minorHAnsi" w:eastAsiaTheme="minorEastAsia" w:hAnsiTheme="minorHAnsi" w:cstheme="minorBidi"/>
      <w:sz w:val="22"/>
      <w:szCs w:val="22"/>
      <w:lang w:eastAsia="en-US"/>
    </w:rPr>
  </w:style>
  <w:style w:type="paragraph" w:styleId="BalloonText">
    <w:name w:val="Balloon Text"/>
    <w:basedOn w:val="Normal"/>
    <w:link w:val="BalloonTextChar"/>
    <w:uiPriority w:val="99"/>
    <w:semiHidden/>
    <w:unhideWhenUsed/>
    <w:rsid w:val="009E643A"/>
    <w:rPr>
      <w:rFonts w:ascii="Segoe UI" w:eastAsiaTheme="minorEastAsia" w:hAnsi="Segoe UI" w:cs="Segoe UI"/>
      <w:sz w:val="18"/>
      <w:szCs w:val="18"/>
      <w:lang w:eastAsia="en-US"/>
    </w:rPr>
  </w:style>
  <w:style w:type="character" w:customStyle="1" w:styleId="BalloonTextChar">
    <w:name w:val="Balloon Text Char"/>
    <w:basedOn w:val="DefaultParagraphFont"/>
    <w:link w:val="BalloonText"/>
    <w:uiPriority w:val="99"/>
    <w:semiHidden/>
    <w:rsid w:val="009E643A"/>
    <w:rPr>
      <w:rFonts w:ascii="Segoe UI" w:hAnsi="Segoe UI" w:cs="Segoe UI"/>
      <w:sz w:val="18"/>
      <w:szCs w:val="18"/>
    </w:rPr>
  </w:style>
  <w:style w:type="character" w:styleId="CommentReference">
    <w:name w:val="annotation reference"/>
    <w:basedOn w:val="DefaultParagraphFont"/>
    <w:uiPriority w:val="99"/>
    <w:semiHidden/>
    <w:unhideWhenUsed/>
    <w:rsid w:val="0009540C"/>
    <w:rPr>
      <w:sz w:val="18"/>
      <w:szCs w:val="18"/>
    </w:rPr>
  </w:style>
  <w:style w:type="paragraph" w:styleId="CommentText">
    <w:name w:val="annotation text"/>
    <w:basedOn w:val="Normal"/>
    <w:link w:val="CommentTextChar"/>
    <w:uiPriority w:val="99"/>
    <w:unhideWhenUsed/>
    <w:rsid w:val="0009540C"/>
    <w:pPr>
      <w:spacing w:after="160"/>
    </w:pPr>
    <w:rPr>
      <w:rFonts w:asciiTheme="minorHAnsi" w:eastAsiaTheme="minorEastAsia" w:hAnsiTheme="minorHAnsi" w:cstheme="minorBidi"/>
      <w:noProof/>
      <w:lang w:val="en-GB" w:eastAsia="en-US"/>
    </w:rPr>
  </w:style>
  <w:style w:type="character" w:customStyle="1" w:styleId="CommentTextChar">
    <w:name w:val="Comment Text Char"/>
    <w:basedOn w:val="DefaultParagraphFont"/>
    <w:link w:val="CommentText"/>
    <w:uiPriority w:val="99"/>
    <w:rsid w:val="0009540C"/>
    <w:rPr>
      <w:noProof/>
      <w:sz w:val="24"/>
      <w:szCs w:val="24"/>
      <w:lang w:val="en-GB"/>
    </w:rPr>
  </w:style>
  <w:style w:type="character" w:customStyle="1" w:styleId="Heading1Char">
    <w:name w:val="Heading 1 Char"/>
    <w:basedOn w:val="DefaultParagraphFont"/>
    <w:link w:val="Heading1"/>
    <w:uiPriority w:val="9"/>
    <w:rsid w:val="00D6360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D6360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8C1012"/>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CF3090"/>
    <w:rPr>
      <w:rFonts w:asciiTheme="majorHAnsi" w:eastAsiaTheme="majorEastAsia" w:hAnsiTheme="majorHAnsi" w:cstheme="majorBidi"/>
      <w:i/>
      <w:iCs/>
      <w:color w:val="2E74B5" w:themeColor="accent1" w:themeShade="BF"/>
      <w:lang w:val="en-GB"/>
    </w:rPr>
  </w:style>
  <w:style w:type="table" w:styleId="TableGrid">
    <w:name w:val="Table Grid"/>
    <w:basedOn w:val="TableNormal"/>
    <w:uiPriority w:val="39"/>
    <w:rsid w:val="00F511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B94F4E"/>
    <w:rPr>
      <w:b/>
      <w:bCs/>
      <w:noProof w:val="0"/>
      <w:sz w:val="20"/>
      <w:szCs w:val="20"/>
      <w:lang w:val="en-US"/>
    </w:rPr>
  </w:style>
  <w:style w:type="character" w:customStyle="1" w:styleId="CommentSubjectChar">
    <w:name w:val="Comment Subject Char"/>
    <w:basedOn w:val="CommentTextChar"/>
    <w:link w:val="CommentSubject"/>
    <w:uiPriority w:val="99"/>
    <w:semiHidden/>
    <w:rsid w:val="00B94F4E"/>
    <w:rPr>
      <w:b/>
      <w:bCs/>
      <w:noProof/>
      <w:sz w:val="20"/>
      <w:szCs w:val="20"/>
      <w:lang w:val="en-GB"/>
    </w:rPr>
  </w:style>
  <w:style w:type="character" w:styleId="Hyperlink">
    <w:name w:val="Hyperlink"/>
    <w:basedOn w:val="DefaultParagraphFont"/>
    <w:uiPriority w:val="99"/>
    <w:unhideWhenUsed/>
    <w:rsid w:val="00AC39CB"/>
    <w:rPr>
      <w:color w:val="0563C1" w:themeColor="hyperlink"/>
      <w:u w:val="single"/>
    </w:rPr>
  </w:style>
  <w:style w:type="paragraph" w:styleId="Revision">
    <w:name w:val="Revision"/>
    <w:hidden/>
    <w:uiPriority w:val="99"/>
    <w:semiHidden/>
    <w:rsid w:val="0024071A"/>
    <w:pPr>
      <w:spacing w:after="0" w:line="240" w:lineRule="auto"/>
    </w:pPr>
  </w:style>
  <w:style w:type="paragraph" w:styleId="FootnoteText">
    <w:name w:val="footnote text"/>
    <w:basedOn w:val="Normal"/>
    <w:link w:val="FootnoteTextChar"/>
    <w:uiPriority w:val="99"/>
    <w:unhideWhenUsed/>
    <w:rsid w:val="004F4B91"/>
    <w:rPr>
      <w:rFonts w:asciiTheme="minorHAnsi" w:eastAsiaTheme="minorEastAsia" w:hAnsiTheme="minorHAnsi" w:cstheme="minorBidi"/>
      <w:sz w:val="20"/>
      <w:szCs w:val="20"/>
      <w:lang w:val="en-GB" w:eastAsia="en-GB"/>
    </w:rPr>
  </w:style>
  <w:style w:type="character" w:customStyle="1" w:styleId="FootnoteTextChar">
    <w:name w:val="Footnote Text Char"/>
    <w:basedOn w:val="DefaultParagraphFont"/>
    <w:link w:val="FootnoteText"/>
    <w:uiPriority w:val="99"/>
    <w:rsid w:val="004F4B91"/>
    <w:rPr>
      <w:sz w:val="20"/>
      <w:szCs w:val="20"/>
      <w:lang w:val="en-GB" w:eastAsia="en-GB"/>
    </w:rPr>
  </w:style>
  <w:style w:type="character" w:styleId="FootnoteReference">
    <w:name w:val="footnote reference"/>
    <w:basedOn w:val="DefaultParagraphFont"/>
    <w:uiPriority w:val="99"/>
    <w:unhideWhenUsed/>
    <w:rsid w:val="004F4B91"/>
    <w:rPr>
      <w:vertAlign w:val="superscript"/>
    </w:rPr>
  </w:style>
  <w:style w:type="character" w:customStyle="1" w:styleId="CitaviBibliographyEntryZchn">
    <w:name w:val="Citavi Bibliography Entry Zchn"/>
    <w:basedOn w:val="DefaultParagraphFont"/>
    <w:link w:val="CitaviBibliographyEntry"/>
    <w:locked/>
    <w:rsid w:val="009C27A8"/>
  </w:style>
  <w:style w:type="paragraph" w:customStyle="1" w:styleId="CitaviBibliographyEntry">
    <w:name w:val="Citavi Bibliography Entry"/>
    <w:basedOn w:val="Normal"/>
    <w:link w:val="CitaviBibliographyEntryZchn"/>
    <w:rsid w:val="009C27A8"/>
    <w:pPr>
      <w:spacing w:line="256" w:lineRule="auto"/>
    </w:pPr>
    <w:rPr>
      <w:rFonts w:asciiTheme="minorHAnsi" w:eastAsiaTheme="minorEastAsia" w:hAnsiTheme="minorHAnsi" w:cstheme="minorBidi"/>
      <w:sz w:val="22"/>
      <w:szCs w:val="22"/>
      <w:lang w:eastAsia="en-US"/>
    </w:rPr>
  </w:style>
  <w:style w:type="character" w:customStyle="1" w:styleId="NumberedReferencesCharChar">
    <w:name w:val="Numbered References Char Char"/>
    <w:link w:val="NumberedReferences"/>
    <w:rsid w:val="00411BC0"/>
    <w:rPr>
      <w:sz w:val="18"/>
    </w:rPr>
  </w:style>
  <w:style w:type="paragraph" w:customStyle="1" w:styleId="NumberedReferences">
    <w:name w:val="Numbered References"/>
    <w:basedOn w:val="Normal"/>
    <w:link w:val="NumberedReferencesCharChar"/>
    <w:autoRedefine/>
    <w:rsid w:val="00411BC0"/>
    <w:pPr>
      <w:numPr>
        <w:numId w:val="4"/>
      </w:numPr>
      <w:tabs>
        <w:tab w:val="clear" w:pos="360"/>
        <w:tab w:val="num" w:pos="330"/>
      </w:tabs>
      <w:spacing w:line="240" w:lineRule="exact"/>
      <w:ind w:left="333" w:hanging="180"/>
      <w:jc w:val="both"/>
    </w:pPr>
    <w:rPr>
      <w:rFonts w:asciiTheme="minorHAnsi" w:eastAsiaTheme="minorEastAsia" w:hAnsiTheme="minorHAnsi" w:cstheme="minorBidi"/>
      <w:sz w:val="18"/>
      <w:szCs w:val="22"/>
      <w:lang w:eastAsia="en-US"/>
    </w:rPr>
  </w:style>
  <w:style w:type="paragraph" w:styleId="NoSpacing">
    <w:name w:val="No Spacing"/>
    <w:uiPriority w:val="1"/>
    <w:qFormat/>
    <w:rsid w:val="00411BC0"/>
    <w:pPr>
      <w:spacing w:after="0" w:line="240" w:lineRule="auto"/>
    </w:pPr>
    <w:rPr>
      <w:rFonts w:ascii="Times New Roman" w:hAnsi="Times New Roman"/>
      <w:sz w:val="24"/>
      <w:lang w:val="nl-NL"/>
    </w:rPr>
  </w:style>
  <w:style w:type="character" w:customStyle="1" w:styleId="Heading5Char">
    <w:name w:val="Heading 5 Char"/>
    <w:basedOn w:val="DefaultParagraphFont"/>
    <w:link w:val="Heading5"/>
    <w:uiPriority w:val="9"/>
    <w:rsid w:val="004676C4"/>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E3196B"/>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sid w:val="00E3196B"/>
    <w:rPr>
      <w:rFonts w:asciiTheme="majorHAnsi" w:eastAsiaTheme="majorEastAsia" w:hAnsiTheme="majorHAnsi" w:cstheme="majorBidi"/>
      <w:i/>
      <w:iCs/>
      <w:color w:val="1F4D78" w:themeColor="accent1" w:themeShade="7F"/>
    </w:rPr>
  </w:style>
  <w:style w:type="paragraph" w:styleId="Caption">
    <w:name w:val="caption"/>
    <w:basedOn w:val="Normal"/>
    <w:next w:val="Normal"/>
    <w:uiPriority w:val="35"/>
    <w:unhideWhenUsed/>
    <w:qFormat/>
    <w:rsid w:val="00D13908"/>
    <w:pPr>
      <w:spacing w:after="200"/>
    </w:pPr>
    <w:rPr>
      <w:rFonts w:asciiTheme="minorHAnsi" w:eastAsiaTheme="minorEastAsia" w:hAnsiTheme="minorHAnsi" w:cstheme="minorBidi"/>
      <w:i/>
      <w:iCs/>
      <w:color w:val="44546A" w:themeColor="text2"/>
      <w:sz w:val="18"/>
      <w:szCs w:val="18"/>
      <w:lang w:eastAsia="en-US"/>
    </w:rPr>
  </w:style>
  <w:style w:type="character" w:styleId="EndnoteReference">
    <w:name w:val="endnote reference"/>
    <w:basedOn w:val="DefaultParagraphFont"/>
    <w:uiPriority w:val="99"/>
    <w:semiHidden/>
    <w:unhideWhenUsed/>
    <w:rsid w:val="0029560A"/>
    <w:rPr>
      <w:vertAlign w:val="superscript"/>
    </w:rPr>
  </w:style>
  <w:style w:type="character" w:styleId="FollowedHyperlink">
    <w:name w:val="FollowedHyperlink"/>
    <w:basedOn w:val="DefaultParagraphFont"/>
    <w:uiPriority w:val="99"/>
    <w:semiHidden/>
    <w:unhideWhenUsed/>
    <w:rsid w:val="00371A9A"/>
    <w:rPr>
      <w:color w:val="954F72" w:themeColor="followedHyperlink"/>
      <w:u w:val="single"/>
    </w:rPr>
  </w:style>
  <w:style w:type="paragraph" w:styleId="Header">
    <w:name w:val="header"/>
    <w:basedOn w:val="Normal"/>
    <w:link w:val="HeaderChar"/>
    <w:uiPriority w:val="99"/>
    <w:unhideWhenUsed/>
    <w:rsid w:val="004029B9"/>
    <w:pPr>
      <w:tabs>
        <w:tab w:val="center" w:pos="4680"/>
        <w:tab w:val="right" w:pos="9360"/>
      </w:tabs>
    </w:pPr>
    <w:rPr>
      <w:rFonts w:asciiTheme="minorHAnsi" w:eastAsiaTheme="minorEastAsia" w:hAnsiTheme="minorHAnsi" w:cstheme="minorBidi"/>
      <w:sz w:val="22"/>
      <w:szCs w:val="22"/>
      <w:lang w:eastAsia="en-US"/>
    </w:rPr>
  </w:style>
  <w:style w:type="character" w:customStyle="1" w:styleId="HeaderChar">
    <w:name w:val="Header Char"/>
    <w:basedOn w:val="DefaultParagraphFont"/>
    <w:link w:val="Header"/>
    <w:uiPriority w:val="99"/>
    <w:rsid w:val="004029B9"/>
  </w:style>
  <w:style w:type="paragraph" w:styleId="Footer">
    <w:name w:val="footer"/>
    <w:basedOn w:val="Normal"/>
    <w:link w:val="FooterChar"/>
    <w:uiPriority w:val="99"/>
    <w:unhideWhenUsed/>
    <w:rsid w:val="004029B9"/>
    <w:pPr>
      <w:tabs>
        <w:tab w:val="center" w:pos="4680"/>
        <w:tab w:val="right" w:pos="9360"/>
      </w:tabs>
    </w:pPr>
    <w:rPr>
      <w:rFonts w:asciiTheme="minorHAnsi" w:eastAsiaTheme="minorEastAsia" w:hAnsiTheme="minorHAnsi" w:cstheme="minorBidi"/>
      <w:sz w:val="22"/>
      <w:szCs w:val="22"/>
      <w:lang w:eastAsia="en-US"/>
    </w:rPr>
  </w:style>
  <w:style w:type="character" w:customStyle="1" w:styleId="FooterChar">
    <w:name w:val="Footer Char"/>
    <w:basedOn w:val="DefaultParagraphFont"/>
    <w:link w:val="Footer"/>
    <w:uiPriority w:val="99"/>
    <w:rsid w:val="004029B9"/>
  </w:style>
  <w:style w:type="character" w:styleId="PageNumber">
    <w:name w:val="page number"/>
    <w:basedOn w:val="DefaultParagraphFont"/>
    <w:uiPriority w:val="99"/>
    <w:semiHidden/>
    <w:unhideWhenUsed/>
    <w:rsid w:val="002037B3"/>
  </w:style>
  <w:style w:type="character" w:styleId="Emphasis">
    <w:name w:val="Emphasis"/>
    <w:uiPriority w:val="20"/>
    <w:qFormat/>
    <w:rsid w:val="006F4D6F"/>
    <w:rPr>
      <w:i/>
      <w:iCs/>
    </w:rPr>
  </w:style>
  <w:style w:type="character" w:customStyle="1" w:styleId="apple-converted-space">
    <w:name w:val="apple-converted-space"/>
    <w:rsid w:val="006F4D6F"/>
  </w:style>
  <w:style w:type="paragraph" w:styleId="NormalWeb">
    <w:name w:val="Normal (Web)"/>
    <w:basedOn w:val="Normal"/>
    <w:uiPriority w:val="99"/>
    <w:semiHidden/>
    <w:unhideWhenUsed/>
    <w:rsid w:val="009B5A2A"/>
    <w:pPr>
      <w:spacing w:after="150"/>
    </w:pPr>
    <w:rPr>
      <w:lang w:val="en-GB" w:eastAsia="en-GB"/>
    </w:rPr>
  </w:style>
  <w:style w:type="paragraph" w:customStyle="1" w:styleId="description">
    <w:name w:val="description"/>
    <w:basedOn w:val="Normal"/>
    <w:rsid w:val="009B5A2A"/>
    <w:pPr>
      <w:spacing w:after="150"/>
    </w:pPr>
    <w:rPr>
      <w:lang w:val="en-GB" w:eastAsia="en-GB"/>
    </w:rPr>
  </w:style>
  <w:style w:type="paragraph" w:customStyle="1" w:styleId="Text3">
    <w:name w:val="Text 3"/>
    <w:basedOn w:val="Normal"/>
    <w:rsid w:val="000303A2"/>
    <w:pPr>
      <w:tabs>
        <w:tab w:val="left" w:pos="2302"/>
      </w:tabs>
      <w:spacing w:after="240"/>
      <w:ind w:left="1202"/>
      <w:jc w:val="both"/>
    </w:pPr>
    <w:rPr>
      <w:szCs w:val="20"/>
      <w:lang w:val="fr-FR" w:eastAsia="en-US"/>
    </w:rPr>
  </w:style>
  <w:style w:type="character" w:styleId="Strong">
    <w:name w:val="Strong"/>
    <w:basedOn w:val="DefaultParagraphFont"/>
    <w:uiPriority w:val="22"/>
    <w:qFormat/>
    <w:rsid w:val="00EA091D"/>
    <w:rPr>
      <w:b/>
      <w:bCs/>
    </w:rPr>
  </w:style>
  <w:style w:type="character" w:customStyle="1" w:styleId="titlepart">
    <w:name w:val="titlepart"/>
    <w:basedOn w:val="DefaultParagraphFont"/>
    <w:rsid w:val="00EA091D"/>
  </w:style>
  <w:style w:type="character" w:customStyle="1" w:styleId="availabilityicon">
    <w:name w:val="availabilityicon"/>
    <w:basedOn w:val="DefaultParagraphFont"/>
    <w:rsid w:val="00EA091D"/>
  </w:style>
  <w:style w:type="character" w:customStyle="1" w:styleId="object-hover">
    <w:name w:val="object-hover"/>
    <w:basedOn w:val="DefaultParagraphFont"/>
    <w:rsid w:val="00033592"/>
  </w:style>
  <w:style w:type="character" w:customStyle="1" w:styleId="object">
    <w:name w:val="object"/>
    <w:basedOn w:val="DefaultParagraphFont"/>
    <w:rsid w:val="006C6C7C"/>
  </w:style>
  <w:style w:type="paragraph" w:styleId="TOC1">
    <w:name w:val="toc 1"/>
    <w:basedOn w:val="Normal"/>
    <w:next w:val="Normal"/>
    <w:autoRedefine/>
    <w:uiPriority w:val="39"/>
    <w:unhideWhenUsed/>
    <w:rsid w:val="007D2922"/>
    <w:pPr>
      <w:tabs>
        <w:tab w:val="right" w:leader="dot" w:pos="9396"/>
      </w:tabs>
      <w:spacing w:before="360" w:line="259" w:lineRule="auto"/>
    </w:pPr>
    <w:rPr>
      <w:rFonts w:asciiTheme="majorHAnsi" w:eastAsiaTheme="minorEastAsia" w:hAnsiTheme="majorHAnsi" w:cstheme="minorBidi"/>
      <w:b/>
      <w:caps/>
      <w:lang w:eastAsia="en-US"/>
    </w:rPr>
  </w:style>
  <w:style w:type="paragraph" w:styleId="TOC2">
    <w:name w:val="toc 2"/>
    <w:basedOn w:val="Normal"/>
    <w:next w:val="Normal"/>
    <w:autoRedefine/>
    <w:uiPriority w:val="39"/>
    <w:unhideWhenUsed/>
    <w:rsid w:val="00000B19"/>
    <w:pPr>
      <w:tabs>
        <w:tab w:val="left" w:pos="440"/>
        <w:tab w:val="right" w:leader="dot" w:pos="9396"/>
      </w:tabs>
      <w:spacing w:before="240" w:line="259" w:lineRule="auto"/>
    </w:pPr>
    <w:rPr>
      <w:rFonts w:asciiTheme="minorHAnsi" w:eastAsiaTheme="minorEastAsia" w:hAnsiTheme="minorHAnsi" w:cstheme="minorBidi"/>
      <w:b/>
      <w:sz w:val="20"/>
      <w:szCs w:val="20"/>
      <w:lang w:eastAsia="en-US"/>
    </w:rPr>
  </w:style>
  <w:style w:type="paragraph" w:styleId="TOC3">
    <w:name w:val="toc 3"/>
    <w:basedOn w:val="Normal"/>
    <w:next w:val="Normal"/>
    <w:autoRedefine/>
    <w:uiPriority w:val="39"/>
    <w:unhideWhenUsed/>
    <w:rsid w:val="00CE53FD"/>
    <w:pPr>
      <w:spacing w:line="259" w:lineRule="auto"/>
      <w:ind w:left="220"/>
    </w:pPr>
    <w:rPr>
      <w:rFonts w:asciiTheme="minorHAnsi" w:eastAsiaTheme="minorEastAsia" w:hAnsiTheme="minorHAnsi" w:cstheme="minorBidi"/>
      <w:sz w:val="20"/>
      <w:szCs w:val="20"/>
      <w:lang w:eastAsia="en-US"/>
    </w:rPr>
  </w:style>
  <w:style w:type="paragraph" w:styleId="TOC4">
    <w:name w:val="toc 4"/>
    <w:basedOn w:val="Normal"/>
    <w:next w:val="Normal"/>
    <w:autoRedefine/>
    <w:uiPriority w:val="39"/>
    <w:unhideWhenUsed/>
    <w:rsid w:val="00CE53FD"/>
    <w:pPr>
      <w:spacing w:line="259" w:lineRule="auto"/>
      <w:ind w:left="440"/>
    </w:pPr>
    <w:rPr>
      <w:rFonts w:asciiTheme="minorHAnsi" w:eastAsiaTheme="minorEastAsia" w:hAnsiTheme="minorHAnsi" w:cstheme="minorBidi"/>
      <w:sz w:val="20"/>
      <w:szCs w:val="20"/>
      <w:lang w:eastAsia="en-US"/>
    </w:rPr>
  </w:style>
  <w:style w:type="paragraph" w:styleId="TOC5">
    <w:name w:val="toc 5"/>
    <w:basedOn w:val="Normal"/>
    <w:next w:val="Normal"/>
    <w:autoRedefine/>
    <w:uiPriority w:val="39"/>
    <w:unhideWhenUsed/>
    <w:rsid w:val="00CE53FD"/>
    <w:pPr>
      <w:spacing w:line="259" w:lineRule="auto"/>
      <w:ind w:left="660"/>
    </w:pPr>
    <w:rPr>
      <w:rFonts w:asciiTheme="minorHAnsi" w:eastAsiaTheme="minorEastAsia" w:hAnsiTheme="minorHAnsi" w:cstheme="minorBidi"/>
      <w:sz w:val="20"/>
      <w:szCs w:val="20"/>
      <w:lang w:eastAsia="en-US"/>
    </w:rPr>
  </w:style>
  <w:style w:type="paragraph" w:styleId="TOC6">
    <w:name w:val="toc 6"/>
    <w:basedOn w:val="Normal"/>
    <w:next w:val="Normal"/>
    <w:autoRedefine/>
    <w:uiPriority w:val="39"/>
    <w:unhideWhenUsed/>
    <w:rsid w:val="00CE53FD"/>
    <w:pPr>
      <w:spacing w:line="259" w:lineRule="auto"/>
      <w:ind w:left="880"/>
    </w:pPr>
    <w:rPr>
      <w:rFonts w:asciiTheme="minorHAnsi" w:eastAsiaTheme="minorEastAsia" w:hAnsiTheme="minorHAnsi" w:cstheme="minorBidi"/>
      <w:sz w:val="20"/>
      <w:szCs w:val="20"/>
      <w:lang w:eastAsia="en-US"/>
    </w:rPr>
  </w:style>
  <w:style w:type="paragraph" w:styleId="TOC7">
    <w:name w:val="toc 7"/>
    <w:basedOn w:val="Normal"/>
    <w:next w:val="Normal"/>
    <w:autoRedefine/>
    <w:uiPriority w:val="39"/>
    <w:unhideWhenUsed/>
    <w:rsid w:val="00CE53FD"/>
    <w:pPr>
      <w:spacing w:line="259" w:lineRule="auto"/>
      <w:ind w:left="1100"/>
    </w:pPr>
    <w:rPr>
      <w:rFonts w:asciiTheme="minorHAnsi" w:eastAsiaTheme="minorEastAsia" w:hAnsiTheme="minorHAnsi" w:cstheme="minorBidi"/>
      <w:sz w:val="20"/>
      <w:szCs w:val="20"/>
      <w:lang w:eastAsia="en-US"/>
    </w:rPr>
  </w:style>
  <w:style w:type="paragraph" w:styleId="TOC8">
    <w:name w:val="toc 8"/>
    <w:basedOn w:val="Normal"/>
    <w:next w:val="Normal"/>
    <w:autoRedefine/>
    <w:uiPriority w:val="39"/>
    <w:unhideWhenUsed/>
    <w:rsid w:val="00CE53FD"/>
    <w:pPr>
      <w:spacing w:line="259" w:lineRule="auto"/>
      <w:ind w:left="1320"/>
    </w:pPr>
    <w:rPr>
      <w:rFonts w:asciiTheme="minorHAnsi" w:eastAsiaTheme="minorEastAsia" w:hAnsiTheme="minorHAnsi" w:cstheme="minorBidi"/>
      <w:sz w:val="20"/>
      <w:szCs w:val="20"/>
      <w:lang w:eastAsia="en-US"/>
    </w:rPr>
  </w:style>
  <w:style w:type="paragraph" w:styleId="TOC9">
    <w:name w:val="toc 9"/>
    <w:basedOn w:val="Normal"/>
    <w:next w:val="Normal"/>
    <w:autoRedefine/>
    <w:uiPriority w:val="39"/>
    <w:unhideWhenUsed/>
    <w:rsid w:val="00CE53FD"/>
    <w:pPr>
      <w:spacing w:line="259" w:lineRule="auto"/>
      <w:ind w:left="1540"/>
    </w:pPr>
    <w:rPr>
      <w:rFonts w:asciiTheme="minorHAnsi" w:eastAsiaTheme="minorEastAsia" w:hAnsiTheme="minorHAnsi" w:cstheme="minorBidi"/>
      <w:sz w:val="20"/>
      <w:szCs w:val="20"/>
      <w:lang w:eastAsia="en-US"/>
    </w:rPr>
  </w:style>
  <w:style w:type="paragraph" w:styleId="TOCHeading">
    <w:name w:val="TOC Heading"/>
    <w:basedOn w:val="Heading1"/>
    <w:next w:val="Normal"/>
    <w:uiPriority w:val="39"/>
    <w:unhideWhenUsed/>
    <w:qFormat/>
    <w:rsid w:val="007D2922"/>
    <w:pPr>
      <w:outlineLvl w:val="9"/>
    </w:pPr>
  </w:style>
  <w:style w:type="paragraph" w:customStyle="1" w:styleId="Default">
    <w:name w:val="Default"/>
    <w:rsid w:val="00AD5C61"/>
    <w:pPr>
      <w:autoSpaceDE w:val="0"/>
      <w:autoSpaceDN w:val="0"/>
      <w:adjustRightInd w:val="0"/>
      <w:spacing w:after="0" w:line="240" w:lineRule="auto"/>
    </w:pPr>
    <w:rPr>
      <w:rFonts w:ascii="Tw Cen MT" w:hAnsi="Tw Cen MT" w:cs="Tw Cen MT"/>
      <w:color w:val="000000"/>
      <w:sz w:val="24"/>
      <w:szCs w:val="24"/>
    </w:rPr>
  </w:style>
  <w:style w:type="character" w:styleId="LineNumber">
    <w:name w:val="line number"/>
    <w:basedOn w:val="DefaultParagraphFont"/>
    <w:uiPriority w:val="99"/>
    <w:semiHidden/>
    <w:unhideWhenUsed/>
    <w:rsid w:val="00863B14"/>
  </w:style>
  <w:style w:type="paragraph" w:customStyle="1" w:styleId="dx-doi">
    <w:name w:val="dx-doi"/>
    <w:basedOn w:val="Normal"/>
    <w:rsid w:val="00771B4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47626">
      <w:bodyDiv w:val="1"/>
      <w:marLeft w:val="0"/>
      <w:marRight w:val="0"/>
      <w:marTop w:val="0"/>
      <w:marBottom w:val="0"/>
      <w:divBdr>
        <w:top w:val="none" w:sz="0" w:space="0" w:color="auto"/>
        <w:left w:val="none" w:sz="0" w:space="0" w:color="auto"/>
        <w:bottom w:val="none" w:sz="0" w:space="0" w:color="auto"/>
        <w:right w:val="none" w:sz="0" w:space="0" w:color="auto"/>
      </w:divBdr>
    </w:div>
    <w:div w:id="43215879">
      <w:bodyDiv w:val="1"/>
      <w:marLeft w:val="0"/>
      <w:marRight w:val="0"/>
      <w:marTop w:val="0"/>
      <w:marBottom w:val="0"/>
      <w:divBdr>
        <w:top w:val="none" w:sz="0" w:space="0" w:color="auto"/>
        <w:left w:val="none" w:sz="0" w:space="0" w:color="auto"/>
        <w:bottom w:val="none" w:sz="0" w:space="0" w:color="auto"/>
        <w:right w:val="none" w:sz="0" w:space="0" w:color="auto"/>
      </w:divBdr>
    </w:div>
    <w:div w:id="67502843">
      <w:bodyDiv w:val="1"/>
      <w:marLeft w:val="0"/>
      <w:marRight w:val="0"/>
      <w:marTop w:val="0"/>
      <w:marBottom w:val="0"/>
      <w:divBdr>
        <w:top w:val="none" w:sz="0" w:space="0" w:color="auto"/>
        <w:left w:val="none" w:sz="0" w:space="0" w:color="auto"/>
        <w:bottom w:val="none" w:sz="0" w:space="0" w:color="auto"/>
        <w:right w:val="none" w:sz="0" w:space="0" w:color="auto"/>
      </w:divBdr>
    </w:div>
    <w:div w:id="85197431">
      <w:bodyDiv w:val="1"/>
      <w:marLeft w:val="0"/>
      <w:marRight w:val="0"/>
      <w:marTop w:val="0"/>
      <w:marBottom w:val="0"/>
      <w:divBdr>
        <w:top w:val="none" w:sz="0" w:space="0" w:color="auto"/>
        <w:left w:val="none" w:sz="0" w:space="0" w:color="auto"/>
        <w:bottom w:val="none" w:sz="0" w:space="0" w:color="auto"/>
        <w:right w:val="none" w:sz="0" w:space="0" w:color="auto"/>
      </w:divBdr>
    </w:div>
    <w:div w:id="90443443">
      <w:bodyDiv w:val="1"/>
      <w:marLeft w:val="0"/>
      <w:marRight w:val="0"/>
      <w:marTop w:val="0"/>
      <w:marBottom w:val="0"/>
      <w:divBdr>
        <w:top w:val="none" w:sz="0" w:space="0" w:color="auto"/>
        <w:left w:val="none" w:sz="0" w:space="0" w:color="auto"/>
        <w:bottom w:val="none" w:sz="0" w:space="0" w:color="auto"/>
        <w:right w:val="none" w:sz="0" w:space="0" w:color="auto"/>
      </w:divBdr>
    </w:div>
    <w:div w:id="128281740">
      <w:bodyDiv w:val="1"/>
      <w:marLeft w:val="0"/>
      <w:marRight w:val="0"/>
      <w:marTop w:val="0"/>
      <w:marBottom w:val="0"/>
      <w:divBdr>
        <w:top w:val="none" w:sz="0" w:space="0" w:color="auto"/>
        <w:left w:val="none" w:sz="0" w:space="0" w:color="auto"/>
        <w:bottom w:val="none" w:sz="0" w:space="0" w:color="auto"/>
        <w:right w:val="none" w:sz="0" w:space="0" w:color="auto"/>
      </w:divBdr>
    </w:div>
    <w:div w:id="158084686">
      <w:bodyDiv w:val="1"/>
      <w:marLeft w:val="0"/>
      <w:marRight w:val="0"/>
      <w:marTop w:val="0"/>
      <w:marBottom w:val="0"/>
      <w:divBdr>
        <w:top w:val="none" w:sz="0" w:space="0" w:color="auto"/>
        <w:left w:val="none" w:sz="0" w:space="0" w:color="auto"/>
        <w:bottom w:val="none" w:sz="0" w:space="0" w:color="auto"/>
        <w:right w:val="none" w:sz="0" w:space="0" w:color="auto"/>
      </w:divBdr>
    </w:div>
    <w:div w:id="197819406">
      <w:bodyDiv w:val="1"/>
      <w:marLeft w:val="0"/>
      <w:marRight w:val="0"/>
      <w:marTop w:val="0"/>
      <w:marBottom w:val="0"/>
      <w:divBdr>
        <w:top w:val="none" w:sz="0" w:space="0" w:color="auto"/>
        <w:left w:val="none" w:sz="0" w:space="0" w:color="auto"/>
        <w:bottom w:val="none" w:sz="0" w:space="0" w:color="auto"/>
        <w:right w:val="none" w:sz="0" w:space="0" w:color="auto"/>
      </w:divBdr>
    </w:div>
    <w:div w:id="199630462">
      <w:bodyDiv w:val="1"/>
      <w:marLeft w:val="0"/>
      <w:marRight w:val="0"/>
      <w:marTop w:val="0"/>
      <w:marBottom w:val="0"/>
      <w:divBdr>
        <w:top w:val="none" w:sz="0" w:space="0" w:color="auto"/>
        <w:left w:val="none" w:sz="0" w:space="0" w:color="auto"/>
        <w:bottom w:val="none" w:sz="0" w:space="0" w:color="auto"/>
        <w:right w:val="none" w:sz="0" w:space="0" w:color="auto"/>
      </w:divBdr>
    </w:div>
    <w:div w:id="200675159">
      <w:bodyDiv w:val="1"/>
      <w:marLeft w:val="0"/>
      <w:marRight w:val="0"/>
      <w:marTop w:val="0"/>
      <w:marBottom w:val="0"/>
      <w:divBdr>
        <w:top w:val="none" w:sz="0" w:space="0" w:color="auto"/>
        <w:left w:val="none" w:sz="0" w:space="0" w:color="auto"/>
        <w:bottom w:val="none" w:sz="0" w:space="0" w:color="auto"/>
        <w:right w:val="none" w:sz="0" w:space="0" w:color="auto"/>
      </w:divBdr>
    </w:div>
    <w:div w:id="209997372">
      <w:bodyDiv w:val="1"/>
      <w:marLeft w:val="0"/>
      <w:marRight w:val="0"/>
      <w:marTop w:val="0"/>
      <w:marBottom w:val="0"/>
      <w:divBdr>
        <w:top w:val="none" w:sz="0" w:space="0" w:color="auto"/>
        <w:left w:val="none" w:sz="0" w:space="0" w:color="auto"/>
        <w:bottom w:val="none" w:sz="0" w:space="0" w:color="auto"/>
        <w:right w:val="none" w:sz="0" w:space="0" w:color="auto"/>
      </w:divBdr>
    </w:div>
    <w:div w:id="222254886">
      <w:bodyDiv w:val="1"/>
      <w:marLeft w:val="0"/>
      <w:marRight w:val="0"/>
      <w:marTop w:val="0"/>
      <w:marBottom w:val="0"/>
      <w:divBdr>
        <w:top w:val="none" w:sz="0" w:space="0" w:color="auto"/>
        <w:left w:val="none" w:sz="0" w:space="0" w:color="auto"/>
        <w:bottom w:val="none" w:sz="0" w:space="0" w:color="auto"/>
        <w:right w:val="none" w:sz="0" w:space="0" w:color="auto"/>
      </w:divBdr>
    </w:div>
    <w:div w:id="236525107">
      <w:bodyDiv w:val="1"/>
      <w:marLeft w:val="0"/>
      <w:marRight w:val="0"/>
      <w:marTop w:val="0"/>
      <w:marBottom w:val="0"/>
      <w:divBdr>
        <w:top w:val="none" w:sz="0" w:space="0" w:color="auto"/>
        <w:left w:val="none" w:sz="0" w:space="0" w:color="auto"/>
        <w:bottom w:val="none" w:sz="0" w:space="0" w:color="auto"/>
        <w:right w:val="none" w:sz="0" w:space="0" w:color="auto"/>
      </w:divBdr>
    </w:div>
    <w:div w:id="256406232">
      <w:bodyDiv w:val="1"/>
      <w:marLeft w:val="0"/>
      <w:marRight w:val="0"/>
      <w:marTop w:val="0"/>
      <w:marBottom w:val="0"/>
      <w:divBdr>
        <w:top w:val="none" w:sz="0" w:space="0" w:color="auto"/>
        <w:left w:val="none" w:sz="0" w:space="0" w:color="auto"/>
        <w:bottom w:val="none" w:sz="0" w:space="0" w:color="auto"/>
        <w:right w:val="none" w:sz="0" w:space="0" w:color="auto"/>
      </w:divBdr>
    </w:div>
    <w:div w:id="261039405">
      <w:bodyDiv w:val="1"/>
      <w:marLeft w:val="0"/>
      <w:marRight w:val="0"/>
      <w:marTop w:val="0"/>
      <w:marBottom w:val="0"/>
      <w:divBdr>
        <w:top w:val="none" w:sz="0" w:space="0" w:color="auto"/>
        <w:left w:val="none" w:sz="0" w:space="0" w:color="auto"/>
        <w:bottom w:val="none" w:sz="0" w:space="0" w:color="auto"/>
        <w:right w:val="none" w:sz="0" w:space="0" w:color="auto"/>
      </w:divBdr>
    </w:div>
    <w:div w:id="263463269">
      <w:bodyDiv w:val="1"/>
      <w:marLeft w:val="0"/>
      <w:marRight w:val="0"/>
      <w:marTop w:val="0"/>
      <w:marBottom w:val="0"/>
      <w:divBdr>
        <w:top w:val="none" w:sz="0" w:space="0" w:color="auto"/>
        <w:left w:val="none" w:sz="0" w:space="0" w:color="auto"/>
        <w:bottom w:val="none" w:sz="0" w:space="0" w:color="auto"/>
        <w:right w:val="none" w:sz="0" w:space="0" w:color="auto"/>
      </w:divBdr>
    </w:div>
    <w:div w:id="266620491">
      <w:bodyDiv w:val="1"/>
      <w:marLeft w:val="0"/>
      <w:marRight w:val="0"/>
      <w:marTop w:val="0"/>
      <w:marBottom w:val="0"/>
      <w:divBdr>
        <w:top w:val="none" w:sz="0" w:space="0" w:color="auto"/>
        <w:left w:val="none" w:sz="0" w:space="0" w:color="auto"/>
        <w:bottom w:val="none" w:sz="0" w:space="0" w:color="auto"/>
        <w:right w:val="none" w:sz="0" w:space="0" w:color="auto"/>
      </w:divBdr>
    </w:div>
    <w:div w:id="277838757">
      <w:bodyDiv w:val="1"/>
      <w:marLeft w:val="0"/>
      <w:marRight w:val="0"/>
      <w:marTop w:val="0"/>
      <w:marBottom w:val="0"/>
      <w:divBdr>
        <w:top w:val="none" w:sz="0" w:space="0" w:color="auto"/>
        <w:left w:val="none" w:sz="0" w:space="0" w:color="auto"/>
        <w:bottom w:val="none" w:sz="0" w:space="0" w:color="auto"/>
        <w:right w:val="none" w:sz="0" w:space="0" w:color="auto"/>
      </w:divBdr>
    </w:div>
    <w:div w:id="291711167">
      <w:bodyDiv w:val="1"/>
      <w:marLeft w:val="0"/>
      <w:marRight w:val="0"/>
      <w:marTop w:val="0"/>
      <w:marBottom w:val="0"/>
      <w:divBdr>
        <w:top w:val="none" w:sz="0" w:space="0" w:color="auto"/>
        <w:left w:val="none" w:sz="0" w:space="0" w:color="auto"/>
        <w:bottom w:val="none" w:sz="0" w:space="0" w:color="auto"/>
        <w:right w:val="none" w:sz="0" w:space="0" w:color="auto"/>
      </w:divBdr>
    </w:div>
    <w:div w:id="327712462">
      <w:bodyDiv w:val="1"/>
      <w:marLeft w:val="0"/>
      <w:marRight w:val="0"/>
      <w:marTop w:val="0"/>
      <w:marBottom w:val="0"/>
      <w:divBdr>
        <w:top w:val="none" w:sz="0" w:space="0" w:color="auto"/>
        <w:left w:val="none" w:sz="0" w:space="0" w:color="auto"/>
        <w:bottom w:val="none" w:sz="0" w:space="0" w:color="auto"/>
        <w:right w:val="none" w:sz="0" w:space="0" w:color="auto"/>
      </w:divBdr>
    </w:div>
    <w:div w:id="342511516">
      <w:bodyDiv w:val="1"/>
      <w:marLeft w:val="0"/>
      <w:marRight w:val="0"/>
      <w:marTop w:val="0"/>
      <w:marBottom w:val="0"/>
      <w:divBdr>
        <w:top w:val="none" w:sz="0" w:space="0" w:color="auto"/>
        <w:left w:val="none" w:sz="0" w:space="0" w:color="auto"/>
        <w:bottom w:val="none" w:sz="0" w:space="0" w:color="auto"/>
        <w:right w:val="none" w:sz="0" w:space="0" w:color="auto"/>
      </w:divBdr>
    </w:div>
    <w:div w:id="359552170">
      <w:bodyDiv w:val="1"/>
      <w:marLeft w:val="0"/>
      <w:marRight w:val="0"/>
      <w:marTop w:val="0"/>
      <w:marBottom w:val="0"/>
      <w:divBdr>
        <w:top w:val="none" w:sz="0" w:space="0" w:color="auto"/>
        <w:left w:val="none" w:sz="0" w:space="0" w:color="auto"/>
        <w:bottom w:val="none" w:sz="0" w:space="0" w:color="auto"/>
        <w:right w:val="none" w:sz="0" w:space="0" w:color="auto"/>
      </w:divBdr>
    </w:div>
    <w:div w:id="365954034">
      <w:bodyDiv w:val="1"/>
      <w:marLeft w:val="0"/>
      <w:marRight w:val="0"/>
      <w:marTop w:val="0"/>
      <w:marBottom w:val="0"/>
      <w:divBdr>
        <w:top w:val="none" w:sz="0" w:space="0" w:color="auto"/>
        <w:left w:val="none" w:sz="0" w:space="0" w:color="auto"/>
        <w:bottom w:val="none" w:sz="0" w:space="0" w:color="auto"/>
        <w:right w:val="none" w:sz="0" w:space="0" w:color="auto"/>
      </w:divBdr>
    </w:div>
    <w:div w:id="377894911">
      <w:bodyDiv w:val="1"/>
      <w:marLeft w:val="0"/>
      <w:marRight w:val="0"/>
      <w:marTop w:val="0"/>
      <w:marBottom w:val="0"/>
      <w:divBdr>
        <w:top w:val="none" w:sz="0" w:space="0" w:color="auto"/>
        <w:left w:val="none" w:sz="0" w:space="0" w:color="auto"/>
        <w:bottom w:val="none" w:sz="0" w:space="0" w:color="auto"/>
        <w:right w:val="none" w:sz="0" w:space="0" w:color="auto"/>
      </w:divBdr>
    </w:div>
    <w:div w:id="384792058">
      <w:bodyDiv w:val="1"/>
      <w:marLeft w:val="0"/>
      <w:marRight w:val="0"/>
      <w:marTop w:val="0"/>
      <w:marBottom w:val="0"/>
      <w:divBdr>
        <w:top w:val="none" w:sz="0" w:space="0" w:color="auto"/>
        <w:left w:val="none" w:sz="0" w:space="0" w:color="auto"/>
        <w:bottom w:val="none" w:sz="0" w:space="0" w:color="auto"/>
        <w:right w:val="none" w:sz="0" w:space="0" w:color="auto"/>
      </w:divBdr>
    </w:div>
    <w:div w:id="393046513">
      <w:bodyDiv w:val="1"/>
      <w:marLeft w:val="0"/>
      <w:marRight w:val="0"/>
      <w:marTop w:val="0"/>
      <w:marBottom w:val="0"/>
      <w:divBdr>
        <w:top w:val="none" w:sz="0" w:space="0" w:color="auto"/>
        <w:left w:val="none" w:sz="0" w:space="0" w:color="auto"/>
        <w:bottom w:val="none" w:sz="0" w:space="0" w:color="auto"/>
        <w:right w:val="none" w:sz="0" w:space="0" w:color="auto"/>
      </w:divBdr>
    </w:div>
    <w:div w:id="402685330">
      <w:bodyDiv w:val="1"/>
      <w:marLeft w:val="0"/>
      <w:marRight w:val="0"/>
      <w:marTop w:val="0"/>
      <w:marBottom w:val="0"/>
      <w:divBdr>
        <w:top w:val="none" w:sz="0" w:space="0" w:color="auto"/>
        <w:left w:val="none" w:sz="0" w:space="0" w:color="auto"/>
        <w:bottom w:val="none" w:sz="0" w:space="0" w:color="auto"/>
        <w:right w:val="none" w:sz="0" w:space="0" w:color="auto"/>
      </w:divBdr>
    </w:div>
    <w:div w:id="409041102">
      <w:bodyDiv w:val="1"/>
      <w:marLeft w:val="0"/>
      <w:marRight w:val="0"/>
      <w:marTop w:val="0"/>
      <w:marBottom w:val="0"/>
      <w:divBdr>
        <w:top w:val="none" w:sz="0" w:space="0" w:color="auto"/>
        <w:left w:val="none" w:sz="0" w:space="0" w:color="auto"/>
        <w:bottom w:val="none" w:sz="0" w:space="0" w:color="auto"/>
        <w:right w:val="none" w:sz="0" w:space="0" w:color="auto"/>
      </w:divBdr>
    </w:div>
    <w:div w:id="419906818">
      <w:bodyDiv w:val="1"/>
      <w:marLeft w:val="0"/>
      <w:marRight w:val="0"/>
      <w:marTop w:val="0"/>
      <w:marBottom w:val="0"/>
      <w:divBdr>
        <w:top w:val="none" w:sz="0" w:space="0" w:color="auto"/>
        <w:left w:val="none" w:sz="0" w:space="0" w:color="auto"/>
        <w:bottom w:val="none" w:sz="0" w:space="0" w:color="auto"/>
        <w:right w:val="none" w:sz="0" w:space="0" w:color="auto"/>
      </w:divBdr>
    </w:div>
    <w:div w:id="426727994">
      <w:bodyDiv w:val="1"/>
      <w:marLeft w:val="0"/>
      <w:marRight w:val="0"/>
      <w:marTop w:val="0"/>
      <w:marBottom w:val="0"/>
      <w:divBdr>
        <w:top w:val="none" w:sz="0" w:space="0" w:color="auto"/>
        <w:left w:val="none" w:sz="0" w:space="0" w:color="auto"/>
        <w:bottom w:val="none" w:sz="0" w:space="0" w:color="auto"/>
        <w:right w:val="none" w:sz="0" w:space="0" w:color="auto"/>
      </w:divBdr>
    </w:div>
    <w:div w:id="427431244">
      <w:bodyDiv w:val="1"/>
      <w:marLeft w:val="0"/>
      <w:marRight w:val="0"/>
      <w:marTop w:val="0"/>
      <w:marBottom w:val="0"/>
      <w:divBdr>
        <w:top w:val="none" w:sz="0" w:space="0" w:color="auto"/>
        <w:left w:val="none" w:sz="0" w:space="0" w:color="auto"/>
        <w:bottom w:val="none" w:sz="0" w:space="0" w:color="auto"/>
        <w:right w:val="none" w:sz="0" w:space="0" w:color="auto"/>
      </w:divBdr>
    </w:div>
    <w:div w:id="459106667">
      <w:bodyDiv w:val="1"/>
      <w:marLeft w:val="0"/>
      <w:marRight w:val="0"/>
      <w:marTop w:val="0"/>
      <w:marBottom w:val="0"/>
      <w:divBdr>
        <w:top w:val="none" w:sz="0" w:space="0" w:color="auto"/>
        <w:left w:val="none" w:sz="0" w:space="0" w:color="auto"/>
        <w:bottom w:val="none" w:sz="0" w:space="0" w:color="auto"/>
        <w:right w:val="none" w:sz="0" w:space="0" w:color="auto"/>
      </w:divBdr>
    </w:div>
    <w:div w:id="459304032">
      <w:bodyDiv w:val="1"/>
      <w:marLeft w:val="0"/>
      <w:marRight w:val="0"/>
      <w:marTop w:val="0"/>
      <w:marBottom w:val="0"/>
      <w:divBdr>
        <w:top w:val="none" w:sz="0" w:space="0" w:color="auto"/>
        <w:left w:val="none" w:sz="0" w:space="0" w:color="auto"/>
        <w:bottom w:val="none" w:sz="0" w:space="0" w:color="auto"/>
        <w:right w:val="none" w:sz="0" w:space="0" w:color="auto"/>
      </w:divBdr>
    </w:div>
    <w:div w:id="471599990">
      <w:bodyDiv w:val="1"/>
      <w:marLeft w:val="0"/>
      <w:marRight w:val="0"/>
      <w:marTop w:val="0"/>
      <w:marBottom w:val="0"/>
      <w:divBdr>
        <w:top w:val="none" w:sz="0" w:space="0" w:color="auto"/>
        <w:left w:val="none" w:sz="0" w:space="0" w:color="auto"/>
        <w:bottom w:val="none" w:sz="0" w:space="0" w:color="auto"/>
        <w:right w:val="none" w:sz="0" w:space="0" w:color="auto"/>
      </w:divBdr>
    </w:div>
    <w:div w:id="475296108">
      <w:bodyDiv w:val="1"/>
      <w:marLeft w:val="0"/>
      <w:marRight w:val="0"/>
      <w:marTop w:val="0"/>
      <w:marBottom w:val="0"/>
      <w:divBdr>
        <w:top w:val="none" w:sz="0" w:space="0" w:color="auto"/>
        <w:left w:val="none" w:sz="0" w:space="0" w:color="auto"/>
        <w:bottom w:val="none" w:sz="0" w:space="0" w:color="auto"/>
        <w:right w:val="none" w:sz="0" w:space="0" w:color="auto"/>
      </w:divBdr>
    </w:div>
    <w:div w:id="485904523">
      <w:bodyDiv w:val="1"/>
      <w:marLeft w:val="0"/>
      <w:marRight w:val="0"/>
      <w:marTop w:val="0"/>
      <w:marBottom w:val="0"/>
      <w:divBdr>
        <w:top w:val="none" w:sz="0" w:space="0" w:color="auto"/>
        <w:left w:val="none" w:sz="0" w:space="0" w:color="auto"/>
        <w:bottom w:val="none" w:sz="0" w:space="0" w:color="auto"/>
        <w:right w:val="none" w:sz="0" w:space="0" w:color="auto"/>
      </w:divBdr>
    </w:div>
    <w:div w:id="489174978">
      <w:bodyDiv w:val="1"/>
      <w:marLeft w:val="0"/>
      <w:marRight w:val="0"/>
      <w:marTop w:val="0"/>
      <w:marBottom w:val="0"/>
      <w:divBdr>
        <w:top w:val="none" w:sz="0" w:space="0" w:color="auto"/>
        <w:left w:val="none" w:sz="0" w:space="0" w:color="auto"/>
        <w:bottom w:val="none" w:sz="0" w:space="0" w:color="auto"/>
        <w:right w:val="none" w:sz="0" w:space="0" w:color="auto"/>
      </w:divBdr>
    </w:div>
    <w:div w:id="492792835">
      <w:bodyDiv w:val="1"/>
      <w:marLeft w:val="0"/>
      <w:marRight w:val="0"/>
      <w:marTop w:val="0"/>
      <w:marBottom w:val="0"/>
      <w:divBdr>
        <w:top w:val="none" w:sz="0" w:space="0" w:color="auto"/>
        <w:left w:val="none" w:sz="0" w:space="0" w:color="auto"/>
        <w:bottom w:val="none" w:sz="0" w:space="0" w:color="auto"/>
        <w:right w:val="none" w:sz="0" w:space="0" w:color="auto"/>
      </w:divBdr>
    </w:div>
    <w:div w:id="576403157">
      <w:bodyDiv w:val="1"/>
      <w:marLeft w:val="0"/>
      <w:marRight w:val="0"/>
      <w:marTop w:val="0"/>
      <w:marBottom w:val="0"/>
      <w:divBdr>
        <w:top w:val="none" w:sz="0" w:space="0" w:color="auto"/>
        <w:left w:val="none" w:sz="0" w:space="0" w:color="auto"/>
        <w:bottom w:val="none" w:sz="0" w:space="0" w:color="auto"/>
        <w:right w:val="none" w:sz="0" w:space="0" w:color="auto"/>
      </w:divBdr>
    </w:div>
    <w:div w:id="586303553">
      <w:bodyDiv w:val="1"/>
      <w:marLeft w:val="0"/>
      <w:marRight w:val="0"/>
      <w:marTop w:val="0"/>
      <w:marBottom w:val="0"/>
      <w:divBdr>
        <w:top w:val="none" w:sz="0" w:space="0" w:color="auto"/>
        <w:left w:val="none" w:sz="0" w:space="0" w:color="auto"/>
        <w:bottom w:val="none" w:sz="0" w:space="0" w:color="auto"/>
        <w:right w:val="none" w:sz="0" w:space="0" w:color="auto"/>
      </w:divBdr>
    </w:div>
    <w:div w:id="597493032">
      <w:bodyDiv w:val="1"/>
      <w:marLeft w:val="0"/>
      <w:marRight w:val="0"/>
      <w:marTop w:val="0"/>
      <w:marBottom w:val="0"/>
      <w:divBdr>
        <w:top w:val="none" w:sz="0" w:space="0" w:color="auto"/>
        <w:left w:val="none" w:sz="0" w:space="0" w:color="auto"/>
        <w:bottom w:val="none" w:sz="0" w:space="0" w:color="auto"/>
        <w:right w:val="none" w:sz="0" w:space="0" w:color="auto"/>
      </w:divBdr>
    </w:div>
    <w:div w:id="655458288">
      <w:bodyDiv w:val="1"/>
      <w:marLeft w:val="0"/>
      <w:marRight w:val="0"/>
      <w:marTop w:val="0"/>
      <w:marBottom w:val="0"/>
      <w:divBdr>
        <w:top w:val="none" w:sz="0" w:space="0" w:color="auto"/>
        <w:left w:val="none" w:sz="0" w:space="0" w:color="auto"/>
        <w:bottom w:val="none" w:sz="0" w:space="0" w:color="auto"/>
        <w:right w:val="none" w:sz="0" w:space="0" w:color="auto"/>
      </w:divBdr>
    </w:div>
    <w:div w:id="693386239">
      <w:bodyDiv w:val="1"/>
      <w:marLeft w:val="0"/>
      <w:marRight w:val="0"/>
      <w:marTop w:val="0"/>
      <w:marBottom w:val="0"/>
      <w:divBdr>
        <w:top w:val="none" w:sz="0" w:space="0" w:color="auto"/>
        <w:left w:val="none" w:sz="0" w:space="0" w:color="auto"/>
        <w:bottom w:val="none" w:sz="0" w:space="0" w:color="auto"/>
        <w:right w:val="none" w:sz="0" w:space="0" w:color="auto"/>
      </w:divBdr>
    </w:div>
    <w:div w:id="700668609">
      <w:bodyDiv w:val="1"/>
      <w:marLeft w:val="0"/>
      <w:marRight w:val="0"/>
      <w:marTop w:val="0"/>
      <w:marBottom w:val="0"/>
      <w:divBdr>
        <w:top w:val="none" w:sz="0" w:space="0" w:color="auto"/>
        <w:left w:val="none" w:sz="0" w:space="0" w:color="auto"/>
        <w:bottom w:val="none" w:sz="0" w:space="0" w:color="auto"/>
        <w:right w:val="none" w:sz="0" w:space="0" w:color="auto"/>
      </w:divBdr>
    </w:div>
    <w:div w:id="702098574">
      <w:bodyDiv w:val="1"/>
      <w:marLeft w:val="0"/>
      <w:marRight w:val="0"/>
      <w:marTop w:val="0"/>
      <w:marBottom w:val="0"/>
      <w:divBdr>
        <w:top w:val="none" w:sz="0" w:space="0" w:color="auto"/>
        <w:left w:val="none" w:sz="0" w:space="0" w:color="auto"/>
        <w:bottom w:val="none" w:sz="0" w:space="0" w:color="auto"/>
        <w:right w:val="none" w:sz="0" w:space="0" w:color="auto"/>
      </w:divBdr>
    </w:div>
    <w:div w:id="712457999">
      <w:bodyDiv w:val="1"/>
      <w:marLeft w:val="0"/>
      <w:marRight w:val="0"/>
      <w:marTop w:val="0"/>
      <w:marBottom w:val="0"/>
      <w:divBdr>
        <w:top w:val="none" w:sz="0" w:space="0" w:color="auto"/>
        <w:left w:val="none" w:sz="0" w:space="0" w:color="auto"/>
        <w:bottom w:val="none" w:sz="0" w:space="0" w:color="auto"/>
        <w:right w:val="none" w:sz="0" w:space="0" w:color="auto"/>
      </w:divBdr>
    </w:div>
    <w:div w:id="728840933">
      <w:bodyDiv w:val="1"/>
      <w:marLeft w:val="0"/>
      <w:marRight w:val="0"/>
      <w:marTop w:val="0"/>
      <w:marBottom w:val="0"/>
      <w:divBdr>
        <w:top w:val="none" w:sz="0" w:space="0" w:color="auto"/>
        <w:left w:val="none" w:sz="0" w:space="0" w:color="auto"/>
        <w:bottom w:val="none" w:sz="0" w:space="0" w:color="auto"/>
        <w:right w:val="none" w:sz="0" w:space="0" w:color="auto"/>
      </w:divBdr>
    </w:div>
    <w:div w:id="729576398">
      <w:bodyDiv w:val="1"/>
      <w:marLeft w:val="0"/>
      <w:marRight w:val="0"/>
      <w:marTop w:val="0"/>
      <w:marBottom w:val="0"/>
      <w:divBdr>
        <w:top w:val="none" w:sz="0" w:space="0" w:color="auto"/>
        <w:left w:val="none" w:sz="0" w:space="0" w:color="auto"/>
        <w:bottom w:val="none" w:sz="0" w:space="0" w:color="auto"/>
        <w:right w:val="none" w:sz="0" w:space="0" w:color="auto"/>
      </w:divBdr>
    </w:div>
    <w:div w:id="734280720">
      <w:bodyDiv w:val="1"/>
      <w:marLeft w:val="0"/>
      <w:marRight w:val="0"/>
      <w:marTop w:val="0"/>
      <w:marBottom w:val="0"/>
      <w:divBdr>
        <w:top w:val="none" w:sz="0" w:space="0" w:color="auto"/>
        <w:left w:val="none" w:sz="0" w:space="0" w:color="auto"/>
        <w:bottom w:val="none" w:sz="0" w:space="0" w:color="auto"/>
        <w:right w:val="none" w:sz="0" w:space="0" w:color="auto"/>
      </w:divBdr>
    </w:div>
    <w:div w:id="757293006">
      <w:bodyDiv w:val="1"/>
      <w:marLeft w:val="0"/>
      <w:marRight w:val="0"/>
      <w:marTop w:val="0"/>
      <w:marBottom w:val="0"/>
      <w:divBdr>
        <w:top w:val="none" w:sz="0" w:space="0" w:color="auto"/>
        <w:left w:val="none" w:sz="0" w:space="0" w:color="auto"/>
        <w:bottom w:val="none" w:sz="0" w:space="0" w:color="auto"/>
        <w:right w:val="none" w:sz="0" w:space="0" w:color="auto"/>
      </w:divBdr>
    </w:div>
    <w:div w:id="773095284">
      <w:bodyDiv w:val="1"/>
      <w:marLeft w:val="0"/>
      <w:marRight w:val="0"/>
      <w:marTop w:val="0"/>
      <w:marBottom w:val="0"/>
      <w:divBdr>
        <w:top w:val="none" w:sz="0" w:space="0" w:color="auto"/>
        <w:left w:val="none" w:sz="0" w:space="0" w:color="auto"/>
        <w:bottom w:val="none" w:sz="0" w:space="0" w:color="auto"/>
        <w:right w:val="none" w:sz="0" w:space="0" w:color="auto"/>
      </w:divBdr>
    </w:div>
    <w:div w:id="790516002">
      <w:bodyDiv w:val="1"/>
      <w:marLeft w:val="0"/>
      <w:marRight w:val="0"/>
      <w:marTop w:val="0"/>
      <w:marBottom w:val="0"/>
      <w:divBdr>
        <w:top w:val="none" w:sz="0" w:space="0" w:color="auto"/>
        <w:left w:val="none" w:sz="0" w:space="0" w:color="auto"/>
        <w:bottom w:val="none" w:sz="0" w:space="0" w:color="auto"/>
        <w:right w:val="none" w:sz="0" w:space="0" w:color="auto"/>
      </w:divBdr>
    </w:div>
    <w:div w:id="811484404">
      <w:bodyDiv w:val="1"/>
      <w:marLeft w:val="0"/>
      <w:marRight w:val="0"/>
      <w:marTop w:val="0"/>
      <w:marBottom w:val="0"/>
      <w:divBdr>
        <w:top w:val="none" w:sz="0" w:space="0" w:color="auto"/>
        <w:left w:val="none" w:sz="0" w:space="0" w:color="auto"/>
        <w:bottom w:val="none" w:sz="0" w:space="0" w:color="auto"/>
        <w:right w:val="none" w:sz="0" w:space="0" w:color="auto"/>
      </w:divBdr>
    </w:div>
    <w:div w:id="833303243">
      <w:bodyDiv w:val="1"/>
      <w:marLeft w:val="0"/>
      <w:marRight w:val="0"/>
      <w:marTop w:val="0"/>
      <w:marBottom w:val="0"/>
      <w:divBdr>
        <w:top w:val="none" w:sz="0" w:space="0" w:color="auto"/>
        <w:left w:val="none" w:sz="0" w:space="0" w:color="auto"/>
        <w:bottom w:val="none" w:sz="0" w:space="0" w:color="auto"/>
        <w:right w:val="none" w:sz="0" w:space="0" w:color="auto"/>
      </w:divBdr>
    </w:div>
    <w:div w:id="837037233">
      <w:bodyDiv w:val="1"/>
      <w:marLeft w:val="0"/>
      <w:marRight w:val="0"/>
      <w:marTop w:val="0"/>
      <w:marBottom w:val="0"/>
      <w:divBdr>
        <w:top w:val="none" w:sz="0" w:space="0" w:color="auto"/>
        <w:left w:val="none" w:sz="0" w:space="0" w:color="auto"/>
        <w:bottom w:val="none" w:sz="0" w:space="0" w:color="auto"/>
        <w:right w:val="none" w:sz="0" w:space="0" w:color="auto"/>
      </w:divBdr>
      <w:divsChild>
        <w:div w:id="1333072398">
          <w:marLeft w:val="0"/>
          <w:marRight w:val="0"/>
          <w:marTop w:val="0"/>
          <w:marBottom w:val="0"/>
          <w:divBdr>
            <w:top w:val="none" w:sz="0" w:space="0" w:color="auto"/>
            <w:left w:val="none" w:sz="0" w:space="0" w:color="auto"/>
            <w:bottom w:val="none" w:sz="0" w:space="0" w:color="auto"/>
            <w:right w:val="none" w:sz="0" w:space="0" w:color="auto"/>
          </w:divBdr>
        </w:div>
        <w:div w:id="718281642">
          <w:marLeft w:val="0"/>
          <w:marRight w:val="0"/>
          <w:marTop w:val="0"/>
          <w:marBottom w:val="0"/>
          <w:divBdr>
            <w:top w:val="none" w:sz="0" w:space="0" w:color="auto"/>
            <w:left w:val="none" w:sz="0" w:space="0" w:color="auto"/>
            <w:bottom w:val="none" w:sz="0" w:space="0" w:color="auto"/>
            <w:right w:val="none" w:sz="0" w:space="0" w:color="auto"/>
          </w:divBdr>
        </w:div>
        <w:div w:id="1516503614">
          <w:marLeft w:val="0"/>
          <w:marRight w:val="0"/>
          <w:marTop w:val="0"/>
          <w:marBottom w:val="0"/>
          <w:divBdr>
            <w:top w:val="none" w:sz="0" w:space="0" w:color="auto"/>
            <w:left w:val="none" w:sz="0" w:space="0" w:color="auto"/>
            <w:bottom w:val="none" w:sz="0" w:space="0" w:color="auto"/>
            <w:right w:val="none" w:sz="0" w:space="0" w:color="auto"/>
          </w:divBdr>
        </w:div>
        <w:div w:id="323319047">
          <w:marLeft w:val="0"/>
          <w:marRight w:val="0"/>
          <w:marTop w:val="0"/>
          <w:marBottom w:val="0"/>
          <w:divBdr>
            <w:top w:val="none" w:sz="0" w:space="0" w:color="auto"/>
            <w:left w:val="none" w:sz="0" w:space="0" w:color="auto"/>
            <w:bottom w:val="none" w:sz="0" w:space="0" w:color="auto"/>
            <w:right w:val="none" w:sz="0" w:space="0" w:color="auto"/>
          </w:divBdr>
        </w:div>
      </w:divsChild>
    </w:div>
    <w:div w:id="866984828">
      <w:bodyDiv w:val="1"/>
      <w:marLeft w:val="0"/>
      <w:marRight w:val="0"/>
      <w:marTop w:val="0"/>
      <w:marBottom w:val="0"/>
      <w:divBdr>
        <w:top w:val="none" w:sz="0" w:space="0" w:color="auto"/>
        <w:left w:val="none" w:sz="0" w:space="0" w:color="auto"/>
        <w:bottom w:val="none" w:sz="0" w:space="0" w:color="auto"/>
        <w:right w:val="none" w:sz="0" w:space="0" w:color="auto"/>
      </w:divBdr>
    </w:div>
    <w:div w:id="871767159">
      <w:bodyDiv w:val="1"/>
      <w:marLeft w:val="0"/>
      <w:marRight w:val="0"/>
      <w:marTop w:val="0"/>
      <w:marBottom w:val="0"/>
      <w:divBdr>
        <w:top w:val="none" w:sz="0" w:space="0" w:color="auto"/>
        <w:left w:val="none" w:sz="0" w:space="0" w:color="auto"/>
        <w:bottom w:val="none" w:sz="0" w:space="0" w:color="auto"/>
        <w:right w:val="none" w:sz="0" w:space="0" w:color="auto"/>
      </w:divBdr>
    </w:div>
    <w:div w:id="895236588">
      <w:bodyDiv w:val="1"/>
      <w:marLeft w:val="0"/>
      <w:marRight w:val="0"/>
      <w:marTop w:val="0"/>
      <w:marBottom w:val="0"/>
      <w:divBdr>
        <w:top w:val="none" w:sz="0" w:space="0" w:color="auto"/>
        <w:left w:val="none" w:sz="0" w:space="0" w:color="auto"/>
        <w:bottom w:val="none" w:sz="0" w:space="0" w:color="auto"/>
        <w:right w:val="none" w:sz="0" w:space="0" w:color="auto"/>
      </w:divBdr>
    </w:div>
    <w:div w:id="900098903">
      <w:bodyDiv w:val="1"/>
      <w:marLeft w:val="0"/>
      <w:marRight w:val="0"/>
      <w:marTop w:val="0"/>
      <w:marBottom w:val="0"/>
      <w:divBdr>
        <w:top w:val="none" w:sz="0" w:space="0" w:color="auto"/>
        <w:left w:val="none" w:sz="0" w:space="0" w:color="auto"/>
        <w:bottom w:val="none" w:sz="0" w:space="0" w:color="auto"/>
        <w:right w:val="none" w:sz="0" w:space="0" w:color="auto"/>
      </w:divBdr>
    </w:div>
    <w:div w:id="904610260">
      <w:bodyDiv w:val="1"/>
      <w:marLeft w:val="0"/>
      <w:marRight w:val="0"/>
      <w:marTop w:val="0"/>
      <w:marBottom w:val="0"/>
      <w:divBdr>
        <w:top w:val="none" w:sz="0" w:space="0" w:color="auto"/>
        <w:left w:val="none" w:sz="0" w:space="0" w:color="auto"/>
        <w:bottom w:val="none" w:sz="0" w:space="0" w:color="auto"/>
        <w:right w:val="none" w:sz="0" w:space="0" w:color="auto"/>
      </w:divBdr>
    </w:div>
    <w:div w:id="939214397">
      <w:bodyDiv w:val="1"/>
      <w:marLeft w:val="0"/>
      <w:marRight w:val="0"/>
      <w:marTop w:val="0"/>
      <w:marBottom w:val="0"/>
      <w:divBdr>
        <w:top w:val="none" w:sz="0" w:space="0" w:color="auto"/>
        <w:left w:val="none" w:sz="0" w:space="0" w:color="auto"/>
        <w:bottom w:val="none" w:sz="0" w:space="0" w:color="auto"/>
        <w:right w:val="none" w:sz="0" w:space="0" w:color="auto"/>
      </w:divBdr>
    </w:div>
    <w:div w:id="955016757">
      <w:bodyDiv w:val="1"/>
      <w:marLeft w:val="0"/>
      <w:marRight w:val="0"/>
      <w:marTop w:val="0"/>
      <w:marBottom w:val="0"/>
      <w:divBdr>
        <w:top w:val="none" w:sz="0" w:space="0" w:color="auto"/>
        <w:left w:val="none" w:sz="0" w:space="0" w:color="auto"/>
        <w:bottom w:val="none" w:sz="0" w:space="0" w:color="auto"/>
        <w:right w:val="none" w:sz="0" w:space="0" w:color="auto"/>
      </w:divBdr>
    </w:div>
    <w:div w:id="978651645">
      <w:bodyDiv w:val="1"/>
      <w:marLeft w:val="0"/>
      <w:marRight w:val="0"/>
      <w:marTop w:val="0"/>
      <w:marBottom w:val="0"/>
      <w:divBdr>
        <w:top w:val="none" w:sz="0" w:space="0" w:color="auto"/>
        <w:left w:val="none" w:sz="0" w:space="0" w:color="auto"/>
        <w:bottom w:val="none" w:sz="0" w:space="0" w:color="auto"/>
        <w:right w:val="none" w:sz="0" w:space="0" w:color="auto"/>
      </w:divBdr>
    </w:div>
    <w:div w:id="1000700642">
      <w:bodyDiv w:val="1"/>
      <w:marLeft w:val="0"/>
      <w:marRight w:val="0"/>
      <w:marTop w:val="0"/>
      <w:marBottom w:val="0"/>
      <w:divBdr>
        <w:top w:val="none" w:sz="0" w:space="0" w:color="auto"/>
        <w:left w:val="none" w:sz="0" w:space="0" w:color="auto"/>
        <w:bottom w:val="none" w:sz="0" w:space="0" w:color="auto"/>
        <w:right w:val="none" w:sz="0" w:space="0" w:color="auto"/>
      </w:divBdr>
    </w:div>
    <w:div w:id="1001082690">
      <w:bodyDiv w:val="1"/>
      <w:marLeft w:val="0"/>
      <w:marRight w:val="0"/>
      <w:marTop w:val="0"/>
      <w:marBottom w:val="0"/>
      <w:divBdr>
        <w:top w:val="none" w:sz="0" w:space="0" w:color="auto"/>
        <w:left w:val="none" w:sz="0" w:space="0" w:color="auto"/>
        <w:bottom w:val="none" w:sz="0" w:space="0" w:color="auto"/>
        <w:right w:val="none" w:sz="0" w:space="0" w:color="auto"/>
      </w:divBdr>
    </w:div>
    <w:div w:id="1032998810">
      <w:bodyDiv w:val="1"/>
      <w:marLeft w:val="0"/>
      <w:marRight w:val="0"/>
      <w:marTop w:val="0"/>
      <w:marBottom w:val="0"/>
      <w:divBdr>
        <w:top w:val="none" w:sz="0" w:space="0" w:color="auto"/>
        <w:left w:val="none" w:sz="0" w:space="0" w:color="auto"/>
        <w:bottom w:val="none" w:sz="0" w:space="0" w:color="auto"/>
        <w:right w:val="none" w:sz="0" w:space="0" w:color="auto"/>
      </w:divBdr>
    </w:div>
    <w:div w:id="1049181974">
      <w:bodyDiv w:val="1"/>
      <w:marLeft w:val="0"/>
      <w:marRight w:val="0"/>
      <w:marTop w:val="0"/>
      <w:marBottom w:val="0"/>
      <w:divBdr>
        <w:top w:val="none" w:sz="0" w:space="0" w:color="auto"/>
        <w:left w:val="none" w:sz="0" w:space="0" w:color="auto"/>
        <w:bottom w:val="none" w:sz="0" w:space="0" w:color="auto"/>
        <w:right w:val="none" w:sz="0" w:space="0" w:color="auto"/>
      </w:divBdr>
    </w:div>
    <w:div w:id="1077748652">
      <w:bodyDiv w:val="1"/>
      <w:marLeft w:val="0"/>
      <w:marRight w:val="0"/>
      <w:marTop w:val="0"/>
      <w:marBottom w:val="0"/>
      <w:divBdr>
        <w:top w:val="none" w:sz="0" w:space="0" w:color="auto"/>
        <w:left w:val="none" w:sz="0" w:space="0" w:color="auto"/>
        <w:bottom w:val="none" w:sz="0" w:space="0" w:color="auto"/>
        <w:right w:val="none" w:sz="0" w:space="0" w:color="auto"/>
      </w:divBdr>
    </w:div>
    <w:div w:id="1134450736">
      <w:bodyDiv w:val="1"/>
      <w:marLeft w:val="0"/>
      <w:marRight w:val="0"/>
      <w:marTop w:val="0"/>
      <w:marBottom w:val="0"/>
      <w:divBdr>
        <w:top w:val="none" w:sz="0" w:space="0" w:color="auto"/>
        <w:left w:val="none" w:sz="0" w:space="0" w:color="auto"/>
        <w:bottom w:val="none" w:sz="0" w:space="0" w:color="auto"/>
        <w:right w:val="none" w:sz="0" w:space="0" w:color="auto"/>
      </w:divBdr>
      <w:divsChild>
        <w:div w:id="1838960199">
          <w:marLeft w:val="0"/>
          <w:marRight w:val="0"/>
          <w:marTop w:val="0"/>
          <w:marBottom w:val="0"/>
          <w:divBdr>
            <w:top w:val="none" w:sz="0" w:space="0" w:color="auto"/>
            <w:left w:val="none" w:sz="0" w:space="0" w:color="auto"/>
            <w:bottom w:val="none" w:sz="0" w:space="0" w:color="auto"/>
            <w:right w:val="none" w:sz="0" w:space="0" w:color="auto"/>
          </w:divBdr>
        </w:div>
        <w:div w:id="728919407">
          <w:marLeft w:val="0"/>
          <w:marRight w:val="0"/>
          <w:marTop w:val="0"/>
          <w:marBottom w:val="0"/>
          <w:divBdr>
            <w:top w:val="none" w:sz="0" w:space="0" w:color="auto"/>
            <w:left w:val="none" w:sz="0" w:space="0" w:color="auto"/>
            <w:bottom w:val="none" w:sz="0" w:space="0" w:color="auto"/>
            <w:right w:val="none" w:sz="0" w:space="0" w:color="auto"/>
          </w:divBdr>
        </w:div>
        <w:div w:id="1549225807">
          <w:marLeft w:val="0"/>
          <w:marRight w:val="0"/>
          <w:marTop w:val="0"/>
          <w:marBottom w:val="0"/>
          <w:divBdr>
            <w:top w:val="none" w:sz="0" w:space="0" w:color="auto"/>
            <w:left w:val="none" w:sz="0" w:space="0" w:color="auto"/>
            <w:bottom w:val="none" w:sz="0" w:space="0" w:color="auto"/>
            <w:right w:val="none" w:sz="0" w:space="0" w:color="auto"/>
          </w:divBdr>
        </w:div>
        <w:div w:id="905804206">
          <w:marLeft w:val="0"/>
          <w:marRight w:val="0"/>
          <w:marTop w:val="0"/>
          <w:marBottom w:val="0"/>
          <w:divBdr>
            <w:top w:val="none" w:sz="0" w:space="0" w:color="auto"/>
            <w:left w:val="none" w:sz="0" w:space="0" w:color="auto"/>
            <w:bottom w:val="none" w:sz="0" w:space="0" w:color="auto"/>
            <w:right w:val="none" w:sz="0" w:space="0" w:color="auto"/>
          </w:divBdr>
        </w:div>
      </w:divsChild>
    </w:div>
    <w:div w:id="1142625196">
      <w:bodyDiv w:val="1"/>
      <w:marLeft w:val="0"/>
      <w:marRight w:val="0"/>
      <w:marTop w:val="0"/>
      <w:marBottom w:val="0"/>
      <w:divBdr>
        <w:top w:val="none" w:sz="0" w:space="0" w:color="auto"/>
        <w:left w:val="none" w:sz="0" w:space="0" w:color="auto"/>
        <w:bottom w:val="none" w:sz="0" w:space="0" w:color="auto"/>
        <w:right w:val="none" w:sz="0" w:space="0" w:color="auto"/>
      </w:divBdr>
    </w:div>
    <w:div w:id="1171682522">
      <w:bodyDiv w:val="1"/>
      <w:marLeft w:val="0"/>
      <w:marRight w:val="0"/>
      <w:marTop w:val="0"/>
      <w:marBottom w:val="0"/>
      <w:divBdr>
        <w:top w:val="none" w:sz="0" w:space="0" w:color="auto"/>
        <w:left w:val="none" w:sz="0" w:space="0" w:color="auto"/>
        <w:bottom w:val="none" w:sz="0" w:space="0" w:color="auto"/>
        <w:right w:val="none" w:sz="0" w:space="0" w:color="auto"/>
      </w:divBdr>
    </w:div>
    <w:div w:id="1191451191">
      <w:bodyDiv w:val="1"/>
      <w:marLeft w:val="0"/>
      <w:marRight w:val="0"/>
      <w:marTop w:val="0"/>
      <w:marBottom w:val="0"/>
      <w:divBdr>
        <w:top w:val="none" w:sz="0" w:space="0" w:color="auto"/>
        <w:left w:val="none" w:sz="0" w:space="0" w:color="auto"/>
        <w:bottom w:val="none" w:sz="0" w:space="0" w:color="auto"/>
        <w:right w:val="none" w:sz="0" w:space="0" w:color="auto"/>
      </w:divBdr>
    </w:div>
    <w:div w:id="1206911743">
      <w:bodyDiv w:val="1"/>
      <w:marLeft w:val="0"/>
      <w:marRight w:val="0"/>
      <w:marTop w:val="0"/>
      <w:marBottom w:val="0"/>
      <w:divBdr>
        <w:top w:val="none" w:sz="0" w:space="0" w:color="auto"/>
        <w:left w:val="none" w:sz="0" w:space="0" w:color="auto"/>
        <w:bottom w:val="none" w:sz="0" w:space="0" w:color="auto"/>
        <w:right w:val="none" w:sz="0" w:space="0" w:color="auto"/>
      </w:divBdr>
    </w:div>
    <w:div w:id="1224950877">
      <w:bodyDiv w:val="1"/>
      <w:marLeft w:val="0"/>
      <w:marRight w:val="0"/>
      <w:marTop w:val="0"/>
      <w:marBottom w:val="0"/>
      <w:divBdr>
        <w:top w:val="none" w:sz="0" w:space="0" w:color="auto"/>
        <w:left w:val="none" w:sz="0" w:space="0" w:color="auto"/>
        <w:bottom w:val="none" w:sz="0" w:space="0" w:color="auto"/>
        <w:right w:val="none" w:sz="0" w:space="0" w:color="auto"/>
      </w:divBdr>
    </w:div>
    <w:div w:id="1235819010">
      <w:bodyDiv w:val="1"/>
      <w:marLeft w:val="0"/>
      <w:marRight w:val="0"/>
      <w:marTop w:val="0"/>
      <w:marBottom w:val="0"/>
      <w:divBdr>
        <w:top w:val="none" w:sz="0" w:space="0" w:color="auto"/>
        <w:left w:val="none" w:sz="0" w:space="0" w:color="auto"/>
        <w:bottom w:val="none" w:sz="0" w:space="0" w:color="auto"/>
        <w:right w:val="none" w:sz="0" w:space="0" w:color="auto"/>
      </w:divBdr>
    </w:div>
    <w:div w:id="1241914656">
      <w:bodyDiv w:val="1"/>
      <w:marLeft w:val="0"/>
      <w:marRight w:val="0"/>
      <w:marTop w:val="0"/>
      <w:marBottom w:val="0"/>
      <w:divBdr>
        <w:top w:val="none" w:sz="0" w:space="0" w:color="auto"/>
        <w:left w:val="none" w:sz="0" w:space="0" w:color="auto"/>
        <w:bottom w:val="none" w:sz="0" w:space="0" w:color="auto"/>
        <w:right w:val="none" w:sz="0" w:space="0" w:color="auto"/>
      </w:divBdr>
    </w:div>
    <w:div w:id="1246499159">
      <w:bodyDiv w:val="1"/>
      <w:marLeft w:val="0"/>
      <w:marRight w:val="0"/>
      <w:marTop w:val="0"/>
      <w:marBottom w:val="0"/>
      <w:divBdr>
        <w:top w:val="none" w:sz="0" w:space="0" w:color="auto"/>
        <w:left w:val="none" w:sz="0" w:space="0" w:color="auto"/>
        <w:bottom w:val="none" w:sz="0" w:space="0" w:color="auto"/>
        <w:right w:val="none" w:sz="0" w:space="0" w:color="auto"/>
      </w:divBdr>
    </w:div>
    <w:div w:id="1261332781">
      <w:bodyDiv w:val="1"/>
      <w:marLeft w:val="0"/>
      <w:marRight w:val="0"/>
      <w:marTop w:val="0"/>
      <w:marBottom w:val="0"/>
      <w:divBdr>
        <w:top w:val="none" w:sz="0" w:space="0" w:color="auto"/>
        <w:left w:val="none" w:sz="0" w:space="0" w:color="auto"/>
        <w:bottom w:val="none" w:sz="0" w:space="0" w:color="auto"/>
        <w:right w:val="none" w:sz="0" w:space="0" w:color="auto"/>
      </w:divBdr>
    </w:div>
    <w:div w:id="1262908904">
      <w:bodyDiv w:val="1"/>
      <w:marLeft w:val="0"/>
      <w:marRight w:val="0"/>
      <w:marTop w:val="0"/>
      <w:marBottom w:val="0"/>
      <w:divBdr>
        <w:top w:val="none" w:sz="0" w:space="0" w:color="auto"/>
        <w:left w:val="none" w:sz="0" w:space="0" w:color="auto"/>
        <w:bottom w:val="none" w:sz="0" w:space="0" w:color="auto"/>
        <w:right w:val="none" w:sz="0" w:space="0" w:color="auto"/>
      </w:divBdr>
    </w:div>
    <w:div w:id="1282957109">
      <w:bodyDiv w:val="1"/>
      <w:marLeft w:val="0"/>
      <w:marRight w:val="0"/>
      <w:marTop w:val="0"/>
      <w:marBottom w:val="0"/>
      <w:divBdr>
        <w:top w:val="none" w:sz="0" w:space="0" w:color="auto"/>
        <w:left w:val="none" w:sz="0" w:space="0" w:color="auto"/>
        <w:bottom w:val="none" w:sz="0" w:space="0" w:color="auto"/>
        <w:right w:val="none" w:sz="0" w:space="0" w:color="auto"/>
      </w:divBdr>
    </w:div>
    <w:div w:id="1304315576">
      <w:bodyDiv w:val="1"/>
      <w:marLeft w:val="0"/>
      <w:marRight w:val="0"/>
      <w:marTop w:val="0"/>
      <w:marBottom w:val="0"/>
      <w:divBdr>
        <w:top w:val="none" w:sz="0" w:space="0" w:color="auto"/>
        <w:left w:val="none" w:sz="0" w:space="0" w:color="auto"/>
        <w:bottom w:val="none" w:sz="0" w:space="0" w:color="auto"/>
        <w:right w:val="none" w:sz="0" w:space="0" w:color="auto"/>
      </w:divBdr>
    </w:div>
    <w:div w:id="1320695625">
      <w:bodyDiv w:val="1"/>
      <w:marLeft w:val="0"/>
      <w:marRight w:val="0"/>
      <w:marTop w:val="0"/>
      <w:marBottom w:val="0"/>
      <w:divBdr>
        <w:top w:val="none" w:sz="0" w:space="0" w:color="auto"/>
        <w:left w:val="none" w:sz="0" w:space="0" w:color="auto"/>
        <w:bottom w:val="none" w:sz="0" w:space="0" w:color="auto"/>
        <w:right w:val="none" w:sz="0" w:space="0" w:color="auto"/>
      </w:divBdr>
    </w:div>
    <w:div w:id="1363022135">
      <w:bodyDiv w:val="1"/>
      <w:marLeft w:val="0"/>
      <w:marRight w:val="0"/>
      <w:marTop w:val="0"/>
      <w:marBottom w:val="0"/>
      <w:divBdr>
        <w:top w:val="none" w:sz="0" w:space="0" w:color="auto"/>
        <w:left w:val="none" w:sz="0" w:space="0" w:color="auto"/>
        <w:bottom w:val="none" w:sz="0" w:space="0" w:color="auto"/>
        <w:right w:val="none" w:sz="0" w:space="0" w:color="auto"/>
      </w:divBdr>
    </w:div>
    <w:div w:id="1368917107">
      <w:bodyDiv w:val="1"/>
      <w:marLeft w:val="0"/>
      <w:marRight w:val="0"/>
      <w:marTop w:val="0"/>
      <w:marBottom w:val="0"/>
      <w:divBdr>
        <w:top w:val="none" w:sz="0" w:space="0" w:color="auto"/>
        <w:left w:val="none" w:sz="0" w:space="0" w:color="auto"/>
        <w:bottom w:val="none" w:sz="0" w:space="0" w:color="auto"/>
        <w:right w:val="none" w:sz="0" w:space="0" w:color="auto"/>
      </w:divBdr>
    </w:div>
    <w:div w:id="1387755421">
      <w:bodyDiv w:val="1"/>
      <w:marLeft w:val="0"/>
      <w:marRight w:val="0"/>
      <w:marTop w:val="0"/>
      <w:marBottom w:val="0"/>
      <w:divBdr>
        <w:top w:val="none" w:sz="0" w:space="0" w:color="auto"/>
        <w:left w:val="none" w:sz="0" w:space="0" w:color="auto"/>
        <w:bottom w:val="none" w:sz="0" w:space="0" w:color="auto"/>
        <w:right w:val="none" w:sz="0" w:space="0" w:color="auto"/>
      </w:divBdr>
    </w:div>
    <w:div w:id="1410542345">
      <w:bodyDiv w:val="1"/>
      <w:marLeft w:val="0"/>
      <w:marRight w:val="0"/>
      <w:marTop w:val="0"/>
      <w:marBottom w:val="0"/>
      <w:divBdr>
        <w:top w:val="none" w:sz="0" w:space="0" w:color="auto"/>
        <w:left w:val="none" w:sz="0" w:space="0" w:color="auto"/>
        <w:bottom w:val="none" w:sz="0" w:space="0" w:color="auto"/>
        <w:right w:val="none" w:sz="0" w:space="0" w:color="auto"/>
      </w:divBdr>
    </w:div>
    <w:div w:id="1419600306">
      <w:bodyDiv w:val="1"/>
      <w:marLeft w:val="0"/>
      <w:marRight w:val="0"/>
      <w:marTop w:val="0"/>
      <w:marBottom w:val="0"/>
      <w:divBdr>
        <w:top w:val="none" w:sz="0" w:space="0" w:color="auto"/>
        <w:left w:val="none" w:sz="0" w:space="0" w:color="auto"/>
        <w:bottom w:val="none" w:sz="0" w:space="0" w:color="auto"/>
        <w:right w:val="none" w:sz="0" w:space="0" w:color="auto"/>
      </w:divBdr>
    </w:div>
    <w:div w:id="1419709730">
      <w:bodyDiv w:val="1"/>
      <w:marLeft w:val="0"/>
      <w:marRight w:val="0"/>
      <w:marTop w:val="0"/>
      <w:marBottom w:val="0"/>
      <w:divBdr>
        <w:top w:val="none" w:sz="0" w:space="0" w:color="auto"/>
        <w:left w:val="none" w:sz="0" w:space="0" w:color="auto"/>
        <w:bottom w:val="none" w:sz="0" w:space="0" w:color="auto"/>
        <w:right w:val="none" w:sz="0" w:space="0" w:color="auto"/>
      </w:divBdr>
    </w:div>
    <w:div w:id="1435325856">
      <w:bodyDiv w:val="1"/>
      <w:marLeft w:val="0"/>
      <w:marRight w:val="0"/>
      <w:marTop w:val="0"/>
      <w:marBottom w:val="0"/>
      <w:divBdr>
        <w:top w:val="none" w:sz="0" w:space="0" w:color="auto"/>
        <w:left w:val="none" w:sz="0" w:space="0" w:color="auto"/>
        <w:bottom w:val="none" w:sz="0" w:space="0" w:color="auto"/>
        <w:right w:val="none" w:sz="0" w:space="0" w:color="auto"/>
      </w:divBdr>
    </w:div>
    <w:div w:id="1444230062">
      <w:bodyDiv w:val="1"/>
      <w:marLeft w:val="0"/>
      <w:marRight w:val="0"/>
      <w:marTop w:val="0"/>
      <w:marBottom w:val="0"/>
      <w:divBdr>
        <w:top w:val="none" w:sz="0" w:space="0" w:color="auto"/>
        <w:left w:val="none" w:sz="0" w:space="0" w:color="auto"/>
        <w:bottom w:val="none" w:sz="0" w:space="0" w:color="auto"/>
        <w:right w:val="none" w:sz="0" w:space="0" w:color="auto"/>
      </w:divBdr>
    </w:div>
    <w:div w:id="1452094621">
      <w:bodyDiv w:val="1"/>
      <w:marLeft w:val="0"/>
      <w:marRight w:val="0"/>
      <w:marTop w:val="0"/>
      <w:marBottom w:val="0"/>
      <w:divBdr>
        <w:top w:val="none" w:sz="0" w:space="0" w:color="auto"/>
        <w:left w:val="none" w:sz="0" w:space="0" w:color="auto"/>
        <w:bottom w:val="none" w:sz="0" w:space="0" w:color="auto"/>
        <w:right w:val="none" w:sz="0" w:space="0" w:color="auto"/>
      </w:divBdr>
    </w:div>
    <w:div w:id="1456678884">
      <w:bodyDiv w:val="1"/>
      <w:marLeft w:val="0"/>
      <w:marRight w:val="0"/>
      <w:marTop w:val="0"/>
      <w:marBottom w:val="0"/>
      <w:divBdr>
        <w:top w:val="none" w:sz="0" w:space="0" w:color="auto"/>
        <w:left w:val="none" w:sz="0" w:space="0" w:color="auto"/>
        <w:bottom w:val="none" w:sz="0" w:space="0" w:color="auto"/>
        <w:right w:val="none" w:sz="0" w:space="0" w:color="auto"/>
      </w:divBdr>
    </w:div>
    <w:div w:id="1458598122">
      <w:bodyDiv w:val="1"/>
      <w:marLeft w:val="0"/>
      <w:marRight w:val="0"/>
      <w:marTop w:val="0"/>
      <w:marBottom w:val="0"/>
      <w:divBdr>
        <w:top w:val="none" w:sz="0" w:space="0" w:color="auto"/>
        <w:left w:val="none" w:sz="0" w:space="0" w:color="auto"/>
        <w:bottom w:val="none" w:sz="0" w:space="0" w:color="auto"/>
        <w:right w:val="none" w:sz="0" w:space="0" w:color="auto"/>
      </w:divBdr>
    </w:div>
    <w:div w:id="1475565737">
      <w:bodyDiv w:val="1"/>
      <w:marLeft w:val="0"/>
      <w:marRight w:val="0"/>
      <w:marTop w:val="0"/>
      <w:marBottom w:val="0"/>
      <w:divBdr>
        <w:top w:val="none" w:sz="0" w:space="0" w:color="auto"/>
        <w:left w:val="none" w:sz="0" w:space="0" w:color="auto"/>
        <w:bottom w:val="none" w:sz="0" w:space="0" w:color="auto"/>
        <w:right w:val="none" w:sz="0" w:space="0" w:color="auto"/>
      </w:divBdr>
    </w:div>
    <w:div w:id="1484618487">
      <w:bodyDiv w:val="1"/>
      <w:marLeft w:val="0"/>
      <w:marRight w:val="0"/>
      <w:marTop w:val="0"/>
      <w:marBottom w:val="0"/>
      <w:divBdr>
        <w:top w:val="none" w:sz="0" w:space="0" w:color="auto"/>
        <w:left w:val="none" w:sz="0" w:space="0" w:color="auto"/>
        <w:bottom w:val="none" w:sz="0" w:space="0" w:color="auto"/>
        <w:right w:val="none" w:sz="0" w:space="0" w:color="auto"/>
      </w:divBdr>
    </w:div>
    <w:div w:id="1505976693">
      <w:bodyDiv w:val="1"/>
      <w:marLeft w:val="0"/>
      <w:marRight w:val="0"/>
      <w:marTop w:val="0"/>
      <w:marBottom w:val="0"/>
      <w:divBdr>
        <w:top w:val="none" w:sz="0" w:space="0" w:color="auto"/>
        <w:left w:val="none" w:sz="0" w:space="0" w:color="auto"/>
        <w:bottom w:val="none" w:sz="0" w:space="0" w:color="auto"/>
        <w:right w:val="none" w:sz="0" w:space="0" w:color="auto"/>
      </w:divBdr>
    </w:div>
    <w:div w:id="1512841548">
      <w:bodyDiv w:val="1"/>
      <w:marLeft w:val="0"/>
      <w:marRight w:val="0"/>
      <w:marTop w:val="0"/>
      <w:marBottom w:val="0"/>
      <w:divBdr>
        <w:top w:val="none" w:sz="0" w:space="0" w:color="auto"/>
        <w:left w:val="none" w:sz="0" w:space="0" w:color="auto"/>
        <w:bottom w:val="none" w:sz="0" w:space="0" w:color="auto"/>
        <w:right w:val="none" w:sz="0" w:space="0" w:color="auto"/>
      </w:divBdr>
    </w:div>
    <w:div w:id="1513031418">
      <w:bodyDiv w:val="1"/>
      <w:marLeft w:val="0"/>
      <w:marRight w:val="0"/>
      <w:marTop w:val="0"/>
      <w:marBottom w:val="0"/>
      <w:divBdr>
        <w:top w:val="none" w:sz="0" w:space="0" w:color="auto"/>
        <w:left w:val="none" w:sz="0" w:space="0" w:color="auto"/>
        <w:bottom w:val="none" w:sz="0" w:space="0" w:color="auto"/>
        <w:right w:val="none" w:sz="0" w:space="0" w:color="auto"/>
      </w:divBdr>
    </w:div>
    <w:div w:id="1549754669">
      <w:bodyDiv w:val="1"/>
      <w:marLeft w:val="0"/>
      <w:marRight w:val="0"/>
      <w:marTop w:val="0"/>
      <w:marBottom w:val="0"/>
      <w:divBdr>
        <w:top w:val="none" w:sz="0" w:space="0" w:color="auto"/>
        <w:left w:val="none" w:sz="0" w:space="0" w:color="auto"/>
        <w:bottom w:val="none" w:sz="0" w:space="0" w:color="auto"/>
        <w:right w:val="none" w:sz="0" w:space="0" w:color="auto"/>
      </w:divBdr>
    </w:div>
    <w:div w:id="1558852611">
      <w:bodyDiv w:val="1"/>
      <w:marLeft w:val="0"/>
      <w:marRight w:val="0"/>
      <w:marTop w:val="0"/>
      <w:marBottom w:val="0"/>
      <w:divBdr>
        <w:top w:val="none" w:sz="0" w:space="0" w:color="auto"/>
        <w:left w:val="none" w:sz="0" w:space="0" w:color="auto"/>
        <w:bottom w:val="none" w:sz="0" w:space="0" w:color="auto"/>
        <w:right w:val="none" w:sz="0" w:space="0" w:color="auto"/>
      </w:divBdr>
    </w:div>
    <w:div w:id="1595819802">
      <w:bodyDiv w:val="1"/>
      <w:marLeft w:val="0"/>
      <w:marRight w:val="0"/>
      <w:marTop w:val="0"/>
      <w:marBottom w:val="0"/>
      <w:divBdr>
        <w:top w:val="none" w:sz="0" w:space="0" w:color="auto"/>
        <w:left w:val="none" w:sz="0" w:space="0" w:color="auto"/>
        <w:bottom w:val="none" w:sz="0" w:space="0" w:color="auto"/>
        <w:right w:val="none" w:sz="0" w:space="0" w:color="auto"/>
      </w:divBdr>
    </w:div>
    <w:div w:id="1609698010">
      <w:bodyDiv w:val="1"/>
      <w:marLeft w:val="0"/>
      <w:marRight w:val="0"/>
      <w:marTop w:val="0"/>
      <w:marBottom w:val="0"/>
      <w:divBdr>
        <w:top w:val="none" w:sz="0" w:space="0" w:color="auto"/>
        <w:left w:val="none" w:sz="0" w:space="0" w:color="auto"/>
        <w:bottom w:val="none" w:sz="0" w:space="0" w:color="auto"/>
        <w:right w:val="none" w:sz="0" w:space="0" w:color="auto"/>
      </w:divBdr>
    </w:div>
    <w:div w:id="1618752689">
      <w:bodyDiv w:val="1"/>
      <w:marLeft w:val="0"/>
      <w:marRight w:val="0"/>
      <w:marTop w:val="0"/>
      <w:marBottom w:val="0"/>
      <w:divBdr>
        <w:top w:val="none" w:sz="0" w:space="0" w:color="auto"/>
        <w:left w:val="none" w:sz="0" w:space="0" w:color="auto"/>
        <w:bottom w:val="none" w:sz="0" w:space="0" w:color="auto"/>
        <w:right w:val="none" w:sz="0" w:space="0" w:color="auto"/>
      </w:divBdr>
    </w:div>
    <w:div w:id="1633101000">
      <w:bodyDiv w:val="1"/>
      <w:marLeft w:val="0"/>
      <w:marRight w:val="0"/>
      <w:marTop w:val="0"/>
      <w:marBottom w:val="0"/>
      <w:divBdr>
        <w:top w:val="none" w:sz="0" w:space="0" w:color="auto"/>
        <w:left w:val="none" w:sz="0" w:space="0" w:color="auto"/>
        <w:bottom w:val="none" w:sz="0" w:space="0" w:color="auto"/>
        <w:right w:val="none" w:sz="0" w:space="0" w:color="auto"/>
      </w:divBdr>
    </w:div>
    <w:div w:id="1641418803">
      <w:bodyDiv w:val="1"/>
      <w:marLeft w:val="0"/>
      <w:marRight w:val="0"/>
      <w:marTop w:val="0"/>
      <w:marBottom w:val="0"/>
      <w:divBdr>
        <w:top w:val="none" w:sz="0" w:space="0" w:color="auto"/>
        <w:left w:val="none" w:sz="0" w:space="0" w:color="auto"/>
        <w:bottom w:val="none" w:sz="0" w:space="0" w:color="auto"/>
        <w:right w:val="none" w:sz="0" w:space="0" w:color="auto"/>
      </w:divBdr>
    </w:div>
    <w:div w:id="1646465962">
      <w:bodyDiv w:val="1"/>
      <w:marLeft w:val="0"/>
      <w:marRight w:val="0"/>
      <w:marTop w:val="0"/>
      <w:marBottom w:val="0"/>
      <w:divBdr>
        <w:top w:val="none" w:sz="0" w:space="0" w:color="auto"/>
        <w:left w:val="none" w:sz="0" w:space="0" w:color="auto"/>
        <w:bottom w:val="none" w:sz="0" w:space="0" w:color="auto"/>
        <w:right w:val="none" w:sz="0" w:space="0" w:color="auto"/>
      </w:divBdr>
    </w:div>
    <w:div w:id="1653564501">
      <w:bodyDiv w:val="1"/>
      <w:marLeft w:val="0"/>
      <w:marRight w:val="0"/>
      <w:marTop w:val="0"/>
      <w:marBottom w:val="0"/>
      <w:divBdr>
        <w:top w:val="none" w:sz="0" w:space="0" w:color="auto"/>
        <w:left w:val="none" w:sz="0" w:space="0" w:color="auto"/>
        <w:bottom w:val="none" w:sz="0" w:space="0" w:color="auto"/>
        <w:right w:val="none" w:sz="0" w:space="0" w:color="auto"/>
      </w:divBdr>
    </w:div>
    <w:div w:id="1674337310">
      <w:bodyDiv w:val="1"/>
      <w:marLeft w:val="0"/>
      <w:marRight w:val="0"/>
      <w:marTop w:val="0"/>
      <w:marBottom w:val="0"/>
      <w:divBdr>
        <w:top w:val="none" w:sz="0" w:space="0" w:color="auto"/>
        <w:left w:val="none" w:sz="0" w:space="0" w:color="auto"/>
        <w:bottom w:val="none" w:sz="0" w:space="0" w:color="auto"/>
        <w:right w:val="none" w:sz="0" w:space="0" w:color="auto"/>
      </w:divBdr>
    </w:div>
    <w:div w:id="1690181117">
      <w:bodyDiv w:val="1"/>
      <w:marLeft w:val="0"/>
      <w:marRight w:val="0"/>
      <w:marTop w:val="0"/>
      <w:marBottom w:val="0"/>
      <w:divBdr>
        <w:top w:val="none" w:sz="0" w:space="0" w:color="auto"/>
        <w:left w:val="none" w:sz="0" w:space="0" w:color="auto"/>
        <w:bottom w:val="none" w:sz="0" w:space="0" w:color="auto"/>
        <w:right w:val="none" w:sz="0" w:space="0" w:color="auto"/>
      </w:divBdr>
    </w:div>
    <w:div w:id="1693071601">
      <w:bodyDiv w:val="1"/>
      <w:marLeft w:val="0"/>
      <w:marRight w:val="0"/>
      <w:marTop w:val="0"/>
      <w:marBottom w:val="0"/>
      <w:divBdr>
        <w:top w:val="none" w:sz="0" w:space="0" w:color="auto"/>
        <w:left w:val="none" w:sz="0" w:space="0" w:color="auto"/>
        <w:bottom w:val="none" w:sz="0" w:space="0" w:color="auto"/>
        <w:right w:val="none" w:sz="0" w:space="0" w:color="auto"/>
      </w:divBdr>
    </w:div>
    <w:div w:id="1701203557">
      <w:bodyDiv w:val="1"/>
      <w:marLeft w:val="0"/>
      <w:marRight w:val="0"/>
      <w:marTop w:val="0"/>
      <w:marBottom w:val="0"/>
      <w:divBdr>
        <w:top w:val="none" w:sz="0" w:space="0" w:color="auto"/>
        <w:left w:val="none" w:sz="0" w:space="0" w:color="auto"/>
        <w:bottom w:val="none" w:sz="0" w:space="0" w:color="auto"/>
        <w:right w:val="none" w:sz="0" w:space="0" w:color="auto"/>
      </w:divBdr>
    </w:div>
    <w:div w:id="1725522317">
      <w:bodyDiv w:val="1"/>
      <w:marLeft w:val="0"/>
      <w:marRight w:val="0"/>
      <w:marTop w:val="0"/>
      <w:marBottom w:val="0"/>
      <w:divBdr>
        <w:top w:val="none" w:sz="0" w:space="0" w:color="auto"/>
        <w:left w:val="none" w:sz="0" w:space="0" w:color="auto"/>
        <w:bottom w:val="none" w:sz="0" w:space="0" w:color="auto"/>
        <w:right w:val="none" w:sz="0" w:space="0" w:color="auto"/>
      </w:divBdr>
    </w:div>
    <w:div w:id="1727530632">
      <w:bodyDiv w:val="1"/>
      <w:marLeft w:val="0"/>
      <w:marRight w:val="0"/>
      <w:marTop w:val="0"/>
      <w:marBottom w:val="0"/>
      <w:divBdr>
        <w:top w:val="none" w:sz="0" w:space="0" w:color="auto"/>
        <w:left w:val="none" w:sz="0" w:space="0" w:color="auto"/>
        <w:bottom w:val="none" w:sz="0" w:space="0" w:color="auto"/>
        <w:right w:val="none" w:sz="0" w:space="0" w:color="auto"/>
      </w:divBdr>
    </w:div>
    <w:div w:id="1729527585">
      <w:bodyDiv w:val="1"/>
      <w:marLeft w:val="0"/>
      <w:marRight w:val="0"/>
      <w:marTop w:val="0"/>
      <w:marBottom w:val="0"/>
      <w:divBdr>
        <w:top w:val="none" w:sz="0" w:space="0" w:color="auto"/>
        <w:left w:val="none" w:sz="0" w:space="0" w:color="auto"/>
        <w:bottom w:val="none" w:sz="0" w:space="0" w:color="auto"/>
        <w:right w:val="none" w:sz="0" w:space="0" w:color="auto"/>
      </w:divBdr>
    </w:div>
    <w:div w:id="1745643370">
      <w:bodyDiv w:val="1"/>
      <w:marLeft w:val="0"/>
      <w:marRight w:val="0"/>
      <w:marTop w:val="0"/>
      <w:marBottom w:val="0"/>
      <w:divBdr>
        <w:top w:val="none" w:sz="0" w:space="0" w:color="auto"/>
        <w:left w:val="none" w:sz="0" w:space="0" w:color="auto"/>
        <w:bottom w:val="none" w:sz="0" w:space="0" w:color="auto"/>
        <w:right w:val="none" w:sz="0" w:space="0" w:color="auto"/>
      </w:divBdr>
    </w:div>
    <w:div w:id="1763136208">
      <w:bodyDiv w:val="1"/>
      <w:marLeft w:val="0"/>
      <w:marRight w:val="0"/>
      <w:marTop w:val="0"/>
      <w:marBottom w:val="0"/>
      <w:divBdr>
        <w:top w:val="none" w:sz="0" w:space="0" w:color="auto"/>
        <w:left w:val="none" w:sz="0" w:space="0" w:color="auto"/>
        <w:bottom w:val="none" w:sz="0" w:space="0" w:color="auto"/>
        <w:right w:val="none" w:sz="0" w:space="0" w:color="auto"/>
      </w:divBdr>
    </w:div>
    <w:div w:id="1774202954">
      <w:bodyDiv w:val="1"/>
      <w:marLeft w:val="0"/>
      <w:marRight w:val="0"/>
      <w:marTop w:val="0"/>
      <w:marBottom w:val="0"/>
      <w:divBdr>
        <w:top w:val="none" w:sz="0" w:space="0" w:color="auto"/>
        <w:left w:val="none" w:sz="0" w:space="0" w:color="auto"/>
        <w:bottom w:val="none" w:sz="0" w:space="0" w:color="auto"/>
        <w:right w:val="none" w:sz="0" w:space="0" w:color="auto"/>
      </w:divBdr>
    </w:div>
    <w:div w:id="1808164972">
      <w:bodyDiv w:val="1"/>
      <w:marLeft w:val="0"/>
      <w:marRight w:val="0"/>
      <w:marTop w:val="0"/>
      <w:marBottom w:val="0"/>
      <w:divBdr>
        <w:top w:val="none" w:sz="0" w:space="0" w:color="auto"/>
        <w:left w:val="none" w:sz="0" w:space="0" w:color="auto"/>
        <w:bottom w:val="none" w:sz="0" w:space="0" w:color="auto"/>
        <w:right w:val="none" w:sz="0" w:space="0" w:color="auto"/>
      </w:divBdr>
      <w:divsChild>
        <w:div w:id="1208878195">
          <w:marLeft w:val="0"/>
          <w:marRight w:val="0"/>
          <w:marTop w:val="0"/>
          <w:marBottom w:val="0"/>
          <w:divBdr>
            <w:top w:val="none" w:sz="0" w:space="0" w:color="auto"/>
            <w:left w:val="none" w:sz="0" w:space="0" w:color="auto"/>
            <w:bottom w:val="none" w:sz="0" w:space="0" w:color="auto"/>
            <w:right w:val="none" w:sz="0" w:space="0" w:color="auto"/>
          </w:divBdr>
        </w:div>
        <w:div w:id="1195654443">
          <w:marLeft w:val="0"/>
          <w:marRight w:val="0"/>
          <w:marTop w:val="0"/>
          <w:marBottom w:val="0"/>
          <w:divBdr>
            <w:top w:val="none" w:sz="0" w:space="0" w:color="auto"/>
            <w:left w:val="none" w:sz="0" w:space="0" w:color="auto"/>
            <w:bottom w:val="none" w:sz="0" w:space="0" w:color="auto"/>
            <w:right w:val="none" w:sz="0" w:space="0" w:color="auto"/>
          </w:divBdr>
        </w:div>
        <w:div w:id="975916434">
          <w:marLeft w:val="0"/>
          <w:marRight w:val="0"/>
          <w:marTop w:val="0"/>
          <w:marBottom w:val="0"/>
          <w:divBdr>
            <w:top w:val="none" w:sz="0" w:space="0" w:color="auto"/>
            <w:left w:val="none" w:sz="0" w:space="0" w:color="auto"/>
            <w:bottom w:val="none" w:sz="0" w:space="0" w:color="auto"/>
            <w:right w:val="none" w:sz="0" w:space="0" w:color="auto"/>
          </w:divBdr>
        </w:div>
      </w:divsChild>
    </w:div>
    <w:div w:id="1819222751">
      <w:bodyDiv w:val="1"/>
      <w:marLeft w:val="0"/>
      <w:marRight w:val="0"/>
      <w:marTop w:val="0"/>
      <w:marBottom w:val="0"/>
      <w:divBdr>
        <w:top w:val="none" w:sz="0" w:space="0" w:color="auto"/>
        <w:left w:val="none" w:sz="0" w:space="0" w:color="auto"/>
        <w:bottom w:val="none" w:sz="0" w:space="0" w:color="auto"/>
        <w:right w:val="none" w:sz="0" w:space="0" w:color="auto"/>
      </w:divBdr>
    </w:div>
    <w:div w:id="1823229005">
      <w:bodyDiv w:val="1"/>
      <w:marLeft w:val="0"/>
      <w:marRight w:val="0"/>
      <w:marTop w:val="0"/>
      <w:marBottom w:val="0"/>
      <w:divBdr>
        <w:top w:val="none" w:sz="0" w:space="0" w:color="auto"/>
        <w:left w:val="none" w:sz="0" w:space="0" w:color="auto"/>
        <w:bottom w:val="none" w:sz="0" w:space="0" w:color="auto"/>
        <w:right w:val="none" w:sz="0" w:space="0" w:color="auto"/>
      </w:divBdr>
    </w:div>
    <w:div w:id="1825661519">
      <w:bodyDiv w:val="1"/>
      <w:marLeft w:val="0"/>
      <w:marRight w:val="0"/>
      <w:marTop w:val="0"/>
      <w:marBottom w:val="0"/>
      <w:divBdr>
        <w:top w:val="none" w:sz="0" w:space="0" w:color="auto"/>
        <w:left w:val="none" w:sz="0" w:space="0" w:color="auto"/>
        <w:bottom w:val="none" w:sz="0" w:space="0" w:color="auto"/>
        <w:right w:val="none" w:sz="0" w:space="0" w:color="auto"/>
      </w:divBdr>
    </w:div>
    <w:div w:id="1842544641">
      <w:bodyDiv w:val="1"/>
      <w:marLeft w:val="0"/>
      <w:marRight w:val="0"/>
      <w:marTop w:val="0"/>
      <w:marBottom w:val="0"/>
      <w:divBdr>
        <w:top w:val="none" w:sz="0" w:space="0" w:color="auto"/>
        <w:left w:val="none" w:sz="0" w:space="0" w:color="auto"/>
        <w:bottom w:val="none" w:sz="0" w:space="0" w:color="auto"/>
        <w:right w:val="none" w:sz="0" w:space="0" w:color="auto"/>
      </w:divBdr>
    </w:div>
    <w:div w:id="1843158773">
      <w:bodyDiv w:val="1"/>
      <w:marLeft w:val="0"/>
      <w:marRight w:val="0"/>
      <w:marTop w:val="0"/>
      <w:marBottom w:val="0"/>
      <w:divBdr>
        <w:top w:val="none" w:sz="0" w:space="0" w:color="auto"/>
        <w:left w:val="none" w:sz="0" w:space="0" w:color="auto"/>
        <w:bottom w:val="none" w:sz="0" w:space="0" w:color="auto"/>
        <w:right w:val="none" w:sz="0" w:space="0" w:color="auto"/>
      </w:divBdr>
    </w:div>
    <w:div w:id="1850411945">
      <w:bodyDiv w:val="1"/>
      <w:marLeft w:val="0"/>
      <w:marRight w:val="0"/>
      <w:marTop w:val="0"/>
      <w:marBottom w:val="0"/>
      <w:divBdr>
        <w:top w:val="none" w:sz="0" w:space="0" w:color="auto"/>
        <w:left w:val="none" w:sz="0" w:space="0" w:color="auto"/>
        <w:bottom w:val="none" w:sz="0" w:space="0" w:color="auto"/>
        <w:right w:val="none" w:sz="0" w:space="0" w:color="auto"/>
      </w:divBdr>
    </w:div>
    <w:div w:id="1853493780">
      <w:bodyDiv w:val="1"/>
      <w:marLeft w:val="0"/>
      <w:marRight w:val="0"/>
      <w:marTop w:val="0"/>
      <w:marBottom w:val="0"/>
      <w:divBdr>
        <w:top w:val="none" w:sz="0" w:space="0" w:color="auto"/>
        <w:left w:val="none" w:sz="0" w:space="0" w:color="auto"/>
        <w:bottom w:val="none" w:sz="0" w:space="0" w:color="auto"/>
        <w:right w:val="none" w:sz="0" w:space="0" w:color="auto"/>
      </w:divBdr>
    </w:div>
    <w:div w:id="1856075853">
      <w:bodyDiv w:val="1"/>
      <w:marLeft w:val="0"/>
      <w:marRight w:val="0"/>
      <w:marTop w:val="0"/>
      <w:marBottom w:val="0"/>
      <w:divBdr>
        <w:top w:val="none" w:sz="0" w:space="0" w:color="auto"/>
        <w:left w:val="none" w:sz="0" w:space="0" w:color="auto"/>
        <w:bottom w:val="none" w:sz="0" w:space="0" w:color="auto"/>
        <w:right w:val="none" w:sz="0" w:space="0" w:color="auto"/>
      </w:divBdr>
    </w:div>
    <w:div w:id="1856259838">
      <w:bodyDiv w:val="1"/>
      <w:marLeft w:val="0"/>
      <w:marRight w:val="0"/>
      <w:marTop w:val="0"/>
      <w:marBottom w:val="0"/>
      <w:divBdr>
        <w:top w:val="none" w:sz="0" w:space="0" w:color="auto"/>
        <w:left w:val="none" w:sz="0" w:space="0" w:color="auto"/>
        <w:bottom w:val="none" w:sz="0" w:space="0" w:color="auto"/>
        <w:right w:val="none" w:sz="0" w:space="0" w:color="auto"/>
      </w:divBdr>
    </w:div>
    <w:div w:id="1874881973">
      <w:bodyDiv w:val="1"/>
      <w:marLeft w:val="0"/>
      <w:marRight w:val="0"/>
      <w:marTop w:val="0"/>
      <w:marBottom w:val="0"/>
      <w:divBdr>
        <w:top w:val="none" w:sz="0" w:space="0" w:color="auto"/>
        <w:left w:val="none" w:sz="0" w:space="0" w:color="auto"/>
        <w:bottom w:val="none" w:sz="0" w:space="0" w:color="auto"/>
        <w:right w:val="none" w:sz="0" w:space="0" w:color="auto"/>
      </w:divBdr>
    </w:div>
    <w:div w:id="1875187896">
      <w:bodyDiv w:val="1"/>
      <w:marLeft w:val="0"/>
      <w:marRight w:val="0"/>
      <w:marTop w:val="0"/>
      <w:marBottom w:val="0"/>
      <w:divBdr>
        <w:top w:val="none" w:sz="0" w:space="0" w:color="auto"/>
        <w:left w:val="none" w:sz="0" w:space="0" w:color="auto"/>
        <w:bottom w:val="none" w:sz="0" w:space="0" w:color="auto"/>
        <w:right w:val="none" w:sz="0" w:space="0" w:color="auto"/>
      </w:divBdr>
    </w:div>
    <w:div w:id="1892615789">
      <w:bodyDiv w:val="1"/>
      <w:marLeft w:val="0"/>
      <w:marRight w:val="0"/>
      <w:marTop w:val="0"/>
      <w:marBottom w:val="0"/>
      <w:divBdr>
        <w:top w:val="none" w:sz="0" w:space="0" w:color="auto"/>
        <w:left w:val="none" w:sz="0" w:space="0" w:color="auto"/>
        <w:bottom w:val="none" w:sz="0" w:space="0" w:color="auto"/>
        <w:right w:val="none" w:sz="0" w:space="0" w:color="auto"/>
      </w:divBdr>
    </w:div>
    <w:div w:id="1917930494">
      <w:bodyDiv w:val="1"/>
      <w:marLeft w:val="0"/>
      <w:marRight w:val="0"/>
      <w:marTop w:val="0"/>
      <w:marBottom w:val="0"/>
      <w:divBdr>
        <w:top w:val="none" w:sz="0" w:space="0" w:color="auto"/>
        <w:left w:val="none" w:sz="0" w:space="0" w:color="auto"/>
        <w:bottom w:val="none" w:sz="0" w:space="0" w:color="auto"/>
        <w:right w:val="none" w:sz="0" w:space="0" w:color="auto"/>
      </w:divBdr>
    </w:div>
    <w:div w:id="1931887883">
      <w:bodyDiv w:val="1"/>
      <w:marLeft w:val="0"/>
      <w:marRight w:val="0"/>
      <w:marTop w:val="0"/>
      <w:marBottom w:val="0"/>
      <w:divBdr>
        <w:top w:val="none" w:sz="0" w:space="0" w:color="auto"/>
        <w:left w:val="none" w:sz="0" w:space="0" w:color="auto"/>
        <w:bottom w:val="none" w:sz="0" w:space="0" w:color="auto"/>
        <w:right w:val="none" w:sz="0" w:space="0" w:color="auto"/>
      </w:divBdr>
    </w:div>
    <w:div w:id="1948806686">
      <w:bodyDiv w:val="1"/>
      <w:marLeft w:val="0"/>
      <w:marRight w:val="0"/>
      <w:marTop w:val="0"/>
      <w:marBottom w:val="0"/>
      <w:divBdr>
        <w:top w:val="none" w:sz="0" w:space="0" w:color="auto"/>
        <w:left w:val="none" w:sz="0" w:space="0" w:color="auto"/>
        <w:bottom w:val="none" w:sz="0" w:space="0" w:color="auto"/>
        <w:right w:val="none" w:sz="0" w:space="0" w:color="auto"/>
      </w:divBdr>
    </w:div>
    <w:div w:id="1952514168">
      <w:bodyDiv w:val="1"/>
      <w:marLeft w:val="0"/>
      <w:marRight w:val="0"/>
      <w:marTop w:val="0"/>
      <w:marBottom w:val="0"/>
      <w:divBdr>
        <w:top w:val="none" w:sz="0" w:space="0" w:color="auto"/>
        <w:left w:val="none" w:sz="0" w:space="0" w:color="auto"/>
        <w:bottom w:val="none" w:sz="0" w:space="0" w:color="auto"/>
        <w:right w:val="none" w:sz="0" w:space="0" w:color="auto"/>
      </w:divBdr>
    </w:div>
    <w:div w:id="1956329938">
      <w:bodyDiv w:val="1"/>
      <w:marLeft w:val="0"/>
      <w:marRight w:val="0"/>
      <w:marTop w:val="0"/>
      <w:marBottom w:val="0"/>
      <w:divBdr>
        <w:top w:val="none" w:sz="0" w:space="0" w:color="auto"/>
        <w:left w:val="none" w:sz="0" w:space="0" w:color="auto"/>
        <w:bottom w:val="none" w:sz="0" w:space="0" w:color="auto"/>
        <w:right w:val="none" w:sz="0" w:space="0" w:color="auto"/>
      </w:divBdr>
    </w:div>
    <w:div w:id="1968317834">
      <w:bodyDiv w:val="1"/>
      <w:marLeft w:val="0"/>
      <w:marRight w:val="0"/>
      <w:marTop w:val="0"/>
      <w:marBottom w:val="0"/>
      <w:divBdr>
        <w:top w:val="none" w:sz="0" w:space="0" w:color="auto"/>
        <w:left w:val="none" w:sz="0" w:space="0" w:color="auto"/>
        <w:bottom w:val="none" w:sz="0" w:space="0" w:color="auto"/>
        <w:right w:val="none" w:sz="0" w:space="0" w:color="auto"/>
      </w:divBdr>
    </w:div>
    <w:div w:id="1976720411">
      <w:bodyDiv w:val="1"/>
      <w:marLeft w:val="0"/>
      <w:marRight w:val="0"/>
      <w:marTop w:val="0"/>
      <w:marBottom w:val="0"/>
      <w:divBdr>
        <w:top w:val="none" w:sz="0" w:space="0" w:color="auto"/>
        <w:left w:val="none" w:sz="0" w:space="0" w:color="auto"/>
        <w:bottom w:val="none" w:sz="0" w:space="0" w:color="auto"/>
        <w:right w:val="none" w:sz="0" w:space="0" w:color="auto"/>
      </w:divBdr>
    </w:div>
    <w:div w:id="1984656349">
      <w:bodyDiv w:val="1"/>
      <w:marLeft w:val="0"/>
      <w:marRight w:val="0"/>
      <w:marTop w:val="0"/>
      <w:marBottom w:val="0"/>
      <w:divBdr>
        <w:top w:val="none" w:sz="0" w:space="0" w:color="auto"/>
        <w:left w:val="none" w:sz="0" w:space="0" w:color="auto"/>
        <w:bottom w:val="none" w:sz="0" w:space="0" w:color="auto"/>
        <w:right w:val="none" w:sz="0" w:space="0" w:color="auto"/>
      </w:divBdr>
    </w:div>
    <w:div w:id="2045903367">
      <w:bodyDiv w:val="1"/>
      <w:marLeft w:val="0"/>
      <w:marRight w:val="0"/>
      <w:marTop w:val="0"/>
      <w:marBottom w:val="0"/>
      <w:divBdr>
        <w:top w:val="none" w:sz="0" w:space="0" w:color="auto"/>
        <w:left w:val="none" w:sz="0" w:space="0" w:color="auto"/>
        <w:bottom w:val="none" w:sz="0" w:space="0" w:color="auto"/>
        <w:right w:val="none" w:sz="0" w:space="0" w:color="auto"/>
      </w:divBdr>
    </w:div>
    <w:div w:id="2048333581">
      <w:bodyDiv w:val="1"/>
      <w:marLeft w:val="0"/>
      <w:marRight w:val="0"/>
      <w:marTop w:val="0"/>
      <w:marBottom w:val="0"/>
      <w:divBdr>
        <w:top w:val="none" w:sz="0" w:space="0" w:color="auto"/>
        <w:left w:val="none" w:sz="0" w:space="0" w:color="auto"/>
        <w:bottom w:val="none" w:sz="0" w:space="0" w:color="auto"/>
        <w:right w:val="none" w:sz="0" w:space="0" w:color="auto"/>
      </w:divBdr>
    </w:div>
    <w:div w:id="2052531895">
      <w:bodyDiv w:val="1"/>
      <w:marLeft w:val="0"/>
      <w:marRight w:val="0"/>
      <w:marTop w:val="0"/>
      <w:marBottom w:val="0"/>
      <w:divBdr>
        <w:top w:val="none" w:sz="0" w:space="0" w:color="auto"/>
        <w:left w:val="none" w:sz="0" w:space="0" w:color="auto"/>
        <w:bottom w:val="none" w:sz="0" w:space="0" w:color="auto"/>
        <w:right w:val="none" w:sz="0" w:space="0" w:color="auto"/>
      </w:divBdr>
    </w:div>
    <w:div w:id="2083599091">
      <w:bodyDiv w:val="1"/>
      <w:marLeft w:val="0"/>
      <w:marRight w:val="0"/>
      <w:marTop w:val="0"/>
      <w:marBottom w:val="0"/>
      <w:divBdr>
        <w:top w:val="none" w:sz="0" w:space="0" w:color="auto"/>
        <w:left w:val="none" w:sz="0" w:space="0" w:color="auto"/>
        <w:bottom w:val="none" w:sz="0" w:space="0" w:color="auto"/>
        <w:right w:val="none" w:sz="0" w:space="0" w:color="auto"/>
      </w:divBdr>
      <w:divsChild>
        <w:div w:id="1224289177">
          <w:marLeft w:val="0"/>
          <w:marRight w:val="0"/>
          <w:marTop w:val="0"/>
          <w:marBottom w:val="0"/>
          <w:divBdr>
            <w:top w:val="none" w:sz="0" w:space="0" w:color="auto"/>
            <w:left w:val="none" w:sz="0" w:space="0" w:color="auto"/>
            <w:bottom w:val="none" w:sz="0" w:space="0" w:color="auto"/>
            <w:right w:val="none" w:sz="0" w:space="0" w:color="auto"/>
          </w:divBdr>
        </w:div>
        <w:div w:id="300427568">
          <w:marLeft w:val="0"/>
          <w:marRight w:val="0"/>
          <w:marTop w:val="0"/>
          <w:marBottom w:val="0"/>
          <w:divBdr>
            <w:top w:val="none" w:sz="0" w:space="0" w:color="auto"/>
            <w:left w:val="none" w:sz="0" w:space="0" w:color="auto"/>
            <w:bottom w:val="none" w:sz="0" w:space="0" w:color="auto"/>
            <w:right w:val="none" w:sz="0" w:space="0" w:color="auto"/>
          </w:divBdr>
        </w:div>
        <w:div w:id="701906454">
          <w:marLeft w:val="0"/>
          <w:marRight w:val="0"/>
          <w:marTop w:val="0"/>
          <w:marBottom w:val="0"/>
          <w:divBdr>
            <w:top w:val="none" w:sz="0" w:space="0" w:color="auto"/>
            <w:left w:val="none" w:sz="0" w:space="0" w:color="auto"/>
            <w:bottom w:val="none" w:sz="0" w:space="0" w:color="auto"/>
            <w:right w:val="none" w:sz="0" w:space="0" w:color="auto"/>
          </w:divBdr>
        </w:div>
        <w:div w:id="1890455225">
          <w:marLeft w:val="0"/>
          <w:marRight w:val="0"/>
          <w:marTop w:val="0"/>
          <w:marBottom w:val="0"/>
          <w:divBdr>
            <w:top w:val="none" w:sz="0" w:space="0" w:color="auto"/>
            <w:left w:val="none" w:sz="0" w:space="0" w:color="auto"/>
            <w:bottom w:val="none" w:sz="0" w:space="0" w:color="auto"/>
            <w:right w:val="none" w:sz="0" w:space="0" w:color="auto"/>
          </w:divBdr>
        </w:div>
        <w:div w:id="1480806702">
          <w:marLeft w:val="0"/>
          <w:marRight w:val="0"/>
          <w:marTop w:val="0"/>
          <w:marBottom w:val="0"/>
          <w:divBdr>
            <w:top w:val="none" w:sz="0" w:space="0" w:color="auto"/>
            <w:left w:val="none" w:sz="0" w:space="0" w:color="auto"/>
            <w:bottom w:val="none" w:sz="0" w:space="0" w:color="auto"/>
            <w:right w:val="none" w:sz="0" w:space="0" w:color="auto"/>
          </w:divBdr>
        </w:div>
        <w:div w:id="2109888712">
          <w:marLeft w:val="0"/>
          <w:marRight w:val="0"/>
          <w:marTop w:val="0"/>
          <w:marBottom w:val="0"/>
          <w:divBdr>
            <w:top w:val="none" w:sz="0" w:space="0" w:color="auto"/>
            <w:left w:val="none" w:sz="0" w:space="0" w:color="auto"/>
            <w:bottom w:val="none" w:sz="0" w:space="0" w:color="auto"/>
            <w:right w:val="none" w:sz="0" w:space="0" w:color="auto"/>
          </w:divBdr>
        </w:div>
        <w:div w:id="245578500">
          <w:marLeft w:val="0"/>
          <w:marRight w:val="0"/>
          <w:marTop w:val="0"/>
          <w:marBottom w:val="0"/>
          <w:divBdr>
            <w:top w:val="none" w:sz="0" w:space="0" w:color="auto"/>
            <w:left w:val="none" w:sz="0" w:space="0" w:color="auto"/>
            <w:bottom w:val="none" w:sz="0" w:space="0" w:color="auto"/>
            <w:right w:val="none" w:sz="0" w:space="0" w:color="auto"/>
          </w:divBdr>
        </w:div>
        <w:div w:id="481629576">
          <w:marLeft w:val="0"/>
          <w:marRight w:val="0"/>
          <w:marTop w:val="0"/>
          <w:marBottom w:val="0"/>
          <w:divBdr>
            <w:top w:val="none" w:sz="0" w:space="0" w:color="auto"/>
            <w:left w:val="none" w:sz="0" w:space="0" w:color="auto"/>
            <w:bottom w:val="none" w:sz="0" w:space="0" w:color="auto"/>
            <w:right w:val="none" w:sz="0" w:space="0" w:color="auto"/>
          </w:divBdr>
        </w:div>
        <w:div w:id="167599472">
          <w:marLeft w:val="0"/>
          <w:marRight w:val="0"/>
          <w:marTop w:val="0"/>
          <w:marBottom w:val="0"/>
          <w:divBdr>
            <w:top w:val="none" w:sz="0" w:space="0" w:color="auto"/>
            <w:left w:val="none" w:sz="0" w:space="0" w:color="auto"/>
            <w:bottom w:val="none" w:sz="0" w:space="0" w:color="auto"/>
            <w:right w:val="none" w:sz="0" w:space="0" w:color="auto"/>
          </w:divBdr>
        </w:div>
        <w:div w:id="1134906959">
          <w:marLeft w:val="0"/>
          <w:marRight w:val="0"/>
          <w:marTop w:val="0"/>
          <w:marBottom w:val="0"/>
          <w:divBdr>
            <w:top w:val="none" w:sz="0" w:space="0" w:color="auto"/>
            <w:left w:val="none" w:sz="0" w:space="0" w:color="auto"/>
            <w:bottom w:val="none" w:sz="0" w:space="0" w:color="auto"/>
            <w:right w:val="none" w:sz="0" w:space="0" w:color="auto"/>
          </w:divBdr>
        </w:div>
        <w:div w:id="1256749564">
          <w:marLeft w:val="0"/>
          <w:marRight w:val="0"/>
          <w:marTop w:val="0"/>
          <w:marBottom w:val="0"/>
          <w:divBdr>
            <w:top w:val="none" w:sz="0" w:space="0" w:color="auto"/>
            <w:left w:val="none" w:sz="0" w:space="0" w:color="auto"/>
            <w:bottom w:val="none" w:sz="0" w:space="0" w:color="auto"/>
            <w:right w:val="none" w:sz="0" w:space="0" w:color="auto"/>
          </w:divBdr>
        </w:div>
        <w:div w:id="1698387628">
          <w:marLeft w:val="0"/>
          <w:marRight w:val="0"/>
          <w:marTop w:val="0"/>
          <w:marBottom w:val="0"/>
          <w:divBdr>
            <w:top w:val="none" w:sz="0" w:space="0" w:color="auto"/>
            <w:left w:val="none" w:sz="0" w:space="0" w:color="auto"/>
            <w:bottom w:val="none" w:sz="0" w:space="0" w:color="auto"/>
            <w:right w:val="none" w:sz="0" w:space="0" w:color="auto"/>
          </w:divBdr>
        </w:div>
        <w:div w:id="475876462">
          <w:marLeft w:val="0"/>
          <w:marRight w:val="0"/>
          <w:marTop w:val="0"/>
          <w:marBottom w:val="0"/>
          <w:divBdr>
            <w:top w:val="none" w:sz="0" w:space="0" w:color="auto"/>
            <w:left w:val="none" w:sz="0" w:space="0" w:color="auto"/>
            <w:bottom w:val="none" w:sz="0" w:space="0" w:color="auto"/>
            <w:right w:val="none" w:sz="0" w:space="0" w:color="auto"/>
          </w:divBdr>
        </w:div>
        <w:div w:id="871578877">
          <w:marLeft w:val="0"/>
          <w:marRight w:val="0"/>
          <w:marTop w:val="0"/>
          <w:marBottom w:val="0"/>
          <w:divBdr>
            <w:top w:val="none" w:sz="0" w:space="0" w:color="auto"/>
            <w:left w:val="none" w:sz="0" w:space="0" w:color="auto"/>
            <w:bottom w:val="none" w:sz="0" w:space="0" w:color="auto"/>
            <w:right w:val="none" w:sz="0" w:space="0" w:color="auto"/>
          </w:divBdr>
        </w:div>
        <w:div w:id="1235818641">
          <w:marLeft w:val="0"/>
          <w:marRight w:val="0"/>
          <w:marTop w:val="0"/>
          <w:marBottom w:val="0"/>
          <w:divBdr>
            <w:top w:val="none" w:sz="0" w:space="0" w:color="auto"/>
            <w:left w:val="none" w:sz="0" w:space="0" w:color="auto"/>
            <w:bottom w:val="none" w:sz="0" w:space="0" w:color="auto"/>
            <w:right w:val="none" w:sz="0" w:space="0" w:color="auto"/>
          </w:divBdr>
        </w:div>
        <w:div w:id="1864858160">
          <w:marLeft w:val="0"/>
          <w:marRight w:val="0"/>
          <w:marTop w:val="0"/>
          <w:marBottom w:val="0"/>
          <w:divBdr>
            <w:top w:val="none" w:sz="0" w:space="0" w:color="auto"/>
            <w:left w:val="none" w:sz="0" w:space="0" w:color="auto"/>
            <w:bottom w:val="none" w:sz="0" w:space="0" w:color="auto"/>
            <w:right w:val="none" w:sz="0" w:space="0" w:color="auto"/>
          </w:divBdr>
        </w:div>
        <w:div w:id="1003821056">
          <w:marLeft w:val="0"/>
          <w:marRight w:val="0"/>
          <w:marTop w:val="0"/>
          <w:marBottom w:val="0"/>
          <w:divBdr>
            <w:top w:val="none" w:sz="0" w:space="0" w:color="auto"/>
            <w:left w:val="none" w:sz="0" w:space="0" w:color="auto"/>
            <w:bottom w:val="none" w:sz="0" w:space="0" w:color="auto"/>
            <w:right w:val="none" w:sz="0" w:space="0" w:color="auto"/>
          </w:divBdr>
        </w:div>
        <w:div w:id="1477575203">
          <w:marLeft w:val="0"/>
          <w:marRight w:val="0"/>
          <w:marTop w:val="0"/>
          <w:marBottom w:val="0"/>
          <w:divBdr>
            <w:top w:val="none" w:sz="0" w:space="0" w:color="auto"/>
            <w:left w:val="none" w:sz="0" w:space="0" w:color="auto"/>
            <w:bottom w:val="none" w:sz="0" w:space="0" w:color="auto"/>
            <w:right w:val="none" w:sz="0" w:space="0" w:color="auto"/>
          </w:divBdr>
        </w:div>
        <w:div w:id="241379992">
          <w:marLeft w:val="0"/>
          <w:marRight w:val="0"/>
          <w:marTop w:val="0"/>
          <w:marBottom w:val="0"/>
          <w:divBdr>
            <w:top w:val="none" w:sz="0" w:space="0" w:color="auto"/>
            <w:left w:val="none" w:sz="0" w:space="0" w:color="auto"/>
            <w:bottom w:val="none" w:sz="0" w:space="0" w:color="auto"/>
            <w:right w:val="none" w:sz="0" w:space="0" w:color="auto"/>
          </w:divBdr>
        </w:div>
        <w:div w:id="179122960">
          <w:marLeft w:val="0"/>
          <w:marRight w:val="0"/>
          <w:marTop w:val="0"/>
          <w:marBottom w:val="0"/>
          <w:divBdr>
            <w:top w:val="none" w:sz="0" w:space="0" w:color="auto"/>
            <w:left w:val="none" w:sz="0" w:space="0" w:color="auto"/>
            <w:bottom w:val="none" w:sz="0" w:space="0" w:color="auto"/>
            <w:right w:val="none" w:sz="0" w:space="0" w:color="auto"/>
          </w:divBdr>
        </w:div>
        <w:div w:id="81681126">
          <w:marLeft w:val="0"/>
          <w:marRight w:val="0"/>
          <w:marTop w:val="0"/>
          <w:marBottom w:val="0"/>
          <w:divBdr>
            <w:top w:val="none" w:sz="0" w:space="0" w:color="auto"/>
            <w:left w:val="none" w:sz="0" w:space="0" w:color="auto"/>
            <w:bottom w:val="none" w:sz="0" w:space="0" w:color="auto"/>
            <w:right w:val="none" w:sz="0" w:space="0" w:color="auto"/>
          </w:divBdr>
        </w:div>
        <w:div w:id="1072046915">
          <w:marLeft w:val="0"/>
          <w:marRight w:val="0"/>
          <w:marTop w:val="0"/>
          <w:marBottom w:val="0"/>
          <w:divBdr>
            <w:top w:val="none" w:sz="0" w:space="0" w:color="auto"/>
            <w:left w:val="none" w:sz="0" w:space="0" w:color="auto"/>
            <w:bottom w:val="none" w:sz="0" w:space="0" w:color="auto"/>
            <w:right w:val="none" w:sz="0" w:space="0" w:color="auto"/>
          </w:divBdr>
        </w:div>
        <w:div w:id="1474760130">
          <w:marLeft w:val="0"/>
          <w:marRight w:val="0"/>
          <w:marTop w:val="0"/>
          <w:marBottom w:val="0"/>
          <w:divBdr>
            <w:top w:val="none" w:sz="0" w:space="0" w:color="auto"/>
            <w:left w:val="none" w:sz="0" w:space="0" w:color="auto"/>
            <w:bottom w:val="none" w:sz="0" w:space="0" w:color="auto"/>
            <w:right w:val="none" w:sz="0" w:space="0" w:color="auto"/>
          </w:divBdr>
        </w:div>
        <w:div w:id="1354262495">
          <w:marLeft w:val="0"/>
          <w:marRight w:val="0"/>
          <w:marTop w:val="0"/>
          <w:marBottom w:val="0"/>
          <w:divBdr>
            <w:top w:val="none" w:sz="0" w:space="0" w:color="auto"/>
            <w:left w:val="none" w:sz="0" w:space="0" w:color="auto"/>
            <w:bottom w:val="none" w:sz="0" w:space="0" w:color="auto"/>
            <w:right w:val="none" w:sz="0" w:space="0" w:color="auto"/>
          </w:divBdr>
        </w:div>
        <w:div w:id="1868567743">
          <w:marLeft w:val="0"/>
          <w:marRight w:val="0"/>
          <w:marTop w:val="0"/>
          <w:marBottom w:val="0"/>
          <w:divBdr>
            <w:top w:val="none" w:sz="0" w:space="0" w:color="auto"/>
            <w:left w:val="none" w:sz="0" w:space="0" w:color="auto"/>
            <w:bottom w:val="none" w:sz="0" w:space="0" w:color="auto"/>
            <w:right w:val="none" w:sz="0" w:space="0" w:color="auto"/>
          </w:divBdr>
        </w:div>
      </w:divsChild>
    </w:div>
    <w:div w:id="2094424506">
      <w:bodyDiv w:val="1"/>
      <w:marLeft w:val="0"/>
      <w:marRight w:val="0"/>
      <w:marTop w:val="0"/>
      <w:marBottom w:val="0"/>
      <w:divBdr>
        <w:top w:val="none" w:sz="0" w:space="0" w:color="auto"/>
        <w:left w:val="none" w:sz="0" w:space="0" w:color="auto"/>
        <w:bottom w:val="none" w:sz="0" w:space="0" w:color="auto"/>
        <w:right w:val="none" w:sz="0" w:space="0" w:color="auto"/>
      </w:divBdr>
    </w:div>
    <w:div w:id="2122608036">
      <w:bodyDiv w:val="1"/>
      <w:marLeft w:val="0"/>
      <w:marRight w:val="0"/>
      <w:marTop w:val="0"/>
      <w:marBottom w:val="0"/>
      <w:divBdr>
        <w:top w:val="none" w:sz="0" w:space="0" w:color="auto"/>
        <w:left w:val="none" w:sz="0" w:space="0" w:color="auto"/>
        <w:bottom w:val="none" w:sz="0" w:space="0" w:color="auto"/>
        <w:right w:val="none" w:sz="0" w:space="0" w:color="auto"/>
      </w:divBdr>
    </w:div>
    <w:div w:id="2128238740">
      <w:bodyDiv w:val="1"/>
      <w:marLeft w:val="0"/>
      <w:marRight w:val="0"/>
      <w:marTop w:val="0"/>
      <w:marBottom w:val="0"/>
      <w:divBdr>
        <w:top w:val="none" w:sz="0" w:space="0" w:color="auto"/>
        <w:left w:val="none" w:sz="0" w:space="0" w:color="auto"/>
        <w:bottom w:val="none" w:sz="0" w:space="0" w:color="auto"/>
        <w:right w:val="none" w:sz="0" w:space="0" w:color="auto"/>
      </w:divBdr>
      <w:divsChild>
        <w:div w:id="97871475">
          <w:marLeft w:val="0"/>
          <w:marRight w:val="0"/>
          <w:marTop w:val="0"/>
          <w:marBottom w:val="0"/>
          <w:divBdr>
            <w:top w:val="none" w:sz="0" w:space="0" w:color="auto"/>
            <w:left w:val="none" w:sz="0" w:space="0" w:color="auto"/>
            <w:bottom w:val="none" w:sz="0" w:space="0" w:color="auto"/>
            <w:right w:val="none" w:sz="0" w:space="0" w:color="auto"/>
          </w:divBdr>
          <w:divsChild>
            <w:div w:id="1765834054">
              <w:marLeft w:val="0"/>
              <w:marRight w:val="0"/>
              <w:marTop w:val="0"/>
              <w:marBottom w:val="0"/>
              <w:divBdr>
                <w:top w:val="none" w:sz="0" w:space="0" w:color="auto"/>
                <w:left w:val="none" w:sz="0" w:space="0" w:color="auto"/>
                <w:bottom w:val="none" w:sz="0" w:space="0" w:color="auto"/>
                <w:right w:val="none" w:sz="0" w:space="0" w:color="auto"/>
              </w:divBdr>
              <w:divsChild>
                <w:div w:id="1391224231">
                  <w:marLeft w:val="0"/>
                  <w:marRight w:val="0"/>
                  <w:marTop w:val="0"/>
                  <w:marBottom w:val="0"/>
                  <w:divBdr>
                    <w:top w:val="none" w:sz="0" w:space="0" w:color="auto"/>
                    <w:left w:val="none" w:sz="0" w:space="0" w:color="auto"/>
                    <w:bottom w:val="none" w:sz="0" w:space="0" w:color="auto"/>
                    <w:right w:val="none" w:sz="0" w:space="0" w:color="auto"/>
                  </w:divBdr>
                  <w:divsChild>
                    <w:div w:id="25991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175673">
      <w:bodyDiv w:val="1"/>
      <w:marLeft w:val="0"/>
      <w:marRight w:val="0"/>
      <w:marTop w:val="0"/>
      <w:marBottom w:val="0"/>
      <w:divBdr>
        <w:top w:val="none" w:sz="0" w:space="0" w:color="auto"/>
        <w:left w:val="none" w:sz="0" w:space="0" w:color="auto"/>
        <w:bottom w:val="none" w:sz="0" w:space="0" w:color="auto"/>
        <w:right w:val="none" w:sz="0" w:space="0" w:color="auto"/>
      </w:divBdr>
    </w:div>
    <w:div w:id="2144303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s://doi.org/10.1021/acs.est.7b03963" TargetMode="External"/><Relationship Id="rId3" Type="http://schemas.openxmlformats.org/officeDocument/2006/relationships/numbering" Target="numbering.xml"/><Relationship Id="rId21" Type="http://schemas.openxmlformats.org/officeDocument/2006/relationships/hyperlink" Target="https://doi.org/10.1016/j.resconrec.2017.10.018"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tiff"/><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doi.org/10.1016/j.resourpol.2018.12.00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hyperlink" Target="https://doi.org/10.1080/21693277.2018.1432428" TargetMode="External"/><Relationship Id="rId4" Type="http://schemas.openxmlformats.org/officeDocument/2006/relationships/styles" Target="styles.xml"/><Relationship Id="rId9" Type="http://schemas.openxmlformats.org/officeDocument/2006/relationships/chart" Target="charts/chart1.xml"/><Relationship Id="rId14" Type="http://schemas.openxmlformats.org/officeDocument/2006/relationships/image" Target="media/image2.png"/><Relationship Id="rId22" Type="http://schemas.openxmlformats.org/officeDocument/2006/relationships/hyperlink" Target="https://doi.org/10.1021/acs.est.6b05751"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219ae53ad51ab376/Work/Post-doc/IRTC/Vancouver/Publication/Overview%20methods%20and%20indicators_critical%20materials%20updat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219ae53ad51ab376/Work/Post-doc/IRTC/Vancouver/Publication/Overview%20methods%20and%20indicators_critical%20materials%20update.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'[Overview methods and indicators_critical materials update.xlsx]Sheet4'!$C$1</c:f>
              <c:strCache>
                <c:ptCount val="1"/>
                <c:pt idx="0">
                  <c:v>High</c:v>
                </c:pt>
              </c:strCache>
            </c:strRef>
          </c:tx>
          <c:spPr>
            <a:solidFill>
              <a:srgbClr val="FF0000"/>
            </a:solidFill>
            <a:ln>
              <a:noFill/>
            </a:ln>
            <a:effectLst/>
          </c:spPr>
          <c:invertIfNegative val="0"/>
          <c:cat>
            <c:strRef>
              <c:f>'[Overview methods and indicators_critical materials update.xlsx]Sheet4'!$B$2:$B$59</c:f>
              <c:strCache>
                <c:ptCount val="58"/>
                <c:pt idx="0">
                  <c:v>Zirconium</c:v>
                </c:pt>
                <c:pt idx="1">
                  <c:v>Zinc</c:v>
                </c:pt>
                <c:pt idx="2">
                  <c:v>Wood</c:v>
                </c:pt>
                <c:pt idx="3">
                  <c:v>Vermiculite</c:v>
                </c:pt>
                <c:pt idx="4">
                  <c:v>Vanadium</c:v>
                </c:pt>
                <c:pt idx="5">
                  <c:v>Uranium</c:v>
                </c:pt>
                <c:pt idx="6">
                  <c:v>Tungsten</c:v>
                </c:pt>
                <c:pt idx="7">
                  <c:v>Titanium</c:v>
                </c:pt>
                <c:pt idx="8">
                  <c:v>Tin</c:v>
                </c:pt>
                <c:pt idx="9">
                  <c:v>Thorium</c:v>
                </c:pt>
                <c:pt idx="10">
                  <c:v>Thallium</c:v>
                </c:pt>
                <c:pt idx="11">
                  <c:v>Tellurium</c:v>
                </c:pt>
                <c:pt idx="12">
                  <c:v>Tantalum</c:v>
                </c:pt>
                <c:pt idx="13">
                  <c:v>Talc</c:v>
                </c:pt>
                <c:pt idx="14">
                  <c:v>Sulfur</c:v>
                </c:pt>
                <c:pt idx="15">
                  <c:v>Strontium</c:v>
                </c:pt>
                <c:pt idx="16">
                  <c:v>Sodium</c:v>
                </c:pt>
                <c:pt idx="17">
                  <c:v>Soda ash</c:v>
                </c:pt>
                <c:pt idx="18">
                  <c:v>Silver</c:v>
                </c:pt>
                <c:pt idx="19">
                  <c:v>Silicon</c:v>
                </c:pt>
                <c:pt idx="20">
                  <c:v>Silicomanganese</c:v>
                </c:pt>
                <c:pt idx="21">
                  <c:v>Silica</c:v>
                </c:pt>
                <c:pt idx="22">
                  <c:v>Shale gas</c:v>
                </c:pt>
                <c:pt idx="23">
                  <c:v>Selenium</c:v>
                </c:pt>
                <c:pt idx="24">
                  <c:v>Rubidium</c:v>
                </c:pt>
                <c:pt idx="25">
                  <c:v>Rubber</c:v>
                </c:pt>
                <c:pt idx="26">
                  <c:v>Rhenium</c:v>
                </c:pt>
                <c:pt idx="27">
                  <c:v>REEs Light</c:v>
                </c:pt>
                <c:pt idx="28">
                  <c:v>REEs Heavy</c:v>
                </c:pt>
                <c:pt idx="29">
                  <c:v>REEs</c:v>
                </c:pt>
                <c:pt idx="30">
                  <c:v>REE Yttrium</c:v>
                </c:pt>
                <c:pt idx="31">
                  <c:v>REE Ytterbium</c:v>
                </c:pt>
                <c:pt idx="32">
                  <c:v>REE Thulium</c:v>
                </c:pt>
                <c:pt idx="33">
                  <c:v>REE Terbium</c:v>
                </c:pt>
                <c:pt idx="34">
                  <c:v>REE Scandium</c:v>
                </c:pt>
                <c:pt idx="35">
                  <c:v>REE Samarium</c:v>
                </c:pt>
                <c:pt idx="36">
                  <c:v>REE Praseodymium</c:v>
                </c:pt>
                <c:pt idx="37">
                  <c:v>REE Neodymium</c:v>
                </c:pt>
                <c:pt idx="38">
                  <c:v>REE Lutetium</c:v>
                </c:pt>
                <c:pt idx="39">
                  <c:v>REE Lanthanum</c:v>
                </c:pt>
                <c:pt idx="40">
                  <c:v>REE Holmium</c:v>
                </c:pt>
                <c:pt idx="41">
                  <c:v>REE Gadolinium</c:v>
                </c:pt>
                <c:pt idx="42">
                  <c:v>REE Europium</c:v>
                </c:pt>
                <c:pt idx="43">
                  <c:v>REE Erbium</c:v>
                </c:pt>
                <c:pt idx="44">
                  <c:v>REE Dysprosium</c:v>
                </c:pt>
                <c:pt idx="45">
                  <c:v>REE Cerium</c:v>
                </c:pt>
                <c:pt idx="46">
                  <c:v>Quartz fiber</c:v>
                </c:pt>
                <c:pt idx="47">
                  <c:v>Potassium</c:v>
                </c:pt>
                <c:pt idx="48">
                  <c:v>Phosphorus</c:v>
                </c:pt>
                <c:pt idx="49">
                  <c:v>PGMs</c:v>
                </c:pt>
                <c:pt idx="50">
                  <c:v>PGM Ruthenium</c:v>
                </c:pt>
                <c:pt idx="51">
                  <c:v>PGM Rhodium</c:v>
                </c:pt>
                <c:pt idx="52">
                  <c:v>PGM Platinum</c:v>
                </c:pt>
                <c:pt idx="53">
                  <c:v>PGM Palladium</c:v>
                </c:pt>
                <c:pt idx="54">
                  <c:v>PGM Osmium</c:v>
                </c:pt>
                <c:pt idx="55">
                  <c:v>PGM Iridium</c:v>
                </c:pt>
                <c:pt idx="56">
                  <c:v>Petroleum</c:v>
                </c:pt>
                <c:pt idx="57">
                  <c:v>Perlite</c:v>
                </c:pt>
              </c:strCache>
            </c:strRef>
          </c:cat>
          <c:val>
            <c:numRef>
              <c:f>'[Overview methods and indicators_critical materials update.xlsx]Sheet4'!$C$2:$C$59</c:f>
              <c:numCache>
                <c:formatCode>General</c:formatCode>
                <c:ptCount val="58"/>
                <c:pt idx="0">
                  <c:v>3</c:v>
                </c:pt>
                <c:pt idx="4">
                  <c:v>6</c:v>
                </c:pt>
                <c:pt idx="5">
                  <c:v>1</c:v>
                </c:pt>
                <c:pt idx="6">
                  <c:v>15</c:v>
                </c:pt>
                <c:pt idx="8">
                  <c:v>3</c:v>
                </c:pt>
                <c:pt idx="9">
                  <c:v>1</c:v>
                </c:pt>
                <c:pt idx="10">
                  <c:v>2</c:v>
                </c:pt>
                <c:pt idx="11">
                  <c:v>5</c:v>
                </c:pt>
                <c:pt idx="12">
                  <c:v>7</c:v>
                </c:pt>
                <c:pt idx="15">
                  <c:v>5</c:v>
                </c:pt>
                <c:pt idx="18">
                  <c:v>2</c:v>
                </c:pt>
                <c:pt idx="19">
                  <c:v>4</c:v>
                </c:pt>
                <c:pt idx="20">
                  <c:v>2</c:v>
                </c:pt>
                <c:pt idx="22">
                  <c:v>1</c:v>
                </c:pt>
                <c:pt idx="23">
                  <c:v>2</c:v>
                </c:pt>
                <c:pt idx="25">
                  <c:v>1</c:v>
                </c:pt>
                <c:pt idx="26">
                  <c:v>4</c:v>
                </c:pt>
                <c:pt idx="27">
                  <c:v>2</c:v>
                </c:pt>
                <c:pt idx="28">
                  <c:v>2</c:v>
                </c:pt>
                <c:pt idx="29">
                  <c:v>11</c:v>
                </c:pt>
                <c:pt idx="30">
                  <c:v>11</c:v>
                </c:pt>
                <c:pt idx="31">
                  <c:v>1</c:v>
                </c:pt>
                <c:pt idx="32">
                  <c:v>1</c:v>
                </c:pt>
                <c:pt idx="33">
                  <c:v>10</c:v>
                </c:pt>
                <c:pt idx="34">
                  <c:v>1</c:v>
                </c:pt>
                <c:pt idx="35">
                  <c:v>2</c:v>
                </c:pt>
                <c:pt idx="36">
                  <c:v>3</c:v>
                </c:pt>
                <c:pt idx="37">
                  <c:v>14</c:v>
                </c:pt>
                <c:pt idx="38">
                  <c:v>1</c:v>
                </c:pt>
                <c:pt idx="39">
                  <c:v>4</c:v>
                </c:pt>
                <c:pt idx="40">
                  <c:v>1</c:v>
                </c:pt>
                <c:pt idx="41">
                  <c:v>1</c:v>
                </c:pt>
                <c:pt idx="42">
                  <c:v>9</c:v>
                </c:pt>
                <c:pt idx="43">
                  <c:v>1</c:v>
                </c:pt>
                <c:pt idx="44">
                  <c:v>9</c:v>
                </c:pt>
                <c:pt idx="45">
                  <c:v>4</c:v>
                </c:pt>
                <c:pt idx="47">
                  <c:v>1</c:v>
                </c:pt>
                <c:pt idx="48">
                  <c:v>6</c:v>
                </c:pt>
                <c:pt idx="49">
                  <c:v>5</c:v>
                </c:pt>
                <c:pt idx="50">
                  <c:v>5</c:v>
                </c:pt>
                <c:pt idx="51">
                  <c:v>6</c:v>
                </c:pt>
                <c:pt idx="52">
                  <c:v>7</c:v>
                </c:pt>
                <c:pt idx="53">
                  <c:v>4</c:v>
                </c:pt>
                <c:pt idx="55">
                  <c:v>3</c:v>
                </c:pt>
                <c:pt idx="56">
                  <c:v>1</c:v>
                </c:pt>
              </c:numCache>
            </c:numRef>
          </c:val>
          <c:extLst>
            <c:ext xmlns:c16="http://schemas.microsoft.com/office/drawing/2014/chart" uri="{C3380CC4-5D6E-409C-BE32-E72D297353CC}">
              <c16:uniqueId val="{00000000-61B1-410A-A3B1-7516566B32BB}"/>
            </c:ext>
          </c:extLst>
        </c:ser>
        <c:ser>
          <c:idx val="1"/>
          <c:order val="1"/>
          <c:tx>
            <c:strRef>
              <c:f>'[Overview methods and indicators_critical materials update.xlsx]Sheet4'!$D$1</c:f>
              <c:strCache>
                <c:ptCount val="1"/>
                <c:pt idx="0">
                  <c:v>Medium</c:v>
                </c:pt>
              </c:strCache>
            </c:strRef>
          </c:tx>
          <c:spPr>
            <a:solidFill>
              <a:schemeClr val="accent4"/>
            </a:solidFill>
            <a:ln>
              <a:noFill/>
            </a:ln>
            <a:effectLst/>
          </c:spPr>
          <c:invertIfNegative val="0"/>
          <c:cat>
            <c:strRef>
              <c:f>'[Overview methods and indicators_critical materials update.xlsx]Sheet4'!$B$2:$B$59</c:f>
              <c:strCache>
                <c:ptCount val="58"/>
                <c:pt idx="0">
                  <c:v>Zirconium</c:v>
                </c:pt>
                <c:pt idx="1">
                  <c:v>Zinc</c:v>
                </c:pt>
                <c:pt idx="2">
                  <c:v>Wood</c:v>
                </c:pt>
                <c:pt idx="3">
                  <c:v>Vermiculite</c:v>
                </c:pt>
                <c:pt idx="4">
                  <c:v>Vanadium</c:v>
                </c:pt>
                <c:pt idx="5">
                  <c:v>Uranium</c:v>
                </c:pt>
                <c:pt idx="6">
                  <c:v>Tungsten</c:v>
                </c:pt>
                <c:pt idx="7">
                  <c:v>Titanium</c:v>
                </c:pt>
                <c:pt idx="8">
                  <c:v>Tin</c:v>
                </c:pt>
                <c:pt idx="9">
                  <c:v>Thorium</c:v>
                </c:pt>
                <c:pt idx="10">
                  <c:v>Thallium</c:v>
                </c:pt>
                <c:pt idx="11">
                  <c:v>Tellurium</c:v>
                </c:pt>
                <c:pt idx="12">
                  <c:v>Tantalum</c:v>
                </c:pt>
                <c:pt idx="13">
                  <c:v>Talc</c:v>
                </c:pt>
                <c:pt idx="14">
                  <c:v>Sulfur</c:v>
                </c:pt>
                <c:pt idx="15">
                  <c:v>Strontium</c:v>
                </c:pt>
                <c:pt idx="16">
                  <c:v>Sodium</c:v>
                </c:pt>
                <c:pt idx="17">
                  <c:v>Soda ash</c:v>
                </c:pt>
                <c:pt idx="18">
                  <c:v>Silver</c:v>
                </c:pt>
                <c:pt idx="19">
                  <c:v>Silicon</c:v>
                </c:pt>
                <c:pt idx="20">
                  <c:v>Silicomanganese</c:v>
                </c:pt>
                <c:pt idx="21">
                  <c:v>Silica</c:v>
                </c:pt>
                <c:pt idx="22">
                  <c:v>Shale gas</c:v>
                </c:pt>
                <c:pt idx="23">
                  <c:v>Selenium</c:v>
                </c:pt>
                <c:pt idx="24">
                  <c:v>Rubidium</c:v>
                </c:pt>
                <c:pt idx="25">
                  <c:v>Rubber</c:v>
                </c:pt>
                <c:pt idx="26">
                  <c:v>Rhenium</c:v>
                </c:pt>
                <c:pt idx="27">
                  <c:v>REEs Light</c:v>
                </c:pt>
                <c:pt idx="28">
                  <c:v>REEs Heavy</c:v>
                </c:pt>
                <c:pt idx="29">
                  <c:v>REEs</c:v>
                </c:pt>
                <c:pt idx="30">
                  <c:v>REE Yttrium</c:v>
                </c:pt>
                <c:pt idx="31">
                  <c:v>REE Ytterbium</c:v>
                </c:pt>
                <c:pt idx="32">
                  <c:v>REE Thulium</c:v>
                </c:pt>
                <c:pt idx="33">
                  <c:v>REE Terbium</c:v>
                </c:pt>
                <c:pt idx="34">
                  <c:v>REE Scandium</c:v>
                </c:pt>
                <c:pt idx="35">
                  <c:v>REE Samarium</c:v>
                </c:pt>
                <c:pt idx="36">
                  <c:v>REE Praseodymium</c:v>
                </c:pt>
                <c:pt idx="37">
                  <c:v>REE Neodymium</c:v>
                </c:pt>
                <c:pt idx="38">
                  <c:v>REE Lutetium</c:v>
                </c:pt>
                <c:pt idx="39">
                  <c:v>REE Lanthanum</c:v>
                </c:pt>
                <c:pt idx="40">
                  <c:v>REE Holmium</c:v>
                </c:pt>
                <c:pt idx="41">
                  <c:v>REE Gadolinium</c:v>
                </c:pt>
                <c:pt idx="42">
                  <c:v>REE Europium</c:v>
                </c:pt>
                <c:pt idx="43">
                  <c:v>REE Erbium</c:v>
                </c:pt>
                <c:pt idx="44">
                  <c:v>REE Dysprosium</c:v>
                </c:pt>
                <c:pt idx="45">
                  <c:v>REE Cerium</c:v>
                </c:pt>
                <c:pt idx="46">
                  <c:v>Quartz fiber</c:v>
                </c:pt>
                <c:pt idx="47">
                  <c:v>Potassium</c:v>
                </c:pt>
                <c:pt idx="48">
                  <c:v>Phosphorus</c:v>
                </c:pt>
                <c:pt idx="49">
                  <c:v>PGMs</c:v>
                </c:pt>
                <c:pt idx="50">
                  <c:v>PGM Ruthenium</c:v>
                </c:pt>
                <c:pt idx="51">
                  <c:v>PGM Rhodium</c:v>
                </c:pt>
                <c:pt idx="52">
                  <c:v>PGM Platinum</c:v>
                </c:pt>
                <c:pt idx="53">
                  <c:v>PGM Palladium</c:v>
                </c:pt>
                <c:pt idx="54">
                  <c:v>PGM Osmium</c:v>
                </c:pt>
                <c:pt idx="55">
                  <c:v>PGM Iridium</c:v>
                </c:pt>
                <c:pt idx="56">
                  <c:v>Petroleum</c:v>
                </c:pt>
                <c:pt idx="57">
                  <c:v>Perlite</c:v>
                </c:pt>
              </c:strCache>
            </c:strRef>
          </c:cat>
          <c:val>
            <c:numRef>
              <c:f>'[Overview methods and indicators_critical materials update.xlsx]Sheet4'!$D$2:$D$59</c:f>
              <c:numCache>
                <c:formatCode>General</c:formatCode>
                <c:ptCount val="58"/>
                <c:pt idx="0">
                  <c:v>2</c:v>
                </c:pt>
                <c:pt idx="1">
                  <c:v>2</c:v>
                </c:pt>
                <c:pt idx="4">
                  <c:v>5</c:v>
                </c:pt>
                <c:pt idx="5">
                  <c:v>2</c:v>
                </c:pt>
                <c:pt idx="6">
                  <c:v>1</c:v>
                </c:pt>
                <c:pt idx="7">
                  <c:v>3</c:v>
                </c:pt>
                <c:pt idx="8">
                  <c:v>8</c:v>
                </c:pt>
                <c:pt idx="9">
                  <c:v>3</c:v>
                </c:pt>
                <c:pt idx="11">
                  <c:v>7</c:v>
                </c:pt>
                <c:pt idx="12">
                  <c:v>7</c:v>
                </c:pt>
                <c:pt idx="15">
                  <c:v>3</c:v>
                </c:pt>
                <c:pt idx="18">
                  <c:v>3</c:v>
                </c:pt>
                <c:pt idx="19">
                  <c:v>1</c:v>
                </c:pt>
                <c:pt idx="23">
                  <c:v>5</c:v>
                </c:pt>
                <c:pt idx="26">
                  <c:v>5</c:v>
                </c:pt>
                <c:pt idx="30">
                  <c:v>2</c:v>
                </c:pt>
                <c:pt idx="31">
                  <c:v>2</c:v>
                </c:pt>
                <c:pt idx="32">
                  <c:v>2</c:v>
                </c:pt>
                <c:pt idx="33">
                  <c:v>2</c:v>
                </c:pt>
                <c:pt idx="34">
                  <c:v>3</c:v>
                </c:pt>
                <c:pt idx="35">
                  <c:v>4</c:v>
                </c:pt>
                <c:pt idx="36">
                  <c:v>2</c:v>
                </c:pt>
                <c:pt idx="37">
                  <c:v>2</c:v>
                </c:pt>
                <c:pt idx="38">
                  <c:v>2</c:v>
                </c:pt>
                <c:pt idx="39">
                  <c:v>5</c:v>
                </c:pt>
                <c:pt idx="40">
                  <c:v>2</c:v>
                </c:pt>
                <c:pt idx="41">
                  <c:v>4</c:v>
                </c:pt>
                <c:pt idx="42">
                  <c:v>3</c:v>
                </c:pt>
                <c:pt idx="43">
                  <c:v>3</c:v>
                </c:pt>
                <c:pt idx="44">
                  <c:v>2</c:v>
                </c:pt>
                <c:pt idx="45">
                  <c:v>5</c:v>
                </c:pt>
                <c:pt idx="48">
                  <c:v>2</c:v>
                </c:pt>
                <c:pt idx="49">
                  <c:v>3</c:v>
                </c:pt>
                <c:pt idx="50">
                  <c:v>3</c:v>
                </c:pt>
                <c:pt idx="51">
                  <c:v>2</c:v>
                </c:pt>
                <c:pt idx="52">
                  <c:v>3</c:v>
                </c:pt>
                <c:pt idx="53">
                  <c:v>3</c:v>
                </c:pt>
                <c:pt idx="54">
                  <c:v>2</c:v>
                </c:pt>
                <c:pt idx="55">
                  <c:v>3</c:v>
                </c:pt>
                <c:pt idx="56">
                  <c:v>1</c:v>
                </c:pt>
              </c:numCache>
            </c:numRef>
          </c:val>
          <c:extLst>
            <c:ext xmlns:c16="http://schemas.microsoft.com/office/drawing/2014/chart" uri="{C3380CC4-5D6E-409C-BE32-E72D297353CC}">
              <c16:uniqueId val="{00000001-61B1-410A-A3B1-7516566B32BB}"/>
            </c:ext>
          </c:extLst>
        </c:ser>
        <c:ser>
          <c:idx val="2"/>
          <c:order val="2"/>
          <c:tx>
            <c:strRef>
              <c:f>'[Overview methods and indicators_critical materials update.xlsx]Sheet4'!$E$1</c:f>
              <c:strCache>
                <c:ptCount val="1"/>
                <c:pt idx="0">
                  <c:v>Low</c:v>
                </c:pt>
              </c:strCache>
            </c:strRef>
          </c:tx>
          <c:spPr>
            <a:solidFill>
              <a:schemeClr val="accent6"/>
            </a:solidFill>
            <a:ln>
              <a:noFill/>
            </a:ln>
            <a:effectLst/>
          </c:spPr>
          <c:invertIfNegative val="0"/>
          <c:cat>
            <c:strRef>
              <c:f>'[Overview methods and indicators_critical materials update.xlsx]Sheet4'!$B$2:$B$59</c:f>
              <c:strCache>
                <c:ptCount val="58"/>
                <c:pt idx="0">
                  <c:v>Zirconium</c:v>
                </c:pt>
                <c:pt idx="1">
                  <c:v>Zinc</c:v>
                </c:pt>
                <c:pt idx="2">
                  <c:v>Wood</c:v>
                </c:pt>
                <c:pt idx="3">
                  <c:v>Vermiculite</c:v>
                </c:pt>
                <c:pt idx="4">
                  <c:v>Vanadium</c:v>
                </c:pt>
                <c:pt idx="5">
                  <c:v>Uranium</c:v>
                </c:pt>
                <c:pt idx="6">
                  <c:v>Tungsten</c:v>
                </c:pt>
                <c:pt idx="7">
                  <c:v>Titanium</c:v>
                </c:pt>
                <c:pt idx="8">
                  <c:v>Tin</c:v>
                </c:pt>
                <c:pt idx="9">
                  <c:v>Thorium</c:v>
                </c:pt>
                <c:pt idx="10">
                  <c:v>Thallium</c:v>
                </c:pt>
                <c:pt idx="11">
                  <c:v>Tellurium</c:v>
                </c:pt>
                <c:pt idx="12">
                  <c:v>Tantalum</c:v>
                </c:pt>
                <c:pt idx="13">
                  <c:v>Talc</c:v>
                </c:pt>
                <c:pt idx="14">
                  <c:v>Sulfur</c:v>
                </c:pt>
                <c:pt idx="15">
                  <c:v>Strontium</c:v>
                </c:pt>
                <c:pt idx="16">
                  <c:v>Sodium</c:v>
                </c:pt>
                <c:pt idx="17">
                  <c:v>Soda ash</c:v>
                </c:pt>
                <c:pt idx="18">
                  <c:v>Silver</c:v>
                </c:pt>
                <c:pt idx="19">
                  <c:v>Silicon</c:v>
                </c:pt>
                <c:pt idx="20">
                  <c:v>Silicomanganese</c:v>
                </c:pt>
                <c:pt idx="21">
                  <c:v>Silica</c:v>
                </c:pt>
                <c:pt idx="22">
                  <c:v>Shale gas</c:v>
                </c:pt>
                <c:pt idx="23">
                  <c:v>Selenium</c:v>
                </c:pt>
                <c:pt idx="24">
                  <c:v>Rubidium</c:v>
                </c:pt>
                <c:pt idx="25">
                  <c:v>Rubber</c:v>
                </c:pt>
                <c:pt idx="26">
                  <c:v>Rhenium</c:v>
                </c:pt>
                <c:pt idx="27">
                  <c:v>REEs Light</c:v>
                </c:pt>
                <c:pt idx="28">
                  <c:v>REEs Heavy</c:v>
                </c:pt>
                <c:pt idx="29">
                  <c:v>REEs</c:v>
                </c:pt>
                <c:pt idx="30">
                  <c:v>REE Yttrium</c:v>
                </c:pt>
                <c:pt idx="31">
                  <c:v>REE Ytterbium</c:v>
                </c:pt>
                <c:pt idx="32">
                  <c:v>REE Thulium</c:v>
                </c:pt>
                <c:pt idx="33">
                  <c:v>REE Terbium</c:v>
                </c:pt>
                <c:pt idx="34">
                  <c:v>REE Scandium</c:v>
                </c:pt>
                <c:pt idx="35">
                  <c:v>REE Samarium</c:v>
                </c:pt>
                <c:pt idx="36">
                  <c:v>REE Praseodymium</c:v>
                </c:pt>
                <c:pt idx="37">
                  <c:v>REE Neodymium</c:v>
                </c:pt>
                <c:pt idx="38">
                  <c:v>REE Lutetium</c:v>
                </c:pt>
                <c:pt idx="39">
                  <c:v>REE Lanthanum</c:v>
                </c:pt>
                <c:pt idx="40">
                  <c:v>REE Holmium</c:v>
                </c:pt>
                <c:pt idx="41">
                  <c:v>REE Gadolinium</c:v>
                </c:pt>
                <c:pt idx="42">
                  <c:v>REE Europium</c:v>
                </c:pt>
                <c:pt idx="43">
                  <c:v>REE Erbium</c:v>
                </c:pt>
                <c:pt idx="44">
                  <c:v>REE Dysprosium</c:v>
                </c:pt>
                <c:pt idx="45">
                  <c:v>REE Cerium</c:v>
                </c:pt>
                <c:pt idx="46">
                  <c:v>Quartz fiber</c:v>
                </c:pt>
                <c:pt idx="47">
                  <c:v>Potassium</c:v>
                </c:pt>
                <c:pt idx="48">
                  <c:v>Phosphorus</c:v>
                </c:pt>
                <c:pt idx="49">
                  <c:v>PGMs</c:v>
                </c:pt>
                <c:pt idx="50">
                  <c:v>PGM Ruthenium</c:v>
                </c:pt>
                <c:pt idx="51">
                  <c:v>PGM Rhodium</c:v>
                </c:pt>
                <c:pt idx="52">
                  <c:v>PGM Platinum</c:v>
                </c:pt>
                <c:pt idx="53">
                  <c:v>PGM Palladium</c:v>
                </c:pt>
                <c:pt idx="54">
                  <c:v>PGM Osmium</c:v>
                </c:pt>
                <c:pt idx="55">
                  <c:v>PGM Iridium</c:v>
                </c:pt>
                <c:pt idx="56">
                  <c:v>Petroleum</c:v>
                </c:pt>
                <c:pt idx="57">
                  <c:v>Perlite</c:v>
                </c:pt>
              </c:strCache>
            </c:strRef>
          </c:cat>
          <c:val>
            <c:numRef>
              <c:f>'[Overview methods and indicators_critical materials update.xlsx]Sheet4'!$E$2:$E$59</c:f>
              <c:numCache>
                <c:formatCode>General</c:formatCode>
                <c:ptCount val="58"/>
                <c:pt idx="0">
                  <c:v>9</c:v>
                </c:pt>
                <c:pt idx="1">
                  <c:v>14</c:v>
                </c:pt>
                <c:pt idx="2">
                  <c:v>2</c:v>
                </c:pt>
                <c:pt idx="3">
                  <c:v>1</c:v>
                </c:pt>
                <c:pt idx="4">
                  <c:v>8</c:v>
                </c:pt>
                <c:pt idx="5">
                  <c:v>5</c:v>
                </c:pt>
                <c:pt idx="6">
                  <c:v>3</c:v>
                </c:pt>
                <c:pt idx="7">
                  <c:v>16</c:v>
                </c:pt>
                <c:pt idx="8">
                  <c:v>8</c:v>
                </c:pt>
                <c:pt idx="9">
                  <c:v>1</c:v>
                </c:pt>
                <c:pt idx="10">
                  <c:v>1</c:v>
                </c:pt>
                <c:pt idx="11">
                  <c:v>10</c:v>
                </c:pt>
                <c:pt idx="12">
                  <c:v>6</c:v>
                </c:pt>
                <c:pt idx="13">
                  <c:v>5</c:v>
                </c:pt>
                <c:pt idx="14">
                  <c:v>4</c:v>
                </c:pt>
                <c:pt idx="15">
                  <c:v>2</c:v>
                </c:pt>
                <c:pt idx="16">
                  <c:v>2</c:v>
                </c:pt>
                <c:pt idx="17">
                  <c:v>1</c:v>
                </c:pt>
                <c:pt idx="18">
                  <c:v>13</c:v>
                </c:pt>
                <c:pt idx="19">
                  <c:v>4</c:v>
                </c:pt>
                <c:pt idx="21">
                  <c:v>4</c:v>
                </c:pt>
                <c:pt idx="23">
                  <c:v>10</c:v>
                </c:pt>
                <c:pt idx="24">
                  <c:v>1</c:v>
                </c:pt>
                <c:pt idx="25">
                  <c:v>2</c:v>
                </c:pt>
                <c:pt idx="26">
                  <c:v>9</c:v>
                </c:pt>
                <c:pt idx="30">
                  <c:v>1</c:v>
                </c:pt>
                <c:pt idx="33">
                  <c:v>1</c:v>
                </c:pt>
                <c:pt idx="34">
                  <c:v>2</c:v>
                </c:pt>
                <c:pt idx="35">
                  <c:v>5</c:v>
                </c:pt>
                <c:pt idx="36">
                  <c:v>4</c:v>
                </c:pt>
                <c:pt idx="37">
                  <c:v>1</c:v>
                </c:pt>
                <c:pt idx="38">
                  <c:v>1</c:v>
                </c:pt>
                <c:pt idx="39">
                  <c:v>2</c:v>
                </c:pt>
                <c:pt idx="40">
                  <c:v>1</c:v>
                </c:pt>
                <c:pt idx="41">
                  <c:v>1</c:v>
                </c:pt>
                <c:pt idx="42">
                  <c:v>1</c:v>
                </c:pt>
                <c:pt idx="44">
                  <c:v>1</c:v>
                </c:pt>
                <c:pt idx="45">
                  <c:v>2</c:v>
                </c:pt>
                <c:pt idx="46">
                  <c:v>1</c:v>
                </c:pt>
                <c:pt idx="47">
                  <c:v>7</c:v>
                </c:pt>
                <c:pt idx="48">
                  <c:v>1</c:v>
                </c:pt>
                <c:pt idx="49">
                  <c:v>1</c:v>
                </c:pt>
                <c:pt idx="50">
                  <c:v>1</c:v>
                </c:pt>
                <c:pt idx="52">
                  <c:v>4</c:v>
                </c:pt>
                <c:pt idx="53">
                  <c:v>5</c:v>
                </c:pt>
                <c:pt idx="54">
                  <c:v>2</c:v>
                </c:pt>
                <c:pt idx="55">
                  <c:v>1</c:v>
                </c:pt>
                <c:pt idx="57">
                  <c:v>5</c:v>
                </c:pt>
              </c:numCache>
            </c:numRef>
          </c:val>
          <c:extLst>
            <c:ext xmlns:c16="http://schemas.microsoft.com/office/drawing/2014/chart" uri="{C3380CC4-5D6E-409C-BE32-E72D297353CC}">
              <c16:uniqueId val="{00000002-61B1-410A-A3B1-7516566B32BB}"/>
            </c:ext>
          </c:extLst>
        </c:ser>
        <c:dLbls>
          <c:showLegendKey val="0"/>
          <c:showVal val="0"/>
          <c:showCatName val="0"/>
          <c:showSerName val="0"/>
          <c:showPercent val="0"/>
          <c:showBubbleSize val="0"/>
        </c:dLbls>
        <c:gapWidth val="150"/>
        <c:overlap val="100"/>
        <c:axId val="414946696"/>
        <c:axId val="414947024"/>
      </c:barChart>
      <c:catAx>
        <c:axId val="4149466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14947024"/>
        <c:crosses val="autoZero"/>
        <c:auto val="1"/>
        <c:lblAlgn val="ctr"/>
        <c:lblOffset val="100"/>
        <c:noMultiLvlLbl val="0"/>
      </c:catAx>
      <c:valAx>
        <c:axId val="4149470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GB" sz="800" b="0" i="0" baseline="0">
                    <a:effectLst/>
                  </a:rPr>
                  <a:t>Frequency of appearance and assessment of "high", "medium", or "low" criticality</a:t>
                </a:r>
                <a:endParaRPr lang="en-GB" sz="800">
                  <a:effectLst/>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14946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396660404645322"/>
          <c:y val="1.9973700811618138E-2"/>
          <c:w val="0.70214533042524618"/>
          <c:h val="0.88503307377212936"/>
        </c:manualLayout>
      </c:layout>
      <c:barChart>
        <c:barDir val="bar"/>
        <c:grouping val="stacked"/>
        <c:varyColors val="0"/>
        <c:ser>
          <c:idx val="0"/>
          <c:order val="0"/>
          <c:tx>
            <c:strRef>
              <c:f>'[Overview methods and indicators_critical materials update.xlsx]Sheet4'!$C$61</c:f>
              <c:strCache>
                <c:ptCount val="1"/>
                <c:pt idx="0">
                  <c:v>High</c:v>
                </c:pt>
              </c:strCache>
            </c:strRef>
          </c:tx>
          <c:spPr>
            <a:solidFill>
              <a:srgbClr val="FF0000"/>
            </a:solidFill>
            <a:ln>
              <a:noFill/>
            </a:ln>
            <a:effectLst/>
          </c:spPr>
          <c:invertIfNegative val="0"/>
          <c:cat>
            <c:strRef>
              <c:f>'[Overview methods and indicators_critical materials update.xlsx]Sheet4'!$B$62:$B$120</c:f>
              <c:strCache>
                <c:ptCount val="59"/>
                <c:pt idx="0">
                  <c:v>Nomex</c:v>
                </c:pt>
                <c:pt idx="1">
                  <c:v>Niobium</c:v>
                </c:pt>
                <c:pt idx="2">
                  <c:v>Nickel</c:v>
                </c:pt>
                <c:pt idx="3">
                  <c:v>Natural gas</c:v>
                </c:pt>
                <c:pt idx="4">
                  <c:v>Monazite</c:v>
                </c:pt>
                <c:pt idx="5">
                  <c:v>Molybdenum</c:v>
                </c:pt>
                <c:pt idx="6">
                  <c:v>Mica</c:v>
                </c:pt>
                <c:pt idx="7">
                  <c:v>Methane</c:v>
                </c:pt>
                <c:pt idx="8">
                  <c:v>Mercury</c:v>
                </c:pt>
                <c:pt idx="9">
                  <c:v>Manganese</c:v>
                </c:pt>
                <c:pt idx="10">
                  <c:v>Magnesium</c:v>
                </c:pt>
                <c:pt idx="11">
                  <c:v>Magnesite</c:v>
                </c:pt>
                <c:pt idx="12">
                  <c:v>Lithium</c:v>
                </c:pt>
                <c:pt idx="13">
                  <c:v>Limestone</c:v>
                </c:pt>
                <c:pt idx="14">
                  <c:v>Lead</c:v>
                </c:pt>
                <c:pt idx="15">
                  <c:v>Kyanite</c:v>
                </c:pt>
                <c:pt idx="16">
                  <c:v>Kevlar</c:v>
                </c:pt>
                <c:pt idx="17">
                  <c:v>Iron</c:v>
                </c:pt>
                <c:pt idx="18">
                  <c:v>Iodine</c:v>
                </c:pt>
                <c:pt idx="19">
                  <c:v>Indium</c:v>
                </c:pt>
                <c:pt idx="20">
                  <c:v>Helium</c:v>
                </c:pt>
                <c:pt idx="21">
                  <c:v>Hafnium</c:v>
                </c:pt>
                <c:pt idx="22">
                  <c:v>Gypsum</c:v>
                </c:pt>
                <c:pt idx="23">
                  <c:v>Graphite</c:v>
                </c:pt>
                <c:pt idx="24">
                  <c:v>Gold</c:v>
                </c:pt>
                <c:pt idx="25">
                  <c:v>Glass fiber</c:v>
                </c:pt>
                <c:pt idx="26">
                  <c:v>Germanium</c:v>
                </c:pt>
                <c:pt idx="27">
                  <c:v>Gallium</c:v>
                </c:pt>
                <c:pt idx="28">
                  <c:v>Fluor</c:v>
                </c:pt>
                <c:pt idx="29">
                  <c:v>Feldspar</c:v>
                </c:pt>
                <c:pt idx="30">
                  <c:v>Diatomite</c:v>
                </c:pt>
                <c:pt idx="31">
                  <c:v>Diamond</c:v>
                </c:pt>
                <c:pt idx="32">
                  <c:v>Cork</c:v>
                </c:pt>
                <c:pt idx="33">
                  <c:v>Copper</c:v>
                </c:pt>
                <c:pt idx="34">
                  <c:v>Cobalt</c:v>
                </c:pt>
                <c:pt idx="35">
                  <c:v>Coal</c:v>
                </c:pt>
                <c:pt idx="36">
                  <c:v>Clay</c:v>
                </c:pt>
                <c:pt idx="37">
                  <c:v>Chromium</c:v>
                </c:pt>
                <c:pt idx="38">
                  <c:v>Chlorine</c:v>
                </c:pt>
                <c:pt idx="39">
                  <c:v>Carbon fiber</c:v>
                </c:pt>
                <c:pt idx="40">
                  <c:v>Calcium</c:v>
                </c:pt>
                <c:pt idx="41">
                  <c:v>Caesium</c:v>
                </c:pt>
                <c:pt idx="42">
                  <c:v>Cadmium</c:v>
                </c:pt>
                <c:pt idx="43">
                  <c:v>Bromine</c:v>
                </c:pt>
                <c:pt idx="44">
                  <c:v>Brass</c:v>
                </c:pt>
                <c:pt idx="45">
                  <c:v>Boron</c:v>
                </c:pt>
                <c:pt idx="46">
                  <c:v>Bismuth</c:v>
                </c:pt>
                <c:pt idx="47">
                  <c:v>Beryllium</c:v>
                </c:pt>
                <c:pt idx="48">
                  <c:v>Bentonite</c:v>
                </c:pt>
                <c:pt idx="49">
                  <c:v>Bauxite</c:v>
                </c:pt>
                <c:pt idx="50">
                  <c:v>Baryte</c:v>
                </c:pt>
                <c:pt idx="51">
                  <c:v>Barium</c:v>
                </c:pt>
                <c:pt idx="52">
                  <c:v>Asbestos</c:v>
                </c:pt>
                <c:pt idx="53">
                  <c:v>Arsenic</c:v>
                </c:pt>
                <c:pt idx="54">
                  <c:v>Antimony</c:v>
                </c:pt>
                <c:pt idx="55">
                  <c:v>Andalusite</c:v>
                </c:pt>
                <c:pt idx="56">
                  <c:v>Ammonia</c:v>
                </c:pt>
                <c:pt idx="57">
                  <c:v>Aluminium</c:v>
                </c:pt>
                <c:pt idx="58">
                  <c:v>Aggregates</c:v>
                </c:pt>
              </c:strCache>
            </c:strRef>
          </c:cat>
          <c:val>
            <c:numRef>
              <c:f>'[Overview methods and indicators_critical materials update.xlsx]Sheet4'!$C$62:$C$120</c:f>
              <c:numCache>
                <c:formatCode>General</c:formatCode>
                <c:ptCount val="59"/>
                <c:pt idx="1">
                  <c:v>10</c:v>
                </c:pt>
                <c:pt idx="2">
                  <c:v>2</c:v>
                </c:pt>
                <c:pt idx="3">
                  <c:v>1</c:v>
                </c:pt>
                <c:pt idx="4">
                  <c:v>2</c:v>
                </c:pt>
                <c:pt idx="5">
                  <c:v>6</c:v>
                </c:pt>
                <c:pt idx="6">
                  <c:v>1</c:v>
                </c:pt>
                <c:pt idx="7">
                  <c:v>1</c:v>
                </c:pt>
                <c:pt idx="8">
                  <c:v>4</c:v>
                </c:pt>
                <c:pt idx="9">
                  <c:v>2</c:v>
                </c:pt>
                <c:pt idx="10">
                  <c:v>7</c:v>
                </c:pt>
                <c:pt idx="11">
                  <c:v>2</c:v>
                </c:pt>
                <c:pt idx="12">
                  <c:v>5</c:v>
                </c:pt>
                <c:pt idx="17">
                  <c:v>1</c:v>
                </c:pt>
                <c:pt idx="19">
                  <c:v>15</c:v>
                </c:pt>
                <c:pt idx="20">
                  <c:v>1</c:v>
                </c:pt>
                <c:pt idx="21">
                  <c:v>1</c:v>
                </c:pt>
                <c:pt idx="23">
                  <c:v>9</c:v>
                </c:pt>
                <c:pt idx="24">
                  <c:v>2</c:v>
                </c:pt>
                <c:pt idx="26">
                  <c:v>11</c:v>
                </c:pt>
                <c:pt idx="27">
                  <c:v>14</c:v>
                </c:pt>
                <c:pt idx="28">
                  <c:v>7</c:v>
                </c:pt>
                <c:pt idx="33">
                  <c:v>2</c:v>
                </c:pt>
                <c:pt idx="34">
                  <c:v>13</c:v>
                </c:pt>
                <c:pt idx="35">
                  <c:v>2</c:v>
                </c:pt>
                <c:pt idx="37">
                  <c:v>6</c:v>
                </c:pt>
                <c:pt idx="39">
                  <c:v>1</c:v>
                </c:pt>
                <c:pt idx="42">
                  <c:v>2</c:v>
                </c:pt>
                <c:pt idx="43">
                  <c:v>1</c:v>
                </c:pt>
                <c:pt idx="45">
                  <c:v>3</c:v>
                </c:pt>
                <c:pt idx="46">
                  <c:v>11</c:v>
                </c:pt>
                <c:pt idx="47">
                  <c:v>8</c:v>
                </c:pt>
                <c:pt idx="49">
                  <c:v>1</c:v>
                </c:pt>
                <c:pt idx="50">
                  <c:v>2</c:v>
                </c:pt>
                <c:pt idx="51">
                  <c:v>1</c:v>
                </c:pt>
                <c:pt idx="53">
                  <c:v>3</c:v>
                </c:pt>
                <c:pt idx="54">
                  <c:v>17</c:v>
                </c:pt>
                <c:pt idx="57">
                  <c:v>3</c:v>
                </c:pt>
              </c:numCache>
            </c:numRef>
          </c:val>
          <c:extLst>
            <c:ext xmlns:c16="http://schemas.microsoft.com/office/drawing/2014/chart" uri="{C3380CC4-5D6E-409C-BE32-E72D297353CC}">
              <c16:uniqueId val="{00000000-2D94-488E-BA09-C1E492D4218F}"/>
            </c:ext>
          </c:extLst>
        </c:ser>
        <c:ser>
          <c:idx val="1"/>
          <c:order val="1"/>
          <c:tx>
            <c:strRef>
              <c:f>'[Overview methods and indicators_critical materials update.xlsx]Sheet4'!$D$61</c:f>
              <c:strCache>
                <c:ptCount val="1"/>
                <c:pt idx="0">
                  <c:v>Medium</c:v>
                </c:pt>
              </c:strCache>
            </c:strRef>
          </c:tx>
          <c:spPr>
            <a:solidFill>
              <a:schemeClr val="accent4"/>
            </a:solidFill>
            <a:ln>
              <a:noFill/>
            </a:ln>
            <a:effectLst/>
          </c:spPr>
          <c:invertIfNegative val="0"/>
          <c:cat>
            <c:strRef>
              <c:f>'[Overview methods and indicators_critical materials update.xlsx]Sheet4'!$B$62:$B$120</c:f>
              <c:strCache>
                <c:ptCount val="59"/>
                <c:pt idx="0">
                  <c:v>Nomex</c:v>
                </c:pt>
                <c:pt idx="1">
                  <c:v>Niobium</c:v>
                </c:pt>
                <c:pt idx="2">
                  <c:v>Nickel</c:v>
                </c:pt>
                <c:pt idx="3">
                  <c:v>Natural gas</c:v>
                </c:pt>
                <c:pt idx="4">
                  <c:v>Monazite</c:v>
                </c:pt>
                <c:pt idx="5">
                  <c:v>Molybdenum</c:v>
                </c:pt>
                <c:pt idx="6">
                  <c:v>Mica</c:v>
                </c:pt>
                <c:pt idx="7">
                  <c:v>Methane</c:v>
                </c:pt>
                <c:pt idx="8">
                  <c:v>Mercury</c:v>
                </c:pt>
                <c:pt idx="9">
                  <c:v>Manganese</c:v>
                </c:pt>
                <c:pt idx="10">
                  <c:v>Magnesium</c:v>
                </c:pt>
                <c:pt idx="11">
                  <c:v>Magnesite</c:v>
                </c:pt>
                <c:pt idx="12">
                  <c:v>Lithium</c:v>
                </c:pt>
                <c:pt idx="13">
                  <c:v>Limestone</c:v>
                </c:pt>
                <c:pt idx="14">
                  <c:v>Lead</c:v>
                </c:pt>
                <c:pt idx="15">
                  <c:v>Kyanite</c:v>
                </c:pt>
                <c:pt idx="16">
                  <c:v>Kevlar</c:v>
                </c:pt>
                <c:pt idx="17">
                  <c:v>Iron</c:v>
                </c:pt>
                <c:pt idx="18">
                  <c:v>Iodine</c:v>
                </c:pt>
                <c:pt idx="19">
                  <c:v>Indium</c:v>
                </c:pt>
                <c:pt idx="20">
                  <c:v>Helium</c:v>
                </c:pt>
                <c:pt idx="21">
                  <c:v>Hafnium</c:v>
                </c:pt>
                <c:pt idx="22">
                  <c:v>Gypsum</c:v>
                </c:pt>
                <c:pt idx="23">
                  <c:v>Graphite</c:v>
                </c:pt>
                <c:pt idx="24">
                  <c:v>Gold</c:v>
                </c:pt>
                <c:pt idx="25">
                  <c:v>Glass fiber</c:v>
                </c:pt>
                <c:pt idx="26">
                  <c:v>Germanium</c:v>
                </c:pt>
                <c:pt idx="27">
                  <c:v>Gallium</c:v>
                </c:pt>
                <c:pt idx="28">
                  <c:v>Fluor</c:v>
                </c:pt>
                <c:pt idx="29">
                  <c:v>Feldspar</c:v>
                </c:pt>
                <c:pt idx="30">
                  <c:v>Diatomite</c:v>
                </c:pt>
                <c:pt idx="31">
                  <c:v>Diamond</c:v>
                </c:pt>
                <c:pt idx="32">
                  <c:v>Cork</c:v>
                </c:pt>
                <c:pt idx="33">
                  <c:v>Copper</c:v>
                </c:pt>
                <c:pt idx="34">
                  <c:v>Cobalt</c:v>
                </c:pt>
                <c:pt idx="35">
                  <c:v>Coal</c:v>
                </c:pt>
                <c:pt idx="36">
                  <c:v>Clay</c:v>
                </c:pt>
                <c:pt idx="37">
                  <c:v>Chromium</c:v>
                </c:pt>
                <c:pt idx="38">
                  <c:v>Chlorine</c:v>
                </c:pt>
                <c:pt idx="39">
                  <c:v>Carbon fiber</c:v>
                </c:pt>
                <c:pt idx="40">
                  <c:v>Calcium</c:v>
                </c:pt>
                <c:pt idx="41">
                  <c:v>Caesium</c:v>
                </c:pt>
                <c:pt idx="42">
                  <c:v>Cadmium</c:v>
                </c:pt>
                <c:pt idx="43">
                  <c:v>Bromine</c:v>
                </c:pt>
                <c:pt idx="44">
                  <c:v>Brass</c:v>
                </c:pt>
                <c:pt idx="45">
                  <c:v>Boron</c:v>
                </c:pt>
                <c:pt idx="46">
                  <c:v>Bismuth</c:v>
                </c:pt>
                <c:pt idx="47">
                  <c:v>Beryllium</c:v>
                </c:pt>
                <c:pt idx="48">
                  <c:v>Bentonite</c:v>
                </c:pt>
                <c:pt idx="49">
                  <c:v>Bauxite</c:v>
                </c:pt>
                <c:pt idx="50">
                  <c:v>Baryte</c:v>
                </c:pt>
                <c:pt idx="51">
                  <c:v>Barium</c:v>
                </c:pt>
                <c:pt idx="52">
                  <c:v>Asbestos</c:v>
                </c:pt>
                <c:pt idx="53">
                  <c:v>Arsenic</c:v>
                </c:pt>
                <c:pt idx="54">
                  <c:v>Antimony</c:v>
                </c:pt>
                <c:pt idx="55">
                  <c:v>Andalusite</c:v>
                </c:pt>
                <c:pt idx="56">
                  <c:v>Ammonia</c:v>
                </c:pt>
                <c:pt idx="57">
                  <c:v>Aluminium</c:v>
                </c:pt>
                <c:pt idx="58">
                  <c:v>Aggregates</c:v>
                </c:pt>
              </c:strCache>
            </c:strRef>
          </c:cat>
          <c:val>
            <c:numRef>
              <c:f>'[Overview methods and indicators_critical materials update.xlsx]Sheet4'!$D$62:$D$120</c:f>
              <c:numCache>
                <c:formatCode>General</c:formatCode>
                <c:ptCount val="59"/>
                <c:pt idx="1">
                  <c:v>9</c:v>
                </c:pt>
                <c:pt idx="2">
                  <c:v>2</c:v>
                </c:pt>
                <c:pt idx="3">
                  <c:v>1</c:v>
                </c:pt>
                <c:pt idx="5">
                  <c:v>5</c:v>
                </c:pt>
                <c:pt idx="8">
                  <c:v>2</c:v>
                </c:pt>
                <c:pt idx="9">
                  <c:v>4</c:v>
                </c:pt>
                <c:pt idx="10">
                  <c:v>6</c:v>
                </c:pt>
                <c:pt idx="12">
                  <c:v>8</c:v>
                </c:pt>
                <c:pt idx="14">
                  <c:v>2</c:v>
                </c:pt>
                <c:pt idx="17">
                  <c:v>2</c:v>
                </c:pt>
                <c:pt idx="18">
                  <c:v>1</c:v>
                </c:pt>
                <c:pt idx="19">
                  <c:v>7</c:v>
                </c:pt>
                <c:pt idx="20">
                  <c:v>1</c:v>
                </c:pt>
                <c:pt idx="21">
                  <c:v>3</c:v>
                </c:pt>
                <c:pt idx="23">
                  <c:v>4</c:v>
                </c:pt>
                <c:pt idx="24">
                  <c:v>2</c:v>
                </c:pt>
                <c:pt idx="26">
                  <c:v>5</c:v>
                </c:pt>
                <c:pt idx="27">
                  <c:v>3</c:v>
                </c:pt>
                <c:pt idx="28">
                  <c:v>2</c:v>
                </c:pt>
                <c:pt idx="33">
                  <c:v>2</c:v>
                </c:pt>
                <c:pt idx="34">
                  <c:v>6</c:v>
                </c:pt>
                <c:pt idx="35">
                  <c:v>1</c:v>
                </c:pt>
                <c:pt idx="37">
                  <c:v>4</c:v>
                </c:pt>
                <c:pt idx="40">
                  <c:v>1</c:v>
                </c:pt>
                <c:pt idx="42">
                  <c:v>3</c:v>
                </c:pt>
                <c:pt idx="45">
                  <c:v>2</c:v>
                </c:pt>
                <c:pt idx="47">
                  <c:v>4</c:v>
                </c:pt>
                <c:pt idx="51">
                  <c:v>3</c:v>
                </c:pt>
                <c:pt idx="53">
                  <c:v>2</c:v>
                </c:pt>
                <c:pt idx="54">
                  <c:v>1</c:v>
                </c:pt>
                <c:pt idx="57">
                  <c:v>1</c:v>
                </c:pt>
              </c:numCache>
            </c:numRef>
          </c:val>
          <c:extLst>
            <c:ext xmlns:c16="http://schemas.microsoft.com/office/drawing/2014/chart" uri="{C3380CC4-5D6E-409C-BE32-E72D297353CC}">
              <c16:uniqueId val="{00000001-2D94-488E-BA09-C1E492D4218F}"/>
            </c:ext>
          </c:extLst>
        </c:ser>
        <c:ser>
          <c:idx val="2"/>
          <c:order val="2"/>
          <c:tx>
            <c:strRef>
              <c:f>'[Overview methods and indicators_critical materials update.xlsx]Sheet4'!$E$61</c:f>
              <c:strCache>
                <c:ptCount val="1"/>
                <c:pt idx="0">
                  <c:v>Low</c:v>
                </c:pt>
              </c:strCache>
            </c:strRef>
          </c:tx>
          <c:spPr>
            <a:solidFill>
              <a:schemeClr val="accent6"/>
            </a:solidFill>
            <a:ln>
              <a:noFill/>
            </a:ln>
            <a:effectLst/>
          </c:spPr>
          <c:invertIfNegative val="0"/>
          <c:cat>
            <c:strRef>
              <c:f>'[Overview methods and indicators_critical materials update.xlsx]Sheet4'!$B$62:$B$120</c:f>
              <c:strCache>
                <c:ptCount val="59"/>
                <c:pt idx="0">
                  <c:v>Nomex</c:v>
                </c:pt>
                <c:pt idx="1">
                  <c:v>Niobium</c:v>
                </c:pt>
                <c:pt idx="2">
                  <c:v>Nickel</c:v>
                </c:pt>
                <c:pt idx="3">
                  <c:v>Natural gas</c:v>
                </c:pt>
                <c:pt idx="4">
                  <c:v>Monazite</c:v>
                </c:pt>
                <c:pt idx="5">
                  <c:v>Molybdenum</c:v>
                </c:pt>
                <c:pt idx="6">
                  <c:v>Mica</c:v>
                </c:pt>
                <c:pt idx="7">
                  <c:v>Methane</c:v>
                </c:pt>
                <c:pt idx="8">
                  <c:v>Mercury</c:v>
                </c:pt>
                <c:pt idx="9">
                  <c:v>Manganese</c:v>
                </c:pt>
                <c:pt idx="10">
                  <c:v>Magnesium</c:v>
                </c:pt>
                <c:pt idx="11">
                  <c:v>Magnesite</c:v>
                </c:pt>
                <c:pt idx="12">
                  <c:v>Lithium</c:v>
                </c:pt>
                <c:pt idx="13">
                  <c:v>Limestone</c:v>
                </c:pt>
                <c:pt idx="14">
                  <c:v>Lead</c:v>
                </c:pt>
                <c:pt idx="15">
                  <c:v>Kyanite</c:v>
                </c:pt>
                <c:pt idx="16">
                  <c:v>Kevlar</c:v>
                </c:pt>
                <c:pt idx="17">
                  <c:v>Iron</c:v>
                </c:pt>
                <c:pt idx="18">
                  <c:v>Iodine</c:v>
                </c:pt>
                <c:pt idx="19">
                  <c:v>Indium</c:v>
                </c:pt>
                <c:pt idx="20">
                  <c:v>Helium</c:v>
                </c:pt>
                <c:pt idx="21">
                  <c:v>Hafnium</c:v>
                </c:pt>
                <c:pt idx="22">
                  <c:v>Gypsum</c:v>
                </c:pt>
                <c:pt idx="23">
                  <c:v>Graphite</c:v>
                </c:pt>
                <c:pt idx="24">
                  <c:v>Gold</c:v>
                </c:pt>
                <c:pt idx="25">
                  <c:v>Glass fiber</c:v>
                </c:pt>
                <c:pt idx="26">
                  <c:v>Germanium</c:v>
                </c:pt>
                <c:pt idx="27">
                  <c:v>Gallium</c:v>
                </c:pt>
                <c:pt idx="28">
                  <c:v>Fluor</c:v>
                </c:pt>
                <c:pt idx="29">
                  <c:v>Feldspar</c:v>
                </c:pt>
                <c:pt idx="30">
                  <c:v>Diatomite</c:v>
                </c:pt>
                <c:pt idx="31">
                  <c:v>Diamond</c:v>
                </c:pt>
                <c:pt idx="32">
                  <c:v>Cork</c:v>
                </c:pt>
                <c:pt idx="33">
                  <c:v>Copper</c:v>
                </c:pt>
                <c:pt idx="34">
                  <c:v>Cobalt</c:v>
                </c:pt>
                <c:pt idx="35">
                  <c:v>Coal</c:v>
                </c:pt>
                <c:pt idx="36">
                  <c:v>Clay</c:v>
                </c:pt>
                <c:pt idx="37">
                  <c:v>Chromium</c:v>
                </c:pt>
                <c:pt idx="38">
                  <c:v>Chlorine</c:v>
                </c:pt>
                <c:pt idx="39">
                  <c:v>Carbon fiber</c:v>
                </c:pt>
                <c:pt idx="40">
                  <c:v>Calcium</c:v>
                </c:pt>
                <c:pt idx="41">
                  <c:v>Caesium</c:v>
                </c:pt>
                <c:pt idx="42">
                  <c:v>Cadmium</c:v>
                </c:pt>
                <c:pt idx="43">
                  <c:v>Bromine</c:v>
                </c:pt>
                <c:pt idx="44">
                  <c:v>Brass</c:v>
                </c:pt>
                <c:pt idx="45">
                  <c:v>Boron</c:v>
                </c:pt>
                <c:pt idx="46">
                  <c:v>Bismuth</c:v>
                </c:pt>
                <c:pt idx="47">
                  <c:v>Beryllium</c:v>
                </c:pt>
                <c:pt idx="48">
                  <c:v>Bentonite</c:v>
                </c:pt>
                <c:pt idx="49">
                  <c:v>Bauxite</c:v>
                </c:pt>
                <c:pt idx="50">
                  <c:v>Baryte</c:v>
                </c:pt>
                <c:pt idx="51">
                  <c:v>Barium</c:v>
                </c:pt>
                <c:pt idx="52">
                  <c:v>Asbestos</c:v>
                </c:pt>
                <c:pt idx="53">
                  <c:v>Arsenic</c:v>
                </c:pt>
                <c:pt idx="54">
                  <c:v>Antimony</c:v>
                </c:pt>
                <c:pt idx="55">
                  <c:v>Andalusite</c:v>
                </c:pt>
                <c:pt idx="56">
                  <c:v>Ammonia</c:v>
                </c:pt>
                <c:pt idx="57">
                  <c:v>Aluminium</c:v>
                </c:pt>
                <c:pt idx="58">
                  <c:v>Aggregates</c:v>
                </c:pt>
              </c:strCache>
            </c:strRef>
          </c:cat>
          <c:val>
            <c:numRef>
              <c:f>'[Overview methods and indicators_critical materials update.xlsx]Sheet4'!$E$62:$E$120</c:f>
              <c:numCache>
                <c:formatCode>General</c:formatCode>
                <c:ptCount val="59"/>
                <c:pt idx="0">
                  <c:v>1</c:v>
                </c:pt>
                <c:pt idx="1">
                  <c:v>2</c:v>
                </c:pt>
                <c:pt idx="2">
                  <c:v>21</c:v>
                </c:pt>
                <c:pt idx="5">
                  <c:v>10</c:v>
                </c:pt>
                <c:pt idx="6">
                  <c:v>2</c:v>
                </c:pt>
                <c:pt idx="8">
                  <c:v>4</c:v>
                </c:pt>
                <c:pt idx="9">
                  <c:v>13</c:v>
                </c:pt>
                <c:pt idx="10">
                  <c:v>3</c:v>
                </c:pt>
                <c:pt idx="11">
                  <c:v>1</c:v>
                </c:pt>
                <c:pt idx="12">
                  <c:v>13</c:v>
                </c:pt>
                <c:pt idx="13">
                  <c:v>5</c:v>
                </c:pt>
                <c:pt idx="14">
                  <c:v>12</c:v>
                </c:pt>
                <c:pt idx="15">
                  <c:v>1</c:v>
                </c:pt>
                <c:pt idx="16">
                  <c:v>1</c:v>
                </c:pt>
                <c:pt idx="17">
                  <c:v>15</c:v>
                </c:pt>
                <c:pt idx="18">
                  <c:v>3</c:v>
                </c:pt>
                <c:pt idx="19">
                  <c:v>5</c:v>
                </c:pt>
                <c:pt idx="20">
                  <c:v>2</c:v>
                </c:pt>
                <c:pt idx="21">
                  <c:v>5</c:v>
                </c:pt>
                <c:pt idx="22">
                  <c:v>5</c:v>
                </c:pt>
                <c:pt idx="23">
                  <c:v>2</c:v>
                </c:pt>
                <c:pt idx="24">
                  <c:v>12</c:v>
                </c:pt>
                <c:pt idx="25">
                  <c:v>1</c:v>
                </c:pt>
                <c:pt idx="26">
                  <c:v>3</c:v>
                </c:pt>
                <c:pt idx="27">
                  <c:v>10</c:v>
                </c:pt>
                <c:pt idx="28">
                  <c:v>4</c:v>
                </c:pt>
                <c:pt idx="29">
                  <c:v>7</c:v>
                </c:pt>
                <c:pt idx="30">
                  <c:v>5</c:v>
                </c:pt>
                <c:pt idx="31">
                  <c:v>4</c:v>
                </c:pt>
                <c:pt idx="32">
                  <c:v>1</c:v>
                </c:pt>
                <c:pt idx="33">
                  <c:v>18</c:v>
                </c:pt>
                <c:pt idx="34">
                  <c:v>8</c:v>
                </c:pt>
                <c:pt idx="35">
                  <c:v>3</c:v>
                </c:pt>
                <c:pt idx="36">
                  <c:v>4</c:v>
                </c:pt>
                <c:pt idx="37">
                  <c:v>9</c:v>
                </c:pt>
                <c:pt idx="38">
                  <c:v>1</c:v>
                </c:pt>
                <c:pt idx="41">
                  <c:v>1</c:v>
                </c:pt>
                <c:pt idx="42">
                  <c:v>7</c:v>
                </c:pt>
                <c:pt idx="43">
                  <c:v>3</c:v>
                </c:pt>
                <c:pt idx="44">
                  <c:v>1</c:v>
                </c:pt>
                <c:pt idx="45">
                  <c:v>8</c:v>
                </c:pt>
                <c:pt idx="46">
                  <c:v>2</c:v>
                </c:pt>
                <c:pt idx="47">
                  <c:v>5</c:v>
                </c:pt>
                <c:pt idx="48">
                  <c:v>5</c:v>
                </c:pt>
                <c:pt idx="49">
                  <c:v>4</c:v>
                </c:pt>
                <c:pt idx="50">
                  <c:v>3</c:v>
                </c:pt>
                <c:pt idx="51">
                  <c:v>6</c:v>
                </c:pt>
                <c:pt idx="52">
                  <c:v>1</c:v>
                </c:pt>
                <c:pt idx="53">
                  <c:v>4</c:v>
                </c:pt>
                <c:pt idx="55">
                  <c:v>1</c:v>
                </c:pt>
                <c:pt idx="56">
                  <c:v>1</c:v>
                </c:pt>
                <c:pt idx="57">
                  <c:v>14</c:v>
                </c:pt>
                <c:pt idx="58">
                  <c:v>1</c:v>
                </c:pt>
              </c:numCache>
            </c:numRef>
          </c:val>
          <c:extLst>
            <c:ext xmlns:c16="http://schemas.microsoft.com/office/drawing/2014/chart" uri="{C3380CC4-5D6E-409C-BE32-E72D297353CC}">
              <c16:uniqueId val="{00000002-2D94-488E-BA09-C1E492D4218F}"/>
            </c:ext>
          </c:extLst>
        </c:ser>
        <c:dLbls>
          <c:showLegendKey val="0"/>
          <c:showVal val="0"/>
          <c:showCatName val="0"/>
          <c:showSerName val="0"/>
          <c:showPercent val="0"/>
          <c:showBubbleSize val="0"/>
        </c:dLbls>
        <c:gapWidth val="150"/>
        <c:overlap val="100"/>
        <c:axId val="1059539864"/>
        <c:axId val="1059540192"/>
      </c:barChart>
      <c:catAx>
        <c:axId val="10595398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59540192"/>
        <c:crosses val="autoZero"/>
        <c:auto val="1"/>
        <c:lblAlgn val="ctr"/>
        <c:lblOffset val="100"/>
        <c:noMultiLvlLbl val="0"/>
      </c:catAx>
      <c:valAx>
        <c:axId val="105954019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GB" sz="800" b="0" i="0" baseline="0">
                    <a:effectLst/>
                  </a:rPr>
                  <a:t>Frequency of appearance and assessment of "high", "medium", or "low" criticality</a:t>
                </a:r>
                <a:endParaRPr lang="en-GB" sz="800">
                  <a:effectLst/>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59539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E9A4B4F1-5C29-486D-A331-E53972B0E5FD}">
  <ds:schemaRefs>
    <ds:schemaRef ds:uri="http://schemas.openxmlformats.org/officeDocument/2006/bibliography"/>
  </ds:schemaRefs>
</ds:datastoreItem>
</file>

<file path=customXml/itemProps2.xml><?xml version="1.0" encoding="utf-8"?>
<ds:datastoreItem xmlns:ds="http://schemas.openxmlformats.org/officeDocument/2006/customXml" ds:itemID="{34321969-F1E9-7F46-8D40-C1DA90BEB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69</Pages>
  <Words>96042</Words>
  <Characters>547440</Characters>
  <Application>Microsoft Office Word</Application>
  <DocSecurity>0</DocSecurity>
  <Lines>4562</Lines>
  <Paragraphs>1284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HP</Company>
  <LinksUpToDate>false</LinksUpToDate>
  <CharactersWithSpaces>642198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Dieuwertje Schrijvers</dc:creator>
  <cp:keywords/>
  <dc:description/>
  <cp:lastModifiedBy>Alessandra Hool</cp:lastModifiedBy>
  <cp:revision>4</cp:revision>
  <cp:lastPrinted>2019-01-17T13:00:00Z</cp:lastPrinted>
  <dcterms:created xsi:type="dcterms:W3CDTF">2019-09-18T07:36:00Z</dcterms:created>
  <dcterms:modified xsi:type="dcterms:W3CDTF">2019-09-19T07:52:00Z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http://www.zotero.org/styles/green-chemistry</vt:lpwstr>
  </property>
  <property fmtid="{D5CDD505-2E9C-101B-9397-08002B2CF9AE}" pid="5" name="Mendeley Recent Style Name 1_1">
    <vt:lpwstr>Green Chemistry</vt:lpwstr>
  </property>
  <property fmtid="{D5CDD505-2E9C-101B-9397-08002B2CF9AE}" pid="6" name="Mendeley Recent Style Id 2_1">
    <vt:lpwstr>http://www.zotero.org/styles/ieee</vt:lpwstr>
  </property>
  <property fmtid="{D5CDD505-2E9C-101B-9397-08002B2CF9AE}" pid="7" name="Mendeley Recent Style Name 2_1">
    <vt:lpwstr>IEEE</vt:lpwstr>
  </property>
  <property fmtid="{D5CDD505-2E9C-101B-9397-08002B2CF9AE}" pid="8" name="Mendeley Recent Style Id 3_1">
    <vt:lpwstr>http://www.zotero.org/styles/journal-of-cleaner-production</vt:lpwstr>
  </property>
  <property fmtid="{D5CDD505-2E9C-101B-9397-08002B2CF9AE}" pid="9" name="Mendeley Recent Style Name 3_1">
    <vt:lpwstr>Journal of Cleaner Production</vt:lpwstr>
  </property>
  <property fmtid="{D5CDD505-2E9C-101B-9397-08002B2CF9AE}" pid="10" name="Mendeley Recent Style Id 4_1">
    <vt:lpwstr>http://www.zotero.org/styles/journal-of-industrial-ecology</vt:lpwstr>
  </property>
  <property fmtid="{D5CDD505-2E9C-101B-9397-08002B2CF9AE}" pid="11" name="Mendeley Recent Style Name 4_1">
    <vt:lpwstr>Journal of Industrial Ecology</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8th edition</vt:lpwstr>
  </property>
  <property fmtid="{D5CDD505-2E9C-101B-9397-08002B2CF9AE}" pid="16" name="Mendeley Recent Style Id 7_1">
    <vt:lpwstr>http://www.zotero.org/styles/resources-conservation-and-recycling</vt:lpwstr>
  </property>
  <property fmtid="{D5CDD505-2E9C-101B-9397-08002B2CF9AE}" pid="17" name="Mendeley Recent Style Name 7_1">
    <vt:lpwstr>Resources, Conservation &amp; Recycling</vt:lpwstr>
  </property>
  <property fmtid="{D5CDD505-2E9C-101B-9397-08002B2CF9AE}" pid="18" name="Mendeley Recent Style Id 8_1">
    <vt:lpwstr>http://www.zotero.org/styles/springer-basic-author-date</vt:lpwstr>
  </property>
  <property fmtid="{D5CDD505-2E9C-101B-9397-08002B2CF9AE}" pid="19" name="Mendeley Recent Style Name 8_1">
    <vt:lpwstr>Springer Basic (author-date)</vt:lpwstr>
  </property>
  <property fmtid="{D5CDD505-2E9C-101B-9397-08002B2CF9AE}" pid="20" name="Mendeley Recent Style Id 9_1">
    <vt:lpwstr>http://www.zotero.org/styles/the-international-journal-of-life-cycle-assessment</vt:lpwstr>
  </property>
  <property fmtid="{D5CDD505-2E9C-101B-9397-08002B2CF9AE}" pid="21" name="Mendeley Recent Style Name 9_1">
    <vt:lpwstr>The International Journal of Life Cycle Assessment</vt:lpwstr>
  </property>
  <property fmtid="{D5CDD505-2E9C-101B-9397-08002B2CF9AE}" pid="22" name="Mendeley Document_1">
    <vt:lpwstr>True</vt:lpwstr>
  </property>
  <property fmtid="{D5CDD505-2E9C-101B-9397-08002B2CF9AE}" pid="23" name="Mendeley Unique User Id_1">
    <vt:lpwstr>026809e9-9d12-396a-baff-ab6266ab72c9</vt:lpwstr>
  </property>
  <property fmtid="{D5CDD505-2E9C-101B-9397-08002B2CF9AE}" pid="24" name="Mendeley Citation Style_1">
    <vt:lpwstr>http://www.zotero.org/styles/resources-conservation-and-recycling</vt:lpwstr>
  </property>
</Properties>
</file>