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82DB7" w14:textId="5297B7F3" w:rsidR="00BE2B86" w:rsidRDefault="000429DC" w:rsidP="00742412">
      <w:pPr>
        <w:pStyle w:val="Title"/>
      </w:pPr>
      <w:r>
        <w:t>Is r</w:t>
      </w:r>
      <w:r w:rsidR="007C69E8">
        <w:t>eal-money</w:t>
      </w:r>
      <w:r>
        <w:t xml:space="preserve"> video </w:t>
      </w:r>
      <w:r w:rsidR="007C69E8">
        <w:t>gaming</w:t>
      </w:r>
      <w:r w:rsidR="00771772">
        <w:t xml:space="preserve"> just</w:t>
      </w:r>
      <w:bookmarkStart w:id="0" w:name="_GoBack"/>
      <w:bookmarkEnd w:id="0"/>
      <w:r>
        <w:t xml:space="preserve"> a form of gambling</w:t>
      </w:r>
      <w:r w:rsidR="007C69E8">
        <w:t>?</w:t>
      </w:r>
    </w:p>
    <w:p w14:paraId="42F6829C" w14:textId="3A05FB43" w:rsidR="0003482D" w:rsidRDefault="0003482D" w:rsidP="0003482D">
      <w:pPr>
        <w:pStyle w:val="Subtitle"/>
      </w:pPr>
      <w:r>
        <w:t>David Zendle</w:t>
      </w:r>
      <w:r w:rsidR="000429DC">
        <w:t>, University of York</w:t>
      </w:r>
      <w:r w:rsidR="00771772">
        <w:t xml:space="preserve">, </w:t>
      </w:r>
      <w:hyperlink r:id="rId7" w:history="1">
        <w:r w:rsidR="00771772" w:rsidRPr="00797A80">
          <w:rPr>
            <w:rStyle w:val="Hyperlink"/>
          </w:rPr>
          <w:t>David.Zendle@york.ac.uk</w:t>
        </w:r>
      </w:hyperlink>
      <w:r w:rsidR="00771772">
        <w:t>, 01904 325500</w:t>
      </w:r>
    </w:p>
    <w:p w14:paraId="1285022C" w14:textId="4D3FD37B" w:rsidR="00771772" w:rsidRPr="00771772" w:rsidRDefault="00771772" w:rsidP="00771772">
      <w:r>
        <w:t>Keywords: Video games, gambling, real-money video gaming, wagering, regulation</w:t>
      </w:r>
    </w:p>
    <w:p w14:paraId="58B1C25A" w14:textId="77777777" w:rsidR="00771772" w:rsidRPr="00771772" w:rsidRDefault="00771772" w:rsidP="00771772"/>
    <w:p w14:paraId="6A4707F7" w14:textId="19B8D261" w:rsidR="000429DC" w:rsidRDefault="000429DC" w:rsidP="00742412">
      <w:r>
        <w:br w:type="page"/>
      </w:r>
    </w:p>
    <w:p w14:paraId="626B9253" w14:textId="77777777" w:rsidR="00742412" w:rsidRPr="00742412" w:rsidRDefault="00742412" w:rsidP="00742412"/>
    <w:p w14:paraId="637BCD0A" w14:textId="309C80CD" w:rsidR="00C85C59" w:rsidRDefault="00CA7B77" w:rsidP="00DA7FEE">
      <w:r>
        <w:t>Several new</w:t>
      </w:r>
      <w:r w:rsidR="00C85C59">
        <w:t xml:space="preserve"> mobile</w:t>
      </w:r>
      <w:r>
        <w:t xml:space="preserve"> video</w:t>
      </w:r>
      <w:r w:rsidR="00C85C59">
        <w:t xml:space="preserve"> </w:t>
      </w:r>
      <w:r w:rsidR="007C69E8">
        <w:t xml:space="preserve">games </w:t>
      </w:r>
      <w:r w:rsidR="00742412">
        <w:t xml:space="preserve">have </w:t>
      </w:r>
      <w:r>
        <w:t xml:space="preserve">recently hit the market which allow </w:t>
      </w:r>
      <w:r w:rsidR="00E202BE">
        <w:t xml:space="preserve">players </w:t>
      </w:r>
      <w:r>
        <w:t>to</w:t>
      </w:r>
      <w:r w:rsidR="00E202BE">
        <w:t xml:space="preserve"> </w:t>
      </w:r>
      <w:r w:rsidR="00742412">
        <w:t>wager</w:t>
      </w:r>
      <w:r w:rsidR="007C69E8">
        <w:t xml:space="preserve"> real-</w:t>
      </w:r>
      <w:r w:rsidR="00374BF7">
        <w:t xml:space="preserve">world </w:t>
      </w:r>
      <w:r w:rsidR="007C69E8">
        <w:t xml:space="preserve">money on their in-game </w:t>
      </w:r>
      <w:r>
        <w:t>performance</w:t>
      </w:r>
      <w:r w:rsidR="00742412">
        <w:t xml:space="preserve">. </w:t>
      </w:r>
      <w:r w:rsidR="007C69E8">
        <w:t>For example,</w:t>
      </w:r>
      <w:r w:rsidR="008402DC">
        <w:t xml:space="preserve"> </w:t>
      </w:r>
      <w:r w:rsidR="007C69E8">
        <w:t xml:space="preserve">players of </w:t>
      </w:r>
      <w:r w:rsidR="007C69E8">
        <w:rPr>
          <w:i/>
          <w:iCs/>
        </w:rPr>
        <w:t xml:space="preserve">Strike! eSports Bowling </w:t>
      </w:r>
      <w:r w:rsidR="007C69E8">
        <w:t xml:space="preserve">can bet </w:t>
      </w:r>
      <w:r w:rsidR="00742412">
        <w:t xml:space="preserve">up to </w:t>
      </w:r>
      <w:r w:rsidR="008402DC">
        <w:t xml:space="preserve">$60 </w:t>
      </w:r>
      <w:r w:rsidR="000E7198">
        <w:t>before playing</w:t>
      </w:r>
      <w:r w:rsidR="008402DC">
        <w:t xml:space="preserve"> </w:t>
      </w:r>
      <w:r w:rsidR="00742412">
        <w:t>e</w:t>
      </w:r>
      <w:r w:rsidR="008402DC">
        <w:t>a</w:t>
      </w:r>
      <w:r w:rsidR="00742412">
        <w:t>ch</w:t>
      </w:r>
      <w:r w:rsidR="008402DC">
        <w:t xml:space="preserve"> game of ten-pin bowling, in the hopes of winning </w:t>
      </w:r>
      <w:r w:rsidR="00742412">
        <w:t>up to</w:t>
      </w:r>
      <w:r w:rsidR="008402DC">
        <w:t xml:space="preserve"> $100 </w:t>
      </w:r>
      <w:r w:rsidR="00742412">
        <w:t xml:space="preserve">in cash </w:t>
      </w:r>
      <w:r w:rsidR="000E7198">
        <w:t>should th</w:t>
      </w:r>
      <w:r w:rsidR="008402DC">
        <w:t>ey beat their opponent.</w:t>
      </w:r>
      <w:r w:rsidR="000E7198">
        <w:t xml:space="preserve"> Similarly, players of </w:t>
      </w:r>
      <w:r w:rsidR="000E7198">
        <w:rPr>
          <w:i/>
          <w:iCs/>
        </w:rPr>
        <w:t>Block Blitz</w:t>
      </w:r>
      <w:r w:rsidR="001872F1">
        <w:rPr>
          <w:i/>
          <w:iCs/>
        </w:rPr>
        <w:t xml:space="preserve"> </w:t>
      </w:r>
      <w:r w:rsidR="00DA7FEE">
        <w:t>can</w:t>
      </w:r>
      <w:r w:rsidR="001872F1">
        <w:t xml:space="preserve"> </w:t>
      </w:r>
      <w:r w:rsidR="00742412">
        <w:t>place</w:t>
      </w:r>
      <w:r w:rsidR="001872F1">
        <w:t xml:space="preserve"> real money </w:t>
      </w:r>
      <w:r w:rsidR="00742412">
        <w:t xml:space="preserve">wagers </w:t>
      </w:r>
      <w:r w:rsidR="001872F1">
        <w:t xml:space="preserve">on the outcomes of the Tetris-style puzzle games that they play. In the same vein, players of </w:t>
      </w:r>
      <w:r w:rsidR="00837468">
        <w:rPr>
          <w:i/>
          <w:iCs/>
        </w:rPr>
        <w:t>Pro Pool</w:t>
      </w:r>
      <w:r w:rsidR="001872F1">
        <w:t xml:space="preserve"> can stake real money on the chance of beating their opponent in a simulated game of </w:t>
      </w:r>
      <w:r w:rsidR="00837468">
        <w:t>8 ball pool</w:t>
      </w:r>
      <w:r w:rsidR="001872F1">
        <w:t>, in the hopes of winning a large cash prize.</w:t>
      </w:r>
      <w:r w:rsidR="000E68B8">
        <w:t xml:space="preserve"> </w:t>
      </w:r>
      <w:r w:rsidR="00837468">
        <w:t xml:space="preserve">Real money stakes on </w:t>
      </w:r>
      <w:r>
        <w:t>this</w:t>
      </w:r>
      <w:r w:rsidR="00837468">
        <w:t xml:space="preserve"> game range from $0.60 to $30</w:t>
      </w:r>
      <w:r w:rsidR="00C85C59">
        <w:t>.</w:t>
      </w:r>
    </w:p>
    <w:p w14:paraId="6F89269D" w14:textId="075207A9" w:rsidR="00837468" w:rsidRDefault="00DA7FEE" w:rsidP="00DA7FEE">
      <w:r>
        <w:t xml:space="preserve">A significant amount of </w:t>
      </w:r>
      <w:r w:rsidR="008C36F0">
        <w:t>recent</w:t>
      </w:r>
      <w:r>
        <w:t xml:space="preserve"> </w:t>
      </w:r>
      <w:r w:rsidR="008C36F0">
        <w:t>research</w:t>
      </w:r>
      <w:r>
        <w:t xml:space="preserve"> has</w:t>
      </w:r>
      <w:r w:rsidR="008C36F0">
        <w:t xml:space="preserve"> dealt with the emergence of links between gambling and video games. This attention has focused on topics as diverse as loot boxes</w:t>
      </w:r>
      <w:r w:rsidR="009B02D3">
        <w:fldChar w:fldCharType="begin"/>
      </w:r>
      <w:r w:rsidR="009B02D3">
        <w:instrText xml:space="preserve"> ADDIN ZOTERO_ITEM CSL_CITATION {"citationID":"6zoIrFyH","properties":{"formattedCitation":"\\super 1,2\\nosupersub{}","plainCitation":"1,2","noteIndex":0},"citationItems":[{"id":3056,"uris":["http://zotero.org/users/1646069/items/UZPHQ8Y6"],"uri":["http://zotero.org/users/1646069/items/UZPHQ8Y6"],"itemData":{"id":3056,"type":"article-journal","title":"Adolescents and loot boxes: links with problem gambling and motivations for purchase","container-title":"Royal Society Open Science","page":"190049","volume":"6","issue":"6","source":"royalsocietypublishing.org (Atypon)","abstract":"Loot boxes are items in video games that can be paid for with real-world money but contain randomized contents. Many games that feature loot boxes are played by adolescents. Similarities between loot boxes and gambling have led to concern that they are linked to the development of problem gambling in adolescents. Previous research has shown links between loot boxes and problem gambling in adult populations. However, thus far, there is no empirical evidence of either the size or existence of a link between loot box spending and problem gambling in adolescents. A large-scale survey of 16- to 18-year-olds (n = 1155) found evidence for such a link (η2 = 0.120). The link between loot box spending and problem gambling among these older adolescents was of moderate to large magnitude. It was stronger than relationships previously observed in adults. Qualitative analysis of text data showed that gamers bought loot boxes for a variety of reasons. Several of these motivations were similar to common reasons for engaging in gambling. Overall, these results suggest that loot boxes either cause problem gambling among older adolescents, allow game companies to profit from adolescents with gambling problems for massive monetary rewards, or both of the above. Possible strategies for regulation and restriction are given.","DOI":"10.1098/rsos.190049","title-short":"Adolescents and loot boxes","journalAbbreviation":"Royal Society Open Science","author":[{"family":"Zendle","given":"David"},{"family":"Meyer","given":"Rachel"},{"family":"Over","given":"Harriet"}],"issued":{"date-parts":[["2019",6,19]]}}},{"id":2244,"uris":["http://zotero.org/users/1646069/items/NE343ADH"],"uri":["http://zotero.org/users/1646069/items/NE343ADH"],"itemData":{"id":2244,"type":"article-journal","title":"Video game loot boxes are linked to problem gambling: Results of a large-scale survey","container-title":"PLoS One","page":"e0206767","volume":"13","issue":"11","source":"Google Scholar","title-short":"Video game loot boxes are linked to problem gambling","author":[{"family":"Zendle","given":"David"},{"family":"Cairns","given":"Paul"}],"issued":{"date-parts":[["2018"]]}}}],"schema":"https://github.com/citation-style-language/schema/raw/master/csl-citation.json"} </w:instrText>
      </w:r>
      <w:r w:rsidR="009B02D3">
        <w:fldChar w:fldCharType="separate"/>
      </w:r>
      <w:r w:rsidR="009B02D3" w:rsidRPr="009B02D3">
        <w:rPr>
          <w:rFonts w:ascii="Calibri" w:hAnsi="Calibri" w:cs="Times New Roman"/>
          <w:szCs w:val="24"/>
          <w:vertAlign w:val="superscript"/>
        </w:rPr>
        <w:t>1,2</w:t>
      </w:r>
      <w:r w:rsidR="009B02D3">
        <w:fldChar w:fldCharType="end"/>
      </w:r>
      <w:r w:rsidR="008C36F0">
        <w:t>, skin gambling</w:t>
      </w:r>
      <w:r w:rsidR="009B02D3">
        <w:fldChar w:fldCharType="begin"/>
      </w:r>
      <w:r w:rsidR="009B02D3">
        <w:instrText xml:space="preserve"> ADDIN ZOTERO_ITEM CSL_CITATION {"citationID":"UfENwMvq","properties":{"formattedCitation":"\\super 3\\nosupersub{}","plainCitation":"3","noteIndex":0},"citationItems":[{"id":3150,"uris":["http://zotero.org/users/1646069/items/G8Y6VE65"],"uri":["http://zotero.org/users/1646069/items/G8Y6VE65"],"itemData":{"id":3150,"type":"article-journal","title":"The Same or Different? Convergence of Skin Gambling and Other Gambling Among Children","container-title":"Journal of gambling studies","page":"1–17","source":"Google Scholar","title-short":"The Same or Different?","author":[{"family":"Wardle","given":"Heather"}],"issued":{"date-parts":[["2019"]]}}}],"schema":"https://github.com/citation-style-language/schema/raw/master/csl-citation.json"} </w:instrText>
      </w:r>
      <w:r w:rsidR="009B02D3">
        <w:fldChar w:fldCharType="separate"/>
      </w:r>
      <w:r w:rsidR="009B02D3" w:rsidRPr="009B02D3">
        <w:rPr>
          <w:rFonts w:ascii="Calibri" w:hAnsi="Calibri" w:cs="Times New Roman"/>
          <w:szCs w:val="24"/>
          <w:vertAlign w:val="superscript"/>
        </w:rPr>
        <w:t>3</w:t>
      </w:r>
      <w:r w:rsidR="009B02D3">
        <w:fldChar w:fldCharType="end"/>
      </w:r>
      <w:r w:rsidR="008C36F0">
        <w:t>, and esports betting</w:t>
      </w:r>
      <w:r w:rsidR="00BB2746">
        <w:fldChar w:fldCharType="begin"/>
      </w:r>
      <w:r w:rsidR="00BB2746">
        <w:instrText xml:space="preserve"> ADDIN ZOTERO_ITEM CSL_CITATION {"citationID":"TgKZuX1I","properties":{"formattedCitation":"\\super 4\\nosupersub{}","plainCitation":"4","noteIndex":0},"citationItems":[{"id":3198,"uris":["http://zotero.org/users/1646069/items/WJVY2L2A"],"uri":["http://zotero.org/users/1646069/items/WJVY2L2A"],"itemData":{"id":3198,"type":"article-journal","title":"Esports consumer perspectives on match-fixing: implications for gambling awareness and game integrity","container-title":"International Gambling Studies","page":"296–311","volume":"19","issue":"2","source":"Google Scholar","title-short":"Esports consumer perspectives on match-fixing","author":[{"family":"Abarbanel","given":"Brett"},{"family":"Johnson","given":"Mark R."}],"issued":{"date-parts":[["2019"]]}}}],"schema":"https://github.com/citation-style-language/schema/raw/master/csl-citation.json"} </w:instrText>
      </w:r>
      <w:r w:rsidR="00BB2746">
        <w:fldChar w:fldCharType="separate"/>
      </w:r>
      <w:r w:rsidR="00BB2746" w:rsidRPr="00BB2746">
        <w:rPr>
          <w:rFonts w:ascii="Calibri" w:hAnsi="Calibri" w:cs="Times New Roman"/>
          <w:szCs w:val="24"/>
          <w:vertAlign w:val="superscript"/>
        </w:rPr>
        <w:t>4</w:t>
      </w:r>
      <w:r w:rsidR="00BB2746">
        <w:fldChar w:fldCharType="end"/>
      </w:r>
      <w:r w:rsidR="008C36F0">
        <w:t>. However</w:t>
      </w:r>
      <w:r w:rsidR="00742412">
        <w:t xml:space="preserve">, real-money </w:t>
      </w:r>
      <w:r w:rsidR="00771772">
        <w:t>video</w:t>
      </w:r>
      <w:r w:rsidR="00742412">
        <w:t xml:space="preserve"> gaming has received little scrutiny.</w:t>
      </w:r>
    </w:p>
    <w:p w14:paraId="1193229A" w14:textId="59EEBB8A" w:rsidR="00EC7586" w:rsidRDefault="00EC7586" w:rsidP="00EC7586">
      <w:pPr>
        <w:pStyle w:val="Heading1"/>
      </w:pPr>
      <w:r>
        <w:t>Psychological equivalences with gambling</w:t>
      </w:r>
    </w:p>
    <w:p w14:paraId="6E973FAE" w14:textId="5619CA62" w:rsidR="008C36F0" w:rsidRDefault="008C36F0" w:rsidP="00DA7FEE">
      <w:r>
        <w:t xml:space="preserve">Despite this lack of attention, there are clear parallels in both psychological and legal terms between real-money </w:t>
      </w:r>
      <w:r w:rsidR="00771772">
        <w:t>video</w:t>
      </w:r>
      <w:r>
        <w:t xml:space="preserve"> gaming and gambling. </w:t>
      </w:r>
      <w:r w:rsidR="00C85C59">
        <w:t xml:space="preserve">Psychologically, </w:t>
      </w:r>
      <w:r w:rsidR="00374BF7">
        <w:t xml:space="preserve">gambling is often distinguished from other risky behaviours through the presence of several formal markers. More specifically, </w:t>
      </w:r>
      <w:r w:rsidR="00CC5D1F">
        <w:t>Griffiths</w:t>
      </w:r>
      <w:r w:rsidR="00BB2746">
        <w:fldChar w:fldCharType="begin"/>
      </w:r>
      <w:r w:rsidR="00BB2746">
        <w:instrText xml:space="preserve"> ADDIN ZOTERO_ITEM CSL_CITATION {"citationID":"Fds3dnm1","properties":{"formattedCitation":"\\super 5\\nosupersub{}","plainCitation":"5","noteIndex":0},"citationItems":[{"id":1962,"uris":["http://zotero.org/users/1646069/items/6R74QBW8"],"uri":["http://zotero.org/users/1646069/items/6R74QBW8"],"itemData":{"id":1962,"type":"book","title":"Adolescent Gambling","publisher":"Psychology Press","number-of-pages":"324","source":"Google Books","abstract":"Although in theory gambling is against the law for children, there is one form of gambling that young people do have access to: fruit (i.e. slot) machines. Mark Griffiths has carried out extensive research into why some adolescents get hooked on gambling, how they gamble and what can be done about it. He provides an overview of adolescent gambling worldwide in addition to individual case studies, treatment approaches, and an insight into how the gaming industry induces young people to gamble.Adolescent Gambling is the first book to address the issue of underage gambling. It raises the crucial issue of who is to blame - is it something about the personality of the young person or is it the addictive nature of the machines? Anyone involved with the lives of young people should read this important book, especially social workers, teachers, youth leaders, probation officers and clinical psychologists.","ISBN":"978-0-415-05834-6","note":"Google-Books-ID: 3ZBATS802cIC","language":"en","author":[{"family":"Griffiths","given":"Mark"}],"issued":{"date-parts":[["1995"]]}}}],"schema":"https://github.com/citation-style-language/schema/raw/master/csl-citation.json"} </w:instrText>
      </w:r>
      <w:r w:rsidR="00BB2746">
        <w:fldChar w:fldCharType="separate"/>
      </w:r>
      <w:r w:rsidR="00BB2746" w:rsidRPr="00BB2746">
        <w:rPr>
          <w:rFonts w:ascii="Calibri" w:hAnsi="Calibri" w:cs="Times New Roman"/>
          <w:szCs w:val="24"/>
          <w:vertAlign w:val="superscript"/>
        </w:rPr>
        <w:t>5</w:t>
      </w:r>
      <w:r w:rsidR="00BB2746">
        <w:fldChar w:fldCharType="end"/>
      </w:r>
      <w:r w:rsidR="00CC5D1F">
        <w:t xml:space="preserve"> describes five features that</w:t>
      </w:r>
      <w:r w:rsidR="009F6CB2">
        <w:t xml:space="preserve"> may effectively</w:t>
      </w:r>
      <w:r w:rsidR="00CC5D1F">
        <w:t xml:space="preserve"> differentiate gambling from other activities:</w:t>
      </w:r>
    </w:p>
    <w:p w14:paraId="72981B6D" w14:textId="7F0107C5" w:rsidR="00CC5D1F" w:rsidRDefault="00CC5D1F" w:rsidP="00CC5D1F">
      <w:pPr>
        <w:pStyle w:val="ListParagraph"/>
        <w:numPr>
          <w:ilvl w:val="0"/>
          <w:numId w:val="1"/>
        </w:numPr>
      </w:pPr>
      <w:r>
        <w:t>An exchange of money takes place</w:t>
      </w:r>
    </w:p>
    <w:p w14:paraId="659406F3" w14:textId="3C5CF892" w:rsidR="00CC5D1F" w:rsidRDefault="00CC5D1F" w:rsidP="00CC5D1F">
      <w:pPr>
        <w:pStyle w:val="ListParagraph"/>
        <w:numPr>
          <w:ilvl w:val="0"/>
          <w:numId w:val="1"/>
        </w:numPr>
      </w:pPr>
      <w:r>
        <w:t>Winners gain at the sole expense of losers</w:t>
      </w:r>
    </w:p>
    <w:p w14:paraId="55B8D1E7" w14:textId="49560635" w:rsidR="00CC5D1F" w:rsidRDefault="00CC5D1F" w:rsidP="00CC5D1F">
      <w:pPr>
        <w:pStyle w:val="ListParagraph"/>
        <w:numPr>
          <w:ilvl w:val="0"/>
          <w:numId w:val="1"/>
        </w:numPr>
      </w:pPr>
      <w:r>
        <w:t>The exchange of money is determined by a future event, whose outcome is unknown when the bet is made</w:t>
      </w:r>
    </w:p>
    <w:p w14:paraId="0EABEDFF" w14:textId="45BCFC79" w:rsidR="00CC5D1F" w:rsidRDefault="00CC5D1F" w:rsidP="00CC5D1F">
      <w:pPr>
        <w:pStyle w:val="ListParagraph"/>
        <w:numPr>
          <w:ilvl w:val="0"/>
          <w:numId w:val="1"/>
        </w:numPr>
      </w:pPr>
      <w:r>
        <w:t>The result is determined (partly) by chance</w:t>
      </w:r>
    </w:p>
    <w:p w14:paraId="7E2E7609" w14:textId="3AED4A8C" w:rsidR="00CC5D1F" w:rsidRDefault="00CC5D1F" w:rsidP="00CC5D1F">
      <w:pPr>
        <w:pStyle w:val="ListParagraph"/>
        <w:numPr>
          <w:ilvl w:val="0"/>
          <w:numId w:val="1"/>
        </w:numPr>
      </w:pPr>
      <w:r>
        <w:t>Losses can be avoided by simply not taking part in the gamble</w:t>
      </w:r>
    </w:p>
    <w:p w14:paraId="16325214" w14:textId="61E9EDD9" w:rsidR="00953ECC" w:rsidRDefault="00CC5D1F">
      <w:r>
        <w:t xml:space="preserve">Real-money </w:t>
      </w:r>
      <w:r w:rsidR="00771772">
        <w:t>video</w:t>
      </w:r>
      <w:r>
        <w:t xml:space="preserve"> gaming </w:t>
      </w:r>
      <w:r w:rsidR="00754B97">
        <w:t xml:space="preserve">clearly fits the first and second of these criteria: In games like </w:t>
      </w:r>
      <w:r w:rsidR="00754B97">
        <w:rPr>
          <w:i/>
          <w:iCs/>
        </w:rPr>
        <w:t xml:space="preserve">Golf Pro! </w:t>
      </w:r>
      <w:r w:rsidR="00754B97">
        <w:t xml:space="preserve">and </w:t>
      </w:r>
      <w:r w:rsidR="00754B97">
        <w:rPr>
          <w:i/>
          <w:iCs/>
        </w:rPr>
        <w:t>Dunk A Lot</w:t>
      </w:r>
      <w:r w:rsidR="00754B97">
        <w:t xml:space="preserve">, players can stake money on winning a one-on-one match with another player, who </w:t>
      </w:r>
      <w:r w:rsidR="00754B97">
        <w:lastRenderedPageBreak/>
        <w:t>is putatively staking money on</w:t>
      </w:r>
      <w:r w:rsidR="00EC7586">
        <w:t xml:space="preserve"> winning</w:t>
      </w:r>
      <w:r w:rsidR="00754B97">
        <w:t xml:space="preserve"> the game as well</w:t>
      </w:r>
      <w:r w:rsidR="009F6CB2">
        <w:t>. Should players beat their opponent, they will win more money back – should their opponent beat them, they will lose their stake.</w:t>
      </w:r>
    </w:p>
    <w:p w14:paraId="235F73F5" w14:textId="02FE321F" w:rsidR="009F6CB2" w:rsidRDefault="00EC7586">
      <w:r>
        <w:t>The third and fourth of these characteristics are</w:t>
      </w:r>
      <w:r w:rsidR="00953ECC">
        <w:t xml:space="preserve"> </w:t>
      </w:r>
      <w:r w:rsidR="009F6CB2">
        <w:t>also</w:t>
      </w:r>
      <w:r>
        <w:t xml:space="preserve"> transparently fulfilled by real-money </w:t>
      </w:r>
      <w:r w:rsidR="00771772">
        <w:t>video</w:t>
      </w:r>
      <w:r>
        <w:t xml:space="preserve"> gaming</w:t>
      </w:r>
      <w:r w:rsidR="009F6CB2">
        <w:t>.</w:t>
      </w:r>
      <w:r>
        <w:t xml:space="preserve"> When placing their bet, it is unclear to </w:t>
      </w:r>
      <w:r w:rsidR="009F6CB2">
        <w:t>a</w:t>
      </w:r>
      <w:r>
        <w:t xml:space="preserve"> player </w:t>
      </w:r>
      <w:r w:rsidR="009F6CB2">
        <w:t>what they will score</w:t>
      </w:r>
      <w:r>
        <w:t xml:space="preserve"> in</w:t>
      </w:r>
      <w:r w:rsidR="009F6CB2">
        <w:t xml:space="preserve"> their future </w:t>
      </w:r>
      <w:r>
        <w:t>game</w:t>
      </w:r>
      <w:r w:rsidR="00953ECC">
        <w:t>.</w:t>
      </w:r>
      <w:r>
        <w:t xml:space="preserve"> </w:t>
      </w:r>
      <w:r w:rsidR="00953ECC">
        <w:t>I</w:t>
      </w:r>
      <w:r>
        <w:t>t is also unclear how well their opponent will do</w:t>
      </w:r>
      <w:r w:rsidR="009F6CB2">
        <w:t xml:space="preserve"> in this game – it may be that they will do badly, allowing an easy win. It may</w:t>
      </w:r>
      <w:r w:rsidR="00CA7B77">
        <w:t>, however,</w:t>
      </w:r>
      <w:r w:rsidR="009F6CB2">
        <w:t xml:space="preserve"> be the case that they will perform extremely well, making a win almost impossible. The strength of opponents varies </w:t>
      </w:r>
      <w:r w:rsidR="00CA7B77">
        <w:t>widely and</w:t>
      </w:r>
      <w:r w:rsidR="009F6CB2">
        <w:t xml:space="preserve"> being placed against a hard opponent is presented as a matter of chance</w:t>
      </w:r>
      <w:r>
        <w:t>.</w:t>
      </w:r>
      <w:r w:rsidR="009F6CB2">
        <w:t xml:space="preserve"> </w:t>
      </w:r>
      <w:r>
        <w:t xml:space="preserve"> </w:t>
      </w:r>
    </w:p>
    <w:p w14:paraId="007358C3" w14:textId="5D2C7178" w:rsidR="007C69E8" w:rsidRPr="00754B97" w:rsidRDefault="00EC7586">
      <w:r>
        <w:t xml:space="preserve">Finally, players of real-money </w:t>
      </w:r>
      <w:r w:rsidR="00771772">
        <w:t>video</w:t>
      </w:r>
      <w:r>
        <w:t xml:space="preserve"> games can definitively avoid losing money by simply not staking any cash in-game.</w:t>
      </w:r>
    </w:p>
    <w:p w14:paraId="268C57FF" w14:textId="08B9B9D1" w:rsidR="00EC7586" w:rsidRDefault="00EC7586" w:rsidP="00EC7586">
      <w:pPr>
        <w:pStyle w:val="Heading1"/>
      </w:pPr>
      <w:r>
        <w:t>Legal equivalences with gambling</w:t>
      </w:r>
    </w:p>
    <w:p w14:paraId="55F4A105" w14:textId="4699F6A8" w:rsidR="001C2D1D" w:rsidRDefault="001C2D1D" w:rsidP="001C2D1D">
      <w:r>
        <w:t xml:space="preserve">Real-money </w:t>
      </w:r>
      <w:r w:rsidR="00771772">
        <w:t>video</w:t>
      </w:r>
      <w:r>
        <w:t xml:space="preserve"> gaming therefore clearly appears to be psychologically akin to gambling.</w:t>
      </w:r>
      <w:r w:rsidR="00D30682">
        <w:t xml:space="preserve"> However,</w:t>
      </w:r>
      <w:r w:rsidR="0016104D">
        <w:t xml:space="preserve"> psychological kinship does not necessarily equate to legal definition. Indeed, previous gambling-like activities in video games such as loot boxes have lacked specific formal features that allow them to technically be defined as gambling</w:t>
      </w:r>
      <w:r w:rsidR="006C5DDC">
        <w:fldChar w:fldCharType="begin"/>
      </w:r>
      <w:r w:rsidR="00BB2746">
        <w:instrText xml:space="preserve"> ADDIN ZOTERO_ITEM CSL_CITATION {"citationID":"FMQPNo7a","properties":{"formattedCitation":"\\super 6\\nosupersub{}","plainCitation":"6","noteIndex":0},"citationItems":[{"id":2076,"uris":["http://zotero.org/users/1646069/items/HQ6TYST8"],"uri":["http://zotero.org/users/1646069/items/HQ6TYST8"],"itemData":{"id":2076,"type":"article-journal","title":"Is the buying of loot boxes in video games a form of gambling or gaming?","container-title":"Gaming Law Review","page":"52–54","volume":"22","issue":"1","source":"Google Scholar","author":[{"family":"Griffiths","given":"Mark D."}],"issued":{"date-parts":[["2018"]]}}}],"schema":"https://github.com/citation-style-language/schema/raw/master/csl-citation.json"} </w:instrText>
      </w:r>
      <w:r w:rsidR="006C5DDC">
        <w:fldChar w:fldCharType="separate"/>
      </w:r>
      <w:r w:rsidR="00BB2746" w:rsidRPr="00BB2746">
        <w:rPr>
          <w:rFonts w:ascii="Calibri" w:hAnsi="Calibri" w:cs="Times New Roman"/>
          <w:szCs w:val="24"/>
          <w:vertAlign w:val="superscript"/>
        </w:rPr>
        <w:t>6</w:t>
      </w:r>
      <w:r w:rsidR="006C5DDC">
        <w:fldChar w:fldCharType="end"/>
      </w:r>
      <w:r w:rsidR="0016104D">
        <w:t>.</w:t>
      </w:r>
    </w:p>
    <w:p w14:paraId="621F8D05" w14:textId="757ADAD3" w:rsidR="0016104D" w:rsidRDefault="00D30682" w:rsidP="001C2D1D">
      <w:r>
        <w:t>B</w:t>
      </w:r>
      <w:r w:rsidR="0016104D">
        <w:t xml:space="preserve">y contrast, we would argue that real-money </w:t>
      </w:r>
      <w:r w:rsidR="00771772">
        <w:t>video</w:t>
      </w:r>
      <w:r w:rsidR="0016104D">
        <w:t xml:space="preserve"> gaming is likely to meet legal definitions of gambling in a variety of territories.</w:t>
      </w:r>
      <w:r w:rsidR="00B90299">
        <w:t xml:space="preserve"> Just as with loot boxes, real-money </w:t>
      </w:r>
      <w:r w:rsidR="00771772">
        <w:t>video</w:t>
      </w:r>
      <w:r w:rsidR="00B90299">
        <w:t xml:space="preserve"> gaming involves the payment of money in return for a reward that is (at least in part) determined by chance. However, unlike with loot boxes, the chance rewards from real-money </w:t>
      </w:r>
      <w:r w:rsidR="00771772">
        <w:t>video</w:t>
      </w:r>
      <w:r w:rsidR="00B90299">
        <w:t xml:space="preserve"> gaming are clearly monetary in nature. A</w:t>
      </w:r>
      <w:r w:rsidR="0016104D">
        <w:t xml:space="preserve">s noted </w:t>
      </w:r>
      <w:r>
        <w:t>by Moshirnia</w:t>
      </w:r>
      <w:r>
        <w:fldChar w:fldCharType="begin"/>
      </w:r>
      <w:r w:rsidR="00BB2746">
        <w:instrText xml:space="preserve"> ADDIN ZOTERO_ITEM CSL_CITATION {"citationID":"tzY3krty","properties":{"formattedCitation":"\\super 7\\nosupersub{}","plainCitation":"7","noteIndex":0},"citationItems":[{"id":3192,"uris":["http://zotero.org/users/1646069/items/GICPL3V6"],"uri":["http://zotero.org/users/1646069/items/GICPL3V6"],"itemData":{"id":3192,"type":"article-journal","title":"Precious and Worthless: A Comparative Perspective on Loot Boxes and Gambling","container-title":"Minnesota Journal of Law, Science &amp; Technology","page":"77","volume":"20","issue":"1","source":"Google Scholar","title-short":"Precious and Worthless","author":[{"family":"Moshirnia","given":"Andrew Vahid"}],"issued":{"date-parts":[["2019"]]}}}],"schema":"https://github.com/citation-style-language/schema/raw/master/csl-citation.json"} </w:instrText>
      </w:r>
      <w:r>
        <w:fldChar w:fldCharType="separate"/>
      </w:r>
      <w:r w:rsidR="00BB2746" w:rsidRPr="00BB2746">
        <w:rPr>
          <w:rFonts w:ascii="Calibri" w:hAnsi="Calibri" w:cs="Times New Roman"/>
          <w:szCs w:val="24"/>
          <w:vertAlign w:val="superscript"/>
        </w:rPr>
        <w:t>7</w:t>
      </w:r>
      <w:r>
        <w:fldChar w:fldCharType="end"/>
      </w:r>
      <w:r w:rsidR="0016104D">
        <w:t xml:space="preserve">, the main reason that </w:t>
      </w:r>
      <w:r>
        <w:t>l</w:t>
      </w:r>
      <w:r w:rsidR="0016104D">
        <w:t xml:space="preserve">oot boxes are not legally classed as a gambling product is </w:t>
      </w:r>
      <w:r w:rsidR="00B90299">
        <w:t xml:space="preserve"> not because they are embedded in video games. It is </w:t>
      </w:r>
      <w:r w:rsidR="0016104D">
        <w:t xml:space="preserve">because </w:t>
      </w:r>
      <w:r>
        <w:t>of an inability to “</w:t>
      </w:r>
      <w:r w:rsidR="0016104D">
        <w:t>gain cash or tangible prizes”</w:t>
      </w:r>
      <w:r w:rsidR="00B90299">
        <w:t xml:space="preserve"> from one’s monetary stake</w:t>
      </w:r>
      <w:r w:rsidR="0016104D">
        <w:t xml:space="preserve">. </w:t>
      </w:r>
      <w:r w:rsidR="006C5DDC">
        <w:t>For example,</w:t>
      </w:r>
      <w:r w:rsidR="0016104D">
        <w:t xml:space="preserve"> the reason </w:t>
      </w:r>
      <w:r w:rsidR="00B90299">
        <w:t>that</w:t>
      </w:r>
      <w:r w:rsidR="0016104D">
        <w:t xml:space="preserve"> </w:t>
      </w:r>
      <w:r w:rsidR="006C5DDC">
        <w:t>the UK Gambling Commission elected not to class and regulate loot boxes</w:t>
      </w:r>
      <w:r w:rsidR="0016104D">
        <w:t xml:space="preserve"> as gambling </w:t>
      </w:r>
      <w:r w:rsidR="006C5DDC">
        <w:t>was</w:t>
      </w:r>
      <w:r w:rsidR="0016104D">
        <w:t xml:space="preserve"> because </w:t>
      </w:r>
      <w:r>
        <w:t xml:space="preserve">they </w:t>
      </w:r>
      <w:r w:rsidR="006C5DDC">
        <w:t>did not deem them their rewards to constitute</w:t>
      </w:r>
      <w:r w:rsidR="00B90299">
        <w:t xml:space="preserve"> </w:t>
      </w:r>
      <w:r w:rsidR="0016104D">
        <w:t>“</w:t>
      </w:r>
      <w:r>
        <w:t>money or money’s worth</w:t>
      </w:r>
      <w:r w:rsidR="0016104D">
        <w:t>”</w:t>
      </w:r>
      <w:r w:rsidR="006C5DDC">
        <w:fldChar w:fldCharType="begin"/>
      </w:r>
      <w:r w:rsidR="00BB2746">
        <w:instrText xml:space="preserve"> ADDIN ZOTERO_ITEM CSL_CITATION {"citationID":"en1wciF3","properties":{"formattedCitation":"\\super 8\\nosupersub{}","plainCitation":"8","noteIndex":0},"citationItems":[{"id":3195,"uris":["http://zotero.org/users/1646069/items/S4HMIURW"],"uri":["http://zotero.org/users/1646069/items/S4HMIURW"],"itemData":{"id":3195,"type":"article-journal","title":"Virtual currencies eSports and social casino gaming","page":"17","source":"Zotero","language":"en","author":[{"family":"Gambling Commission","given":""}],"issued":{"date-parts":[["2017"]]}}}],"schema":"https://github.com/citation-style-language/schema/raw/master/csl-citation.json"} </w:instrText>
      </w:r>
      <w:r w:rsidR="006C5DDC">
        <w:fldChar w:fldCharType="separate"/>
      </w:r>
      <w:r w:rsidR="00BB2746" w:rsidRPr="00BB2746">
        <w:rPr>
          <w:rFonts w:ascii="Calibri" w:hAnsi="Calibri" w:cs="Times New Roman"/>
          <w:szCs w:val="24"/>
          <w:vertAlign w:val="superscript"/>
        </w:rPr>
        <w:t>8</w:t>
      </w:r>
      <w:r w:rsidR="006C5DDC">
        <w:fldChar w:fldCharType="end"/>
      </w:r>
      <w:r w:rsidR="0016104D">
        <w:t xml:space="preserve">. Similarly, </w:t>
      </w:r>
      <w:r w:rsidR="003A52F9">
        <w:t xml:space="preserve">New Zealand’s gambling </w:t>
      </w:r>
      <w:r w:rsidR="003A52F9">
        <w:lastRenderedPageBreak/>
        <w:t xml:space="preserve">regulator deemed loot boxes to be legally inequivalent to a gambling product because </w:t>
      </w:r>
      <w:r w:rsidR="006C5DDC">
        <w:t xml:space="preserve">gamers do not buy loot boxes in order to </w:t>
      </w:r>
      <w:r w:rsidR="003A52F9">
        <w:t>“win money or something that can be converted into money”</w:t>
      </w:r>
      <w:r w:rsidR="006C5DDC">
        <w:fldChar w:fldCharType="begin"/>
      </w:r>
      <w:r w:rsidR="00BB2746">
        <w:instrText xml:space="preserve"> ADDIN ZOTERO_ITEM CSL_CITATION {"citationID":"ktGJJiwC","properties":{"formattedCitation":"\\super 9\\nosupersub{}","plainCitation":"9","noteIndex":0},"citationItems":[{"id":3196,"uris":["http://zotero.org/users/1646069/items/J2JG27TG"],"uri":["http://zotero.org/users/1646069/items/J2JG27TG"],"itemData":{"id":3196,"type":"webpage","title":"New Zealand says lootboxes 'do not meet the legal definition for gambling'","abstract":"New Zealand's gambling regulator--the Gambling Compliance office of its Department of Internal Affairs--has told Gamasutra</w:instrText>
      </w:r>
      <w:r w:rsidR="00BB2746">
        <w:rPr>
          <w:rFonts w:ascii="Tahoma" w:hAnsi="Tahoma" w:cs="Tahoma"/>
        </w:rPr>
        <w:instrText>�</w:instrText>
      </w:r>
      <w:r w:rsidR="00BB2746">
        <w:instrText xml:space="preserve">that \"the Department is of the view that loot boxes do not meet the legal definition of gambling.\"","URL":"/view/news/311463/New_Zealand_says_lootboxes_do_not_meet_the_legal_definition_for_gambling.php","language":"en","author":[{"family":"Cross","given":"Katherine"}],"accessed":{"date-parts":[["2019",8,22]]}}}],"schema":"https://github.com/citation-style-language/schema/raw/master/csl-citation.json"} </w:instrText>
      </w:r>
      <w:r w:rsidR="006C5DDC">
        <w:fldChar w:fldCharType="separate"/>
      </w:r>
      <w:r w:rsidR="00BB2746" w:rsidRPr="00BB2746">
        <w:rPr>
          <w:rFonts w:ascii="Calibri" w:hAnsi="Calibri" w:cs="Times New Roman"/>
          <w:szCs w:val="24"/>
          <w:vertAlign w:val="superscript"/>
        </w:rPr>
        <w:t>9</w:t>
      </w:r>
      <w:r w:rsidR="006C5DDC">
        <w:fldChar w:fldCharType="end"/>
      </w:r>
      <w:r w:rsidR="003A52F9">
        <w:t>.</w:t>
      </w:r>
    </w:p>
    <w:p w14:paraId="488220DA" w14:textId="575227A6" w:rsidR="00CA7B77" w:rsidRDefault="00CA7B77">
      <w:r>
        <w:t>The rewards associated with r</w:t>
      </w:r>
      <w:r w:rsidR="00FD3443">
        <w:t xml:space="preserve">eal-money </w:t>
      </w:r>
      <w:r w:rsidR="00771772">
        <w:t>video</w:t>
      </w:r>
      <w:r w:rsidR="00FD3443">
        <w:t xml:space="preserve"> gaming </w:t>
      </w:r>
      <w:r>
        <w:t xml:space="preserve">as explicitly monetary in nature. In these games, players do not </w:t>
      </w:r>
      <w:r w:rsidR="00FD3443">
        <w:t>wager their real-world money for the chance of an in-game item</w:t>
      </w:r>
      <w:r>
        <w:t>.</w:t>
      </w:r>
      <w:r w:rsidR="00FD3443">
        <w:t xml:space="preserve"> They wager their real-world money for the chance of gaining even more real world money.</w:t>
      </w:r>
      <w:r w:rsidR="00953ECC">
        <w:t xml:space="preserve"> </w:t>
      </w:r>
    </w:p>
    <w:p w14:paraId="621CEF12" w14:textId="5CCC55D6" w:rsidR="00953ECC" w:rsidRDefault="00953ECC" w:rsidP="00953ECC">
      <w:pPr>
        <w:pStyle w:val="Heading1"/>
      </w:pPr>
      <w:r>
        <w:t xml:space="preserve">A </w:t>
      </w:r>
      <w:r w:rsidR="00406EDE">
        <w:t>new blend of video games and gambling</w:t>
      </w:r>
    </w:p>
    <w:p w14:paraId="2605D606" w14:textId="1C87AC80" w:rsidR="00CA7B77" w:rsidRPr="00CA7B77" w:rsidRDefault="00CA7B77" w:rsidP="00CA7B77">
      <w:r>
        <w:t xml:space="preserve">On their surface, these games may therefore appear nothing more complex than betting: the practice of staking money on the outcome of some uncertain event. One might even argue that the only difference between real-money </w:t>
      </w:r>
      <w:r w:rsidR="00771772">
        <w:t>video</w:t>
      </w:r>
      <w:r>
        <w:t xml:space="preserve"> gaming and traditional sports betting is that when playing a game like </w:t>
      </w:r>
      <w:r>
        <w:rPr>
          <w:i/>
          <w:iCs/>
        </w:rPr>
        <w:t xml:space="preserve">Pro </w:t>
      </w:r>
      <w:r w:rsidRPr="00754B97">
        <w:rPr>
          <w:i/>
          <w:iCs/>
        </w:rPr>
        <w:t>Pool</w:t>
      </w:r>
      <w:r>
        <w:t xml:space="preserve">, individuals are given more agency: their skill may partially be able to determine whether they win their bet. </w:t>
      </w:r>
    </w:p>
    <w:p w14:paraId="12AD005B" w14:textId="2A9B5B13" w:rsidR="00953ECC" w:rsidRDefault="00CC5D1F" w:rsidP="00953ECC">
      <w:r>
        <w:t xml:space="preserve">However, the </w:t>
      </w:r>
      <w:r w:rsidR="00406EDE">
        <w:t>unique</w:t>
      </w:r>
      <w:r>
        <w:t xml:space="preserve"> nature of real-money </w:t>
      </w:r>
      <w:r w:rsidR="00771772">
        <w:t>video</w:t>
      </w:r>
      <w:r>
        <w:t xml:space="preserve"> gaming </w:t>
      </w:r>
      <w:r w:rsidR="00953ECC">
        <w:t xml:space="preserve">may </w:t>
      </w:r>
      <w:r>
        <w:t>mean that</w:t>
      </w:r>
      <w:r w:rsidR="00FD3443">
        <w:t xml:space="preserve"> </w:t>
      </w:r>
      <w:r w:rsidR="00CA7B77">
        <w:t>it potentially shares</w:t>
      </w:r>
      <w:r w:rsidR="00953ECC">
        <w:t xml:space="preserve"> more features with </w:t>
      </w:r>
      <w:r w:rsidR="00BB2746">
        <w:t>gaming machines</w:t>
      </w:r>
      <w:r w:rsidR="00953ECC">
        <w:t xml:space="preserve"> than with sports betting. </w:t>
      </w:r>
      <w:r w:rsidR="00BB2746">
        <w:t>In sports betting</w:t>
      </w:r>
      <w:r w:rsidR="00953ECC">
        <w:t>, individuals</w:t>
      </w:r>
      <w:r w:rsidR="00BB2746">
        <w:t xml:space="preserve"> typically</w:t>
      </w:r>
      <w:r w:rsidR="00953ECC">
        <w:t xml:space="preserve"> stake money on the outcome of an independently verifiable real-world event. By contrast, </w:t>
      </w:r>
      <w:r w:rsidR="009B02D3">
        <w:t>both when</w:t>
      </w:r>
      <w:r w:rsidR="00953ECC">
        <w:t xml:space="preserve"> </w:t>
      </w:r>
      <w:r w:rsidR="009B02D3">
        <w:t xml:space="preserve">engaging in real-money </w:t>
      </w:r>
      <w:r w:rsidR="00771772">
        <w:t>video</w:t>
      </w:r>
      <w:r w:rsidR="009B02D3">
        <w:t xml:space="preserve"> gaming and when playing on a slot machine</w:t>
      </w:r>
      <w:r w:rsidR="00406EDE">
        <w:t xml:space="preserve"> in an online casino</w:t>
      </w:r>
      <w:r w:rsidR="009B02D3">
        <w:t xml:space="preserve">, individuals are staking </w:t>
      </w:r>
      <w:r w:rsidR="00CA7B77">
        <w:t>their</w:t>
      </w:r>
      <w:r w:rsidR="009B02D3">
        <w:t xml:space="preserve"> money on the outcome of an uncertain process</w:t>
      </w:r>
      <w:r w:rsidR="00406EDE">
        <w:t xml:space="preserve"> occurring within a digital device</w:t>
      </w:r>
      <w:r w:rsidR="009B02D3">
        <w:t xml:space="preserve"> whose causal mechanics cannot </w:t>
      </w:r>
      <w:r w:rsidR="00CA7B77">
        <w:t xml:space="preserve">typically </w:t>
      </w:r>
      <w:r w:rsidR="009B02D3">
        <w:t xml:space="preserve">be independently verified. </w:t>
      </w:r>
    </w:p>
    <w:p w14:paraId="4D2C986B" w14:textId="3E8E9B46" w:rsidR="00406EDE" w:rsidRDefault="009B02D3" w:rsidP="00953ECC">
      <w:r>
        <w:t xml:space="preserve">In </w:t>
      </w:r>
      <w:r>
        <w:rPr>
          <w:i/>
          <w:iCs/>
        </w:rPr>
        <w:t>Strike! eSports Bowling</w:t>
      </w:r>
      <w:r>
        <w:t xml:space="preserve">, for example, players stake money on a skill-based game of ten-pin bowling. The money involved in this can get </w:t>
      </w:r>
      <w:r w:rsidR="00CA7B77">
        <w:t>serious</w:t>
      </w:r>
      <w:r>
        <w:t xml:space="preserve">: Players may stake up to $60 on each short (3-4 minute) game, equivalent to $900 per hour. After they have completed their game, players are informed what score their opponent theoretically received. If their opponent scored better than them, then they lose their stake. If they scored better than their opponent, then they win their stake back, as well as some extra money on top. </w:t>
      </w:r>
    </w:p>
    <w:p w14:paraId="73230943" w14:textId="2B6FD0EF" w:rsidR="009B02D3" w:rsidRDefault="009B02D3" w:rsidP="00953ECC">
      <w:r>
        <w:lastRenderedPageBreak/>
        <w:t>However</w:t>
      </w:r>
      <w:r w:rsidR="00406EDE">
        <w:t>, because the event that players are staking their money on takes place within a video game on their mobile device,</w:t>
      </w:r>
      <w:r>
        <w:t xml:space="preserve"> there is no way of ensuring that this system is fair.  It may be the case that </w:t>
      </w:r>
      <w:r w:rsidR="00CA7B77">
        <w:t xml:space="preserve">the outcome of </w:t>
      </w:r>
      <w:r>
        <w:t xml:space="preserve">matches </w:t>
      </w:r>
      <w:r w:rsidR="00CA7B77">
        <w:t>is</w:t>
      </w:r>
      <w:r>
        <w:t xml:space="preserve"> determined </w:t>
      </w:r>
      <w:r w:rsidR="00406EDE">
        <w:t xml:space="preserve">fairly and </w:t>
      </w:r>
      <w:r>
        <w:t>entirely randomly</w:t>
      </w:r>
      <w:r w:rsidR="00CA7B77">
        <w:t>. However,</w:t>
      </w:r>
      <w:r>
        <w:t xml:space="preserve"> it may be the case that players are</w:t>
      </w:r>
      <w:r w:rsidR="00406EDE">
        <w:t xml:space="preserve"> unfairly</w:t>
      </w:r>
      <w:r>
        <w:t xml:space="preserve"> algorithmically pitted against stronger opponents when they stake larger amounts in order to ensure larger returns to the operator. It may even be the case that </w:t>
      </w:r>
      <w:r w:rsidR="00406EDE">
        <w:t xml:space="preserve">the idea that players are facing off against another player at all is a complete fabrication, and </w:t>
      </w:r>
      <w:r>
        <w:t xml:space="preserve">an opponent’s scores are </w:t>
      </w:r>
      <w:r w:rsidR="00406EDE">
        <w:t>generated wholesale</w:t>
      </w:r>
      <w:r>
        <w:t xml:space="preserve"> by the operator themselves. </w:t>
      </w:r>
    </w:p>
    <w:p w14:paraId="3CB589C6" w14:textId="22CEA0B6" w:rsidR="00952C69" w:rsidRDefault="00406EDE" w:rsidP="00406EDE">
      <w:r>
        <w:t xml:space="preserve">Therefore, whilst real-money </w:t>
      </w:r>
      <w:r w:rsidR="00771772">
        <w:t>video</w:t>
      </w:r>
      <w:r>
        <w:t xml:space="preserve"> games may present themselves as </w:t>
      </w:r>
      <w:r w:rsidR="00CA7B77">
        <w:t xml:space="preserve">new </w:t>
      </w:r>
      <w:r>
        <w:t>opportunities for</w:t>
      </w:r>
      <w:r w:rsidR="00CA7B77">
        <w:t xml:space="preserve"> fair</w:t>
      </w:r>
      <w:r>
        <w:t xml:space="preserve"> interactive sports betting, the way that they blend aspects of both video games and gambling products may naturally encourage </w:t>
      </w:r>
      <w:r w:rsidR="00FD3443">
        <w:t>unfair or exploitative business practices</w:t>
      </w:r>
      <w:r>
        <w:t xml:space="preserve"> to occur</w:t>
      </w:r>
      <w:r w:rsidR="00FD3443">
        <w:t>.</w:t>
      </w:r>
    </w:p>
    <w:p w14:paraId="0A20167D" w14:textId="0C73715F" w:rsidR="00EC7586" w:rsidRDefault="00406EDE">
      <w:r>
        <w:t xml:space="preserve">The </w:t>
      </w:r>
      <w:r w:rsidR="00952C69">
        <w:t xml:space="preserve">lines that separate gaming and gambling </w:t>
      </w:r>
      <w:r>
        <w:t>have</w:t>
      </w:r>
      <w:r w:rsidR="00952C69">
        <w:t xml:space="preserve"> becom</w:t>
      </w:r>
      <w:r>
        <w:t>e</w:t>
      </w:r>
      <w:r w:rsidR="00952C69">
        <w:t xml:space="preserve"> increasingly blurred</w:t>
      </w:r>
      <w:r>
        <w:t xml:space="preserve"> in recent years. Real-money </w:t>
      </w:r>
      <w:r w:rsidR="00771772">
        <w:t>video</w:t>
      </w:r>
      <w:r>
        <w:t xml:space="preserve"> gaming is the latest example of this mixture of video games and gambling</w:t>
      </w:r>
      <w:r w:rsidR="00952C69">
        <w:t xml:space="preserve">. </w:t>
      </w:r>
      <w:r>
        <w:t>This new media form</w:t>
      </w:r>
      <w:r w:rsidR="00952C69">
        <w:t xml:space="preserve"> presents clear psychological and legal parallels with gambling. </w:t>
      </w:r>
      <w:r w:rsidR="009B02D3">
        <w:t>The</w:t>
      </w:r>
      <w:r w:rsidR="00952C69">
        <w:t xml:space="preserve"> lack of regulation </w:t>
      </w:r>
      <w:r w:rsidR="009B02D3">
        <w:t xml:space="preserve">of </w:t>
      </w:r>
      <w:r>
        <w:t xml:space="preserve">real-money </w:t>
      </w:r>
      <w:r w:rsidR="00771772">
        <w:t>video</w:t>
      </w:r>
      <w:r>
        <w:t xml:space="preserve"> gaming also </w:t>
      </w:r>
      <w:r w:rsidR="00952C69">
        <w:t xml:space="preserve">presents a compelling case that gambling regulators must </w:t>
      </w:r>
      <w:r w:rsidR="009B02D3">
        <w:t xml:space="preserve">now hold significant expertise when it comes to </w:t>
      </w:r>
      <w:r w:rsidR="00952C69">
        <w:t>continually investigating</w:t>
      </w:r>
      <w:r w:rsidR="009B02D3">
        <w:t>, and acting on,</w:t>
      </w:r>
      <w:r w:rsidR="00952C69">
        <w:t xml:space="preserve"> the ongoing </w:t>
      </w:r>
      <w:r w:rsidR="009B02D3">
        <w:t>collision</w:t>
      </w:r>
      <w:r w:rsidR="00952C69">
        <w:t xml:space="preserve"> of video games and gambling products.</w:t>
      </w:r>
    </w:p>
    <w:p w14:paraId="2988FF5E" w14:textId="4BC3037A" w:rsidR="00405BA1" w:rsidRDefault="00405BA1" w:rsidP="00405BA1">
      <w:pPr>
        <w:pStyle w:val="Heading1"/>
      </w:pPr>
      <w:r>
        <w:t>References</w:t>
      </w:r>
    </w:p>
    <w:p w14:paraId="5E1D60D7" w14:textId="77777777" w:rsidR="00405BA1" w:rsidRPr="00405BA1" w:rsidRDefault="00405BA1" w:rsidP="00405BA1">
      <w:pPr>
        <w:pStyle w:val="Bibliography"/>
        <w:rPr>
          <w:rFonts w:ascii="Calibri" w:hAnsi="Calibri"/>
        </w:rPr>
      </w:pPr>
      <w:r>
        <w:fldChar w:fldCharType="begin"/>
      </w:r>
      <w:r>
        <w:instrText xml:space="preserve"> ADDIN ZOTERO_BIBL {"uncited":[],"omitted":[],"custom":[]} CSL_BIBLIOGRAPHY </w:instrText>
      </w:r>
      <w:r>
        <w:fldChar w:fldCharType="separate"/>
      </w:r>
      <w:r w:rsidRPr="00405BA1">
        <w:rPr>
          <w:rFonts w:ascii="Calibri" w:hAnsi="Calibri"/>
        </w:rPr>
        <w:t>1</w:t>
      </w:r>
      <w:r w:rsidRPr="00405BA1">
        <w:rPr>
          <w:rFonts w:ascii="Calibri" w:hAnsi="Calibri"/>
        </w:rPr>
        <w:tab/>
        <w:t xml:space="preserve">Zendle D, Meyer R, Over H. Adolescents and loot boxes: links with problem gambling and motivations for purchase. </w:t>
      </w:r>
      <w:r w:rsidRPr="00405BA1">
        <w:rPr>
          <w:rFonts w:ascii="Calibri" w:hAnsi="Calibri"/>
          <w:i/>
          <w:iCs/>
        </w:rPr>
        <w:t>Royal Society Open Science</w:t>
      </w:r>
      <w:r w:rsidRPr="00405BA1">
        <w:rPr>
          <w:rFonts w:ascii="Calibri" w:hAnsi="Calibri"/>
        </w:rPr>
        <w:t xml:space="preserve"> 2019; </w:t>
      </w:r>
      <w:r w:rsidRPr="00405BA1">
        <w:rPr>
          <w:rFonts w:ascii="Calibri" w:hAnsi="Calibri"/>
          <w:b/>
          <w:bCs/>
        </w:rPr>
        <w:t>6</w:t>
      </w:r>
      <w:r w:rsidRPr="00405BA1">
        <w:rPr>
          <w:rFonts w:ascii="Calibri" w:hAnsi="Calibri"/>
        </w:rPr>
        <w:t>: 190049.</w:t>
      </w:r>
    </w:p>
    <w:p w14:paraId="2818F94A" w14:textId="77777777" w:rsidR="00405BA1" w:rsidRPr="00405BA1" w:rsidRDefault="00405BA1" w:rsidP="00405BA1">
      <w:pPr>
        <w:pStyle w:val="Bibliography"/>
        <w:rPr>
          <w:rFonts w:ascii="Calibri" w:hAnsi="Calibri"/>
        </w:rPr>
      </w:pPr>
      <w:r w:rsidRPr="00405BA1">
        <w:rPr>
          <w:rFonts w:ascii="Calibri" w:hAnsi="Calibri"/>
        </w:rPr>
        <w:t>2</w:t>
      </w:r>
      <w:r w:rsidRPr="00405BA1">
        <w:rPr>
          <w:rFonts w:ascii="Calibri" w:hAnsi="Calibri"/>
        </w:rPr>
        <w:tab/>
        <w:t xml:space="preserve">Zendle D, Cairns P. Video game loot boxes are linked to problem gambling: Results of a large-scale survey. </w:t>
      </w:r>
      <w:r w:rsidRPr="00405BA1">
        <w:rPr>
          <w:rFonts w:ascii="Calibri" w:hAnsi="Calibri"/>
          <w:i/>
          <w:iCs/>
        </w:rPr>
        <w:t>PLoS One</w:t>
      </w:r>
      <w:r w:rsidRPr="00405BA1">
        <w:rPr>
          <w:rFonts w:ascii="Calibri" w:hAnsi="Calibri"/>
        </w:rPr>
        <w:t xml:space="preserve"> 2018; </w:t>
      </w:r>
      <w:r w:rsidRPr="00405BA1">
        <w:rPr>
          <w:rFonts w:ascii="Calibri" w:hAnsi="Calibri"/>
          <w:b/>
          <w:bCs/>
        </w:rPr>
        <w:t>13</w:t>
      </w:r>
      <w:r w:rsidRPr="00405BA1">
        <w:rPr>
          <w:rFonts w:ascii="Calibri" w:hAnsi="Calibri"/>
        </w:rPr>
        <w:t>: e0206767.</w:t>
      </w:r>
    </w:p>
    <w:p w14:paraId="612055E9" w14:textId="77777777" w:rsidR="00405BA1" w:rsidRPr="00405BA1" w:rsidRDefault="00405BA1" w:rsidP="00405BA1">
      <w:pPr>
        <w:pStyle w:val="Bibliography"/>
        <w:rPr>
          <w:rFonts w:ascii="Calibri" w:hAnsi="Calibri"/>
        </w:rPr>
      </w:pPr>
      <w:r w:rsidRPr="00405BA1">
        <w:rPr>
          <w:rFonts w:ascii="Calibri" w:hAnsi="Calibri"/>
        </w:rPr>
        <w:t>3</w:t>
      </w:r>
      <w:r w:rsidRPr="00405BA1">
        <w:rPr>
          <w:rFonts w:ascii="Calibri" w:hAnsi="Calibri"/>
        </w:rPr>
        <w:tab/>
        <w:t xml:space="preserve">Wardle H. The Same or Different? Convergence of Skin Gambling and Other Gambling Among Children. </w:t>
      </w:r>
      <w:r w:rsidRPr="00405BA1">
        <w:rPr>
          <w:rFonts w:ascii="Calibri" w:hAnsi="Calibri"/>
          <w:i/>
          <w:iCs/>
        </w:rPr>
        <w:t>Journal of gambling studies</w:t>
      </w:r>
      <w:r w:rsidRPr="00405BA1">
        <w:rPr>
          <w:rFonts w:ascii="Calibri" w:hAnsi="Calibri"/>
        </w:rPr>
        <w:t xml:space="preserve"> 2019; : 1–17.</w:t>
      </w:r>
    </w:p>
    <w:p w14:paraId="308CB72B" w14:textId="77777777" w:rsidR="00405BA1" w:rsidRPr="00405BA1" w:rsidRDefault="00405BA1" w:rsidP="00405BA1">
      <w:pPr>
        <w:pStyle w:val="Bibliography"/>
        <w:rPr>
          <w:rFonts w:ascii="Calibri" w:hAnsi="Calibri"/>
        </w:rPr>
      </w:pPr>
      <w:r w:rsidRPr="00405BA1">
        <w:rPr>
          <w:rFonts w:ascii="Calibri" w:hAnsi="Calibri"/>
        </w:rPr>
        <w:t>4</w:t>
      </w:r>
      <w:r w:rsidRPr="00405BA1">
        <w:rPr>
          <w:rFonts w:ascii="Calibri" w:hAnsi="Calibri"/>
        </w:rPr>
        <w:tab/>
        <w:t xml:space="preserve">Abarbanel B, Johnson MR. Esports consumer perspectives on match-fixing: implications for gambling awareness and game integrity. </w:t>
      </w:r>
      <w:r w:rsidRPr="00405BA1">
        <w:rPr>
          <w:rFonts w:ascii="Calibri" w:hAnsi="Calibri"/>
          <w:i/>
          <w:iCs/>
        </w:rPr>
        <w:t>International Gambling Studies</w:t>
      </w:r>
      <w:r w:rsidRPr="00405BA1">
        <w:rPr>
          <w:rFonts w:ascii="Calibri" w:hAnsi="Calibri"/>
        </w:rPr>
        <w:t xml:space="preserve"> 2019; </w:t>
      </w:r>
      <w:r w:rsidRPr="00405BA1">
        <w:rPr>
          <w:rFonts w:ascii="Calibri" w:hAnsi="Calibri"/>
          <w:b/>
          <w:bCs/>
        </w:rPr>
        <w:t>19</w:t>
      </w:r>
      <w:r w:rsidRPr="00405BA1">
        <w:rPr>
          <w:rFonts w:ascii="Calibri" w:hAnsi="Calibri"/>
        </w:rPr>
        <w:t>: 296–311.</w:t>
      </w:r>
    </w:p>
    <w:p w14:paraId="215BB933" w14:textId="77777777" w:rsidR="00405BA1" w:rsidRPr="00405BA1" w:rsidRDefault="00405BA1" w:rsidP="00405BA1">
      <w:pPr>
        <w:pStyle w:val="Bibliography"/>
        <w:rPr>
          <w:rFonts w:ascii="Calibri" w:hAnsi="Calibri"/>
        </w:rPr>
      </w:pPr>
      <w:r w:rsidRPr="00405BA1">
        <w:rPr>
          <w:rFonts w:ascii="Calibri" w:hAnsi="Calibri"/>
        </w:rPr>
        <w:t>5</w:t>
      </w:r>
      <w:r w:rsidRPr="00405BA1">
        <w:rPr>
          <w:rFonts w:ascii="Calibri" w:hAnsi="Calibri"/>
        </w:rPr>
        <w:tab/>
        <w:t>Griffiths M. Adolescent Gambling. Psychology Press, 1995.</w:t>
      </w:r>
    </w:p>
    <w:p w14:paraId="56DCA56E" w14:textId="77777777" w:rsidR="00405BA1" w:rsidRPr="00405BA1" w:rsidRDefault="00405BA1" w:rsidP="00405BA1">
      <w:pPr>
        <w:pStyle w:val="Bibliography"/>
        <w:rPr>
          <w:rFonts w:ascii="Calibri" w:hAnsi="Calibri"/>
        </w:rPr>
      </w:pPr>
      <w:r w:rsidRPr="00405BA1">
        <w:rPr>
          <w:rFonts w:ascii="Calibri" w:hAnsi="Calibri"/>
        </w:rPr>
        <w:lastRenderedPageBreak/>
        <w:t>6</w:t>
      </w:r>
      <w:r w:rsidRPr="00405BA1">
        <w:rPr>
          <w:rFonts w:ascii="Calibri" w:hAnsi="Calibri"/>
        </w:rPr>
        <w:tab/>
        <w:t xml:space="preserve">Griffiths MD. Is the buying of loot boxes in video games a form of gambling or gaming? </w:t>
      </w:r>
      <w:r w:rsidRPr="00405BA1">
        <w:rPr>
          <w:rFonts w:ascii="Calibri" w:hAnsi="Calibri"/>
          <w:i/>
          <w:iCs/>
        </w:rPr>
        <w:t>Gaming Law Review</w:t>
      </w:r>
      <w:r w:rsidRPr="00405BA1">
        <w:rPr>
          <w:rFonts w:ascii="Calibri" w:hAnsi="Calibri"/>
        </w:rPr>
        <w:t xml:space="preserve"> 2018; </w:t>
      </w:r>
      <w:r w:rsidRPr="00405BA1">
        <w:rPr>
          <w:rFonts w:ascii="Calibri" w:hAnsi="Calibri"/>
          <w:b/>
          <w:bCs/>
        </w:rPr>
        <w:t>22</w:t>
      </w:r>
      <w:r w:rsidRPr="00405BA1">
        <w:rPr>
          <w:rFonts w:ascii="Calibri" w:hAnsi="Calibri"/>
        </w:rPr>
        <w:t>: 52–54.</w:t>
      </w:r>
    </w:p>
    <w:p w14:paraId="69C346DF" w14:textId="77777777" w:rsidR="00405BA1" w:rsidRPr="00405BA1" w:rsidRDefault="00405BA1" w:rsidP="00405BA1">
      <w:pPr>
        <w:pStyle w:val="Bibliography"/>
        <w:rPr>
          <w:rFonts w:ascii="Calibri" w:hAnsi="Calibri"/>
        </w:rPr>
      </w:pPr>
      <w:r w:rsidRPr="00405BA1">
        <w:rPr>
          <w:rFonts w:ascii="Calibri" w:hAnsi="Calibri"/>
        </w:rPr>
        <w:t>7</w:t>
      </w:r>
      <w:r w:rsidRPr="00405BA1">
        <w:rPr>
          <w:rFonts w:ascii="Calibri" w:hAnsi="Calibri"/>
        </w:rPr>
        <w:tab/>
        <w:t xml:space="preserve">Moshirnia AV. Precious and Worthless: A Comparative Perspective on Loot Boxes and Gambling. </w:t>
      </w:r>
      <w:r w:rsidRPr="00405BA1">
        <w:rPr>
          <w:rFonts w:ascii="Calibri" w:hAnsi="Calibri"/>
          <w:i/>
          <w:iCs/>
        </w:rPr>
        <w:t>Minnesota Journal of Law, Science &amp; Technology</w:t>
      </w:r>
      <w:r w:rsidRPr="00405BA1">
        <w:rPr>
          <w:rFonts w:ascii="Calibri" w:hAnsi="Calibri"/>
        </w:rPr>
        <w:t xml:space="preserve"> 2019; </w:t>
      </w:r>
      <w:r w:rsidRPr="00405BA1">
        <w:rPr>
          <w:rFonts w:ascii="Calibri" w:hAnsi="Calibri"/>
          <w:b/>
          <w:bCs/>
        </w:rPr>
        <w:t>20</w:t>
      </w:r>
      <w:r w:rsidRPr="00405BA1">
        <w:rPr>
          <w:rFonts w:ascii="Calibri" w:hAnsi="Calibri"/>
        </w:rPr>
        <w:t>: 77.</w:t>
      </w:r>
    </w:p>
    <w:p w14:paraId="0382D805" w14:textId="77777777" w:rsidR="00405BA1" w:rsidRPr="00405BA1" w:rsidRDefault="00405BA1" w:rsidP="00405BA1">
      <w:pPr>
        <w:pStyle w:val="Bibliography"/>
        <w:rPr>
          <w:rFonts w:ascii="Calibri" w:hAnsi="Calibri"/>
        </w:rPr>
      </w:pPr>
      <w:r w:rsidRPr="00405BA1">
        <w:rPr>
          <w:rFonts w:ascii="Calibri" w:hAnsi="Calibri"/>
        </w:rPr>
        <w:t>8</w:t>
      </w:r>
      <w:r w:rsidRPr="00405BA1">
        <w:rPr>
          <w:rFonts w:ascii="Calibri" w:hAnsi="Calibri"/>
        </w:rPr>
        <w:tab/>
        <w:t>Gambling Commission. Virtual currencies eSports and social casino gaming. 2017; : 17.</w:t>
      </w:r>
    </w:p>
    <w:p w14:paraId="4DA5E6B9" w14:textId="77777777" w:rsidR="00405BA1" w:rsidRPr="00405BA1" w:rsidRDefault="00405BA1" w:rsidP="00405BA1">
      <w:pPr>
        <w:pStyle w:val="Bibliography"/>
        <w:rPr>
          <w:rFonts w:ascii="Calibri" w:hAnsi="Calibri"/>
        </w:rPr>
      </w:pPr>
      <w:r w:rsidRPr="00405BA1">
        <w:rPr>
          <w:rFonts w:ascii="Calibri" w:hAnsi="Calibri"/>
        </w:rPr>
        <w:t>9</w:t>
      </w:r>
      <w:r w:rsidRPr="00405BA1">
        <w:rPr>
          <w:rFonts w:ascii="Calibri" w:hAnsi="Calibri"/>
        </w:rPr>
        <w:tab/>
        <w:t>Cross K. New Zealand says lootboxes ‘do not meet the legal definition for gambling’. /view/news/311463/New_Zealand_says_lootboxes_do_not_meet_the_legal_definition_for_gambling.php (accessed Aug 22, 2019).</w:t>
      </w:r>
    </w:p>
    <w:p w14:paraId="13693DF5" w14:textId="08FE6E6F" w:rsidR="00405BA1" w:rsidRPr="00405BA1" w:rsidRDefault="00405BA1" w:rsidP="00405BA1">
      <w:r>
        <w:fldChar w:fldCharType="end"/>
      </w:r>
    </w:p>
    <w:sectPr w:rsidR="00405BA1" w:rsidRPr="00405B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77F5E" w14:textId="77777777" w:rsidR="00383FA8" w:rsidRDefault="00383FA8" w:rsidP="007C69E8">
      <w:pPr>
        <w:spacing w:after="0" w:line="240" w:lineRule="auto"/>
      </w:pPr>
      <w:r>
        <w:separator/>
      </w:r>
    </w:p>
  </w:endnote>
  <w:endnote w:type="continuationSeparator" w:id="0">
    <w:p w14:paraId="6F8C086D" w14:textId="77777777" w:rsidR="00383FA8" w:rsidRDefault="00383FA8" w:rsidP="007C6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5FA14" w14:textId="77777777" w:rsidR="00383FA8" w:rsidRDefault="00383FA8" w:rsidP="007C69E8">
      <w:pPr>
        <w:spacing w:after="0" w:line="240" w:lineRule="auto"/>
      </w:pPr>
      <w:r>
        <w:separator/>
      </w:r>
    </w:p>
  </w:footnote>
  <w:footnote w:type="continuationSeparator" w:id="0">
    <w:p w14:paraId="65D543FB" w14:textId="77777777" w:rsidR="00383FA8" w:rsidRDefault="00383FA8" w:rsidP="007C6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603751"/>
    <w:multiLevelType w:val="hybridMultilevel"/>
    <w:tmpl w:val="DAE88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86"/>
    <w:rsid w:val="0003482D"/>
    <w:rsid w:val="000429DC"/>
    <w:rsid w:val="000E68B8"/>
    <w:rsid w:val="000E7198"/>
    <w:rsid w:val="0016104D"/>
    <w:rsid w:val="001872F1"/>
    <w:rsid w:val="001C2D1D"/>
    <w:rsid w:val="0025520B"/>
    <w:rsid w:val="00374BF7"/>
    <w:rsid w:val="00383FA8"/>
    <w:rsid w:val="003A52F9"/>
    <w:rsid w:val="004029C2"/>
    <w:rsid w:val="00405BA1"/>
    <w:rsid w:val="00406EDE"/>
    <w:rsid w:val="005A473E"/>
    <w:rsid w:val="00604DE0"/>
    <w:rsid w:val="006C5DDC"/>
    <w:rsid w:val="00742412"/>
    <w:rsid w:val="00754B97"/>
    <w:rsid w:val="00771772"/>
    <w:rsid w:val="007C69E8"/>
    <w:rsid w:val="00837468"/>
    <w:rsid w:val="008402DC"/>
    <w:rsid w:val="008C36F0"/>
    <w:rsid w:val="00952C69"/>
    <w:rsid w:val="00953ECC"/>
    <w:rsid w:val="009B02D3"/>
    <w:rsid w:val="009F6CB2"/>
    <w:rsid w:val="00A24EBE"/>
    <w:rsid w:val="00B90299"/>
    <w:rsid w:val="00BB2746"/>
    <w:rsid w:val="00BE2B86"/>
    <w:rsid w:val="00C85C59"/>
    <w:rsid w:val="00C91644"/>
    <w:rsid w:val="00CA7B77"/>
    <w:rsid w:val="00CB1ED4"/>
    <w:rsid w:val="00CC5D1F"/>
    <w:rsid w:val="00D30682"/>
    <w:rsid w:val="00DA7FEE"/>
    <w:rsid w:val="00E202BE"/>
    <w:rsid w:val="00EC7586"/>
    <w:rsid w:val="00FD3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47D0"/>
  <w15:chartTrackingRefBased/>
  <w15:docId w15:val="{E5D1DBD1-3FAA-47A7-A54F-681D7EB0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9DC"/>
    <w:pPr>
      <w:spacing w:line="480" w:lineRule="auto"/>
    </w:pPr>
  </w:style>
  <w:style w:type="paragraph" w:styleId="Heading1">
    <w:name w:val="heading 1"/>
    <w:basedOn w:val="Normal"/>
    <w:next w:val="Normal"/>
    <w:link w:val="Heading1Char"/>
    <w:uiPriority w:val="9"/>
    <w:qFormat/>
    <w:rsid w:val="00EC75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9E8"/>
  </w:style>
  <w:style w:type="paragraph" w:styleId="Footer">
    <w:name w:val="footer"/>
    <w:basedOn w:val="Normal"/>
    <w:link w:val="FooterChar"/>
    <w:uiPriority w:val="99"/>
    <w:unhideWhenUsed/>
    <w:rsid w:val="007C6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9E8"/>
  </w:style>
  <w:style w:type="paragraph" w:styleId="Title">
    <w:name w:val="Title"/>
    <w:basedOn w:val="Normal"/>
    <w:next w:val="Normal"/>
    <w:link w:val="TitleChar"/>
    <w:uiPriority w:val="10"/>
    <w:qFormat/>
    <w:rsid w:val="007424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41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C5D1F"/>
    <w:pPr>
      <w:ind w:left="720"/>
      <w:contextualSpacing/>
    </w:pPr>
  </w:style>
  <w:style w:type="character" w:customStyle="1" w:styleId="Heading1Char">
    <w:name w:val="Heading 1 Char"/>
    <w:basedOn w:val="DefaultParagraphFont"/>
    <w:link w:val="Heading1"/>
    <w:uiPriority w:val="9"/>
    <w:rsid w:val="00EC7586"/>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405BA1"/>
    <w:pPr>
      <w:tabs>
        <w:tab w:val="left" w:pos="144"/>
      </w:tabs>
      <w:spacing w:after="240" w:line="240" w:lineRule="auto"/>
      <w:ind w:left="144" w:hanging="144"/>
    </w:pPr>
  </w:style>
  <w:style w:type="paragraph" w:styleId="Subtitle">
    <w:name w:val="Subtitle"/>
    <w:basedOn w:val="Normal"/>
    <w:next w:val="Normal"/>
    <w:link w:val="SubtitleChar"/>
    <w:uiPriority w:val="11"/>
    <w:qFormat/>
    <w:rsid w:val="0003482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482D"/>
    <w:rPr>
      <w:rFonts w:eastAsiaTheme="minorEastAsia"/>
      <w:color w:val="5A5A5A" w:themeColor="text1" w:themeTint="A5"/>
      <w:spacing w:val="15"/>
    </w:rPr>
  </w:style>
  <w:style w:type="character" w:styleId="Hyperlink">
    <w:name w:val="Hyperlink"/>
    <w:basedOn w:val="DefaultParagraphFont"/>
    <w:uiPriority w:val="99"/>
    <w:unhideWhenUsed/>
    <w:rsid w:val="00771772"/>
    <w:rPr>
      <w:color w:val="0563C1" w:themeColor="hyperlink"/>
      <w:u w:val="single"/>
    </w:rPr>
  </w:style>
  <w:style w:type="character" w:styleId="UnresolvedMention">
    <w:name w:val="Unresolved Mention"/>
    <w:basedOn w:val="DefaultParagraphFont"/>
    <w:uiPriority w:val="99"/>
    <w:semiHidden/>
    <w:unhideWhenUsed/>
    <w:rsid w:val="00771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vid.Zendle@york.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2717</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Zendle</dc:creator>
  <cp:keywords/>
  <dc:description/>
  <cp:lastModifiedBy>David Zendle</cp:lastModifiedBy>
  <cp:revision>4</cp:revision>
  <dcterms:created xsi:type="dcterms:W3CDTF">2019-08-22T18:18:00Z</dcterms:created>
  <dcterms:modified xsi:type="dcterms:W3CDTF">2019-09-26T20:23:00Z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zotero-version="5.0.73"&gt;&lt;session id="tTvMnNR5"/&gt;&lt;style id="http://www.zotero.org/styles/the-lancet" hasBibliography="1" bibliographyStyleHasBeenSet="1"/&gt;&lt;prefs&gt;&lt;pref name="fieldType" value="Field"/&gt;&lt;/prefs&gt;&lt;/data&gt;</vt:lpwstr>
  </property>
</Properties>
</file>