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AED108" w14:textId="41C46D27" w:rsidR="00540819" w:rsidRDefault="00C81A86" w:rsidP="003F5A8B">
      <w:pPr>
        <w:pStyle w:val="Title"/>
        <w:rPr>
          <w:i/>
        </w:rPr>
      </w:pPr>
      <w:r>
        <w:t>P</w:t>
      </w:r>
      <w:r w:rsidR="003F5A8B">
        <w:t>roblem</w:t>
      </w:r>
      <w:r w:rsidR="00CC4E46">
        <w:t xml:space="preserve"> gamblers spend less money when loot boxes are removed from a game</w:t>
      </w:r>
      <w:r w:rsidR="00B50B0D">
        <w:t xml:space="preserve">: A before and after study of </w:t>
      </w:r>
      <w:r w:rsidR="00B50B0D">
        <w:rPr>
          <w:i/>
        </w:rPr>
        <w:t>Heroes of the Storm</w:t>
      </w:r>
    </w:p>
    <w:p w14:paraId="47E687E2" w14:textId="6B226441" w:rsidR="004875C8" w:rsidRDefault="004875C8" w:rsidP="003F5A8B">
      <w:pPr>
        <w:pStyle w:val="Heading1"/>
      </w:pPr>
      <w:r>
        <w:t>Abstract</w:t>
      </w:r>
    </w:p>
    <w:p w14:paraId="31533813" w14:textId="77777777" w:rsidR="002D60F9" w:rsidRDefault="001551E2" w:rsidP="004875C8">
      <w:r>
        <w:t xml:space="preserve">Loot boxes are items in video games that may be paid for with real-world money, but which contain randomised contents. </w:t>
      </w:r>
      <w:r w:rsidR="002D60F9">
        <w:t>Th</w:t>
      </w:r>
      <w:r>
        <w:t xml:space="preserve">ere is a reliable correlation between loot box spending and problem gambling severity: The more money gamers spend on loot boxes, the more severe their problem gambling tends to be. </w:t>
      </w:r>
    </w:p>
    <w:p w14:paraId="5CA96F5F" w14:textId="14409CA1" w:rsidR="004875C8" w:rsidRDefault="001551E2" w:rsidP="004875C8">
      <w:r>
        <w:t xml:space="preserve">However, it is unclear whether this link represents a case in which loot box spending causes problem gambling; a case in which the gambling-like </w:t>
      </w:r>
      <w:r w:rsidR="002D60F9">
        <w:t>nature</w:t>
      </w:r>
      <w:r>
        <w:t xml:space="preserve"> of loot boxes cause problem gamblers to spend more money; or whether it simply represents a </w:t>
      </w:r>
      <w:r w:rsidR="00AB458E">
        <w:t>case</w:t>
      </w:r>
      <w:r>
        <w:t xml:space="preserve"> in which there is a general dysregulation in in-game spending amongst problem gamblers</w:t>
      </w:r>
      <w:r w:rsidR="002D60F9">
        <w:t>, nonspecific to loot boxes</w:t>
      </w:r>
      <w:r>
        <w:t>.</w:t>
      </w:r>
    </w:p>
    <w:p w14:paraId="43D15266" w14:textId="23BD3298" w:rsidR="001551E2" w:rsidRDefault="001551E2" w:rsidP="004875C8">
      <w:r>
        <w:t xml:space="preserve">The multiplayer video game </w:t>
      </w:r>
      <w:r>
        <w:rPr>
          <w:i/>
        </w:rPr>
        <w:t xml:space="preserve">Heroes of the Storm </w:t>
      </w:r>
      <w:r>
        <w:t>recently removed loot boxes. In order to better understand</w:t>
      </w:r>
      <w:r w:rsidR="002D60F9">
        <w:t xml:space="preserve"> </w:t>
      </w:r>
      <w:r>
        <w:t xml:space="preserve">links between loot boxes and problem gambling, we </w:t>
      </w:r>
      <w:r w:rsidR="002D60F9">
        <w:t>conducted an analysis of</w:t>
      </w:r>
      <w:r>
        <w:t xml:space="preserve"> players of </w:t>
      </w:r>
      <w:r>
        <w:rPr>
          <w:i/>
        </w:rPr>
        <w:t>Heroes of the Storm</w:t>
      </w:r>
      <w:r w:rsidR="00261520">
        <w:t xml:space="preserve"> (n=</w:t>
      </w:r>
      <w:r w:rsidR="004F5445">
        <w:t>112</w:t>
      </w:r>
      <w:r w:rsidR="00261520">
        <w:t>)</w:t>
      </w:r>
      <w:r>
        <w:rPr>
          <w:i/>
        </w:rPr>
        <w:t xml:space="preserve"> </w:t>
      </w:r>
      <w:r>
        <w:t xml:space="preserve">both before </w:t>
      </w:r>
      <w:r w:rsidR="002D60F9">
        <w:t xml:space="preserve">and after </w:t>
      </w:r>
      <w:r>
        <w:t>the removal of loot boxes</w:t>
      </w:r>
      <w:r w:rsidR="002D60F9">
        <w:t>.</w:t>
      </w:r>
    </w:p>
    <w:p w14:paraId="50529578" w14:textId="7DF691A3" w:rsidR="001551E2" w:rsidRPr="001551E2" w:rsidRDefault="00353BCD" w:rsidP="00AB458E">
      <w:pPr>
        <w:tabs>
          <w:tab w:val="center" w:pos="4513"/>
        </w:tabs>
      </w:pPr>
      <w:r>
        <w:t>There were</w:t>
      </w:r>
      <w:bookmarkStart w:id="0" w:name="_GoBack"/>
      <w:bookmarkEnd w:id="0"/>
      <w:r w:rsidR="001551E2">
        <w:t xml:space="preserve"> </w:t>
      </w:r>
      <w:r w:rsidR="00FF2360">
        <w:t>a complex pattern of results. In general</w:t>
      </w:r>
      <w:r w:rsidR="001551E2">
        <w:t xml:space="preserve">, when loot boxes were removed from </w:t>
      </w:r>
      <w:r w:rsidR="001551E2">
        <w:rPr>
          <w:i/>
        </w:rPr>
        <w:t>Heroes of the Storm</w:t>
      </w:r>
      <w:r w:rsidR="001551E2">
        <w:t xml:space="preserve">, problem gamblers </w:t>
      </w:r>
      <w:r w:rsidR="00FF2360">
        <w:t>appeared to spend</w:t>
      </w:r>
      <w:r w:rsidR="001551E2">
        <w:t xml:space="preserve"> significantly less money in-game</w:t>
      </w:r>
      <w:r w:rsidR="00FF2360">
        <w:t xml:space="preserve"> in contrast to other groups</w:t>
      </w:r>
      <w:r w:rsidR="001551E2">
        <w:t>.</w:t>
      </w:r>
      <w:r w:rsidR="002D60F9">
        <w:t xml:space="preserve"> </w:t>
      </w:r>
      <w:r w:rsidR="00AB458E">
        <w:t xml:space="preserve">These results suggest that </w:t>
      </w:r>
      <w:r w:rsidR="002D60F9">
        <w:t xml:space="preserve">the presence of loot boxes in a game </w:t>
      </w:r>
      <w:r w:rsidR="008C2BF2">
        <w:t>may lead</w:t>
      </w:r>
      <w:r w:rsidR="002D60F9">
        <w:t xml:space="preserve"> to problem gamblers spending more money in-game</w:t>
      </w:r>
      <w:r w:rsidR="00261520">
        <w:t>.</w:t>
      </w:r>
      <w:r w:rsidR="002D60F9">
        <w:t xml:space="preserve"> It therefore seems </w:t>
      </w:r>
      <w:r w:rsidR="00FF2360">
        <w:t>possible</w:t>
      </w:r>
      <w:r w:rsidR="002D60F9">
        <w:t xml:space="preserve"> that links between loot box spending and problem gambling are not due to a general dysregulation in in-game spending amongst problem gamblers, but rather are to do with specific features of loot boxes themselves.</w:t>
      </w:r>
    </w:p>
    <w:p w14:paraId="48526258" w14:textId="1124B2A8" w:rsidR="00B50B0D" w:rsidRDefault="003F5A8B" w:rsidP="003F5A8B">
      <w:pPr>
        <w:pStyle w:val="Heading1"/>
      </w:pPr>
      <w:r>
        <w:t>Introduction</w:t>
      </w:r>
    </w:p>
    <w:p w14:paraId="30DC0238" w14:textId="22E9F4F6" w:rsidR="002422AF" w:rsidRPr="002422AF" w:rsidRDefault="00B50B0D">
      <w:r>
        <w:rPr>
          <w:i/>
        </w:rPr>
        <w:t xml:space="preserve">Heroes of the Storm </w:t>
      </w:r>
      <w:r>
        <w:t xml:space="preserve">is a </w:t>
      </w:r>
      <w:r w:rsidR="00C12F52">
        <w:t xml:space="preserve">team-based </w:t>
      </w:r>
      <w:r>
        <w:t>multiplayer</w:t>
      </w:r>
      <w:r w:rsidR="002422AF">
        <w:t xml:space="preserve"> online</w:t>
      </w:r>
      <w:r>
        <w:t xml:space="preserve"> video game. </w:t>
      </w:r>
      <w:r w:rsidR="007D1C4A">
        <w:t>The game itself is free to play, and until</w:t>
      </w:r>
      <w:r>
        <w:t xml:space="preserve"> 24</w:t>
      </w:r>
      <w:r w:rsidRPr="00B50B0D">
        <w:rPr>
          <w:vertAlign w:val="superscript"/>
        </w:rPr>
        <w:t>th</w:t>
      </w:r>
      <w:r>
        <w:t xml:space="preserve"> March 2019, </w:t>
      </w:r>
      <w:r>
        <w:rPr>
          <w:i/>
        </w:rPr>
        <w:t>Heroes of the Storm</w:t>
      </w:r>
      <w:r w:rsidR="007D1C4A">
        <w:rPr>
          <w:i/>
        </w:rPr>
        <w:t xml:space="preserve"> </w:t>
      </w:r>
      <w:r w:rsidR="007D1C4A">
        <w:rPr>
          <w:iCs/>
        </w:rPr>
        <w:t xml:space="preserve">adopted a monetization strategy based around two different kinds of microtransactions. Under this strategy, players could spend real-world money on two different kinds of items: (1) they could directly purchase specific cosmetic upgrades for their characters via a premium currency; (2) they could pay real-world money via the same premium currency to buy loot boxes (known in-game as ‘loot chests’) which contained a randomised selection of cosmetic items. </w:t>
      </w:r>
    </w:p>
    <w:p w14:paraId="2C52C67B" w14:textId="04673E96" w:rsidR="00B50B0D" w:rsidRDefault="00B50B0D" w:rsidP="00540819">
      <w:r>
        <w:t>After 24</w:t>
      </w:r>
      <w:r w:rsidRPr="00B50B0D">
        <w:rPr>
          <w:vertAlign w:val="superscript"/>
        </w:rPr>
        <w:t>th</w:t>
      </w:r>
      <w:r>
        <w:t xml:space="preserve"> March 2019, loot boxes were no longer available for purchase in </w:t>
      </w:r>
      <w:r>
        <w:rPr>
          <w:i/>
        </w:rPr>
        <w:t>Heroes of the Storm</w:t>
      </w:r>
      <w:r w:rsidR="007D1C4A">
        <w:rPr>
          <w:iCs/>
        </w:rPr>
        <w:t>: They could still be obtained in-game by completing specific objectives but could no longer be bought via a premium currency.</w:t>
      </w:r>
      <w:r>
        <w:t xml:space="preserve"> </w:t>
      </w:r>
      <w:r w:rsidR="00C12F52">
        <w:t xml:space="preserve">No official </w:t>
      </w:r>
      <w:r>
        <w:t xml:space="preserve">justification for the removal of loot boxes from the game was given. However, media sources commonly speculated that </w:t>
      </w:r>
      <w:r w:rsidR="00F9703E">
        <w:t>their</w:t>
      </w:r>
      <w:r>
        <w:t xml:space="preserve"> removal was due to widespread concern regarding links between loot boxes and gambling </w:t>
      </w:r>
      <w:r w:rsidR="00C12F52">
        <w:fldChar w:fldCharType="begin"/>
      </w:r>
      <w:r w:rsidR="00C12F52">
        <w:instrText xml:space="preserve"> ADDIN ZOTERO_ITEM CSL_CITATION {"citationID":"hVr6e9tb","properties":{"formattedCitation":"[1], [2]","plainCitation":"[1], [2]","noteIndex":0},"citationItems":[{"id":2918,"uris":["http://zotero.org/users/1646069/items/QW23CBGT"],"uri":["http://zotero.org/users/1646069/items/QW23CBGT"],"itemData":{"id":2918,"type":"post-weblog","title":"Blizzard removes real-money loot boxes from Heroes of the Storm","container-title":"Green Man Gaming Newsroom","abstract":"Blizzard has removed the ability to buy randomised loot boxes using real-life money from its MOBA Heroes of the Storm. It made the move with the minimum Blizzard has removed the ability to buy randomised loot boxes using real-life money from its MOBA Heroes of the Storm.","URL":"https://www.greenmangaming.com/newsroom/2019/03/25/blizzard-removes-real-money-loot-boxes-from-heroes-of-the-storm/","language":"en-GB","author":[{"family":"Boxer","given":"Steve"}],"issued":{"date-parts":[["2019",3,25]]},"accessed":{"date-parts":[["2019",6,5]]}}},{"id":2920,"uris":["http://zotero.org/users/1646069/items/8NPXG9X5"],"uri":["http://zotero.org/users/1646069/items/8NPXG9X5"],"itemData":{"id":2920,"type":"webpage","title":"Blizzard tweaks loot boxes in Heroes of the Storm amid gambling controversy","container-title":"The Next Web","abstract":"Blizzard is separating real money from its loot boxes in the face of an FTC investigation. Is this a sign of things to come?","URL":"https://thenextweb.com/gaming/2019/03/26/blizzard-loot-boxes-heroes-of-the-storm-gambling/","language":"en-us","author":[{"family":"Kaser","given":"Rachel"}],"issued":{"date-parts":[["2019",3,26]]},"accessed":{"date-parts":[["2019",6,5]]}}}],"schema":"https://github.com/citation-style-language/schema/raw/master/csl-citation.json"} </w:instrText>
      </w:r>
      <w:r w:rsidR="00C12F52">
        <w:fldChar w:fldCharType="separate"/>
      </w:r>
      <w:r w:rsidR="00C12F52" w:rsidRPr="00C12F52">
        <w:rPr>
          <w:rFonts w:ascii="Calibri" w:hAnsi="Calibri"/>
        </w:rPr>
        <w:t>[1], [2]</w:t>
      </w:r>
      <w:r w:rsidR="00C12F52">
        <w:fldChar w:fldCharType="end"/>
      </w:r>
      <w:r>
        <w:t>.</w:t>
      </w:r>
    </w:p>
    <w:p w14:paraId="548FA2FF" w14:textId="055034BA" w:rsidR="004E2FAE" w:rsidRDefault="000F32F7" w:rsidP="005408C0">
      <w:r>
        <w:t>These c</w:t>
      </w:r>
      <w:r w:rsidR="00F9703E">
        <w:t>oncerns</w:t>
      </w:r>
      <w:r w:rsidR="004E2FAE">
        <w:t xml:space="preserve"> </w:t>
      </w:r>
      <w:r w:rsidR="00F9703E">
        <w:t xml:space="preserve">centre around </w:t>
      </w:r>
      <w:r w:rsidR="00540819">
        <w:t xml:space="preserve">distinctive </w:t>
      </w:r>
      <w:r w:rsidR="004E2FAE">
        <w:t xml:space="preserve">formal </w:t>
      </w:r>
      <w:r w:rsidR="00540819">
        <w:t>similarities betwee</w:t>
      </w:r>
      <w:r w:rsidR="004E2FAE">
        <w:t xml:space="preserve">n </w:t>
      </w:r>
      <w:r w:rsidR="00C12F52">
        <w:t>loot boxes</w:t>
      </w:r>
      <w:r w:rsidR="004E2FAE">
        <w:t xml:space="preserve"> and gambling</w:t>
      </w:r>
      <w:r w:rsidR="00540819">
        <w:t xml:space="preserve">. </w:t>
      </w:r>
      <w:r w:rsidR="00F9703E">
        <w:t xml:space="preserve">In </w:t>
      </w:r>
      <w:r w:rsidR="00F9703E">
        <w:fldChar w:fldCharType="begin"/>
      </w:r>
      <w:r w:rsidR="00C12F52">
        <w:instrText xml:space="preserve"> ADDIN ZOTERO_ITEM CSL_CITATION {"citationID":"Vgce284O","properties":{"formattedCitation":"[3]","plainCitation":"[3]","noteIndex":0},"citationItems":[{"id":1962,"uris":["http://zotero.org/users/1646069/items/6R74QBW8"],"uri":["http://zotero.org/users/1646069/items/6R74QBW8"],"itemData":{"id":1962,"type":"book","title":"Adolescent Gambling","publisher":"Psychology Press","number-of-pages":"324","source":"Google Books","abstract":"Although in theory gambling is against the law for children, there is one form of gambling that young people do have access to: fruit (i.e. slot) machines. Mark Griffiths has carried out extensive research into why some adolescents get hooked on gambling, how they gamble and what can be done about it. He provides an overview of adolescent gambling worldwide in addition to individual case studies, treatment approaches, and an insight into how the gaming industry induces young people to gamble.Adolescent Gambling is the first book to address the issue of underage gambling. It raises the crucial issue of who is to blame - is it something about the personality of the young person or is it the addictive nature of the machines? Anyone involved with the lives of young people should read this important book, especially social workers, teachers, youth leaders, probation officers and clinical psychologists.","ISBN":"978-0-415-05834-6","note":"Google-Books-ID: 3ZBATS802cIC","language":"en","author":[{"family":"Griffiths","given":"Mark"}],"issued":{"date-parts":[["1995"]]}}}],"schema":"https://github.com/citation-style-language/schema/raw/master/csl-citation.json"} </w:instrText>
      </w:r>
      <w:r w:rsidR="00F9703E">
        <w:fldChar w:fldCharType="separate"/>
      </w:r>
      <w:r w:rsidR="00C12F52" w:rsidRPr="00C12F52">
        <w:rPr>
          <w:rFonts w:ascii="Calibri" w:hAnsi="Calibri"/>
        </w:rPr>
        <w:t>[3]</w:t>
      </w:r>
      <w:r w:rsidR="00F9703E">
        <w:fldChar w:fldCharType="end"/>
      </w:r>
      <w:r w:rsidR="00F9703E">
        <w:t xml:space="preserve">, Griffiths specifies several characteristics that distinguish gambling from other activities: For </w:t>
      </w:r>
      <w:r w:rsidR="00F9703E">
        <w:lastRenderedPageBreak/>
        <w:t xml:space="preserve">example, </w:t>
      </w:r>
      <w:r w:rsidR="00C12F52">
        <w:t xml:space="preserve">when </w:t>
      </w:r>
      <w:r w:rsidR="00F9703E">
        <w:t>gambling</w:t>
      </w:r>
      <w:r w:rsidR="00C12F52">
        <w:t>, an unknown future event typically determines</w:t>
      </w:r>
      <w:r w:rsidR="00F9703E">
        <w:t xml:space="preserve"> the exchange of money or valuable goods</w:t>
      </w:r>
      <w:r w:rsidR="00C12F52">
        <w:t>, with the involvement of chance.</w:t>
      </w:r>
      <w:r w:rsidR="00F9703E">
        <w:t xml:space="preserve"> </w:t>
      </w:r>
      <w:r w:rsidR="00C12F52">
        <w:t xml:space="preserve">As noted in </w:t>
      </w:r>
      <w:r w:rsidR="00C12F52">
        <w:fldChar w:fldCharType="begin"/>
      </w:r>
      <w:r w:rsidR="00031F37">
        <w:instrText xml:space="preserve"> ADDIN ZOTERO_ITEM CSL_CITATION {"citationID":"9ufiInja","properties":{"formattedCitation":"[4]","plainCitation":"[4]","noteIndex":0},"citationItems":[{"id":1770,"uris":["http://zotero.org/users/1646069/items/GPQSQQTA"],"uri":["http://zotero.org/users/1646069/items/GPQSQQTA"],"itemData":{"id":1770,"type":"article-journal","title":"Video game loot boxes are psychologically akin to gambling","container-title":"Nature Human Behaviour","page":"530-532","source":"www.nature.com","abstract":"Video games are increasingly exposing young players to randomized in-game reward mechanisms, purchasable for real money — so-called loot boxes. Do loot boxes constitute a form of gambling?","DOI":"10.1038/s41562-018-0360-1","ISSN":"2397-3374","language":"en","author":[{"family":"Drummond","given":"Aaron"},{"family":"Sauer","given":"James D."}],"issued":{"date-parts":[["2018",6,18]]}}}],"schema":"https://github.com/citation-style-language/schema/raw/master/csl-citation.json"} </w:instrText>
      </w:r>
      <w:r w:rsidR="00C12F52">
        <w:fldChar w:fldCharType="separate"/>
      </w:r>
      <w:r w:rsidR="00031F37" w:rsidRPr="00B227AF">
        <w:rPr>
          <w:rFonts w:ascii="Calibri" w:hAnsi="Calibri"/>
        </w:rPr>
        <w:t>[4]</w:t>
      </w:r>
      <w:r w:rsidR="00C12F52">
        <w:fldChar w:fldCharType="end"/>
      </w:r>
      <w:r w:rsidR="00C12F52">
        <w:t>, t</w:t>
      </w:r>
      <w:r w:rsidR="00F9703E">
        <w:t xml:space="preserve">his description fits some loot boxes just as well as it fits </w:t>
      </w:r>
      <w:r w:rsidR="002422AF">
        <w:t>conventional forms of gambling</w:t>
      </w:r>
      <w:r w:rsidR="00F9703E">
        <w:t>.</w:t>
      </w:r>
      <w:r w:rsidR="00031F37">
        <w:t xml:space="preserve"> Connected to these arguments is the idea of a variable schedule of reinforcement: A pattern of rewards in which a behaviour is rewarded (or ‘reinforced’) after it has been engaged in a variable number of times </w:t>
      </w:r>
      <w:r w:rsidR="00031F37">
        <w:fldChar w:fldCharType="begin"/>
      </w:r>
      <w:r w:rsidR="00031F37">
        <w:instrText xml:space="preserve"> ADDIN ZOTERO_ITEM CSL_CITATION {"citationID":"O3jpB8ee","properties":{"formattedCitation":"[5]","plainCitation":"[5]","noteIndex":0},"citationItems":[{"id":3160,"uris":["http://zotero.org/users/1646069/items/Z3NPK5HN"],"uri":["http://zotero.org/users/1646069/items/Z3NPK5HN"],"itemData":{"id":3160,"type":"book","title":"Schedules of Reinforcement","publisher":"B. F. Skinner Foundation","number-of-pages":"979","source":"Google Books","abstract":"The contingent relationship between actions and their consequences  lies at the heart of Skinner’s experimental analysis of behavior.  Particular patterns of behavior emerge depending upon the contingencies  established. Ferster and Skinner examined the effects of different  schedules of reinforcement on behavior. An extraordinary work, Schedules of Reinforcement represents over  70,000 hours of research primarily with pigeons, though the principles  have now been experimentally verified with many species including human  beings. At first glance, the book appears to be an atlas of schedules.  And so it is, the most exhaustive in existence. But it is also a  reminder of the power of describing and explaining behavior through an  analysis of measurable and manipulative behavior-environment relations  without appealing to physiological mechanisms in the brain. As en  exemplar and source for the further study of behavioral phenomena, the  book illustrates the scientific philosophy that Skinner and Ferster  adopted: that a science is best built from the ground up, from a firm  foundation of facts that can eventually be summarized as scientific  laws.","ISBN":"978-0-9899839-5-2","note":"Google-Books-ID: xctyCQAAQBAJ","language":"en","author":[{"family":"Skinner","given":"B. F."},{"family":"Ferster","given":"C. B."}],"issued":{"date-parts":[["2015",5,20]]}}}],"schema":"https://github.com/citation-style-language/schema/raw/master/csl-citation.json"} </w:instrText>
      </w:r>
      <w:r w:rsidR="00031F37">
        <w:fldChar w:fldCharType="separate"/>
      </w:r>
      <w:r w:rsidR="00031F37" w:rsidRPr="00B227AF">
        <w:rPr>
          <w:rFonts w:ascii="Calibri" w:hAnsi="Calibri"/>
        </w:rPr>
        <w:t>[5]</w:t>
      </w:r>
      <w:r w:rsidR="00031F37">
        <w:fldChar w:fldCharType="end"/>
      </w:r>
      <w:r w:rsidR="00031F37">
        <w:t xml:space="preserve">. These intermittent patterns of reward are known to lead to continued engagement in a  behaviour </w:t>
      </w:r>
      <w:r w:rsidR="00031F37">
        <w:fldChar w:fldCharType="begin"/>
      </w:r>
      <w:r w:rsidR="00031F37">
        <w:instrText xml:space="preserve"> ADDIN ZOTERO_ITEM CSL_CITATION {"citationID":"cteHO5x4","properties":{"formattedCitation":"[6]","plainCitation":"[6]","noteIndex":0},"citationItems":[{"id":3158,"uris":["http://zotero.org/users/1646069/items/SM9R4BY8"],"uri":["http://zotero.org/users/1646069/items/SM9R4BY8"],"itemData":{"id":3158,"type":"book","title":"Psychology: An International Perspective","publisher":"Taylor &amp; Francis","number-of-pages":"1000","source":"Google Books","abstract":"The following features will make Psychology: An International Perspectiveby Michael W. Eysenck the text of choice for introductory psychology courses throughout the world:  * GLOBAL PERSPECTIVE The typical US textbook gives undue attention to US research at the cost of important international studies. Psychology: An International Perspective provides balanced coverage of global research, particularly from the UK, Germany, Scandinavia, Holland, Australia and Canada, as well as the US.  * UNIQUE MULTIMEDIA SUPPLEMENTARY RESOURCES · Tutor resources, available on CD-ROM. These include a PowerPoint lecture course and multiple-choice question test bank. · Student resources on the web. Includes a unique 'Learning Reinforcement Program', which offers students a completely novel approach to study. · Additional supplementary chapters on the web including chapters on Research Methods and a chapter on Auditory Perception. These resource packages are free of charge to adopters of the text.  * AUTHORITATIVE, READABLE, SINGLE AUTHORED TEXT Written by Michael W. Eysenck, one of the UK's most eminent psychologists. With extensive teaching and writing experience, Professor Eysenck has written a text that is both authoritative and accessible, coherent and integrated.  * PEDAGOGY The book includes numerous pedagogical and illustrative features to enliven the text and facilitate learning. These include: · Self-assessment questions. · Evaluation sections with an emphasis on methodological and ethical issues to encourage critical thinking. · Key term definitions. · Key studies with discussion points. · Humorous drawings and numerous graphs, flow charts, photos, and tables. · Informative text boxes highlighting points of interest. · A summary section and further reading at the end of each chapter.  * VALUE FOR MONEY Only $39.95.95 for 992 pages of text, plus extensive supplementary resources free of charge to adopters.","ISBN":"978-1-84169-360-6","title-short":"Psychology","language":"en","author":[{"family":"Eysenck","given":"Michael W."}],"issued":{"date-parts":[["2004"]]}}}],"schema":"https://github.com/citation-style-language/schema/raw/master/csl-citation.json"} </w:instrText>
      </w:r>
      <w:r w:rsidR="00031F37">
        <w:fldChar w:fldCharType="separate"/>
      </w:r>
      <w:r w:rsidR="00031F37" w:rsidRPr="000D3B3E">
        <w:rPr>
          <w:rFonts w:ascii="Calibri" w:hAnsi="Calibri"/>
        </w:rPr>
        <w:t>[6]</w:t>
      </w:r>
      <w:r w:rsidR="00031F37">
        <w:fldChar w:fldCharType="end"/>
      </w:r>
      <w:r w:rsidR="00031F37">
        <w:t>, and have been suggested as one of the drivers of problematic gambling</w:t>
      </w:r>
      <w:r w:rsidR="00031F37">
        <w:fldChar w:fldCharType="begin"/>
      </w:r>
      <w:r w:rsidR="00031F37">
        <w:instrText xml:space="preserve"> ADDIN ZOTERO_ITEM CSL_CITATION {"citationID":"uct30TtC","properties":{"formattedCitation":"[7]","plainCitation":"[7]","noteIndex":0},"citationItems":[{"id":1852,"uris":["http://zotero.org/users/1646069/items/YLLMSJ7W"],"uri":["http://zotero.org/users/1646069/items/YLLMSJ7W"],"itemData":{"id":1852,"type":"article-journal","title":"A pathways model of problem and pathological gambling","container-title":"Addiction","page":"487–499","volume":"97","issue":"5","source":"Google Scholar","author":[{"family":"Blaszczynski","given":"Alex"},{"family":"Nower","given":"Lia"}],"issued":{"date-parts":[["2002"]]}}}],"schema":"https://github.com/citation-style-language/schema/raw/master/csl-citation.json"} </w:instrText>
      </w:r>
      <w:r w:rsidR="00031F37">
        <w:fldChar w:fldCharType="separate"/>
      </w:r>
      <w:r w:rsidR="00031F37" w:rsidRPr="00B227AF">
        <w:rPr>
          <w:rFonts w:ascii="Calibri" w:hAnsi="Calibri"/>
        </w:rPr>
        <w:t>[7]</w:t>
      </w:r>
      <w:r w:rsidR="00031F37">
        <w:fldChar w:fldCharType="end"/>
      </w:r>
      <w:r w:rsidR="00031F37">
        <w:t xml:space="preserve">. In particular, the implementation of such schedules in machine gambling has been repeatedly cited as key to the ability of these machines to engage gamblers </w:t>
      </w:r>
      <w:r w:rsidR="00031F37">
        <w:fldChar w:fldCharType="begin"/>
      </w:r>
      <w:r w:rsidR="00031F37">
        <w:instrText xml:space="preserve"> ADDIN ZOTERO_ITEM CSL_CITATION {"citationID":"OEZJbNGc","properties":{"formattedCitation":"[8], [9]","plainCitation":"[8], [9]","noteIndex":0},"citationItems":[{"id":1959,"uris":["http://zotero.org/users/1646069/items/SJU2EI8F"],"uri":["http://zotero.org/users/1646069/items/SJU2EI8F"],"itemData":{"id":1959,"type":"article-journal","title":"Fruit machine gambling: The importance of structural characteristics","container-title":"Journal of gambling studies","page":"101–120","volume":"9","issue":"2","source":"Google Scholar","title-short":"Fruit machine gambling","author":[{"family":"Griffiths","given":"Mark"}],"issued":{"date-parts":[["1993"]]}}},{"id":3168,"uris":["http://zotero.org/users/1646069/items/6KMNK95D"],"uri":["http://zotero.org/users/1646069/items/6KMNK95D"],"itemData":{"id":3168,"type":"article-journal","title":"Explaining the attraction of poker machines: cognition or conditioning","container-title":"Report to the Casino Community Benefit Fund Trustees, Gambling Research Unit, University of Sydney, March. GamAid pilot service’, British Journal of Guidance &amp; Counselling","page":"373–89","volume":"35","issue":"4","source":"Google Scholar","title-short":"Explaining the attraction of poker machines","author":[{"family":"Walker","given":"Michael"},{"family":"Matarese","given":"Kate"},{"family":"Blaszczynski","given":"Alex"},{"family":"Sharpe","given":"Louise"}],"issued":{"date-parts":[["2004"]]}}}],"schema":"https://github.com/citation-style-language/schema/raw/master/csl-citation.json"} </w:instrText>
      </w:r>
      <w:r w:rsidR="00031F37">
        <w:fldChar w:fldCharType="separate"/>
      </w:r>
      <w:r w:rsidR="00031F37" w:rsidRPr="00B227AF">
        <w:rPr>
          <w:rFonts w:ascii="Calibri" w:hAnsi="Calibri"/>
        </w:rPr>
        <w:t>[8], [9]</w:t>
      </w:r>
      <w:r w:rsidR="00031F37">
        <w:fldChar w:fldCharType="end"/>
      </w:r>
      <w:r w:rsidR="00031F37">
        <w:t>.</w:t>
      </w:r>
      <w:r w:rsidR="00F9703E">
        <w:t xml:space="preserve">Both when opening loot boxes and when gambling, individuals </w:t>
      </w:r>
      <w:r w:rsidR="00540819">
        <w:t>stake something of real-world value on the</w:t>
      </w:r>
      <w:r w:rsidR="00F9703E">
        <w:t xml:space="preserve"> chance</w:t>
      </w:r>
      <w:r w:rsidR="00540819">
        <w:t xml:space="preserve"> outcome of an uncertain future event, in the hope of receiving something of greater value. </w:t>
      </w:r>
      <w:r w:rsidR="00226A35">
        <w:t xml:space="preserve">Indeed, some loot boxes (such as in the first-person shooter game </w:t>
      </w:r>
      <w:r w:rsidR="00226A35">
        <w:rPr>
          <w:i/>
        </w:rPr>
        <w:t>Counter-Strike: Global Offensive</w:t>
      </w:r>
      <w:r w:rsidR="00226A35">
        <w:t xml:space="preserve">) are explicitly presented to gamers </w:t>
      </w:r>
      <w:r>
        <w:t>as a</w:t>
      </w:r>
      <w:r w:rsidR="00226A35">
        <w:t xml:space="preserve"> </w:t>
      </w:r>
      <w:r w:rsidR="00C12F52">
        <w:t xml:space="preserve">gambling-like </w:t>
      </w:r>
      <w:r w:rsidR="00226A35">
        <w:t>spinning reel of prizes.</w:t>
      </w:r>
      <w:r w:rsidR="00031F37">
        <w:t xml:space="preserve"> Just as with a slot machine or other electronic gambling machine, such loot boxes provide an intermittent pattern of rewards, in which paying for a loot box is only rewarded after a variable number of attempts.</w:t>
      </w:r>
      <w:r w:rsidR="00226A35">
        <w:t xml:space="preserve"> </w:t>
      </w:r>
      <w:r w:rsidR="002422AF">
        <w:t>Because of structural similarities</w:t>
      </w:r>
      <w:r>
        <w:t xml:space="preserve"> structural similarities between gambling and gaming</w:t>
      </w:r>
      <w:r w:rsidR="002422AF">
        <w:t>, researchers have speculated that some loot boxes may be “psychologically akin”</w:t>
      </w:r>
      <w:r w:rsidR="004E2FAE" w:rsidRPr="004E2FAE">
        <w:t xml:space="preserve"> </w:t>
      </w:r>
      <w:r w:rsidR="004E2FAE">
        <w:fldChar w:fldCharType="begin"/>
      </w:r>
      <w:r w:rsidR="00031F37">
        <w:instrText xml:space="preserve"> ADDIN ZOTERO_ITEM CSL_CITATION {"citationID":"nb1saTNH","properties":{"formattedCitation":"[4]","plainCitation":"[4]","noteIndex":0},"citationItems":[{"id":1770,"uris":["http://zotero.org/users/1646069/items/GPQSQQTA"],"uri":["http://zotero.org/users/1646069/items/GPQSQQTA"],"itemData":{"id":1770,"type":"article-journal","title":"Video game loot boxes are psychologically akin to gambling","container-title":"Nature Human Behaviour","page":"530-532","source":"www.nature.com","abstract":"Video games are increasingly exposing young players to randomized in-game reward mechanisms, purchasable for real money — so-called loot boxes. Do loot boxes constitute a form of gambling?","DOI":"10.1038/s41562-018-0360-1","ISSN":"2397-3374","language":"en","author":[{"family":"Drummond","given":"Aaron"},{"family":"Sauer","given":"James D."}],"issued":{"date-parts":[["2018",6,18]]}}}],"schema":"https://github.com/citation-style-language/schema/raw/master/csl-citation.json"} </w:instrText>
      </w:r>
      <w:r w:rsidR="004E2FAE">
        <w:fldChar w:fldCharType="separate"/>
      </w:r>
      <w:r w:rsidR="00031F37" w:rsidRPr="00B227AF">
        <w:rPr>
          <w:rFonts w:ascii="Calibri" w:hAnsi="Calibri"/>
        </w:rPr>
        <w:t>[4]</w:t>
      </w:r>
      <w:r w:rsidR="004E2FAE">
        <w:fldChar w:fldCharType="end"/>
      </w:r>
      <w:r w:rsidR="002422AF">
        <w:t xml:space="preserve"> to gambling</w:t>
      </w:r>
      <w:r w:rsidR="004E2FAE">
        <w:t>, and</w:t>
      </w:r>
      <w:r w:rsidR="008D149E">
        <w:t xml:space="preserve"> hence </w:t>
      </w:r>
      <w:r w:rsidR="00540819">
        <w:t>create a gateway to problem gambling amongst gamers</w:t>
      </w:r>
      <w:r w:rsidR="004E2FAE">
        <w:t>.</w:t>
      </w:r>
    </w:p>
    <w:p w14:paraId="2B39B557" w14:textId="093842D0" w:rsidR="003E0C90" w:rsidRDefault="003E0C90" w:rsidP="00E434CD">
      <w:r>
        <w:t xml:space="preserve">However, it is important to note that structural similarities with gambling are not confined to loot boxes. As noted in </w:t>
      </w:r>
      <w:r w:rsidR="003B795C">
        <w:fldChar w:fldCharType="begin"/>
      </w:r>
      <w:r w:rsidR="00031F37">
        <w:instrText xml:space="preserve"> ADDIN ZOTERO_ITEM CSL_CITATION {"citationID":"8z1ffxdk","properties":{"formattedCitation":"[10]","plainCitation":"[10]","noteIndex":0},"citationItems":[{"id":3132,"uris":["http://zotero.org/users/1646069/items/JRLF62AT"],"uri":["http://zotero.org/users/1646069/items/JRLF62AT"],"itemData":{"id":3132,"type":"article-journal","title":"Becoming hooked? Angling, gambling, and “fishing addiction”","container-title":"Archives of Behavioral Addictions","volume":"1","issue":"1","source":"Google Scholar","title-short":"Becoming hooked?","author":[{"family":"Griffiths","given":"M. D."},{"family":"Auer","given":"M."}],"issued":{"date-parts":[["2019"]]}}}],"schema":"https://github.com/citation-style-language/schema/raw/master/csl-citation.json"} </w:instrText>
      </w:r>
      <w:r w:rsidR="003B795C">
        <w:fldChar w:fldCharType="separate"/>
      </w:r>
      <w:r w:rsidR="00031F37" w:rsidRPr="00B227AF">
        <w:rPr>
          <w:rFonts w:ascii="Calibri" w:hAnsi="Calibri"/>
        </w:rPr>
        <w:t>[10]</w:t>
      </w:r>
      <w:r w:rsidR="003B795C">
        <w:fldChar w:fldCharType="end"/>
      </w:r>
      <w:r w:rsidR="003B795C">
        <w:t xml:space="preserve">, everyday activities such as fishing can also be seen to contain </w:t>
      </w:r>
      <w:r w:rsidR="00E434CD">
        <w:t xml:space="preserve">similar formal features to gambling. For example, both when fishing and when gambling, “the participant repeats the same behaviour over and over again in the hope that they will attain something of material value”. </w:t>
      </w:r>
    </w:p>
    <w:p w14:paraId="7D80CDFD" w14:textId="4C59F0F5" w:rsidR="00A40813" w:rsidRDefault="00E434CD" w:rsidP="005408C0">
      <w:r>
        <w:t xml:space="preserve">Therefore, whilst formal similarities between loot boxes and gambling may be suggestive of a potential for adverse effects on gamers, they should not be treated as evidence either for or against real-world harm. In order to establish this evidence, empirical research is necessary. Thus far, such research is in its infancy.  </w:t>
      </w:r>
      <w:r w:rsidR="00B94051">
        <w:t xml:space="preserve">Correlational studies have </w:t>
      </w:r>
      <w:r w:rsidR="00B10A9E">
        <w:t>shown that spending on loot boxes is linked to increases in problem gambling severity</w:t>
      </w:r>
      <w:r w:rsidR="00B94051">
        <w:t xml:space="preserve">. </w:t>
      </w:r>
      <w:r w:rsidR="004E2FAE">
        <w:t xml:space="preserve">The more money that gamers spend on loot boxes, the more severe their problem gambling tends to be. This effect appears reliable, and has been replicated in several studies </w:t>
      </w:r>
      <w:r w:rsidR="004E2FAE">
        <w:fldChar w:fldCharType="begin"/>
      </w:r>
      <w:r w:rsidR="00031F37">
        <w:instrText xml:space="preserve"> ADDIN ZOTERO_ITEM CSL_CITATION {"citationID":"fbOswtJr","properties":{"formattedCitation":"[11]\\uc0\\u8211{}[16]","plainCitation":"[11]–[16]","noteIndex":0},"citationItems":[{"id":2244,"uris":["http://zotero.org/users/1646069/items/NE343ADH"],"uri":["http://zotero.org/users/1646069/items/NE343ADH"],"itemData":{"id":2244,"type":"article-journal","title":"Video game loot boxes are linked to problem gambling: Results of a large-scale survey","container-title":"PLoS One","page":"e0206767","volume":"13","issue":"11","source":"Google Scholar","title-short":"Video game loot boxes are linked to problem gambling","author":[{"family":"Zendle","given":"David"},{"family":"Cairns","given":"Paul"}],"issued":{"date-parts":[["2018"]]}}},{"id":2802,"uris":["http://zotero.org/users/1646069/items/PBNWECNC"],"uri":["http://zotero.org/users/1646069/items/PBNWECNC"],"itemData":{"id":2802,"type":"article-journal","title":"Loot boxes are again linked to problem gambling: Results of a replication study","container-title":"PLoS One","page":"e0213194","volume":"14","issue":"3","source":"PLoS Journals","abstract":"Loot boxes are items in video games that contain randomised contents and can be purchased with real-world money. Similarities between loot boxes and forms of gambling have led to questions about their legal status, and whether they should be regulated as gambling. Previous research has suggested a link between the amount that gamers spend on loot boxes and their problem gambling: The more individuals spent on loot boxes, the more severe their problem gambling. However, the generalisability of prior work may be limited by both the self-selected nature of the sample under test, and the fact that participants were aware of the study’s aims. A large-scale survey of gamers (n = 1,172) was undertaken to determine if this link remained when these limitations of previous work were taken into account. These gamers did not self-select into a loot box study and were not aware of the study’s aims. This study found similar evidence for a link (η2 = 0.051) between the amount that gamers spent on loot boxes and the severity of their problem gambling. Previous research strongly suggested both the size and the direction of link between loot box use and problem gambling. This paper provides further support for this link. These results suggest either that loot boxes act as a gateway to problem gambling, or that individuals with gambling problems are drawn to spend more on loot boxes. In either case, we believe that these results suggest there is good reason to regulate loot boxes.","DOI":"10.1371/journal.pone.0213194","ISSN":"1932-6203","title-short":"Loot boxes are again linked to problem gambling","journalAbbreviation":"PLOS ONE","language":"en","author":[{"family":"Zendle","given":"David"},{"family":"Cairns","given":"Paul"}],"issued":{"date-parts":[["2019",3,7]]}}},{"id":2173,"uris":["http://zotero.org/users/1646069/items/46KR68PB"],"uri":["http://zotero.org/users/1646069/items/46KR68PB"],"itemData":{"id":2173,"type":"article-journal","title":"Paying for loot boxes is linked to problem gambling, regardless of specific features like cash-out and pay-to-win: A preregistered investigation","source":"psyarxiv.com","abstract":"Loot boxes are a common element of many video games. The defining feature of loot boxes is the element of chance. Players can buy loot boxes for real-world money, but they do not know a loot box’s content or value until they have opened it. Due to similarities between loot boxes and gambling, various countries are considering regulating them to reduce gambling-related harm. Indeed, prior research demonstrates a robust correlation between loot box purchases and problem gambling. However, loot boxes differ from each other in significant ways. For example, some loot boxes contain items that can be re-sold to other players, whilst others do not; some loot boxes contain items which give a gameplay advantage to players, whilst others do not. A key problem facing regulators is determining which types of loot boxes should be regulated  to mitigate gambling-related harm. In this study, we specify a variety of different features that loot boxes may have. We then use a large-scale preregistered correlational analysis (n=1200) to determine if any of these features strengthen the link between loot box spending and problem gambling. Our results indicate that some loot box features may weakly strengthen the relationship between loot box spending and problem gambling. However, our main conclusion is that regardless of the presence or absence of specific features of loot boxes, if they are being sold to players for real-world money, then their purchase is linked to problem gambling.","URL":"https://psyarxiv.com/6e74k/","DOI":"10.31234/osf.io/6e74k","title-short":"Paying for loot boxes is linked to problem gambling, regardless of specific features like cash-out and pay-to-win","author":[{"family":"Zendle","given":"David"},{"family":"McCall","given":"Cade"},{"family":"Barnett","given":"Herbie"},{"family":"Cairns","given":"Paul"}],"issued":{"date-parts":[["2018",10,12]]},"accessed":{"date-parts":[["2018",10,23]]}}},{"id":2829,"uris":["http://zotero.org/users/1646069/items/CMDQJP52"],"uri":["http://zotero.org/users/1646069/items/CMDQJP52"],"itemData":{"id":2829,"type":"article-journal","title":"Associations between loot box use, problematic gaming and gambling, and gambling-related cognitions","container-title":"Addictive behaviors","source":"Google Scholar","author":[{"family":"Brooks","given":"Gabriel A."},{"family":"Clark","given":"Luke"}],"issued":{"date-parts":[["2019"]]}}},{"id":"oWKj5QvX/stu7FhWS","uris":["http://zotero.org/users/1646069/items/A7TFFUFL"],"uri":["http://zotero.org/users/1646069/items/A7TFFUFL"],"itemData":{"id":2366,"type":"article-journal","title":"Adolescents and loot boxes: Links with problem gambling and motivations for purchase","container-title":"Royal Society Open Science","source":"DataCite","abstract":"Loot boxes are items in video games that can be paid for with real-world money but contain randomised contents. Many games that feature loot boxes are played by adolescents. Similarities between loot boxes and gambling have led to concern that they are linked to the development of problem gambling in adolescents. Previous research has shown links between loot boxes and problem gambling in adult populations. However, thus far, there is no empirical evidence of either the size or existence of a link between loot box spending and problem gambling in adolescents. A large-scale survey of adolescents (n=1155) found evidence for such a link  (η2 = 0.120). The link between loot box spending and problem gambling amongst adolescents was more than twice as strong as the relationship observed in adults. Qualitative analysis of text data showed that adolescents bought loot boxes for a variety of reasons. Several of these motivations were similar to common reasons for engaging in gambling. Overall, these results suggest that loot boxes either literally cause problem gambling amongst adolescents or allow game companies to profit from problem gambling amongst adolescents for massive monetary rewards. In either case, these results suggest that regulation is appropriate.","URL":"https://osf.io/wdc2u","DOI":"10.31234/osf.io/wdc2u","title-short":"Adolescents and loot boxes","author":[{"family":"Zendle","given":"David"},{"family":"Meyer","given":"Rachel"},{"family":"Over","given":"Harriet"}],"issued":{"date-parts":[["2019"]],"season":"In Press"},"accessed":{"date-parts":[["2019",1,14]]}}},{"id":1979,"uris":["http://zotero.org/users/1646069/items/SQIWDYTI"],"uri":["http://zotero.org/users/1646069/items/SQIWDYTI"],"itemData":{"id":1979,"type":"article-journal","title":"eSports, skins and loot boxes: Participants, practices and problematic behaviour associated with emergent forms of gambling","container-title":"New Media &amp; Society","page":"1461444818786216","source":"SAGE Journals","abstract":"Twenty years since the Internet transformed gambling products and services, the convergence of online games and gambling has initiated a new means of consuming Internet-based media. Gambling specifically connected to eSports is a significant development, not only offering a new avenue for existing gambling products to be inserted into gaming media but also affording several novel experiences (e.g. skins and loot boxes). This study assesses participation rates and demographic characteristics of eSports spectators who gamble via an international online survey (N = 582). The sample highlighted the prevalence of young, often under-age, males in eSports-related gambling activities. Participation in gambling, and gambling-like activities, was found to be 67%, with rates of problematic and potentially problematic gambling in the sample being 50.34%. Finally, increased gambling is associated with increased spectating of eSports. Although the results are not generalisable to the wider population, they suggest a need for increased attention, from academia and regulators, regarding newly emergent gambling behaviours in contemporary digital culture.","DOI":"10.1177/1461444818786216","ISSN":"1461-4448","title-short":"eSports, skins and loot boxes","journalAbbreviation":"New Media &amp; Society","language":"en","author":[{"family":"Macey","given":"Joseph"},{"family":"Hamari","given":"Juho"}],"issued":{"date-parts":[["2018",7,16]]}}}],"schema":"https://github.com/citation-style-language/schema/raw/master/csl-citation.json"} </w:instrText>
      </w:r>
      <w:r w:rsidR="004E2FAE">
        <w:fldChar w:fldCharType="separate"/>
      </w:r>
      <w:r w:rsidR="00031F37" w:rsidRPr="00B227AF">
        <w:rPr>
          <w:rFonts w:ascii="Calibri" w:hAnsi="Calibri" w:cs="Times New Roman"/>
          <w:szCs w:val="24"/>
        </w:rPr>
        <w:t>[11]–[16]</w:t>
      </w:r>
      <w:r w:rsidR="004E2FAE">
        <w:fldChar w:fldCharType="end"/>
      </w:r>
      <w:r w:rsidR="004E2FAE">
        <w:t xml:space="preserve">. However, crucially, studies which report this effect have </w:t>
      </w:r>
      <w:r w:rsidR="000F32F7">
        <w:t xml:space="preserve">all </w:t>
      </w:r>
      <w:r w:rsidR="00A40813">
        <w:t xml:space="preserve">been correlational in nature: they have involved simply surveying groups of gamers about both their problem gambling and their loot box </w:t>
      </w:r>
      <w:r w:rsidR="007D6D78">
        <w:t>spending and</w:t>
      </w:r>
      <w:r w:rsidR="00A40813">
        <w:t xml:space="preserve"> measuring the strength of links between these factors. It is therefore unclear what this link represents. </w:t>
      </w:r>
      <w:r w:rsidR="000F32F7">
        <w:t xml:space="preserve"> </w:t>
      </w:r>
    </w:p>
    <w:p w14:paraId="5D47CD6D" w14:textId="6536176E" w:rsidR="00226A35" w:rsidRDefault="005408C0" w:rsidP="00F956B8">
      <w:r>
        <w:t xml:space="preserve">Loot box spending may be linked to problem gambling because loot boxes </w:t>
      </w:r>
      <w:r w:rsidR="00A40813">
        <w:t>literally cause individuals to develop</w:t>
      </w:r>
      <w:r>
        <w:t xml:space="preserve"> problem gambling</w:t>
      </w:r>
      <w:r w:rsidR="00226A35">
        <w:t xml:space="preserve">, as suggested in </w:t>
      </w:r>
      <w:r w:rsidR="00226A35">
        <w:fldChar w:fldCharType="begin"/>
      </w:r>
      <w:r w:rsidR="00031F37">
        <w:instrText xml:space="preserve"> ADDIN ZOTERO_ITEM CSL_CITATION {"citationID":"moGwGekM","properties":{"formattedCitation":"[4]","plainCitation":"[4]","noteIndex":0},"citationItems":[{"id":1770,"uris":["http://zotero.org/users/1646069/items/GPQSQQTA"],"uri":["http://zotero.org/users/1646069/items/GPQSQQTA"],"itemData":{"id":1770,"type":"article-journal","title":"Video game loot boxes are psychologically akin to gambling","container-title":"Nature Human Behaviour","page":"530-532","source":"www.nature.com","abstract":"Video games are increasingly exposing young players to randomized in-game reward mechanisms, purchasable for real money — so-called loot boxes. Do loot boxes constitute a form of gambling?","DOI":"10.1038/s41562-018-0360-1","ISSN":"2397-3374","language":"en","author":[{"family":"Drummond","given":"Aaron"},{"family":"Sauer","given":"James D."}],"issued":{"date-parts":[["2018",6,18]]}}}],"schema":"https://github.com/citation-style-language/schema/raw/master/csl-citation.json"} </w:instrText>
      </w:r>
      <w:r w:rsidR="00226A35">
        <w:fldChar w:fldCharType="separate"/>
      </w:r>
      <w:r w:rsidR="00031F37" w:rsidRPr="00B227AF">
        <w:rPr>
          <w:rFonts w:ascii="Calibri" w:hAnsi="Calibri"/>
        </w:rPr>
        <w:t>[4]</w:t>
      </w:r>
      <w:r w:rsidR="00226A35">
        <w:fldChar w:fldCharType="end"/>
      </w:r>
      <w:r>
        <w:t>.</w:t>
      </w:r>
      <w:r w:rsidR="00A40813">
        <w:t xml:space="preserve"> </w:t>
      </w:r>
      <w:r w:rsidR="00226A35">
        <w:t>There are good theoretical reasons for believing that this may be the case. As</w:t>
      </w:r>
      <w:r w:rsidR="00A40813">
        <w:t xml:space="preserve"> noted in </w:t>
      </w:r>
      <w:r w:rsidR="00A40813">
        <w:fldChar w:fldCharType="begin"/>
      </w:r>
      <w:r w:rsidR="00031F37">
        <w:instrText xml:space="preserve"> ADDIN ZOTERO_ITEM CSL_CITATION {"citationID":"neWk2RY4","properties":{"formattedCitation":"[7]","plainCitation":"[7]","noteIndex":0},"citationItems":[{"id":1852,"uris":["http://zotero.org/users/1646069/items/YLLMSJ7W"],"uri":["http://zotero.org/users/1646069/items/YLLMSJ7W"],"itemData":{"id":1852,"type":"article-journal","title":"A pathways model of problem and pathological gambling","container-title":"Addiction","page":"487–499","volume":"97","issue":"5","source":"Google Scholar","author":[{"family":"Blaszczynski","given":"Alex"},{"family":"Nower","given":"Lia"}],"issued":{"date-parts":[["2002"]]}}}],"schema":"https://github.com/citation-style-language/schema/raw/master/csl-citation.json"} </w:instrText>
      </w:r>
      <w:r w:rsidR="00A40813">
        <w:fldChar w:fldCharType="separate"/>
      </w:r>
      <w:r w:rsidR="00031F37" w:rsidRPr="00B227AF">
        <w:rPr>
          <w:rFonts w:ascii="Calibri" w:hAnsi="Calibri"/>
        </w:rPr>
        <w:t>[7]</w:t>
      </w:r>
      <w:r w:rsidR="00A40813">
        <w:fldChar w:fldCharType="end"/>
      </w:r>
      <w:r w:rsidR="00A40813">
        <w:t xml:space="preserve">, </w:t>
      </w:r>
      <w:r w:rsidR="00490A62">
        <w:t xml:space="preserve">a common step along </w:t>
      </w:r>
      <w:r w:rsidR="000F32F7">
        <w:t>a path</w:t>
      </w:r>
      <w:r w:rsidR="00490A62">
        <w:t xml:space="preserve"> to</w:t>
      </w:r>
      <w:r w:rsidR="00226A35">
        <w:t xml:space="preserve"> problem gambling is </w:t>
      </w:r>
      <w:r w:rsidR="000F32F7">
        <w:t xml:space="preserve">a process of conditioning in which intermittent rewards cause individuals to associate gambling activities with physiological excitement. This leads to increased participation in gambling, and the development of habitual patterns of gambling and attendant problems. </w:t>
      </w:r>
      <w:r w:rsidR="00226A35">
        <w:t xml:space="preserve">Similarly, exposure to the intermittent wins that characterise loot boxes may </w:t>
      </w:r>
      <w:r w:rsidR="000F32F7">
        <w:t xml:space="preserve">result in a similar process of conditioning </w:t>
      </w:r>
      <w:r w:rsidR="00F956B8">
        <w:t>in which</w:t>
      </w:r>
      <w:r w:rsidR="000F32F7">
        <w:t xml:space="preserve"> loot box spenders </w:t>
      </w:r>
      <w:r w:rsidR="00F956B8">
        <w:t>learn to</w:t>
      </w:r>
      <w:r w:rsidR="000F32F7">
        <w:t xml:space="preserve"> associate </w:t>
      </w:r>
      <w:r w:rsidR="00F956B8">
        <w:t xml:space="preserve">gambling-like experiences with excitement. This may lead to engagement in gambling activities. </w:t>
      </w:r>
      <w:r w:rsidR="00226A35">
        <w:t>Hence, exposure to loot boxes may lead to increased participation in gambling, and therefore increases in problem gambling amongst gamers.</w:t>
      </w:r>
    </w:p>
    <w:p w14:paraId="02B23ED0" w14:textId="291D363E" w:rsidR="00226A35" w:rsidRDefault="00226A35" w:rsidP="00490A62">
      <w:r>
        <w:t xml:space="preserve">Alternatively, loot box spending may be linked to problem gambling because individuals with pre-existing gambling problems are more likely to </w:t>
      </w:r>
      <w:r w:rsidR="00C917DB">
        <w:t xml:space="preserve">spend money on loot boxes. As noted in </w:t>
      </w:r>
      <w:r w:rsidR="00C917DB">
        <w:fldChar w:fldCharType="begin"/>
      </w:r>
      <w:r w:rsidR="00031F37">
        <w:instrText xml:space="preserve"> ADDIN ZOTERO_ITEM CSL_CITATION {"citationID":"xOLfBBZp","properties":{"formattedCitation":"[11]","plainCitation":"[11]","noteIndex":0},"citationItems":[{"id":2244,"uris":["http://zotero.org/users/1646069/items/NE343ADH"],"uri":["http://zotero.org/users/1646069/items/NE343ADH"],"itemData":{"id":2244,"type":"article-journal","title":"Video game loot boxes are linked to problem gambling: Results of a large-scale survey","container-title":"PLoS One","page":"e0206767","volume":"13","issue":"11","source":"Google Scholar","title-short":"Video game loot boxes are linked to problem gambling","author":[{"family":"Zendle","given":"David"},{"family":"Cairns","given":"Paul"}],"issued":{"date-parts":[["2018"]]}}}],"schema":"https://github.com/citation-style-language/schema/raw/master/csl-citation.json"} </w:instrText>
      </w:r>
      <w:r w:rsidR="00C917DB">
        <w:fldChar w:fldCharType="separate"/>
      </w:r>
      <w:r w:rsidR="00031F37" w:rsidRPr="00B227AF">
        <w:rPr>
          <w:rFonts w:ascii="Calibri" w:hAnsi="Calibri"/>
        </w:rPr>
        <w:t>[11]</w:t>
      </w:r>
      <w:r w:rsidR="00C917DB">
        <w:fldChar w:fldCharType="end"/>
      </w:r>
      <w:r w:rsidR="00C917DB">
        <w:t xml:space="preserve">, problem gambling is characterised by excessive and uncontrolled spending on gambling-related activities. Since loot boxes share many key characteristics with gambling, it is possible that disordered </w:t>
      </w:r>
      <w:r w:rsidR="00C917DB">
        <w:lastRenderedPageBreak/>
        <w:t>spending on gambling activities</w:t>
      </w:r>
      <w:r w:rsidR="00F956B8">
        <w:t xml:space="preserve"> amongst problem gamblers</w:t>
      </w:r>
      <w:r w:rsidR="00C917DB">
        <w:t xml:space="preserve"> transfers to loot boxes. Hence, loot box spending may be linked to problem gambling because individuals with pre-existing gambling problems may </w:t>
      </w:r>
      <w:r w:rsidR="00177F08">
        <w:t>engage with</w:t>
      </w:r>
      <w:r w:rsidR="00C917DB">
        <w:t xml:space="preserve"> a game that features loot boxes, be presented with gambling-like stimuli, and then spend heavily</w:t>
      </w:r>
      <w:r w:rsidR="00177F08">
        <w:t xml:space="preserve"> on them</w:t>
      </w:r>
      <w:r w:rsidR="00C917DB">
        <w:t>.</w:t>
      </w:r>
    </w:p>
    <w:p w14:paraId="7BF1E7CA" w14:textId="37B71226" w:rsidR="00226A35" w:rsidRDefault="00C917DB" w:rsidP="00490A62">
      <w:r>
        <w:t>However,</w:t>
      </w:r>
      <w:r w:rsidR="00177F08">
        <w:t xml:space="preserve"> as noted in </w:t>
      </w:r>
      <w:r w:rsidR="00177F08">
        <w:fldChar w:fldCharType="begin"/>
      </w:r>
      <w:r w:rsidR="00031F37">
        <w:instrText xml:space="preserve"> ADDIN ZOTERO_ITEM CSL_CITATION {"citationID":"bSQzKPIS","properties":{"formattedCitation":"[17]","plainCitation":"[17]","noteIndex":0},"citationItems":[{"id":2010,"uris":["http://zotero.org/users/1646069/items/4DA9WMYP"],"uri":["http://zotero.org/users/1646069/items/4DA9WMYP"],"itemData":{"id":2010,"type":"article-journal","title":"Loot box spending in video games is again linked to problem gambling","container-title":"PloS one","source":"psyarxiv.com","abstract":"Loot boxes are items in video games that can be paid for with real-world money and contain randomised contents. In recent years, loot boxes have become increasingly common. There is concern in the research community that similarities between loot boxes and gambling may lead to increases in problem gambling amongst gamers. A large-scale survey of gamers (n=7,422) found evidence for a link (η2 = 0.069) between the amount that gamers spent on loot boxes and the severity of their problem gambling. There were strong differences in the amount spent by problem gamblers and non-problem gamblers (η2 = 0.377).  It is unclear from this study whether buying loot boxes acts as a gateway to problem gambling, or whether spending large amounts of money on loot boxes appeals more to problem gamblers. However, in either case these results suggest that there is good reason to regulate loot boxes in games.","URL":"https://psyarxiv.com/7ntjk/","DOI":"https://psyarxiv.com/u5dmr","title-short":"Video game loot boxes are linked to problem gambling","author":[{"family":"Zendle","given":"David"},{"family":"Cairns","given":"Paul"}],"issued":{"literal":"In press"},"accessed":{"date-parts":[["2018",8,15]]}}}],"schema":"https://github.com/citation-style-language/schema/raw/master/csl-citation.json"} </w:instrText>
      </w:r>
      <w:r w:rsidR="00177F08">
        <w:fldChar w:fldCharType="separate"/>
      </w:r>
      <w:r w:rsidR="00031F37" w:rsidRPr="00B227AF">
        <w:rPr>
          <w:rFonts w:ascii="Calibri" w:hAnsi="Calibri"/>
        </w:rPr>
        <w:t>[17]</w:t>
      </w:r>
      <w:r w:rsidR="00177F08">
        <w:fldChar w:fldCharType="end"/>
      </w:r>
      <w:r w:rsidR="00177F08">
        <w:t xml:space="preserve">, a third possibility for the existence of this link exists. Problem gamblers </w:t>
      </w:r>
      <w:r w:rsidR="00BA0C83">
        <w:t>often exhibit elevated levels of impulsivity</w:t>
      </w:r>
      <w:r w:rsidR="00BA0C83">
        <w:fldChar w:fldCharType="begin"/>
      </w:r>
      <w:r w:rsidR="00031F37">
        <w:instrText xml:space="preserve"> ADDIN ZOTERO_ITEM CSL_CITATION {"citationID":"q2ZOCqPp","properties":{"formattedCitation":"[18], [19]","plainCitation":"[18], [19]","noteIndex":0},"citationItems":[{"id":2913,"uris":["http://zotero.org/users/1646069/items/ICXGCWB7"],"uri":["http://zotero.org/users/1646069/items/ICXGCWB7"],"itemData":{"id":2913,"type":"article-journal","title":"Impulsivity and cognitive distortions in pathological gamblers attending the UK National Problem Gambling Clinic: a preliminary report","container-title":"Psychological medicine","page":"2625–2635","volume":"41","issue":"12","source":"Google Scholar","title-short":"Impulsivity and cognitive distortions in pathological gamblers attending the UK National Problem Gambling Clinic","author":[{"family":"Michalczuk","given":"Rosanna"},{"family":"Bowden-Jones","given":"Henrietta"},{"family":"Verdejo-Garcia","given":"Antonio"},{"family":"Clark","given":"Luke"}],"issued":{"date-parts":[["2011"]]}}},{"id":2916,"uris":["http://zotero.org/users/1646069/items/F4MM9CEN"],"uri":["http://zotero.org/users/1646069/items/F4MM9CEN"],"itemData":{"id":2916,"type":"article-journal","title":"Pathological gambling severity is associated with impulsivity in a delay discounting procedure","container-title":"Behavioural processes","page":"345–354","volume":"64","issue":"3","source":"Google Scholar","author":[{"family":"Alessi","given":"S. M."},{"family":"Petry","given":"Nancy M."}],"issued":{"date-parts":[["2003"]]}}}],"schema":"https://github.com/citation-style-language/schema/raw/master/csl-citation.json"} </w:instrText>
      </w:r>
      <w:r w:rsidR="00BA0C83">
        <w:fldChar w:fldCharType="separate"/>
      </w:r>
      <w:r w:rsidR="00031F37" w:rsidRPr="00B227AF">
        <w:rPr>
          <w:rFonts w:ascii="Calibri" w:hAnsi="Calibri"/>
        </w:rPr>
        <w:t>[18], [19]</w:t>
      </w:r>
      <w:r w:rsidR="00BA0C83">
        <w:fldChar w:fldCharType="end"/>
      </w:r>
      <w:r w:rsidR="00BA0C83">
        <w:t xml:space="preserve">. This may lead to overspending on a variety of in-game purchases, including loot boxes. In other words, loot box spending may not be linked to problem gambling because of unique gambling-like features of loot </w:t>
      </w:r>
      <w:r w:rsidR="00C12F52">
        <w:t>boxes but</w:t>
      </w:r>
      <w:r w:rsidR="00BA0C83">
        <w:t xml:space="preserve"> may instead represent a broader trend for overspending on all in-game microtransactions amongst problem gamblers. </w:t>
      </w:r>
    </w:p>
    <w:p w14:paraId="01489027" w14:textId="75F2BB06" w:rsidR="005971EC" w:rsidRDefault="005971EC" w:rsidP="005971EC">
      <w:r>
        <w:t>In this study, we investigate</w:t>
      </w:r>
      <w:r w:rsidR="00BA0C83">
        <w:t xml:space="preserve"> which of these </w:t>
      </w:r>
      <w:r w:rsidR="00F105E9">
        <w:t xml:space="preserve">pathways </w:t>
      </w:r>
      <w:r>
        <w:t xml:space="preserve">is responsible for the observed links between loot box spending and problem gambling. </w:t>
      </w:r>
      <w:r w:rsidRPr="005971EC">
        <w:t xml:space="preserve">We surveyed a sample of </w:t>
      </w:r>
      <w:r>
        <w:t xml:space="preserve">players of </w:t>
      </w:r>
      <w:r>
        <w:rPr>
          <w:i/>
        </w:rPr>
        <w:t>Heroes of the Storm</w:t>
      </w:r>
      <w:r w:rsidRPr="005971EC">
        <w:t xml:space="preserve"> (n =</w:t>
      </w:r>
      <w:r w:rsidR="00F956B8">
        <w:t xml:space="preserve"> </w:t>
      </w:r>
      <w:r w:rsidR="00F96BDF">
        <w:t>112</w:t>
      </w:r>
      <w:r w:rsidRPr="005971EC">
        <w:t>)</w:t>
      </w:r>
      <w:r>
        <w:t xml:space="preserve"> both before and after the removal of loot boxes from the game. We measured how much these </w:t>
      </w:r>
      <w:r w:rsidR="00F956B8">
        <w:t>players</w:t>
      </w:r>
      <w:r>
        <w:t xml:space="preserve"> spent in-game</w:t>
      </w:r>
      <w:r w:rsidR="00F956B8">
        <w:t xml:space="preserve"> both before and after the removal of loot boxes</w:t>
      </w:r>
      <w:r>
        <w:t xml:space="preserve">, and </w:t>
      </w:r>
      <w:r w:rsidRPr="005971EC">
        <w:t xml:space="preserve">the severity of their problem gambling. By doing so we established </w:t>
      </w:r>
      <w:r>
        <w:t xml:space="preserve">whether </w:t>
      </w:r>
      <w:r w:rsidR="00F956B8">
        <w:t xml:space="preserve">removing </w:t>
      </w:r>
      <w:r>
        <w:t xml:space="preserve">loot boxes </w:t>
      </w:r>
      <w:r w:rsidR="00F956B8">
        <w:t>from</w:t>
      </w:r>
      <w:r>
        <w:t xml:space="preserve"> a game uniquely affect</w:t>
      </w:r>
      <w:r w:rsidR="00F956B8">
        <w:t>ed</w:t>
      </w:r>
      <w:r>
        <w:t xml:space="preserve"> spending amongst problem gamblers, as opposed to other groups of gamers.</w:t>
      </w:r>
    </w:p>
    <w:p w14:paraId="42BF52A3" w14:textId="74B4C985" w:rsidR="00366348" w:rsidRDefault="005971EC" w:rsidP="003F5A8B">
      <w:pPr>
        <w:pStyle w:val="Heading1"/>
      </w:pPr>
      <w:r>
        <w:t>Method</w:t>
      </w:r>
    </w:p>
    <w:p w14:paraId="56A3E2A9" w14:textId="0B312C0D" w:rsidR="0004332B" w:rsidRPr="0004332B" w:rsidRDefault="0004332B" w:rsidP="0004332B">
      <w:r>
        <w:t xml:space="preserve">Ethical approval for this study was granted by York St. John University Ethics Committee (Approval ID: 2161). The data associated with this study is available at </w:t>
      </w:r>
      <w:hyperlink r:id="rId5" w:history="1">
        <w:r>
          <w:rPr>
            <w:rStyle w:val="Hyperlink"/>
          </w:rPr>
          <w:t>https://osf.io/vfw46/</w:t>
        </w:r>
      </w:hyperlink>
      <w:r>
        <w:t>.</w:t>
      </w:r>
      <w:r w:rsidR="00727F5B">
        <w:t xml:space="preserve"> Informed consent was obtained from participants prior to taking part in both waves of the study via an online form.</w:t>
      </w:r>
    </w:p>
    <w:p w14:paraId="57890421" w14:textId="3E704932" w:rsidR="0004332B" w:rsidRPr="0004332B" w:rsidRDefault="003F5A8B" w:rsidP="0004332B">
      <w:pPr>
        <w:pStyle w:val="Heading2"/>
      </w:pPr>
      <w:r>
        <w:t>Design</w:t>
      </w:r>
    </w:p>
    <w:p w14:paraId="7C253299" w14:textId="1CEF7A57" w:rsidR="003F5A8B" w:rsidRDefault="003F5A8B" w:rsidP="003F5A8B">
      <w:r>
        <w:t xml:space="preserve">We conducted two online surveys with a sample of </w:t>
      </w:r>
      <w:r w:rsidR="005B4554">
        <w:t xml:space="preserve">players of </w:t>
      </w:r>
      <w:r w:rsidR="005B4554">
        <w:rPr>
          <w:i/>
        </w:rPr>
        <w:t>Heroes of the Storm</w:t>
      </w:r>
      <w:r>
        <w:t xml:space="preserve"> aged 18 or older. The first of these surveys took place betwee</w:t>
      </w:r>
      <w:r w:rsidR="005B4554">
        <w:t>n March 21</w:t>
      </w:r>
      <w:r w:rsidR="005B4554" w:rsidRPr="005B4554">
        <w:rPr>
          <w:vertAlign w:val="superscript"/>
        </w:rPr>
        <w:t>st</w:t>
      </w:r>
      <w:r w:rsidR="005B4554">
        <w:t xml:space="preserve"> and March 24</w:t>
      </w:r>
      <w:r w:rsidR="005B4554" w:rsidRPr="005B4554">
        <w:rPr>
          <w:vertAlign w:val="superscript"/>
        </w:rPr>
        <w:t>th</w:t>
      </w:r>
      <w:r w:rsidR="005B4554">
        <w:t xml:space="preserve"> 2019 (</w:t>
      </w:r>
      <w:r w:rsidR="00F956B8">
        <w:rPr>
          <w:b/>
        </w:rPr>
        <w:t>Time</w:t>
      </w:r>
      <w:r w:rsidR="00E748CC">
        <w:rPr>
          <w:b/>
        </w:rPr>
        <w:t xml:space="preserve"> 1, </w:t>
      </w:r>
      <w:r w:rsidR="005B4554">
        <w:t>before the removal of loot boxes); the second survey took place between May 24</w:t>
      </w:r>
      <w:r w:rsidR="005B4554" w:rsidRPr="005B4554">
        <w:rPr>
          <w:vertAlign w:val="superscript"/>
        </w:rPr>
        <w:t>th</w:t>
      </w:r>
      <w:r w:rsidR="005B4554">
        <w:t xml:space="preserve"> and June </w:t>
      </w:r>
      <w:r w:rsidR="00F956B8">
        <w:t>3</w:t>
      </w:r>
      <w:r w:rsidR="00F956B8" w:rsidRPr="00F956B8">
        <w:rPr>
          <w:vertAlign w:val="superscript"/>
        </w:rPr>
        <w:t>rd</w:t>
      </w:r>
      <w:r w:rsidR="005B4554">
        <w:t xml:space="preserve"> 2019 (</w:t>
      </w:r>
      <w:r w:rsidR="00F956B8">
        <w:rPr>
          <w:b/>
        </w:rPr>
        <w:t>Time</w:t>
      </w:r>
      <w:r w:rsidR="00E748CC">
        <w:rPr>
          <w:b/>
        </w:rPr>
        <w:t xml:space="preserve"> 2, </w:t>
      </w:r>
      <w:r w:rsidR="005B4554">
        <w:t>after the removal of loot boxes).</w:t>
      </w:r>
    </w:p>
    <w:p w14:paraId="2A352D0E" w14:textId="1D5059A1" w:rsidR="00F956B8" w:rsidRDefault="00F956B8" w:rsidP="003F5A8B">
      <w:r>
        <w:t xml:space="preserve">Participants were recruited via an advertisement on Amazon Mechanical Turk order to answer a survey about </w:t>
      </w:r>
      <w:r>
        <w:rPr>
          <w:i/>
        </w:rPr>
        <w:t>Heroes of the Storm</w:t>
      </w:r>
      <w:r>
        <w:t xml:space="preserve">. </w:t>
      </w:r>
    </w:p>
    <w:p w14:paraId="7DBF78F7" w14:textId="0A133778" w:rsidR="00F956B8" w:rsidRDefault="00F956B8" w:rsidP="00F956B8">
      <w:pPr>
        <w:pStyle w:val="Heading3"/>
      </w:pPr>
      <w:r>
        <w:t>Screening questions</w:t>
      </w:r>
    </w:p>
    <w:p w14:paraId="1387F9B2" w14:textId="58F3FB13" w:rsidR="00F956B8" w:rsidRDefault="00F956B8" w:rsidP="003F5A8B">
      <w:r>
        <w:t>Participants</w:t>
      </w:r>
      <w:r w:rsidR="005B4554">
        <w:t xml:space="preserve"> were first screened to ensure that they played </w:t>
      </w:r>
      <w:r w:rsidR="005B4554">
        <w:rPr>
          <w:i/>
        </w:rPr>
        <w:t>Heroes of the Storm</w:t>
      </w:r>
      <w:r w:rsidR="005B4554">
        <w:t>. Participants were first asked, “During the last month, have you played Heroes of the Storm”. Any participants who answered ‘No’ to this question were not able to take part in the study.</w:t>
      </w:r>
    </w:p>
    <w:p w14:paraId="3E1DC1C6" w14:textId="6282D750" w:rsidR="003F5A8B" w:rsidRDefault="003F5A8B" w:rsidP="003F5A8B">
      <w:r>
        <w:t xml:space="preserve">Participants were </w:t>
      </w:r>
      <w:r w:rsidR="005B4554">
        <w:t xml:space="preserve">then asked which of the following heroes they had used during the past month: Arthas Menethil, Grom Hellscream*, Chen Stormstout, Gelbin Mekkatorque*, and Malfurion Stormrage. The heroes that were marked with an * do not exist in </w:t>
      </w:r>
      <w:r w:rsidR="005B4554">
        <w:rPr>
          <w:i/>
        </w:rPr>
        <w:t>Heroes of the Storm</w:t>
      </w:r>
      <w:r w:rsidR="005B4554">
        <w:t xml:space="preserve">. Any participants who indicated that they had used one of these heroes during the past month were not able to take part in the study. </w:t>
      </w:r>
      <w:r>
        <w:t>At the end of the study, for the purposes of screening, they were asked these questions again to ensure consistency in their responses</w:t>
      </w:r>
      <w:r w:rsidR="005B4554">
        <w:t>.</w:t>
      </w:r>
    </w:p>
    <w:p w14:paraId="042D44E9" w14:textId="11E2ED97" w:rsidR="00F956B8" w:rsidRPr="00F956B8" w:rsidRDefault="00F956B8" w:rsidP="00F956B8">
      <w:pPr>
        <w:pStyle w:val="Heading3"/>
      </w:pPr>
      <w:r w:rsidRPr="00F956B8">
        <w:t>Measured Variables</w:t>
      </w:r>
    </w:p>
    <w:p w14:paraId="0CB1B0F5" w14:textId="7ED17CD2" w:rsidR="00E748CC" w:rsidRDefault="00E748CC" w:rsidP="00E748CC">
      <w:r w:rsidRPr="005B4554">
        <w:rPr>
          <w:b/>
        </w:rPr>
        <w:t>Problem gambling</w:t>
      </w:r>
      <w:r>
        <w:t xml:space="preserve"> was measured using the Problem Gambling Severity Index (PGSI)</w:t>
      </w:r>
      <w:r>
        <w:fldChar w:fldCharType="begin"/>
      </w:r>
      <w:r w:rsidR="00031F37">
        <w:instrText xml:space="preserve"> ADDIN ZOTERO_ITEM CSL_CITATION {"citationID":"yWnzAk8D","properties":{"formattedCitation":"[20]","plainCitation":"[20]","noteIndex":0},"citationItems":[{"id":1715,"uris":["http://zotero.org/users/1646069/items/6QPPLJTW"],"uri":["http://zotero.org/users/1646069/items/6QPPLJTW"],"itemData":{"id":1715,"type":"book","title":"The Canadian problem gambling index","publisher":"Canadian Centre on Substance Abuse Ottawa, ON","source":"Google Scholar","author":[{"family":"Ferris","given":"Jacqueline Ann"},{"family":"Wynne","given":"Harold James"}],"issued":{"date-parts":[["2001"]]}}}],"schema":"https://github.com/citation-style-language/schema/raw/master/csl-citation.json"} </w:instrText>
      </w:r>
      <w:r>
        <w:fldChar w:fldCharType="separate"/>
      </w:r>
      <w:r w:rsidR="00031F37" w:rsidRPr="00B227AF">
        <w:rPr>
          <w:rFonts w:ascii="Calibri" w:hAnsi="Calibri"/>
        </w:rPr>
        <w:t>[20]</w:t>
      </w:r>
      <w:r>
        <w:fldChar w:fldCharType="end"/>
      </w:r>
      <w:r>
        <w:t xml:space="preserve">. The PGSI is a series of 9 questions which measure how frequently individuals engage in behaviours that relate to problem gambling. Each of these questions is answered on a 4-point scale, with the following scoring pattern: (0) Never; (1) Sometimes; (2) Most of the time; (3) Almost always. The sum of scores over all 9 questions gives a total PGSI score that ranges from 0 (i.e. all questions answered as ‘Never’) to </w:t>
      </w:r>
      <w:r>
        <w:lastRenderedPageBreak/>
        <w:t>27 (i.e. all questions answered as ‘Almost always’). Sample questions include “Thinking about the last 12 months, how often have you bet more than you could really afford to lose?” and “Thinking about the last 12 months, how often have you borrowed money or sold anything to get money to gamble?”</w:t>
      </w:r>
      <w:r w:rsidR="00E01B81">
        <w:t>. This scale showed a high degree of reliability (Cronbach’s alpha = 0.925).</w:t>
      </w:r>
    </w:p>
    <w:p w14:paraId="17DE5B62" w14:textId="4B56F9A6" w:rsidR="00E748CC" w:rsidRDefault="00E748CC" w:rsidP="00E748CC">
      <w:r>
        <w:t>Participants were then classified as either ‘non problem gamblers’ (Score: 0), ‘low-risk gamblers’ (Score: 1–4), ‘moderate-risk gamblers’ (Score: 5–7), or ‘problem gamblers’ (Score: 8+) using the revised scoring system for the PGSI</w:t>
      </w:r>
      <w:r>
        <w:fldChar w:fldCharType="begin"/>
      </w:r>
      <w:r w:rsidR="00031F37">
        <w:instrText xml:space="preserve"> ADDIN ZOTERO_ITEM CSL_CITATION {"citationID":"d38kuCZT","properties":{"formattedCitation":"[21]","plainCitation":"[21]","noteIndex":0},"citationItems":[{"id":1841,"uris":["http://zotero.org/users/1646069/items/WQHKCG6Y"],"uri":["http://zotero.org/users/1646069/items/WQHKCG6Y"],"itemData":{"id":1841,"type":"article-journal","title":"Validity of the problem gambling severity index interpretive categories","container-title":"Journal of gambling studies","page":"311–327","volume":"29","issue":"2","source":"Google Scholar","author":[{"family":"Currie","given":"Shawn R."},{"family":"Hodgins","given":"David C."},{"family":"Casey","given":"David M."}],"issued":{"date-parts":[["2013"]]}}}],"schema":"https://github.com/citation-style-language/schema/raw/master/csl-citation.json"} </w:instrText>
      </w:r>
      <w:r>
        <w:fldChar w:fldCharType="separate"/>
      </w:r>
      <w:r w:rsidR="00031F37" w:rsidRPr="00B227AF">
        <w:rPr>
          <w:rFonts w:ascii="Calibri" w:hAnsi="Calibri"/>
        </w:rPr>
        <w:t>[21]</w:t>
      </w:r>
      <w:r>
        <w:fldChar w:fldCharType="end"/>
      </w:r>
      <w:r>
        <w:t xml:space="preserve">. </w:t>
      </w:r>
    </w:p>
    <w:p w14:paraId="50485D23" w14:textId="7A3A0263" w:rsidR="00E748CC" w:rsidRDefault="00E748CC" w:rsidP="00E748CC">
      <w:r>
        <w:t xml:space="preserve">Problem gambling was only measured </w:t>
      </w:r>
      <w:r w:rsidR="00F956B8">
        <w:t>at</w:t>
      </w:r>
      <w:r>
        <w:t xml:space="preserve"> </w:t>
      </w:r>
      <w:r w:rsidR="00F956B8">
        <w:t>Time</w:t>
      </w:r>
      <w:r>
        <w:t xml:space="preserve"> 1. Its questions involve ‘thinking about the last 12 months’ and therefore would not have shown significant variation at </w:t>
      </w:r>
      <w:r w:rsidR="00F956B8">
        <w:t>Time</w:t>
      </w:r>
      <w:r>
        <w:t xml:space="preserve"> 2, which occurred only two months after </w:t>
      </w:r>
      <w:r w:rsidR="00F956B8">
        <w:t>Time</w:t>
      </w:r>
      <w:r>
        <w:t xml:space="preserve"> 1.</w:t>
      </w:r>
    </w:p>
    <w:p w14:paraId="5C3BB10A" w14:textId="0221B383" w:rsidR="003F5A8B" w:rsidRDefault="005B4554" w:rsidP="005B4554">
      <w:r>
        <w:rPr>
          <w:b/>
        </w:rPr>
        <w:t>In-game</w:t>
      </w:r>
      <w:r w:rsidR="003F5A8B" w:rsidRPr="005B4554">
        <w:rPr>
          <w:b/>
        </w:rPr>
        <w:t xml:space="preserve"> spend</w:t>
      </w:r>
      <w:r>
        <w:rPr>
          <w:b/>
        </w:rPr>
        <w:t>ing</w:t>
      </w:r>
      <w:r w:rsidR="003F5A8B">
        <w:t xml:space="preserve"> was measured by asking participants </w:t>
      </w:r>
      <w:r>
        <w:t>“Approximately how much money have you spent on microtransactions in Heroes of the Storm during the past month? Please give an estimate of this spending in US Dollars.”</w:t>
      </w:r>
      <w:r w:rsidR="00E748CC">
        <w:t xml:space="preserve">. This variable was measured at both </w:t>
      </w:r>
      <w:r w:rsidR="00F956B8">
        <w:t>Time</w:t>
      </w:r>
      <w:r w:rsidR="00E748CC">
        <w:t xml:space="preserve"> 1 (before the removal of loot boxes) and at </w:t>
      </w:r>
      <w:r w:rsidR="00F956B8">
        <w:t>Time</w:t>
      </w:r>
      <w:r w:rsidR="00E748CC">
        <w:t xml:space="preserve"> 2 (after the removal of loot boxes).</w:t>
      </w:r>
    </w:p>
    <w:p w14:paraId="552F5AA0" w14:textId="4D74A8C1" w:rsidR="003F5A8B" w:rsidRDefault="005B4554" w:rsidP="003F5A8B">
      <w:r>
        <w:rPr>
          <w:b/>
        </w:rPr>
        <w:t>Single session spending</w:t>
      </w:r>
      <w:r>
        <w:t xml:space="preserve"> was measured by asking participants “What is the *most money* you have you spent on microtransactions in Heroes of the Storm *in a single session* during the past month? Please give an estimate of this spending in US Dollars.”</w:t>
      </w:r>
      <w:r w:rsidR="00E748CC">
        <w:t>.</w:t>
      </w:r>
      <w:r w:rsidR="00E748CC" w:rsidRPr="00E748CC">
        <w:t xml:space="preserve"> </w:t>
      </w:r>
      <w:r w:rsidR="00E748CC">
        <w:t xml:space="preserve">This variable was measured at both </w:t>
      </w:r>
      <w:r w:rsidR="00F956B8">
        <w:t>Time</w:t>
      </w:r>
      <w:r w:rsidR="00E748CC">
        <w:t xml:space="preserve"> 1 (before the removal of loot boxes) and at </w:t>
      </w:r>
      <w:r w:rsidR="00F956B8">
        <w:t>Time</w:t>
      </w:r>
      <w:r w:rsidR="00E748CC">
        <w:t xml:space="preserve"> 2 (after the removal of loot boxes).</w:t>
      </w:r>
      <w:r w:rsidR="00387526">
        <w:t xml:space="preserve"> It is important to note that single session spending was measured as a way of ensuring the reliability of in-game spending. Previous work on the effects of loot boxes has consistently used spending during the past month as an estimate of how much individuals spend on loot boxes (e.g. </w:t>
      </w:r>
      <w:r w:rsidR="00387526">
        <w:fldChar w:fldCharType="begin"/>
      </w:r>
      <w:r w:rsidR="00387526">
        <w:instrText xml:space="preserve"> ADDIN ZOTERO_ITEM CSL_CITATION {"citationID":"s5BYuhYU","properties":{"formattedCitation":"[11], [12], [15], [22]","plainCitation":"[11], [12], [15], [22]","noteIndex":0},"citationItems":[{"id":2244,"uris":["http://zotero.org/users/1646069/items/NE343ADH"],"uri":["http://zotero.org/users/1646069/items/NE343ADH"],"itemData":{"id":2244,"type":"article-journal","title":"Video game loot boxes are linked to problem gambling: Results of a large-scale survey","container-title":"PLoS One","page":"e0206767","volume":"13","issue":"11","source":"Google Scholar","title-short":"Video game loot boxes are linked to problem gambling","author":[{"family":"Zendle","given":"David"},{"family":"Cairns","given":"Paul"}],"issued":{"date-parts":[["2018"]]}}},{"id":2802,"uris":["http://zotero.org/users/1646069/items/PBNWECNC"],"uri":["http://zotero.org/users/1646069/items/PBNWECNC"],"itemData":{"id":2802,"type":"article-journal","title":"Loot boxes are again linked to problem gambling: Results of a replication study","container-title":"PLoS One","page":"e0213194","volume":"14","issue":"3","source":"PLoS Journals","abstract":"Loot boxes are items in video games that contain randomised contents and can be purchased with real-world money. Similarities between loot boxes and forms of gambling have led to questions about their legal status, and whether they should be regulated as gambling. Previous research has suggested a link between the amount that gamers spend on loot boxes and their problem gambling: The more individuals spent on loot boxes, the more severe their problem gambling. However, the generalisability of prior work may be limited by both the self-selected nature of the sample under test, and the fact that participants were aware of the study’s aims. A large-scale survey of gamers (n = 1,172) was undertaken to determine if this link remained when these limitations of previous work were taken into account. These gamers did not self-select into a loot box study and were not aware of the study’s aims. This study found similar evidence for a link (η2 = 0.051) between the amount that gamers spent on loot boxes and the severity of their problem gambling. Previous research strongly suggested both the size and the direction of link between loot box use and problem gambling. This paper provides further support for this link. These results suggest either that loot boxes act as a gateway to problem gambling, or that individuals with gambling problems are drawn to spend more on loot boxes. In either case, we believe that these results suggest there is good reason to regulate loot boxes.","DOI":"10.1371/journal.pone.0213194","ISSN":"1932-6203","title-short":"Loot boxes are again linked to problem gambling","journalAbbreviation":"PLOS ONE","language":"en","author":[{"family":"Zendle","given":"David"},{"family":"Cairns","given":"Paul"}],"issued":{"date-parts":[["2019",3,7]]}}},{"id":"oWKj5QvX/stu7FhWS","uris":["http://zotero.org/users/1646069/items/A7TFFUFL"],"uri":["http://zotero.org/users/1646069/items/A7TFFUFL"],"itemData":{"id":"oWKj5QvX/stu7FhWS","type":"article-journal","title":"Adolescents and loot boxes: Links with problem gambling and motivations for purchase","container-title":"Royal Society Open Science","source":"DataCite","abstract":"Loot boxes are items in video games that can be paid for with real-world money but contain randomised contents. Many games that feature loot boxes are played by adolescents. Similarities between loot boxes and gambling have led to concern that they are linked to the development of problem gambling in adolescents. Previous research has shown links between loot boxes and problem gambling in adult populations. However, thus far, there is no empirical evidence of either the size or existence of a link between loot box spending and problem gambling in adolescents. A large-scale survey of adolescents (n=1155) found evidence for such a link  (η2 = 0.120). The link between loot box spending and problem gambling amongst adolescents was more than twice as strong as the relationship observed in adults. Qualitative analysis of text data showed that adolescents bought loot boxes for a variety of reasons. Several of these motivations were similar to common reasons for engaging in gambling. Overall, these results suggest that loot boxes either literally cause problem gambling amongst adolescents or allow game companies to profit from problem gambling amongst adolescents for massive monetary rewards. In either case, these results suggest that regulation is appropriate.","URL":"https://osf.io/wdc2u","DOI":"10.31234/osf.io/wdc2u","title-short":"Adolescents and loot boxes","author":[{"family":"Zendle","given":"David"},{"family":"Meyer","given":"Rachel"},{"family":"Over","given":"Harriet"}],"issued":{"date-parts":[["2019"]],"season":"In Press"},"accessed":{"date-parts":[["2019",1,14]]}}},{"id":3170,"uris":["http://zotero.org/users/1646069/items/C2TI6DGF"],"uri":["http://zotero.org/users/1646069/items/C2TI6DGF"],"itemData":{"id":3170,"type":"article-journal","title":"Paying for loot boxes is linked to problem gambling, regardless of specific features like cash-out and pay-to-win","container-title":"Computers in Human Behavior","source":"ScienceDirect","abstract":"Loot boxes are items in video games that may be bought with real-world money but contain randomised contents. Due to similarities between loot boxes and gambling, various countries are considering regulating them to reduce gambling-related harm. However, loot boxes are extremely diverse. A key problem facing regulators is determining whether specific types of loot boxes carry more potential for harm, and should be regulated accordingly. In this study, we specify seven key ways that loot boxes may differ from each other: They may involve paid or unpaid openings; give opportunities for cashing out; allow gamers to pay to win; involve the use of an in-game currency; feature crate and key mechanics; show near misses; and contain exclusive items. We then use a large-scale preregistered correlational analysis (n=1200) to determine if any of these features strengthen the link between loot box spending and problem gambling. Our results indicate that being able to cash out, showing near-misses, and letting players use in-game currency to buy loot boxes may weakly strengthen the relationship between loot box spending and problem gambling. However, our main conclusion is that regardless of the presence or absence of specific features of loot boxes, if they are being sold to players for real-world money, then their purchase is linked to problem gambling.","URL":"http://www.sciencedirect.com/science/article/pii/S0747563219302468","DOI":"10.1016/j.chb.2019.07.003","ISSN":"0747-5632","journalAbbreviation":"Computers in Human Behavior","author":[{"family":"Zendle","given":"David"},{"family":"Cairns","given":"Paul"},{"family":"Barnett","given":"Herbie"},{"family":"McCall","given":"Cade"}],"issued":{"date-parts":[["2019",7,9]]},"accessed":{"date-parts":[["2019",7,24]]}}}],"schema":"https://github.com/citation-style-language/schema/raw/master/csl-citation.json"} </w:instrText>
      </w:r>
      <w:r w:rsidR="00387526">
        <w:fldChar w:fldCharType="separate"/>
      </w:r>
      <w:r w:rsidR="00387526" w:rsidRPr="00B227AF">
        <w:rPr>
          <w:rFonts w:ascii="Calibri" w:hAnsi="Calibri"/>
        </w:rPr>
        <w:t>[11], [12], [15], [22]</w:t>
      </w:r>
      <w:r w:rsidR="00387526">
        <w:fldChar w:fldCharType="end"/>
      </w:r>
      <w:r w:rsidR="00387526">
        <w:t>). The intention was to replicate such analysis here. However, single session spending may in itself prove an interesting variable for study, as it may represent a degree of impulsivity in spending. The data associated with this study are available for use at the associated OSF repository, and reanalysis of this variable is possible. However, such analyses were not undertaken here.</w:t>
      </w:r>
    </w:p>
    <w:p w14:paraId="7EEB51F4" w14:textId="08E7DE95" w:rsidR="003F5A8B" w:rsidRDefault="00E748CC" w:rsidP="003F5A8B">
      <w:r>
        <w:t xml:space="preserve">Both </w:t>
      </w:r>
      <w:r w:rsidRPr="00F956B8">
        <w:rPr>
          <w:b/>
        </w:rPr>
        <w:t>gender</w:t>
      </w:r>
      <w:r>
        <w:t xml:space="preserve"> and </w:t>
      </w:r>
      <w:r w:rsidRPr="00F956B8">
        <w:rPr>
          <w:b/>
        </w:rPr>
        <w:t>age</w:t>
      </w:r>
      <w:r>
        <w:t xml:space="preserve"> were measured during </w:t>
      </w:r>
      <w:r w:rsidR="00F956B8">
        <w:t>Time</w:t>
      </w:r>
      <w:r>
        <w:t xml:space="preserve"> 1. </w:t>
      </w:r>
      <w:r w:rsidR="003F5A8B">
        <w:t xml:space="preserve">At the conclusion of </w:t>
      </w:r>
      <w:r w:rsidR="00F956B8">
        <w:t>Time</w:t>
      </w:r>
      <w:r w:rsidR="003F5A8B">
        <w:t xml:space="preserve"> </w:t>
      </w:r>
      <w:r>
        <w:t>2</w:t>
      </w:r>
      <w:r w:rsidR="003F5A8B">
        <w:t xml:space="preserve">, participants were asked </w:t>
      </w:r>
      <w:r>
        <w:t>“</w:t>
      </w:r>
      <w:r w:rsidRPr="00E748CC">
        <w:t>How has your experience of Heroes of the Storm changed since the game removed loot boxes?</w:t>
      </w:r>
      <w:r>
        <w:t>”. No further variables were measured during this study.</w:t>
      </w:r>
    </w:p>
    <w:p w14:paraId="0ECECD33" w14:textId="6694951A" w:rsidR="00E748CC" w:rsidRDefault="00E748CC" w:rsidP="00E748CC">
      <w:pPr>
        <w:pStyle w:val="Heading2"/>
      </w:pPr>
      <w:r>
        <w:t>Participants</w:t>
      </w:r>
    </w:p>
    <w:p w14:paraId="6D28F76F" w14:textId="4B1FB07B" w:rsidR="00E748CC" w:rsidRDefault="00AA2595" w:rsidP="00E748CC">
      <w:r>
        <w:t>371</w:t>
      </w:r>
      <w:r w:rsidR="00E748CC">
        <w:t xml:space="preserve"> responses were collected in total from players of </w:t>
      </w:r>
      <w:r w:rsidR="00E748CC">
        <w:rPr>
          <w:i/>
        </w:rPr>
        <w:t xml:space="preserve">Heroes of the Storm </w:t>
      </w:r>
      <w:r w:rsidR="00E748CC">
        <w:t xml:space="preserve">during </w:t>
      </w:r>
      <w:r w:rsidR="00F956B8">
        <w:t>Time</w:t>
      </w:r>
      <w:r w:rsidR="00E748CC">
        <w:t xml:space="preserve"> 1.</w:t>
      </w:r>
      <w:r>
        <w:t xml:space="preserve"> 23 respondents used duplicate IP addresses and were removed from the study.</w:t>
      </w:r>
      <w:r w:rsidR="00E748CC">
        <w:t xml:space="preserve"> </w:t>
      </w:r>
      <w:r>
        <w:t>91</w:t>
      </w:r>
      <w:r w:rsidR="00E748CC">
        <w:t xml:space="preserve"> </w:t>
      </w:r>
      <w:r w:rsidR="009B4AF1">
        <w:t>respondents</w:t>
      </w:r>
      <w:r w:rsidR="00E748CC">
        <w:t xml:space="preserve"> indicated that they spent more during a single session than they did during the whole </w:t>
      </w:r>
      <w:r w:rsidR="00F956B8">
        <w:t>month and</w:t>
      </w:r>
      <w:r w:rsidR="00E748CC">
        <w:t xml:space="preserve"> were removed from the sample. </w:t>
      </w:r>
      <w:r>
        <w:t xml:space="preserve">5 respondents gave inconsistent answers to the screening questions when they were repeated at the end of the study and were removed from the sample. </w:t>
      </w:r>
      <w:r w:rsidR="00E748CC">
        <w:t xml:space="preserve">This left a total of </w:t>
      </w:r>
      <w:r>
        <w:t>252</w:t>
      </w:r>
      <w:r w:rsidR="00E748CC">
        <w:t xml:space="preserve"> </w:t>
      </w:r>
      <w:r w:rsidR="009B4AF1">
        <w:t xml:space="preserve">respondents </w:t>
      </w:r>
      <w:r w:rsidR="00E748CC">
        <w:t xml:space="preserve">for </w:t>
      </w:r>
      <w:r w:rsidR="00F956B8">
        <w:t>Time</w:t>
      </w:r>
      <w:r w:rsidR="00E748CC">
        <w:t xml:space="preserve"> 1.</w:t>
      </w:r>
    </w:p>
    <w:p w14:paraId="1F119781" w14:textId="74632989" w:rsidR="009B4AF1" w:rsidRDefault="00AA2595" w:rsidP="009B4AF1">
      <w:bookmarkStart w:id="1" w:name="_Hlk14390999"/>
      <w:r>
        <w:t>134</w:t>
      </w:r>
      <w:r w:rsidR="00E748CC">
        <w:t xml:space="preserve"> responses were collect</w:t>
      </w:r>
      <w:r w:rsidR="009B4AF1">
        <w:t>ed from the recontact of</w:t>
      </w:r>
      <w:r>
        <w:t xml:space="preserve"> valid</w:t>
      </w:r>
      <w:r w:rsidR="009B4AF1">
        <w:t xml:space="preserve"> </w:t>
      </w:r>
      <w:r w:rsidR="00F956B8">
        <w:t>Time</w:t>
      </w:r>
      <w:r w:rsidR="009B4AF1">
        <w:t xml:space="preserve"> 1 participants during </w:t>
      </w:r>
      <w:r w:rsidR="00F956B8">
        <w:t>Time</w:t>
      </w:r>
      <w:r w:rsidR="009B4AF1">
        <w:t xml:space="preserve"> 2. </w:t>
      </w:r>
      <w:r>
        <w:t>2 respondents used duplicate IP addresses and were removed from the study.</w:t>
      </w:r>
      <w:r w:rsidR="00A737D2">
        <w:t xml:space="preserve"> 20</w:t>
      </w:r>
      <w:r w:rsidR="009B4AF1">
        <w:t xml:space="preserve"> respondents indicated that they spent more during a single session than they did during the whole month and were removed from the sample. This left a total of </w:t>
      </w:r>
      <w:r w:rsidR="00D918AE">
        <w:t xml:space="preserve">112 </w:t>
      </w:r>
      <w:r w:rsidR="009B4AF1">
        <w:t>participants overall.</w:t>
      </w:r>
    </w:p>
    <w:bookmarkEnd w:id="1"/>
    <w:p w14:paraId="479E7027" w14:textId="5EC8A7B5" w:rsidR="009B4AF1" w:rsidRDefault="00D918AE" w:rsidP="009B4AF1">
      <w:r>
        <w:t xml:space="preserve">80 </w:t>
      </w:r>
      <w:r w:rsidR="009B4AF1">
        <w:t xml:space="preserve">participants described themselves as male. </w:t>
      </w:r>
      <w:r>
        <w:t xml:space="preserve">27 </w:t>
      </w:r>
      <w:r w:rsidR="009B4AF1">
        <w:t xml:space="preserve">participants described themselves as female. The remaining </w:t>
      </w:r>
      <w:r w:rsidR="00F038AD">
        <w:t>5</w:t>
      </w:r>
      <w:r w:rsidR="009B4AF1">
        <w:t xml:space="preserve"> participants gave other answers</w:t>
      </w:r>
      <w:r w:rsidR="00F956B8">
        <w:t xml:space="preserve"> to questions asking regarding gender</w:t>
      </w:r>
      <w:r w:rsidR="009B4AF1">
        <w:t>.</w:t>
      </w:r>
    </w:p>
    <w:p w14:paraId="3133E58C" w14:textId="7ED4403D" w:rsidR="009B4AF1" w:rsidRDefault="00F038AD" w:rsidP="009B4AF1">
      <w:r>
        <w:t>2</w:t>
      </w:r>
      <w:r w:rsidR="00D918AE">
        <w:t>2</w:t>
      </w:r>
      <w:r w:rsidR="009B4AF1">
        <w:t xml:space="preserve"> participants were aged 18–24. </w:t>
      </w:r>
      <w:r w:rsidR="00D918AE">
        <w:t>39</w:t>
      </w:r>
      <w:r w:rsidR="009B4AF1">
        <w:t xml:space="preserve"> were aged 25–29; </w:t>
      </w:r>
      <w:r>
        <w:t>3</w:t>
      </w:r>
      <w:r w:rsidR="00D918AE">
        <w:t>1</w:t>
      </w:r>
      <w:r w:rsidR="009B4AF1">
        <w:t xml:space="preserve"> were aged 30–34; </w:t>
      </w:r>
      <w:r>
        <w:t>1</w:t>
      </w:r>
      <w:r w:rsidR="00D918AE">
        <w:t>1</w:t>
      </w:r>
      <w:r w:rsidR="009B4AF1">
        <w:t xml:space="preserve"> were aged 35–39; </w:t>
      </w:r>
      <w:r w:rsidR="00D918AE">
        <w:t xml:space="preserve">9 </w:t>
      </w:r>
      <w:r w:rsidR="009B4AF1">
        <w:t>were aged 40 or over.</w:t>
      </w:r>
    </w:p>
    <w:p w14:paraId="760F7657" w14:textId="42356571" w:rsidR="009C3F11" w:rsidRPr="009C3F11" w:rsidRDefault="009C3F11" w:rsidP="009B4AF1">
      <w:r>
        <w:lastRenderedPageBreak/>
        <w:t xml:space="preserve">It is interesting to describe the demographic details of individuals who were excluded from the study for indicating impossible levels of spending. The 91 participants at time 1 who were excluded from the study for this reason, on average, gave higher ratings of problem gambling severity than the rest of the sample: Indeed, 58 of these participants were categorised as problem gamblers under their responses to the PGSI. This group </w:t>
      </w:r>
      <w:r w:rsidR="00A96C59">
        <w:t>may also have potentially been</w:t>
      </w:r>
      <w:r>
        <w:t xml:space="preserve"> more likely to contain</w:t>
      </w:r>
      <w:r w:rsidR="00A96C59">
        <w:t xml:space="preserve"> extreme</w:t>
      </w:r>
      <w:r>
        <w:t xml:space="preserve"> responses: one individual in this group indicated that they had spent $30,000 on </w:t>
      </w:r>
      <w:r>
        <w:rPr>
          <w:i/>
          <w:iCs/>
        </w:rPr>
        <w:t xml:space="preserve">Heroes of the Storm </w:t>
      </w:r>
      <w:r>
        <w:t xml:space="preserve">in the past month. </w:t>
      </w:r>
      <w:r w:rsidR="00A96C59">
        <w:t xml:space="preserve">Indeed on average these individuals indicated </w:t>
      </w:r>
      <w:r>
        <w:t xml:space="preserve">that they spent more money on </w:t>
      </w:r>
      <w:r>
        <w:rPr>
          <w:i/>
          <w:iCs/>
        </w:rPr>
        <w:t xml:space="preserve">Heroes of the Storm </w:t>
      </w:r>
      <w:r>
        <w:t>than other individuals: Mean spending in this group was $390.13 per month. However, this mean appears to be inflated by the presence of the outlier listed above: A 5% trimmed mean on spending was calculated at only $46.23.</w:t>
      </w:r>
      <w:r w:rsidR="00A96C59">
        <w:t xml:space="preserve"> 38 of these participants listed themselves as female; 51 listed themselves as male; and 2 listed themselves as ‘f’ and ‘men’.</w:t>
      </w:r>
    </w:p>
    <w:p w14:paraId="593A7702" w14:textId="007B2F03" w:rsidR="009B4AF1" w:rsidRDefault="009B4AF1" w:rsidP="007C341B">
      <w:pPr>
        <w:pStyle w:val="Heading1"/>
      </w:pPr>
      <w:r>
        <w:t>Results</w:t>
      </w:r>
    </w:p>
    <w:p w14:paraId="309DFFA7" w14:textId="2CD568BF" w:rsidR="001E292C" w:rsidRDefault="001E292C" w:rsidP="001E292C">
      <w:r>
        <w:t xml:space="preserve">The effects of problem gambling severity and the presence of loot boxes on in-game spending were tested via a </w:t>
      </w:r>
      <w:r w:rsidR="00CC4983">
        <w:t>4</w:t>
      </w:r>
      <w:r>
        <w:t xml:space="preserve">x2 mixed-design ANOVA, with time (before loot boxes </w:t>
      </w:r>
      <w:r w:rsidR="00177CC4">
        <w:t>were removed</w:t>
      </w:r>
      <w:r>
        <w:t xml:space="preserve">, after loot boxes </w:t>
      </w:r>
      <w:r w:rsidR="00177CC4">
        <w:t>were removed</w:t>
      </w:r>
      <w:r>
        <w:t xml:space="preserve">) as a </w:t>
      </w:r>
      <w:r w:rsidR="00727F5B">
        <w:t>within</w:t>
      </w:r>
      <w:r>
        <w:t xml:space="preserve">-participants factor and problem gambling severity  (non problem, low-risk, moderate-risk, problem gambler) as a </w:t>
      </w:r>
      <w:r w:rsidR="00727F5B">
        <w:t>between</w:t>
      </w:r>
      <w:r>
        <w:t xml:space="preserve">-participants factor. </w:t>
      </w:r>
    </w:p>
    <w:p w14:paraId="17AECE9B" w14:textId="0D61184C" w:rsidR="0073038F" w:rsidRDefault="0073038F" w:rsidP="0073038F">
      <w:r>
        <w:t xml:space="preserve">Results indicated that there was </w:t>
      </w:r>
      <w:r w:rsidR="00BF102A">
        <w:t>no</w:t>
      </w:r>
      <w:r>
        <w:t xml:space="preserve"> statistically significant main effect for time, F(1,</w:t>
      </w:r>
      <w:r w:rsidR="00BF102A">
        <w:t>108</w:t>
      </w:r>
      <w:r>
        <w:t xml:space="preserve">) = </w:t>
      </w:r>
      <w:r w:rsidR="00BF102A">
        <w:t>2.973</w:t>
      </w:r>
      <w:r>
        <w:t>, p=</w:t>
      </w:r>
      <w:r w:rsidR="008956C5">
        <w:t>0.0</w:t>
      </w:r>
      <w:r w:rsidR="00BF102A">
        <w:t>87</w:t>
      </w:r>
      <w:r>
        <w:t>, η</w:t>
      </w:r>
      <w:r w:rsidR="00E3455C" w:rsidRPr="00B227AF">
        <w:rPr>
          <w:vertAlign w:val="subscript"/>
        </w:rPr>
        <w:t>p</w:t>
      </w:r>
      <w:r w:rsidRPr="009D70B7">
        <w:rPr>
          <w:vertAlign w:val="superscript"/>
        </w:rPr>
        <w:t>2</w:t>
      </w:r>
      <w:r>
        <w:t xml:space="preserve"> =</w:t>
      </w:r>
      <w:r w:rsidR="00E3455C">
        <w:t xml:space="preserve"> 0.026</w:t>
      </w:r>
      <w:r>
        <w:t>. There was a statistically significant effect for problem gambling severity F(3,</w:t>
      </w:r>
      <w:r w:rsidR="00BF102A">
        <w:t>108</w:t>
      </w:r>
      <w:r>
        <w:t xml:space="preserve">) = </w:t>
      </w:r>
      <w:r w:rsidR="00BF102A">
        <w:t>11.33</w:t>
      </w:r>
      <w:r>
        <w:t>, p</w:t>
      </w:r>
      <w:r w:rsidR="008956C5">
        <w:t>&lt;0.001</w:t>
      </w:r>
      <w:r>
        <w:t>, η</w:t>
      </w:r>
      <w:r w:rsidR="00E3455C" w:rsidRPr="00B227AF">
        <w:rPr>
          <w:vertAlign w:val="subscript"/>
        </w:rPr>
        <w:t>p</w:t>
      </w:r>
      <w:r w:rsidRPr="009D70B7">
        <w:rPr>
          <w:vertAlign w:val="superscript"/>
        </w:rPr>
        <w:t>2</w:t>
      </w:r>
      <w:r>
        <w:t xml:space="preserve"> =</w:t>
      </w:r>
      <w:r w:rsidR="00E3455C">
        <w:t xml:space="preserve"> 0.239</w:t>
      </w:r>
      <w:r>
        <w:t>. There was a statistically significant interaction effect between time and problem gambling severity F(3,</w:t>
      </w:r>
      <w:r w:rsidR="00BF102A">
        <w:t>108</w:t>
      </w:r>
      <w:r>
        <w:t xml:space="preserve">) = </w:t>
      </w:r>
      <w:r w:rsidR="008956C5">
        <w:t>8.</w:t>
      </w:r>
      <w:r w:rsidR="00BF102A">
        <w:t>529</w:t>
      </w:r>
      <w:r>
        <w:t>, p</w:t>
      </w:r>
      <w:r w:rsidR="008956C5">
        <w:t>&lt;0.001</w:t>
      </w:r>
      <w:r>
        <w:t>, η</w:t>
      </w:r>
      <w:r w:rsidR="00E3455C" w:rsidRPr="00B227AF">
        <w:rPr>
          <w:vertAlign w:val="subscript"/>
        </w:rPr>
        <w:t>p</w:t>
      </w:r>
      <w:r w:rsidRPr="009D70B7">
        <w:rPr>
          <w:vertAlign w:val="superscript"/>
        </w:rPr>
        <w:t>2</w:t>
      </w:r>
      <w:r>
        <w:t xml:space="preserve"> =</w:t>
      </w:r>
      <w:r w:rsidR="00E3455C">
        <w:t xml:space="preserve"> 0.191</w:t>
      </w:r>
      <w:r>
        <w:t xml:space="preserve">. </w:t>
      </w:r>
      <w:r w:rsidR="007C341B">
        <w:t xml:space="preserve">These results are depicted below as Figure </w:t>
      </w:r>
      <w:r w:rsidR="00C12F52">
        <w:t>1</w:t>
      </w:r>
      <w:r w:rsidR="007C341B">
        <w:t>.</w:t>
      </w:r>
    </w:p>
    <w:p w14:paraId="016907CF" w14:textId="08FF28BB" w:rsidR="0075113D" w:rsidRPr="00702AAC" w:rsidRDefault="0075113D" w:rsidP="00702AAC">
      <w:pPr>
        <w:rPr>
          <w:b/>
        </w:rPr>
      </w:pPr>
    </w:p>
    <w:p w14:paraId="1908AEAC" w14:textId="5473BE42" w:rsidR="0075113D" w:rsidRPr="00702AAC" w:rsidRDefault="0075113D" w:rsidP="00702AAC">
      <w:pPr>
        <w:rPr>
          <w:b/>
        </w:rPr>
      </w:pPr>
      <w:r w:rsidRPr="00702AAC">
        <w:rPr>
          <w:b/>
        </w:rPr>
        <w:t xml:space="preserve">Figure </w:t>
      </w:r>
      <w:r w:rsidR="00011494" w:rsidRPr="00702AAC">
        <w:rPr>
          <w:b/>
        </w:rPr>
        <w:fldChar w:fldCharType="begin"/>
      </w:r>
      <w:r w:rsidR="00011494" w:rsidRPr="00702AAC">
        <w:rPr>
          <w:b/>
        </w:rPr>
        <w:instrText xml:space="preserve"> SEQ Figure \* ARABIC </w:instrText>
      </w:r>
      <w:r w:rsidR="00011494" w:rsidRPr="00702AAC">
        <w:rPr>
          <w:b/>
        </w:rPr>
        <w:fldChar w:fldCharType="separate"/>
      </w:r>
      <w:r w:rsidRPr="00702AAC">
        <w:rPr>
          <w:b/>
        </w:rPr>
        <w:t>1</w:t>
      </w:r>
      <w:r w:rsidR="00011494" w:rsidRPr="00702AAC">
        <w:rPr>
          <w:b/>
        </w:rPr>
        <w:fldChar w:fldCharType="end"/>
      </w:r>
      <w:r w:rsidRPr="00702AAC">
        <w:rPr>
          <w:b/>
        </w:rPr>
        <w:t>: Line graph showing the interaction between time (before the removal of loot boxes, after the removal of loot boxes) and problem gambling severity (non problem gamblers, low-risk gamblers, moderate-risk gamblers, problem gamblers)</w:t>
      </w:r>
    </w:p>
    <w:p w14:paraId="6DBCCB88" w14:textId="60EDCBC9" w:rsidR="00702AAC" w:rsidRDefault="00177CC4" w:rsidP="00702AAC">
      <w:r>
        <w:t>This interaction was clarified by examining the simple effects of time (before loot boxes were removed, after loot boxes were removed) on in-game spending at each level of problem gambling severity. This simple effects analysis was conducted via a series of paired-samples t-tests</w:t>
      </w:r>
      <w:r w:rsidRPr="00177CC4">
        <w:t xml:space="preserve"> </w:t>
      </w:r>
      <w:r>
        <w:t xml:space="preserve">with time (before, after) a between-participants factor and in-game spending as a dependent variable. </w:t>
      </w:r>
      <w:r w:rsidR="005603D4">
        <w:t xml:space="preserve">. Bonferroni corrections were applied for multiple comparisons, raising the alpha level of tests to 0.05/4, or 0.012. </w:t>
      </w:r>
      <w:r>
        <w:t>These</w:t>
      </w:r>
      <w:r w:rsidR="005603D4">
        <w:t xml:space="preserve"> analyses</w:t>
      </w:r>
      <w:r>
        <w:t xml:space="preserve"> are reported below as Table </w:t>
      </w:r>
      <w:r w:rsidR="00E87E11">
        <w:t>1</w:t>
      </w:r>
      <w:r>
        <w:t>.</w:t>
      </w:r>
    </w:p>
    <w:p w14:paraId="3BB851A6" w14:textId="1DAFD65B" w:rsidR="00177CC4" w:rsidRPr="00702AAC" w:rsidRDefault="00702AAC" w:rsidP="00702AAC">
      <w:pPr>
        <w:rPr>
          <w:b/>
        </w:rPr>
      </w:pPr>
      <w:r w:rsidRPr="00702AAC">
        <w:rPr>
          <w:b/>
        </w:rPr>
        <w:t xml:space="preserve"> </w:t>
      </w:r>
      <w:r w:rsidR="00C12F52" w:rsidRPr="00702AAC">
        <w:rPr>
          <w:b/>
        </w:rPr>
        <w:t xml:space="preserve">Table </w:t>
      </w:r>
      <w:r w:rsidR="00A24C77">
        <w:rPr>
          <w:b/>
        </w:rPr>
        <w:t>1</w:t>
      </w:r>
      <w:r w:rsidR="00C12F52" w:rsidRPr="00702AAC">
        <w:rPr>
          <w:b/>
        </w:rPr>
        <w:t>: Paired t-tests showing the simple effects of time on in-game spending at each level of problem gambling severity</w:t>
      </w:r>
      <w:r w:rsidR="00C12F52" w:rsidRPr="00702AAC">
        <w:rPr>
          <w:b/>
          <w:noProof/>
        </w:rPr>
        <w:t>. Effects significant at the p&lt;0.012 level are marked with an *</w:t>
      </w:r>
    </w:p>
    <w:p w14:paraId="4A549B17" w14:textId="144430F0" w:rsidR="00177CC4" w:rsidRDefault="00A13CF2" w:rsidP="00A13CF2">
      <w:r>
        <w:t>In order to</w:t>
      </w:r>
      <w:r w:rsidR="00177CC4">
        <w:t xml:space="preserve"> more</w:t>
      </w:r>
      <w:r>
        <w:t xml:space="preserve"> severely test the effects outlined above, the same tests conducted above were repeated using an Aligned Rank Transform, equivalent to a nonparametric ANOVA</w:t>
      </w:r>
      <w:r>
        <w:fldChar w:fldCharType="begin"/>
      </w:r>
      <w:r w:rsidR="00387526">
        <w:instrText xml:space="preserve"> ADDIN ZOTERO_ITEM CSL_CITATION {"citationID":"CW7X0rjQ","properties":{"formattedCitation":"[23]","plainCitation":"[23]","noteIndex":0},"citationItems":[{"id":2421,"uris":["http://zotero.org/users/1646069/items/PGGEPR6M"],"uri":["http://zotero.org/users/1646069/items/PGGEPR6M"],"itemData":{"id":2421,"type":"paper-conference","title":"The aligned rank transform for nonparametric factorial analyses using only anova procedures","container-title":"Proceedings of the SIGCHI conference on human factors in computing systems","publisher":"ACM","page":"143–146","source":"Google Scholar","author":[{"family":"Wobbrock","given":"Jacob O."},{"family":"Findlater","given":"Leah"},{"family":"Gergle","given":"Darren"},{"family":"Higgins","given":"James J."}],"issued":{"date-parts":[["2011"]]}}}],"schema":"https://github.com/citation-style-language/schema/raw/master/csl-citation.json"} </w:instrText>
      </w:r>
      <w:r>
        <w:fldChar w:fldCharType="separate"/>
      </w:r>
      <w:r w:rsidR="00387526" w:rsidRPr="00B227AF">
        <w:rPr>
          <w:rFonts w:ascii="Calibri" w:hAnsi="Calibri"/>
        </w:rPr>
        <w:t>[23]</w:t>
      </w:r>
      <w:r>
        <w:fldChar w:fldCharType="end"/>
      </w:r>
      <w:r>
        <w:t>. Results indicated that there was a statistically significant main effect for time, F(1,</w:t>
      </w:r>
      <w:r w:rsidR="00BF102A">
        <w:t>108</w:t>
      </w:r>
      <w:r>
        <w:t>) =</w:t>
      </w:r>
      <w:r w:rsidR="00BF102A">
        <w:t>40.049</w:t>
      </w:r>
      <w:r>
        <w:t>, p</w:t>
      </w:r>
      <w:r w:rsidR="00BF102A">
        <w:t>&lt;0.001</w:t>
      </w:r>
      <w:r>
        <w:t>, η</w:t>
      </w:r>
      <w:r w:rsidR="008D1973" w:rsidRPr="00707FCD">
        <w:rPr>
          <w:vertAlign w:val="subscript"/>
        </w:rPr>
        <w:t>p</w:t>
      </w:r>
      <w:r w:rsidRPr="009D70B7">
        <w:rPr>
          <w:vertAlign w:val="superscript"/>
        </w:rPr>
        <w:t>2</w:t>
      </w:r>
      <w:r>
        <w:t xml:space="preserve"> =</w:t>
      </w:r>
      <w:r w:rsidR="000C7938">
        <w:t xml:space="preserve"> 0.270</w:t>
      </w:r>
      <w:r>
        <w:t>. There was a statistically significant effect for problem gambling severity F(3,</w:t>
      </w:r>
      <w:r w:rsidR="00BF102A">
        <w:t>108</w:t>
      </w:r>
      <w:r>
        <w:t xml:space="preserve">) = </w:t>
      </w:r>
      <w:r w:rsidR="00BF102A">
        <w:t>11.485</w:t>
      </w:r>
      <w:r>
        <w:t>, p&lt;0.001, η</w:t>
      </w:r>
      <w:r w:rsidR="008D1973" w:rsidRPr="00707FCD">
        <w:rPr>
          <w:vertAlign w:val="subscript"/>
        </w:rPr>
        <w:t>p</w:t>
      </w:r>
      <w:r w:rsidRPr="009D70B7">
        <w:rPr>
          <w:vertAlign w:val="superscript"/>
        </w:rPr>
        <w:t>2</w:t>
      </w:r>
      <w:r>
        <w:t xml:space="preserve"> =</w:t>
      </w:r>
      <w:r w:rsidR="008D1973">
        <w:t xml:space="preserve"> 0.241</w:t>
      </w:r>
      <w:r>
        <w:t>. There was a statistically significant interaction effect between time and problem gambling severity F(3,</w:t>
      </w:r>
      <w:r w:rsidR="00BF102A">
        <w:t>108</w:t>
      </w:r>
      <w:r>
        <w:t xml:space="preserve">) = </w:t>
      </w:r>
      <w:r w:rsidR="00BF102A">
        <w:t>16.709</w:t>
      </w:r>
      <w:r>
        <w:t>, p&lt;0.001, η</w:t>
      </w:r>
      <w:r w:rsidR="008D1973" w:rsidRPr="00B227AF">
        <w:rPr>
          <w:vertAlign w:val="subscript"/>
        </w:rPr>
        <w:t>p</w:t>
      </w:r>
      <w:r w:rsidRPr="009D70B7">
        <w:rPr>
          <w:vertAlign w:val="superscript"/>
        </w:rPr>
        <w:t>2</w:t>
      </w:r>
      <w:r>
        <w:t xml:space="preserve"> =</w:t>
      </w:r>
      <w:r w:rsidR="008D1973">
        <w:t xml:space="preserve"> 0.317</w:t>
      </w:r>
      <w:r>
        <w:t xml:space="preserve">. </w:t>
      </w:r>
    </w:p>
    <w:p w14:paraId="517E11D9" w14:textId="171610ED" w:rsidR="00177CC4" w:rsidRDefault="00177CC4" w:rsidP="00177CC4">
      <w:r>
        <w:t xml:space="preserve">The interaction effect was clarified by examining the simple effects of time (before loot boxes were removed, after loot boxes were removed) on in-game spending at each level of problem gambling severity. This simple effects analysis was conducted via a series of Wilcoxon tests with time (before, after) a between-participants factor and in-game spending as a dependent variable. </w:t>
      </w:r>
      <w:r w:rsidR="005603D4">
        <w:t xml:space="preserve">Bonferroni </w:t>
      </w:r>
      <w:r w:rsidR="005603D4">
        <w:lastRenderedPageBreak/>
        <w:t xml:space="preserve">corrections were applied for multiple comparisons, raising the alpha level of tests to 0.05/4, or 0.012. </w:t>
      </w:r>
      <w:r>
        <w:t>These</w:t>
      </w:r>
      <w:r w:rsidR="005603D4">
        <w:t xml:space="preserve"> analyses</w:t>
      </w:r>
      <w:r>
        <w:t xml:space="preserve"> are reported below as Table </w:t>
      </w:r>
      <w:r w:rsidR="00A24C77">
        <w:t>2</w:t>
      </w:r>
      <w:r>
        <w:t>.</w:t>
      </w:r>
    </w:p>
    <w:p w14:paraId="66C2567E" w14:textId="44940E3E" w:rsidR="00177CC4" w:rsidRDefault="00C12F52" w:rsidP="00702AAC">
      <w:pPr>
        <w:rPr>
          <w:b/>
        </w:rPr>
      </w:pPr>
      <w:r w:rsidRPr="00702AAC">
        <w:rPr>
          <w:b/>
        </w:rPr>
        <w:t xml:space="preserve">Table </w:t>
      </w:r>
      <w:r w:rsidR="00E87E11">
        <w:rPr>
          <w:b/>
        </w:rPr>
        <w:t>2</w:t>
      </w:r>
      <w:r w:rsidRPr="00702AAC">
        <w:rPr>
          <w:b/>
        </w:rPr>
        <w:t>: Nonparametric Wilcoxon tests showing the simple effects of time on in-game spending at each level of problem gambling severity. Effects significant at the p&lt;0.012 level are marked with an *</w:t>
      </w:r>
    </w:p>
    <w:p w14:paraId="22BF2326" w14:textId="19B42427" w:rsidR="0065118A" w:rsidRDefault="0065118A" w:rsidP="00702AAC">
      <w:pPr>
        <w:rPr>
          <w:b/>
        </w:rPr>
      </w:pPr>
    </w:p>
    <w:p w14:paraId="2EDB9A40" w14:textId="0BA191CE" w:rsidR="0065118A" w:rsidRDefault="0065118A" w:rsidP="0065118A">
      <w:pPr>
        <w:pStyle w:val="Heading2"/>
      </w:pPr>
      <w:r>
        <w:t>Exploratory analyses</w:t>
      </w:r>
    </w:p>
    <w:p w14:paraId="506330B3" w14:textId="584B4A38" w:rsidR="0065118A" w:rsidRDefault="0098501A" w:rsidP="0098501A">
      <w:pPr>
        <w:pStyle w:val="Heading3"/>
      </w:pPr>
      <w:r>
        <w:t>Analyses of percentile decline</w:t>
      </w:r>
    </w:p>
    <w:p w14:paraId="5B6B1E62" w14:textId="77777777" w:rsidR="0098501A" w:rsidRPr="0098501A" w:rsidRDefault="0098501A" w:rsidP="0098501A"/>
    <w:p w14:paraId="6B2DD0B6" w14:textId="23B8BFD6" w:rsidR="0065118A" w:rsidRDefault="0065118A" w:rsidP="0065118A">
      <w:r>
        <w:t xml:space="preserve">In order to better understand the relationship outlined above, decline in spending was reanalysed, not as an absolute dollar amount, but as a percent of spending at time 1. </w:t>
      </w:r>
      <w:r w:rsidR="00A17507">
        <w:t>In order to calculate this, the following formula was used</w:t>
      </w:r>
      <w:r w:rsidR="00BE7318">
        <w:t xml:space="preserve">. In order to include cases where spending at time 1 was equal to $0, </w:t>
      </w:r>
      <w:r w:rsidR="00FA303C" w:rsidRPr="00FA303C">
        <w:t>ϵ</w:t>
      </w:r>
      <w:r w:rsidR="00FA303C">
        <w:t xml:space="preserve">=0.001 </w:t>
      </w:r>
      <w:r w:rsidR="00BE7318">
        <w:t>was included in both the numerator and denominator terms of the equation</w:t>
      </w:r>
      <w:r w:rsidR="00A17507">
        <w:t>:</w:t>
      </w:r>
    </w:p>
    <w:p w14:paraId="679D45D1" w14:textId="534C2AD8" w:rsidR="00A17507" w:rsidRDefault="00FA303C" w:rsidP="0065118A">
      <m:oMathPara>
        <m:oMath>
          <m:r>
            <w:rPr>
              <w:rFonts w:ascii="Cambria Math" w:hAnsi="Cambria Math"/>
            </w:rPr>
            <m:t>Decline=100*</m:t>
          </m:r>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Spending</m:t>
                      </m:r>
                    </m:e>
                    <m:sub>
                      <m:r>
                        <w:rPr>
                          <w:rFonts w:ascii="Cambria Math" w:hAnsi="Cambria Math"/>
                        </w:rPr>
                        <m:t>t2</m:t>
                      </m:r>
                    </m:sub>
                  </m:sSub>
                  <w:bookmarkStart w:id="2" w:name="_Hlk14649929"/>
                  <m:r>
                    <w:rPr>
                      <w:rFonts w:ascii="Cambria Math" w:hAnsi="Cambria Math"/>
                    </w:rPr>
                    <m:t xml:space="preserve">+ </m:t>
                  </m:r>
                  <m:r>
                    <m:rPr>
                      <m:sty m:val="p"/>
                    </m:rPr>
                    <w:rPr>
                      <w:rStyle w:val="mi"/>
                      <w:rFonts w:ascii="Cambria Math" w:hAnsi="Cambria Math"/>
                      <w:color w:val="242729"/>
                      <w:sz w:val="25"/>
                      <w:szCs w:val="25"/>
                      <w:bdr w:val="none" w:sz="0" w:space="0" w:color="auto" w:frame="1"/>
                      <w:shd w:val="clear" w:color="auto" w:fill="FFFFFF"/>
                    </w:rPr>
                    <m:t>ϵ</m:t>
                  </m:r>
                  <w:bookmarkEnd w:id="2"/>
                </m:num>
                <m:den>
                  <m:sSub>
                    <m:sSubPr>
                      <m:ctrlPr>
                        <w:rPr>
                          <w:rFonts w:ascii="Cambria Math" w:hAnsi="Cambria Math"/>
                          <w:i/>
                        </w:rPr>
                      </m:ctrlPr>
                    </m:sSubPr>
                    <m:e>
                      <m:r>
                        <w:rPr>
                          <w:rFonts w:ascii="Cambria Math" w:hAnsi="Cambria Math"/>
                        </w:rPr>
                        <m:t>Spending</m:t>
                      </m:r>
                    </m:e>
                    <m:sub>
                      <m:r>
                        <w:rPr>
                          <w:rFonts w:ascii="Cambria Math" w:hAnsi="Cambria Math"/>
                        </w:rPr>
                        <m:t>t1</m:t>
                      </m:r>
                    </m:sub>
                  </m:sSub>
                  <m:r>
                    <w:rPr>
                      <w:rFonts w:ascii="Cambria Math" w:hAnsi="Cambria Math"/>
                    </w:rPr>
                    <m:t xml:space="preserve"> + </m:t>
                  </m:r>
                  <m:r>
                    <m:rPr>
                      <m:sty m:val="p"/>
                    </m:rPr>
                    <w:rPr>
                      <w:rStyle w:val="mi"/>
                      <w:rFonts w:ascii="Cambria Math" w:hAnsi="Cambria Math"/>
                      <w:color w:val="242729"/>
                      <w:sz w:val="25"/>
                      <w:szCs w:val="25"/>
                      <w:bdr w:val="none" w:sz="0" w:space="0" w:color="auto" w:frame="1"/>
                      <w:shd w:val="clear" w:color="auto" w:fill="FFFFFF"/>
                    </w:rPr>
                    <m:t>ϵ</m:t>
                  </m:r>
                </m:den>
              </m:f>
            </m:e>
          </m:d>
          <m:r>
            <w:rPr>
              <w:rFonts w:ascii="Cambria Math" w:hAnsi="Cambria Math"/>
            </w:rPr>
            <m:t xml:space="preserve">-100 </m:t>
          </m:r>
        </m:oMath>
      </m:oMathPara>
    </w:p>
    <w:p w14:paraId="18D8654E" w14:textId="743AF86F" w:rsidR="0065118A" w:rsidRDefault="0065118A" w:rsidP="0065118A">
      <w:r>
        <w:t>In order to determine whether</w:t>
      </w:r>
      <w:r w:rsidR="00C81A86">
        <w:t xml:space="preserve"> t</w:t>
      </w:r>
      <w:r>
        <w:t>here were significant differences in the percentile decline in spending between different groups of individuals of different problem gambling severities, a Kruskal-Wallis test by ranks was conducted, with problem gambling severity as the independent variable, and percentile decline in spending as the dependent variable. Results of the test indicated that there was a significant difference in percentile decline in spending between groups</w:t>
      </w:r>
      <w:r w:rsidR="00BE7318">
        <w:t xml:space="preserve"> (</w:t>
      </w:r>
      <w:r w:rsidR="00BE7318" w:rsidRPr="00BE7318">
        <w:rPr>
          <w:rFonts w:ascii="Cambria Math" w:hAnsi="Cambria Math" w:cs="Cambria Math"/>
        </w:rPr>
        <w:t>𝜒</w:t>
      </w:r>
      <w:r w:rsidR="00BE7318" w:rsidRPr="00B227AF">
        <w:rPr>
          <w:vertAlign w:val="superscript"/>
        </w:rPr>
        <w:t>2</w:t>
      </w:r>
      <w:r w:rsidR="00BE7318">
        <w:t>(3) = 10.078, p=0.017)</w:t>
      </w:r>
      <w:r>
        <w:t>.</w:t>
      </w:r>
    </w:p>
    <w:p w14:paraId="12FE29C4" w14:textId="2BAAEFD6" w:rsidR="0098501A" w:rsidRDefault="0065118A" w:rsidP="0065118A">
      <w:r>
        <w:t xml:space="preserve">Follow-up Mann Whitney U tests were conducted in order to clarify the nature of this difference. Results of these indicated </w:t>
      </w:r>
      <w:r w:rsidR="0098501A">
        <w:t xml:space="preserve">that percentile decline was higher amongst problem gamblers than </w:t>
      </w:r>
      <w:r>
        <w:t xml:space="preserve">non-problem </w:t>
      </w:r>
      <w:r w:rsidR="00F4288C">
        <w:t>gamblers</w:t>
      </w:r>
      <w:r>
        <w:t xml:space="preserve"> (U=105.5, p=0.025), and </w:t>
      </w:r>
      <w:r w:rsidR="0098501A">
        <w:t xml:space="preserve">percentile decline was higher amongst problem gamblers than </w:t>
      </w:r>
      <w:r>
        <w:t>moderate risk gamblers (U=604, p=0.018).</w:t>
      </w:r>
      <w:r w:rsidR="00C63C71">
        <w:t xml:space="preserve"> </w:t>
      </w:r>
      <w:r w:rsidR="0098501A">
        <w:t xml:space="preserve">Additionally, percentile decline was significantly higher amongst moderate risk gamblers than amongst low risk gamblers (U=75, p=0.049). </w:t>
      </w:r>
      <w:r>
        <w:t xml:space="preserve"> </w:t>
      </w:r>
    </w:p>
    <w:p w14:paraId="040F9073" w14:textId="200090D5" w:rsidR="0065118A" w:rsidRDefault="0065118A" w:rsidP="0065118A">
      <w:r>
        <w:t xml:space="preserve">No other significant differences were observed: There was no </w:t>
      </w:r>
      <w:r w:rsidR="0098501A">
        <w:t>significant</w:t>
      </w:r>
      <w:r>
        <w:t xml:space="preserve"> difference in decline between problem gamblers and low risk gamblers (U=265.5, p=0.223)</w:t>
      </w:r>
      <w:r w:rsidR="0098501A">
        <w:t>,</w:t>
      </w:r>
      <w:r>
        <w:t xml:space="preserve"> no </w:t>
      </w:r>
      <w:r w:rsidR="0098501A">
        <w:t xml:space="preserve">significant </w:t>
      </w:r>
      <w:r>
        <w:t xml:space="preserve">difference in decline between </w:t>
      </w:r>
      <w:r w:rsidR="0098501A">
        <w:t>moderate risk gamblers and non-problem gamblers (U=194, p=0.157), and no significant difference in decline between low risk gamblers and non-problem gamblers (U=1023.5, p=0.095).</w:t>
      </w:r>
    </w:p>
    <w:p w14:paraId="50C0F958" w14:textId="4DA2E774" w:rsidR="00BE7318" w:rsidRDefault="00BE7318" w:rsidP="00B227AF">
      <w:pPr>
        <w:pStyle w:val="Heading3"/>
      </w:pPr>
      <w:r>
        <w:t xml:space="preserve">Analyses when </w:t>
      </w:r>
      <w:r w:rsidR="00D313D0">
        <w:t>impossible</w:t>
      </w:r>
      <w:r>
        <w:t xml:space="preserve"> spenders are included</w:t>
      </w:r>
    </w:p>
    <w:p w14:paraId="1F7993FC" w14:textId="1A97D922" w:rsidR="0009761E" w:rsidRDefault="00D313D0" w:rsidP="0065118A">
      <w:r>
        <w:t>Several</w:t>
      </w:r>
      <w:r w:rsidR="0009761E">
        <w:t xml:space="preserve"> participants were not included in our analyses due to giving seemingly impossible information regarding their spending: For instance, claiming to spend more in a single session than they did in a whole month</w:t>
      </w:r>
      <w:r w:rsidR="00DB7F81">
        <w:t>.</w:t>
      </w:r>
    </w:p>
    <w:p w14:paraId="22111A41" w14:textId="6957AE40" w:rsidR="00D313D0" w:rsidRDefault="00D313D0" w:rsidP="00D313D0">
      <w:r>
        <w:t>It is important to consider what our results might look like if these participants were included during analysis (n=146). The Aligned Rank Transform nonparametric ANOVA was repeated with this larger sample. Results indicated that there was a statistically significant main effect for time, F(1,142) =</w:t>
      </w:r>
      <w:r w:rsidR="00AF6C44">
        <w:t>14</w:t>
      </w:r>
      <w:r>
        <w:t>.</w:t>
      </w:r>
      <w:r w:rsidR="00AF6C44">
        <w:t>597</w:t>
      </w:r>
      <w:r>
        <w:t>, p</w:t>
      </w:r>
      <w:r w:rsidR="00AF6C44">
        <w:t>&lt;</w:t>
      </w:r>
      <w:r>
        <w:t>0.001, η</w:t>
      </w:r>
      <w:r w:rsidRPr="00707FCD">
        <w:rPr>
          <w:vertAlign w:val="subscript"/>
        </w:rPr>
        <w:t>p</w:t>
      </w:r>
      <w:r w:rsidRPr="009D70B7">
        <w:rPr>
          <w:vertAlign w:val="superscript"/>
        </w:rPr>
        <w:t>2</w:t>
      </w:r>
      <w:r>
        <w:t xml:space="preserve"> = </w:t>
      </w:r>
      <w:r w:rsidR="00AF6C44">
        <w:t>0.235</w:t>
      </w:r>
      <w:r>
        <w:t xml:space="preserve">. There was a statistically significant effect for problem gambling severity F(3,142) = </w:t>
      </w:r>
      <w:r w:rsidR="00AF6C44">
        <w:t>23.458</w:t>
      </w:r>
      <w:r>
        <w:t>, p&lt;0.001, η</w:t>
      </w:r>
      <w:r w:rsidRPr="00707FCD">
        <w:rPr>
          <w:vertAlign w:val="subscript"/>
        </w:rPr>
        <w:t>p</w:t>
      </w:r>
      <w:r w:rsidRPr="009D70B7">
        <w:rPr>
          <w:vertAlign w:val="superscript"/>
        </w:rPr>
        <w:t>2</w:t>
      </w:r>
      <w:r>
        <w:t xml:space="preserve"> =</w:t>
      </w:r>
      <w:r w:rsidR="00AF6C44">
        <w:t xml:space="preserve"> 0.331</w:t>
      </w:r>
      <w:r>
        <w:t xml:space="preserve">. There was a statistically significant interaction effect between time and problem gambling severity F(3,142) = </w:t>
      </w:r>
      <w:r w:rsidR="00AF6C44">
        <w:t>5.456</w:t>
      </w:r>
      <w:r>
        <w:t>, p</w:t>
      </w:r>
      <w:r w:rsidR="00AF6C44">
        <w:t>=</w:t>
      </w:r>
      <w:r>
        <w:t>0.001, η</w:t>
      </w:r>
      <w:r w:rsidRPr="00707FCD">
        <w:rPr>
          <w:vertAlign w:val="subscript"/>
        </w:rPr>
        <w:t>p</w:t>
      </w:r>
      <w:r w:rsidRPr="009D70B7">
        <w:rPr>
          <w:vertAlign w:val="superscript"/>
        </w:rPr>
        <w:t>2</w:t>
      </w:r>
      <w:r>
        <w:t xml:space="preserve"> = 0.</w:t>
      </w:r>
      <w:r w:rsidR="00AF6C44">
        <w:t>103</w:t>
      </w:r>
      <w:r>
        <w:t xml:space="preserve">. </w:t>
      </w:r>
    </w:p>
    <w:p w14:paraId="5F91B405" w14:textId="10FB028D" w:rsidR="0098501A" w:rsidRDefault="00AF6C44" w:rsidP="00B227AF">
      <w:r>
        <w:lastRenderedPageBreak/>
        <w:t>The interaction effect was clarified by examining the simple effects of time (before loot boxes were removed, after loot boxes were removed) on in-game spending at each level of problem gambling severity. This analysis was conducted via a series of Wilcoxon tests with time (before, after)</w:t>
      </w:r>
      <w:r w:rsidR="00927003">
        <w:t xml:space="preserve"> as</w:t>
      </w:r>
      <w:r>
        <w:t xml:space="preserve"> a between-participants factor and in-game spending as a dependent variable. There was no significant change in spending observed amongst non-problem gamblers (Z = 0.978, p =0.327). Low-risk gamblers spent significantly less after loot boxes were removed (Z=2.450, p=0.014). There was no significant change in spending observed amongst moderate-risk gamblers (Z = 0.769, p =0.441). Problem gamblers spent significantly less after loot boxes were removed (Z=2.187, p=0.028).</w:t>
      </w:r>
    </w:p>
    <w:p w14:paraId="2804784F" w14:textId="2541922E" w:rsidR="009B4AF1" w:rsidRDefault="004B32B3" w:rsidP="004B32B3">
      <w:pPr>
        <w:pStyle w:val="Heading1"/>
      </w:pPr>
      <w:r>
        <w:t>Discussion</w:t>
      </w:r>
    </w:p>
    <w:p w14:paraId="351C1AE4" w14:textId="518EC6FC" w:rsidR="007C2B3C" w:rsidRDefault="004B32B3" w:rsidP="00216B8D">
      <w:r>
        <w:t>A mixed design ANOVA showed a significant interaction between problem gambling severity and time (p&lt;</w:t>
      </w:r>
      <w:r w:rsidR="00C05E43">
        <w:t>0.001</w:t>
      </w:r>
      <w:r w:rsidR="00554DDC">
        <w:t>, η</w:t>
      </w:r>
      <w:r w:rsidR="00554DDC" w:rsidRPr="00707FCD">
        <w:rPr>
          <w:vertAlign w:val="subscript"/>
        </w:rPr>
        <w:t>p</w:t>
      </w:r>
      <w:r w:rsidR="00554DDC" w:rsidRPr="009D70B7">
        <w:rPr>
          <w:vertAlign w:val="superscript"/>
        </w:rPr>
        <w:t>2</w:t>
      </w:r>
      <w:r w:rsidR="00554DDC">
        <w:t xml:space="preserve"> = 0.191</w:t>
      </w:r>
      <w:r>
        <w:t xml:space="preserve">). </w:t>
      </w:r>
    </w:p>
    <w:p w14:paraId="039EA2C5" w14:textId="37458AA6" w:rsidR="008A3327" w:rsidRDefault="00554DDC" w:rsidP="00216B8D">
      <w:r>
        <w:t>However, despite the large magnitude of this interaction effect, i</w:t>
      </w:r>
      <w:r w:rsidR="008A3327">
        <w:t xml:space="preserve">nitial follow-up subgroup analyses proved inconclusive. No significant reduction in spending was observed amongst either non-problem gamblers, low-risk gamblers, or moderate risk gamblers. A </w:t>
      </w:r>
      <w:r w:rsidR="007E24AF">
        <w:t xml:space="preserve">seemingly </w:t>
      </w:r>
      <w:r w:rsidR="008A3327">
        <w:t>significant (p=0.029) reduction in spending was observed amongst problem gamblers, with mean spending in this group dropping by a small to moderate amount (d = 0.624, equivalent to η</w:t>
      </w:r>
      <w:r w:rsidR="008A3327" w:rsidRPr="009D70B7">
        <w:rPr>
          <w:vertAlign w:val="superscript"/>
        </w:rPr>
        <w:t>2</w:t>
      </w:r>
      <w:r w:rsidR="008A3327">
        <w:t xml:space="preserve"> = 0.088). However, when Bonferroni corrections were applied to the results of this test, raising the alpha level to 0.05/4, or 0.012, this result did not meet the criterion for statistical significance.</w:t>
      </w:r>
    </w:p>
    <w:p w14:paraId="3CFC9F97" w14:textId="2422F552" w:rsidR="008A3327" w:rsidRDefault="008A3327" w:rsidP="00E53911">
      <w:r>
        <w:t xml:space="preserve">In order to clarify the nature of this effect, nonparametric analyses were undertaken. </w:t>
      </w:r>
      <w:r w:rsidR="007E24AF">
        <w:t xml:space="preserve">Nonparametric analyses are commonly used to analyse loot box spending due to the presence of extreme outliers in datasets (e.g. </w:t>
      </w:r>
      <w:r w:rsidR="007E24AF">
        <w:fldChar w:fldCharType="begin"/>
      </w:r>
      <w:r w:rsidR="00387526">
        <w:instrText xml:space="preserve"> ADDIN ZOTERO_ITEM CSL_CITATION {"citationID":"FlJGzJOG","properties":{"formattedCitation":"[12], [24]","plainCitation":"[12], [24]","noteIndex":0},"citationItems":[{"id":3056,"uris":["http://zotero.org/users/1646069/items/UZPHQ8Y6"],"uri":["http://zotero.org/users/1646069/items/UZPHQ8Y6"],"itemData":{"id":3056,"type":"article-journal","title":"Adolescents and loot boxes: links with problem gambling and motivations for purchase","container-title":"Royal Society Open Science","page":"190049","volume":"6","issue":"6","source":"royalsocietypublishing.org (Atypon)","abstract":"Loot boxes are items in video games that can be paid for with real-world money but contain randomized contents. Many games that feature loot boxes are played by adolescents. Similarities between loot boxes and gambling have led to concern that they are linked to the development of problem gambling in adolescents. Previous research has shown links between loot boxes and problem gambling in adult populations. However, thus far, there is no empirical evidence of either the size or existence of a link between loot box spending and problem gambling in adolescents. A large-scale survey of 16- to 18-year-olds (n = 1155) found evidence for such a link (η2 = 0.120). The link between loot box spending and problem gambling among these older adolescents was of moderate to large magnitude. It was stronger than relationships previously observed in adults. Qualitative analysis of text data showed that gamers bought loot boxes for a variety of reasons. Several of these motivations were similar to common reasons for engaging in gambling. Overall, these results suggest that loot boxes either cause problem gambling among older adolescents, allow game companies to profit from adolescents with gambling problems for massive monetary rewards, or both of the above. Possible strategies for regulation and restriction are given.","DOI":"10.1098/rsos.190049","title-short":"Adolescents and loot boxes","journalAbbreviation":"Royal Society Open Science","author":[{"family":"Zendle","given":"David"},{"family":"Meyer","given":"Rachel"},{"family":"Over","given":"Harriet"}],"issued":{"date-parts":[["2019",6,19]]}}},{"id":2802,"uris":["http://zotero.org/users/1646069/items/PBNWECNC"],"uri":["http://zotero.org/users/1646069/items/PBNWECNC"],"itemData":{"id":2802,"type":"article-journal","title":"Loot boxes are again linked to problem gambling: Results of a replication study","container-title":"PLoS One","page":"e0213194","volume":"14","issue":"3","source":"PLoS Journals","abstract":"Loot boxes are items in video games that contain randomised contents and can be purchased with real-world money. Similarities between loot boxes and forms of gambling have led to questions about their legal status, and whether they should be regulated as gambling. Previous research has suggested a link between the amount that gamers spend on loot boxes and their problem gambling: The more individuals spent on loot boxes, the more severe their problem gambling. However, the generalisability of prior work may be limited by both the self-selected nature of the sample under test, and the fact that participants were aware of the study’s aims. A large-scale survey of gamers (n = 1,172) was undertaken to determine if this link remained when these limitations of previous work were taken into account. These gamers did not self-select into a loot box study and were not aware of the study’s aims. This study found similar evidence for a link (η2 = 0.051) between the amount that gamers spent on loot boxes and the severity of their problem gambling. Previous research strongly suggested both the size and the direction of link between loot box use and problem gambling. This paper provides further support for this link. These results suggest either that loot boxes act as a gateway to problem gambling, or that individuals with gambling problems are drawn to spend more on loot boxes. In either case, we believe that these results suggest there is good reason to regulate loot boxes.","DOI":"10.1371/journal.pone.0213194","ISSN":"1932-6203","title-short":"Loot boxes are again linked to problem gambling","journalAbbreviation":"PLOS ONE","language":"en","author":[{"family":"Zendle","given":"David"},{"family":"Cairns","given":"Paul"}],"issued":{"date-parts":[["2019",3,7]]}}}],"schema":"https://github.com/citation-style-language/schema/raw/master/csl-citation.json"} </w:instrText>
      </w:r>
      <w:r w:rsidR="007E24AF">
        <w:fldChar w:fldCharType="separate"/>
      </w:r>
      <w:r w:rsidR="00387526" w:rsidRPr="00B227AF">
        <w:rPr>
          <w:rFonts w:ascii="Calibri" w:hAnsi="Calibri"/>
        </w:rPr>
        <w:t>[12], [24]</w:t>
      </w:r>
      <w:r w:rsidR="007E24AF">
        <w:fldChar w:fldCharType="end"/>
      </w:r>
      <w:r w:rsidR="007E24AF">
        <w:t xml:space="preserve">). These analyses painted a clearer picture. An Aligned Rank Transform (equivalent to a nonparametric mixed design ANOVA) again showed a significant interaction between problem gambling severity and time (p&lt;0.001). </w:t>
      </w:r>
    </w:p>
    <w:p w14:paraId="3F244880" w14:textId="697BE2BA" w:rsidR="009F1487" w:rsidRDefault="007E24AF" w:rsidP="00E252CF">
      <w:r>
        <w:t>Follow-up analyses to this test showed a clearer pattern of effects: In this case, a significant reduction in spending was seen amongst problem gamblers</w:t>
      </w:r>
      <w:r w:rsidR="009F1487">
        <w:t xml:space="preserve"> even when Bonferroni corrections were taken into account</w:t>
      </w:r>
      <w:r>
        <w:t>, p</w:t>
      </w:r>
      <w:r w:rsidR="009F1487">
        <w:t xml:space="preserve"> = 0.008. The magnitude of this effect was large: a Cohen’s d of 1.848, equivalent to η</w:t>
      </w:r>
      <w:r w:rsidR="009F1487" w:rsidRPr="009D70B7">
        <w:rPr>
          <w:vertAlign w:val="superscript"/>
        </w:rPr>
        <w:t>2</w:t>
      </w:r>
      <w:r w:rsidR="009F1487">
        <w:t xml:space="preserve"> = 0.460. When Bonferroni corrections were applied to the results of analysis, no significant reduction in spending was observed amongst either non-problem gamblers, low-risk gamblers or moderate-risk gamblers. However, it is important to note that if these corrections were not applied, a significant reduction in spending would have been seen amongst low-risk gamblers (p=0.037).</w:t>
      </w:r>
    </w:p>
    <w:p w14:paraId="1A197D20" w14:textId="2471B92A" w:rsidR="00F70110" w:rsidRDefault="00F70110" w:rsidP="00E252CF">
      <w:r>
        <w:t>The analysis above defines an observed effect of magnitude η</w:t>
      </w:r>
      <w:r w:rsidRPr="009D70B7">
        <w:rPr>
          <w:vertAlign w:val="superscript"/>
        </w:rPr>
        <w:t>2</w:t>
      </w:r>
      <w:r>
        <w:t xml:space="preserve"> = 0.460.  Effects that are larger in magnitude than η</w:t>
      </w:r>
      <w:r w:rsidRPr="009D70B7">
        <w:rPr>
          <w:vertAlign w:val="superscript"/>
        </w:rPr>
        <w:t>2</w:t>
      </w:r>
      <w:r>
        <w:t xml:space="preserve"> = 0.04 are commonly considered to bear real-world importance </w:t>
      </w:r>
      <w:r>
        <w:fldChar w:fldCharType="begin"/>
      </w:r>
      <w:r w:rsidR="00387526">
        <w:instrText xml:space="preserve"> ADDIN ZOTERO_ITEM CSL_CITATION {"citationID":"S4NQVQpK","properties":{"formattedCitation":"[25]","plainCitation":"[25]","noteIndex":0},"citationItems":[{"id":1861,"uris":["http://zotero.org/users/1646069/items/UQBLH6MA"],"uri":["http://zotero.org/users/1646069/items/UQBLH6MA"],"itemData":{"id":1861,"type":"article-journal","title":"An effect size primer: A guide for clinicians and researchers.","container-title":"Professional Psychology: Research and Practice","page":"532","volume":"40","issue":"5","source":"Google Scholar","title-short":"An effect size primer","author":[{"family":"Ferguson","given":"Christopher J."}],"issued":{"date-parts":[["2009"]]}}}],"schema":"https://github.com/citation-style-language/schema/raw/master/csl-citation.json"} </w:instrText>
      </w:r>
      <w:r>
        <w:fldChar w:fldCharType="separate"/>
      </w:r>
      <w:r w:rsidR="00387526" w:rsidRPr="00B227AF">
        <w:rPr>
          <w:rFonts w:ascii="Calibri" w:hAnsi="Calibri"/>
        </w:rPr>
        <w:t>[25]</w:t>
      </w:r>
      <w:r>
        <w:fldChar w:fldCharType="end"/>
      </w:r>
      <w:r>
        <w:t>.</w:t>
      </w:r>
      <w:r w:rsidRPr="00F70110">
        <w:t xml:space="preserve"> </w:t>
      </w:r>
      <w:r>
        <w:t xml:space="preserve">This effect greatly exceeds that cut-off. However, if we look at the effect in a different light it may not appear so important: Amongst problem gamblers, spending dropped from $ to $ when loot boxes were removed from a game. Is such a drop really worthy of attention? The answer to this is unclear – it </w:t>
      </w:r>
    </w:p>
    <w:p w14:paraId="2B005DAC" w14:textId="55A93460" w:rsidR="00BD6237" w:rsidRPr="00BD6237" w:rsidRDefault="00554DDC" w:rsidP="00E252CF">
      <w:r>
        <w:t xml:space="preserve">In order to further probe the nature of these effects, an exploratory analysis was undertaken which examined whether reductions in spending </w:t>
      </w:r>
      <w:r w:rsidR="00BD6237">
        <w:t xml:space="preserve">in percentile terms (rather than absolute dollar amounts) varied by problem gambling severity. Results indicated that there was a </w:t>
      </w:r>
      <w:r w:rsidR="001C1830">
        <w:t xml:space="preserve">significant reduction in spending in percentile terms amongst problem gamblers. However, they also indicated a significant reduction in spending in percentile terms amongst low-risk gamblers. </w:t>
      </w:r>
      <w:r w:rsidR="00BD6237">
        <w:t xml:space="preserve">Finally, an exploratory analysis was conducted which examined what the results would resemble if individuals who were removed for specifying impossible patterns of spending were retained in the dataset. Problem gamblers still </w:t>
      </w:r>
      <w:r w:rsidR="00BD6237">
        <w:lastRenderedPageBreak/>
        <w:t xml:space="preserve">spent significantly less money when loot boxes were removed from </w:t>
      </w:r>
      <w:r w:rsidR="00BD6237">
        <w:rPr>
          <w:i/>
          <w:iCs/>
        </w:rPr>
        <w:t>Heroes of the Storm</w:t>
      </w:r>
      <w:r w:rsidR="00BD6237">
        <w:t>; however, under this analysis, low-risk gamblers also spent significantly less money in this situation.</w:t>
      </w:r>
    </w:p>
    <w:p w14:paraId="7A2BC526" w14:textId="0BC80A1A" w:rsidR="009F1487" w:rsidRDefault="009F1487" w:rsidP="00E252CF">
      <w:r>
        <w:t xml:space="preserve">Overall, therefore, these results paint a picture which suggests that when loot boxes are removed from a game, problem gamblers </w:t>
      </w:r>
      <w:r w:rsidR="00D7646B">
        <w:t xml:space="preserve">may </w:t>
      </w:r>
      <w:r w:rsidR="00554DDC">
        <w:t xml:space="preserve">uniquely </w:t>
      </w:r>
      <w:r>
        <w:t xml:space="preserve">spend less money on that game. However, the </w:t>
      </w:r>
      <w:r w:rsidR="00D7646B">
        <w:t>effects seen are somewhat inconsistent</w:t>
      </w:r>
      <w:r w:rsidR="00554DDC">
        <w:t xml:space="preserve">. </w:t>
      </w:r>
      <w:r w:rsidR="00BD6237">
        <w:t>For example, when</w:t>
      </w:r>
      <w:r w:rsidR="00554DDC">
        <w:t xml:space="preserve"> Bonferroni corrections are applied to the data, a drop in spending amongst problem gamblers is only seen under nonparametric analysis. When Bonferroni corrections are not applied to the data, a drop in spending is also observed amongst low-risk gamblers.</w:t>
      </w:r>
      <w:r w:rsidR="00B879EC">
        <w:t xml:space="preserve"> Similarly, when one analyses percentile reductions in spending, significant reductions appear amongst both low-risk and problem gamblers.</w:t>
      </w:r>
      <w:r w:rsidR="00554DDC">
        <w:t xml:space="preserve"> </w:t>
      </w:r>
      <w:r w:rsidR="00BD6237">
        <w:t xml:space="preserve">Therefore, whilst these results might </w:t>
      </w:r>
      <w:r w:rsidR="00B879EC">
        <w:t>be suggestive of a situation</w:t>
      </w:r>
      <w:r w:rsidR="00BD6237">
        <w:t xml:space="preserve"> in which problem gamblers – and only problem gamblers</w:t>
      </w:r>
      <w:r w:rsidR="00B879EC">
        <w:t xml:space="preserve"> -</w:t>
      </w:r>
      <w:r w:rsidR="00BD6237">
        <w:t xml:space="preserve"> spend less money when loot boxes are removed from a game, preregistered</w:t>
      </w:r>
      <w:r w:rsidR="00D7646B">
        <w:t xml:space="preserve"> replication work is needed</w:t>
      </w:r>
      <w:r w:rsidR="00BD6237">
        <w:t xml:space="preserve"> to confirm the reliability of this effect</w:t>
      </w:r>
      <w:r w:rsidR="00D7646B">
        <w:t xml:space="preserve">. </w:t>
      </w:r>
    </w:p>
    <w:p w14:paraId="6687DBBE" w14:textId="21D5BF1F" w:rsidR="00DB19DF" w:rsidRDefault="008976EB" w:rsidP="00011494">
      <w:pPr>
        <w:pStyle w:val="Heading1"/>
      </w:pPr>
      <w:r>
        <w:t>Conclusions</w:t>
      </w:r>
    </w:p>
    <w:p w14:paraId="6CF820BA" w14:textId="3BDAD0D3" w:rsidR="00327FA7" w:rsidRDefault="000D19AC" w:rsidP="0072742D">
      <w:r>
        <w:t xml:space="preserve">Previous research has suggested that correlations between loot box spending and problem gambling may be </w:t>
      </w:r>
      <w:r w:rsidR="00327FA7">
        <w:t>due to three mechanism</w:t>
      </w:r>
      <w:r w:rsidR="00940A79">
        <w:t>s</w:t>
      </w:r>
      <w:r w:rsidR="004706ED">
        <w:t>.</w:t>
      </w:r>
      <w:r w:rsidR="00327FA7">
        <w:t xml:space="preserve"> (1) They may occur because loot box spending causes problem gambling</w:t>
      </w:r>
      <w:r w:rsidR="004706ED">
        <w:t>.</w:t>
      </w:r>
      <w:r w:rsidR="00327FA7">
        <w:t xml:space="preserve"> (2) </w:t>
      </w:r>
      <w:r w:rsidR="00940A79">
        <w:t>T</w:t>
      </w:r>
      <w:r w:rsidR="00327FA7">
        <w:t xml:space="preserve">hey may occur because the unique, gambling-like </w:t>
      </w:r>
      <w:r w:rsidR="00940A79">
        <w:t>nature</w:t>
      </w:r>
      <w:r w:rsidR="00327FA7">
        <w:t xml:space="preserve"> of loot boxes</w:t>
      </w:r>
      <w:r w:rsidR="00940A79">
        <w:t xml:space="preserve"> causes problem gamblers to spend more money on loot boxes in specific</w:t>
      </w:r>
      <w:r w:rsidR="004706ED">
        <w:t>.</w:t>
      </w:r>
      <w:r w:rsidR="00327FA7">
        <w:t xml:space="preserve"> (3) </w:t>
      </w:r>
      <w:r w:rsidR="00940A79">
        <w:t>T</w:t>
      </w:r>
      <w:r w:rsidR="00327FA7">
        <w:t>hey may occur because of a general dysregulation amongst problem gamblers when it comes to spending</w:t>
      </w:r>
      <w:r w:rsidR="00940A79">
        <w:t xml:space="preserve"> in video games</w:t>
      </w:r>
      <w:r w:rsidR="00327FA7">
        <w:t>.</w:t>
      </w:r>
    </w:p>
    <w:p w14:paraId="0046D6C6" w14:textId="0A99217E" w:rsidR="00BD6237" w:rsidRDefault="00261520" w:rsidP="00E53911">
      <w:r>
        <w:t>O</w:t>
      </w:r>
      <w:r w:rsidR="004706ED">
        <w:t>ur results</w:t>
      </w:r>
      <w:r w:rsidR="007133AA">
        <w:t xml:space="preserve"> do not support arguments that </w:t>
      </w:r>
      <w:r w:rsidR="004706ED">
        <w:t>link</w:t>
      </w:r>
      <w:r w:rsidR="00E53911">
        <w:t>s</w:t>
      </w:r>
      <w:r w:rsidR="007133AA">
        <w:t xml:space="preserve"> between loot box spending and problem gambling </w:t>
      </w:r>
      <w:r w:rsidR="00E53911">
        <w:t>are</w:t>
      </w:r>
      <w:r w:rsidR="007133AA">
        <w:t xml:space="preserve"> simply a </w:t>
      </w:r>
      <w:r w:rsidR="00940A79">
        <w:t>consequence</w:t>
      </w:r>
      <w:r w:rsidR="007133AA">
        <w:t xml:space="preserve"> of</w:t>
      </w:r>
      <w:r w:rsidR="004706ED">
        <w:t xml:space="preserve"> general</w:t>
      </w:r>
      <w:r w:rsidR="007133AA">
        <w:t xml:space="preserve"> dysregulation </w:t>
      </w:r>
      <w:r w:rsidR="004706ED">
        <w:t xml:space="preserve">in in-game spending </w:t>
      </w:r>
      <w:r w:rsidR="007133AA">
        <w:t xml:space="preserve">amongst problem gamblers. </w:t>
      </w:r>
      <w:r w:rsidR="00E53911">
        <w:t xml:space="preserve">When loot boxes were removed from </w:t>
      </w:r>
      <w:r w:rsidR="00E53911">
        <w:rPr>
          <w:i/>
        </w:rPr>
        <w:t>Heroes of the Storm</w:t>
      </w:r>
      <w:r w:rsidR="00E53911">
        <w:t>, problem gamblers spent significantly less money in-game</w:t>
      </w:r>
      <w:r w:rsidR="00BD6237">
        <w:t xml:space="preserve">. Furthermore, exploratory analyses revealed that there was a significant link between problem gambling severity and percentile reduction in spending when loot boxes were removed from a game: The more severe an individual’s problem gambling, the more their spending was reduced when loot boxes were removed from a game. </w:t>
      </w:r>
    </w:p>
    <w:p w14:paraId="72C95E59" w14:textId="6ADA77C4" w:rsidR="00BD6237" w:rsidRDefault="00BD6237" w:rsidP="00E53911">
      <w:r>
        <w:t>However, it is important to note that these results were somewhat inconsistent</w:t>
      </w:r>
      <w:r w:rsidR="00FF2360">
        <w:t xml:space="preserve"> under some analyses. </w:t>
      </w:r>
      <w:r>
        <w:t>When Bonferroni corrections were applied to parametric analyses</w:t>
      </w:r>
      <w:r w:rsidR="00FF2360">
        <w:t xml:space="preserve">, the effect of removing loot boxes on spending amongst problem gamblers became statistically insignificant; when such corrections were </w:t>
      </w:r>
      <w:r w:rsidR="00FF2360">
        <w:rPr>
          <w:i/>
          <w:iCs/>
        </w:rPr>
        <w:t xml:space="preserve">not </w:t>
      </w:r>
      <w:r w:rsidR="00FF2360">
        <w:t>applied to the test, low-risk gamblers appeared to reduce their spending significantly when loot boxes were removed as well.</w:t>
      </w:r>
      <w:r w:rsidR="005C63B5">
        <w:t xml:space="preserve"> It may be the case that the observed inconsistency is simply a product of the overtesting of a relatively small (n=112) dataset.</w:t>
      </w:r>
      <w:r w:rsidR="00FF2360">
        <w:t xml:space="preserve"> Further replication work is necessary to determine the reliability of the effects seen here.</w:t>
      </w:r>
    </w:p>
    <w:p w14:paraId="3D8CB2D6" w14:textId="7A17C905" w:rsidR="005C63B5" w:rsidRDefault="005C63B5" w:rsidP="00E53911">
      <w:r>
        <w:t>When looking at the data presented here, a sceptic may note that whilst the effect size associated with the reduction in spending amongst problem gamblers was statistically large (η</w:t>
      </w:r>
      <w:r w:rsidRPr="009D70B7">
        <w:rPr>
          <w:vertAlign w:val="superscript"/>
        </w:rPr>
        <w:t>2</w:t>
      </w:r>
      <w:r>
        <w:t xml:space="preserve"> = 0.460), it only represented a real-world reduction in spending of $35</w:t>
      </w:r>
      <w:r w:rsidR="00895467">
        <w:t>.40</w:t>
      </w:r>
      <w:r>
        <w:t xml:space="preserve">. What, then, is the practical potential for financial harm in loot boxes? There are several possible rebuttals to such an observation. It is important to note that whilst the mean spending amongst problem gamblers may have dropped by only a small amount, individual problem gamblers themselves experienced a large drop in spending For example, if one consults the raw data associated with this study, one will observe </w:t>
      </w:r>
      <w:r w:rsidR="00C81A86">
        <w:t xml:space="preserve">individual problem gamblers whose spending decreased by hundreds of dollars when loot boxes were removed from </w:t>
      </w:r>
      <w:r w:rsidR="00C81A86">
        <w:rPr>
          <w:i/>
          <w:iCs/>
        </w:rPr>
        <w:t>Heroes of the Storm</w:t>
      </w:r>
      <w:r w:rsidR="00C81A86">
        <w:t xml:space="preserve">. Furthermore, on might argue that spending in general on </w:t>
      </w:r>
      <w:r w:rsidR="00C81A86">
        <w:rPr>
          <w:i/>
          <w:iCs/>
        </w:rPr>
        <w:t>Heroes of the Storm</w:t>
      </w:r>
      <w:r w:rsidR="00C81A86">
        <w:t xml:space="preserve"> was relatively low for a video game. Even prior to the removal of loot boxes, problem gamblers were only spending, on average, $</w:t>
      </w:r>
      <w:r w:rsidR="00895467">
        <w:t>83.86</w:t>
      </w:r>
      <w:r w:rsidR="00C81A86">
        <w:t xml:space="preserve"> per month. The relationship seen here may take on a much larger real-world importance when viewed in the light of potentially more lucrative </w:t>
      </w:r>
      <w:r w:rsidR="00C81A86">
        <w:lastRenderedPageBreak/>
        <w:t xml:space="preserve">games, such as </w:t>
      </w:r>
      <w:r w:rsidR="00C81A86" w:rsidRPr="00B227AF">
        <w:rPr>
          <w:i/>
          <w:iCs/>
        </w:rPr>
        <w:t>FIFA</w:t>
      </w:r>
      <w:r w:rsidR="00C81A86">
        <w:t xml:space="preserve"> or </w:t>
      </w:r>
      <w:r w:rsidR="00C81A86" w:rsidRPr="00B227AF">
        <w:rPr>
          <w:i/>
          <w:iCs/>
        </w:rPr>
        <w:t>Clash Royale</w:t>
      </w:r>
      <w:r w:rsidR="00C81A86">
        <w:t>. Significant further work using industry data on player spending is needed to fully answer these questions.</w:t>
      </w:r>
    </w:p>
    <w:p w14:paraId="5E9146B6" w14:textId="50D0FB24" w:rsidR="00261520" w:rsidRDefault="007133AA" w:rsidP="0072742D">
      <w:r>
        <w:t>What are the real-world implications of this research?</w:t>
      </w:r>
      <w:r w:rsidR="00940A79">
        <w:t xml:space="preserve"> </w:t>
      </w:r>
      <w:r w:rsidR="004875C8">
        <w:t xml:space="preserve">Problem gamblers are characterised by their disordered and excessive spending on gambling activities. This research </w:t>
      </w:r>
      <w:r w:rsidR="00FF2360">
        <w:t xml:space="preserve">may suggest </w:t>
      </w:r>
      <w:r w:rsidR="004875C8">
        <w:t>that the presence of loot boxes in a game specifically causes problem gamblers to spend more money on that game</w:t>
      </w:r>
      <w:r w:rsidR="00AB458E">
        <w:t>.</w:t>
      </w:r>
      <w:r w:rsidR="004875C8">
        <w:t xml:space="preserve"> It seems </w:t>
      </w:r>
      <w:r w:rsidR="00261520">
        <w:t>possible</w:t>
      </w:r>
      <w:r w:rsidR="004875C8">
        <w:t xml:space="preserve"> that this is due to the gambling-like nature of loot boxes</w:t>
      </w:r>
      <w:r w:rsidR="00AB458E">
        <w:t xml:space="preserve">: As noted in </w:t>
      </w:r>
      <w:r w:rsidR="00AB458E">
        <w:fldChar w:fldCharType="begin"/>
      </w:r>
      <w:r w:rsidR="00031F37">
        <w:instrText xml:space="preserve"> ADDIN ZOTERO_ITEM CSL_CITATION {"citationID":"GuXgzk1i","properties":{"formattedCitation":"[11]","plainCitation":"[11]","noteIndex":0},"citationItems":[{"id":2244,"uris":["http://zotero.org/users/1646069/items/NE343ADH"],"uri":["http://zotero.org/users/1646069/items/NE343ADH"],"itemData":{"id":2244,"type":"article-journal","title":"Video game loot boxes are linked to problem gambling: Results of a large-scale survey","container-title":"PLoS One","page":"e0206767","volume":"13","issue":"11","source":"Google Scholar","title-short":"Video game loot boxes are linked to problem gambling","author":[{"family":"Zendle","given":"David"},{"family":"Cairns","given":"Paul"}],"issued":{"date-parts":[["2018"]]}}}],"schema":"https://github.com/citation-style-language/schema/raw/master/csl-citation.json"} </w:instrText>
      </w:r>
      <w:r w:rsidR="00AB458E">
        <w:fldChar w:fldCharType="separate"/>
      </w:r>
      <w:r w:rsidR="00031F37" w:rsidRPr="00B227AF">
        <w:rPr>
          <w:rFonts w:ascii="Calibri" w:hAnsi="Calibri"/>
        </w:rPr>
        <w:t>[11]</w:t>
      </w:r>
      <w:r w:rsidR="00AB458E">
        <w:fldChar w:fldCharType="end"/>
      </w:r>
      <w:r w:rsidR="00AB458E">
        <w:t>, excessive and disordered spending on gambling activities may transfer to loot boxes due to formal similarities between themselves and gambling</w:t>
      </w:r>
      <w:r w:rsidR="004875C8">
        <w:t>.</w:t>
      </w:r>
    </w:p>
    <w:p w14:paraId="28122086" w14:textId="5673773E" w:rsidR="004875C8" w:rsidRDefault="00940A79" w:rsidP="0072742D">
      <w:r>
        <w:t>Loot boxes may have generated as much as $30 billion for the video game industry in 2018 alone</w:t>
      </w:r>
      <w:r>
        <w:fldChar w:fldCharType="begin"/>
      </w:r>
      <w:r w:rsidR="00387526">
        <w:instrText xml:space="preserve"> ADDIN ZOTERO_ITEM CSL_CITATION {"citationID":"8e8vcki8","properties":{"formattedCitation":"[26]","plainCitation":"[26]","noteIndex":0},"citationItems":[{"id":1880,"uris":["http://zotero.org/users/1646069/items/FM7KE4PM"],"uri":["http://zotero.org/users/1646069/items/FM7KE4PM"],"itemData":{"id":1880,"type":"webpage","title":"In-Game Gambling ~ The Next Cash Cow for Publishers","URL":"https://www.juniperresearch.com/document-library/white-papers/in-game-gambling-~-the-next-cash-cow","author":[{"family":"Juniper Research","given":""}],"issued":{"date-parts":[["2018",4]]},"accessed":{"date-parts":[["2018",7,15]]}}}],"schema":"https://github.com/citation-style-language/schema/raw/master/csl-citation.json"} </w:instrText>
      </w:r>
      <w:r>
        <w:fldChar w:fldCharType="separate"/>
      </w:r>
      <w:r w:rsidR="00387526" w:rsidRPr="00B227AF">
        <w:rPr>
          <w:rFonts w:ascii="Calibri" w:hAnsi="Calibri"/>
        </w:rPr>
        <w:t>[26]</w:t>
      </w:r>
      <w:r>
        <w:fldChar w:fldCharType="end"/>
      </w:r>
      <w:r>
        <w:t xml:space="preserve">. These results suggest that </w:t>
      </w:r>
      <w:r w:rsidR="004875C8">
        <w:t>this revenue</w:t>
      </w:r>
      <w:r>
        <w:t xml:space="preserve"> </w:t>
      </w:r>
      <w:r w:rsidR="00FF2360">
        <w:t>may have</w:t>
      </w:r>
      <w:r>
        <w:t xml:space="preserve"> been driven</w:t>
      </w:r>
      <w:r w:rsidR="00330A62">
        <w:t>,</w:t>
      </w:r>
      <w:r>
        <w:t xml:space="preserve"> at least in par</w:t>
      </w:r>
      <w:r w:rsidR="00330A62">
        <w:t>t,</w:t>
      </w:r>
      <w:r>
        <w:t xml:space="preserve"> by</w:t>
      </w:r>
      <w:r w:rsidR="004875C8">
        <w:t xml:space="preserve"> gambling problems amongst gamers.</w:t>
      </w:r>
      <w:r w:rsidR="00FF2360">
        <w:t xml:space="preserve"> </w:t>
      </w:r>
    </w:p>
    <w:p w14:paraId="46C85892" w14:textId="187C91B3" w:rsidR="00F80A5E" w:rsidRDefault="00C12F52" w:rsidP="00C12F52">
      <w:pPr>
        <w:pStyle w:val="Heading1"/>
      </w:pPr>
      <w:r>
        <w:t xml:space="preserve">Bibliography </w:t>
      </w:r>
    </w:p>
    <w:p w14:paraId="22E4058E" w14:textId="29E3C208" w:rsidR="000A233B" w:rsidRPr="00B227AF" w:rsidRDefault="00C12F52" w:rsidP="00B227AF">
      <w:pPr>
        <w:pStyle w:val="Bibliography"/>
        <w:rPr>
          <w:rFonts w:ascii="Calibri" w:hAnsi="Calibri" w:cs="Times New Roman"/>
          <w:szCs w:val="24"/>
        </w:rPr>
      </w:pPr>
      <w:r>
        <w:fldChar w:fldCharType="begin"/>
      </w:r>
      <w:r w:rsidR="000A233B">
        <w:instrText xml:space="preserve"> ADDIN ZOTERO_BIBL {"uncited":[],"omitted":[],"custom":[]} CSL_BIBLIOGRAPHY </w:instrText>
      </w:r>
      <w:r>
        <w:fldChar w:fldCharType="separate"/>
      </w:r>
      <w:r w:rsidR="000A233B" w:rsidRPr="00B227AF">
        <w:rPr>
          <w:rFonts w:ascii="Calibri" w:hAnsi="Calibri" w:cs="Times New Roman"/>
          <w:szCs w:val="24"/>
        </w:rPr>
        <w:t>[1]</w:t>
      </w:r>
      <w:r w:rsidR="000A233B" w:rsidRPr="00B227AF">
        <w:rPr>
          <w:rFonts w:ascii="Calibri" w:hAnsi="Calibri" w:cs="Times New Roman"/>
          <w:szCs w:val="24"/>
        </w:rPr>
        <w:tab/>
        <w:t xml:space="preserve">S. Boxer, “Blizzard removes real-money loot boxes from Heroes of the Storm,” </w:t>
      </w:r>
      <w:r w:rsidR="000A233B" w:rsidRPr="00B227AF">
        <w:rPr>
          <w:rFonts w:ascii="Calibri" w:hAnsi="Calibri" w:cs="Times New Roman"/>
          <w:i/>
          <w:iCs/>
          <w:szCs w:val="24"/>
        </w:rPr>
        <w:t>Green Man Gaming Newsroom</w:t>
      </w:r>
      <w:r w:rsidR="000A233B" w:rsidRPr="00B227AF">
        <w:rPr>
          <w:rFonts w:ascii="Calibri" w:hAnsi="Calibri" w:cs="Times New Roman"/>
          <w:szCs w:val="24"/>
        </w:rPr>
        <w:t>, 25-Mar-2019. .</w:t>
      </w:r>
    </w:p>
    <w:p w14:paraId="20B5EF21" w14:textId="77777777" w:rsidR="000A233B" w:rsidRPr="00B227AF" w:rsidRDefault="000A233B" w:rsidP="00B227AF">
      <w:pPr>
        <w:pStyle w:val="Bibliography"/>
        <w:rPr>
          <w:rFonts w:ascii="Calibri" w:hAnsi="Calibri" w:cs="Times New Roman"/>
          <w:szCs w:val="24"/>
        </w:rPr>
      </w:pPr>
      <w:r w:rsidRPr="00B227AF">
        <w:rPr>
          <w:rFonts w:ascii="Calibri" w:hAnsi="Calibri" w:cs="Times New Roman"/>
          <w:szCs w:val="24"/>
        </w:rPr>
        <w:t>[2]</w:t>
      </w:r>
      <w:r w:rsidRPr="00B227AF">
        <w:rPr>
          <w:rFonts w:ascii="Calibri" w:hAnsi="Calibri" w:cs="Times New Roman"/>
          <w:szCs w:val="24"/>
        </w:rPr>
        <w:tab/>
        <w:t xml:space="preserve">R. Kaser, “Blizzard tweaks loot boxes in Heroes of the Storm amid gambling controversy,” </w:t>
      </w:r>
      <w:r w:rsidRPr="00B227AF">
        <w:rPr>
          <w:rFonts w:ascii="Calibri" w:hAnsi="Calibri" w:cs="Times New Roman"/>
          <w:i/>
          <w:iCs/>
          <w:szCs w:val="24"/>
        </w:rPr>
        <w:t>The Next Web</w:t>
      </w:r>
      <w:r w:rsidRPr="00B227AF">
        <w:rPr>
          <w:rFonts w:ascii="Calibri" w:hAnsi="Calibri" w:cs="Times New Roman"/>
          <w:szCs w:val="24"/>
        </w:rPr>
        <w:t>, 26-Mar-2019. [Online]. Available: https://thenextweb.com/gaming/2019/03/26/blizzard-loot-boxes-heroes-of-the-storm-gambling/. [Accessed: 05-Jun-2019].</w:t>
      </w:r>
    </w:p>
    <w:p w14:paraId="7EA396F5" w14:textId="77777777" w:rsidR="000A233B" w:rsidRPr="00B227AF" w:rsidRDefault="000A233B" w:rsidP="00B227AF">
      <w:pPr>
        <w:pStyle w:val="Bibliography"/>
        <w:rPr>
          <w:rFonts w:ascii="Calibri" w:hAnsi="Calibri" w:cs="Times New Roman"/>
          <w:szCs w:val="24"/>
        </w:rPr>
      </w:pPr>
      <w:r w:rsidRPr="00B227AF">
        <w:rPr>
          <w:rFonts w:ascii="Calibri" w:hAnsi="Calibri" w:cs="Times New Roman"/>
          <w:szCs w:val="24"/>
        </w:rPr>
        <w:t>[3]</w:t>
      </w:r>
      <w:r w:rsidRPr="00B227AF">
        <w:rPr>
          <w:rFonts w:ascii="Calibri" w:hAnsi="Calibri" w:cs="Times New Roman"/>
          <w:szCs w:val="24"/>
        </w:rPr>
        <w:tab/>
        <w:t xml:space="preserve">M. Griffiths, </w:t>
      </w:r>
      <w:r w:rsidRPr="00B227AF">
        <w:rPr>
          <w:rFonts w:ascii="Calibri" w:hAnsi="Calibri" w:cs="Times New Roman"/>
          <w:i/>
          <w:iCs/>
          <w:szCs w:val="24"/>
        </w:rPr>
        <w:t>Adolescent Gambling</w:t>
      </w:r>
      <w:r w:rsidRPr="00B227AF">
        <w:rPr>
          <w:rFonts w:ascii="Calibri" w:hAnsi="Calibri" w:cs="Times New Roman"/>
          <w:szCs w:val="24"/>
        </w:rPr>
        <w:t>. Psychology Press, 1995.</w:t>
      </w:r>
    </w:p>
    <w:p w14:paraId="64E32A44" w14:textId="77777777" w:rsidR="000A233B" w:rsidRPr="00B227AF" w:rsidRDefault="000A233B" w:rsidP="00B227AF">
      <w:pPr>
        <w:pStyle w:val="Bibliography"/>
        <w:rPr>
          <w:rFonts w:ascii="Calibri" w:hAnsi="Calibri" w:cs="Times New Roman"/>
          <w:szCs w:val="24"/>
        </w:rPr>
      </w:pPr>
      <w:r w:rsidRPr="00B227AF">
        <w:rPr>
          <w:rFonts w:ascii="Calibri" w:hAnsi="Calibri" w:cs="Times New Roman"/>
          <w:szCs w:val="24"/>
        </w:rPr>
        <w:t>[4]</w:t>
      </w:r>
      <w:r w:rsidRPr="00B227AF">
        <w:rPr>
          <w:rFonts w:ascii="Calibri" w:hAnsi="Calibri" w:cs="Times New Roman"/>
          <w:szCs w:val="24"/>
        </w:rPr>
        <w:tab/>
        <w:t xml:space="preserve">A. Drummond and J. D. Sauer, “Video game loot boxes are psychologically akin to gambling,” </w:t>
      </w:r>
      <w:r w:rsidRPr="00B227AF">
        <w:rPr>
          <w:rFonts w:ascii="Calibri" w:hAnsi="Calibri" w:cs="Times New Roman"/>
          <w:i/>
          <w:iCs/>
          <w:szCs w:val="24"/>
        </w:rPr>
        <w:t>Nat. Hum. Behav.</w:t>
      </w:r>
      <w:r w:rsidRPr="00B227AF">
        <w:rPr>
          <w:rFonts w:ascii="Calibri" w:hAnsi="Calibri" w:cs="Times New Roman"/>
          <w:szCs w:val="24"/>
        </w:rPr>
        <w:t>, pp. 530–532, Jun. 2018.</w:t>
      </w:r>
    </w:p>
    <w:p w14:paraId="79D956E1" w14:textId="77777777" w:rsidR="000A233B" w:rsidRPr="00B227AF" w:rsidRDefault="000A233B" w:rsidP="00B227AF">
      <w:pPr>
        <w:pStyle w:val="Bibliography"/>
        <w:rPr>
          <w:rFonts w:ascii="Calibri" w:hAnsi="Calibri" w:cs="Times New Roman"/>
          <w:szCs w:val="24"/>
        </w:rPr>
      </w:pPr>
      <w:r w:rsidRPr="00B227AF">
        <w:rPr>
          <w:rFonts w:ascii="Calibri" w:hAnsi="Calibri" w:cs="Times New Roman"/>
          <w:szCs w:val="24"/>
        </w:rPr>
        <w:t>[5]</w:t>
      </w:r>
      <w:r w:rsidRPr="00B227AF">
        <w:rPr>
          <w:rFonts w:ascii="Calibri" w:hAnsi="Calibri" w:cs="Times New Roman"/>
          <w:szCs w:val="24"/>
        </w:rPr>
        <w:tab/>
        <w:t xml:space="preserve">B. F. Skinner and C. B. Ferster, </w:t>
      </w:r>
      <w:r w:rsidRPr="00B227AF">
        <w:rPr>
          <w:rFonts w:ascii="Calibri" w:hAnsi="Calibri" w:cs="Times New Roman"/>
          <w:i/>
          <w:iCs/>
          <w:szCs w:val="24"/>
        </w:rPr>
        <w:t>Schedules of Reinforcement</w:t>
      </w:r>
      <w:r w:rsidRPr="00B227AF">
        <w:rPr>
          <w:rFonts w:ascii="Calibri" w:hAnsi="Calibri" w:cs="Times New Roman"/>
          <w:szCs w:val="24"/>
        </w:rPr>
        <w:t>. B. F. Skinner Foundation, 2015.</w:t>
      </w:r>
    </w:p>
    <w:p w14:paraId="21E6F053" w14:textId="77777777" w:rsidR="000A233B" w:rsidRPr="00B227AF" w:rsidRDefault="000A233B" w:rsidP="00B227AF">
      <w:pPr>
        <w:pStyle w:val="Bibliography"/>
        <w:rPr>
          <w:rFonts w:ascii="Calibri" w:hAnsi="Calibri" w:cs="Times New Roman"/>
          <w:szCs w:val="24"/>
        </w:rPr>
      </w:pPr>
      <w:r w:rsidRPr="00B227AF">
        <w:rPr>
          <w:rFonts w:ascii="Calibri" w:hAnsi="Calibri" w:cs="Times New Roman"/>
          <w:szCs w:val="24"/>
        </w:rPr>
        <w:t>[6]</w:t>
      </w:r>
      <w:r w:rsidRPr="00B227AF">
        <w:rPr>
          <w:rFonts w:ascii="Calibri" w:hAnsi="Calibri" w:cs="Times New Roman"/>
          <w:szCs w:val="24"/>
        </w:rPr>
        <w:tab/>
        <w:t xml:space="preserve">M. W. Eysenck, </w:t>
      </w:r>
      <w:r w:rsidRPr="00B227AF">
        <w:rPr>
          <w:rFonts w:ascii="Calibri" w:hAnsi="Calibri" w:cs="Times New Roman"/>
          <w:i/>
          <w:iCs/>
          <w:szCs w:val="24"/>
        </w:rPr>
        <w:t>Psychology: An International Perspective</w:t>
      </w:r>
      <w:r w:rsidRPr="00B227AF">
        <w:rPr>
          <w:rFonts w:ascii="Calibri" w:hAnsi="Calibri" w:cs="Times New Roman"/>
          <w:szCs w:val="24"/>
        </w:rPr>
        <w:t>. Taylor &amp; Francis, 2004.</w:t>
      </w:r>
    </w:p>
    <w:p w14:paraId="339E59EC" w14:textId="77777777" w:rsidR="000A233B" w:rsidRPr="00B227AF" w:rsidRDefault="000A233B" w:rsidP="00B227AF">
      <w:pPr>
        <w:pStyle w:val="Bibliography"/>
        <w:rPr>
          <w:rFonts w:ascii="Calibri" w:hAnsi="Calibri" w:cs="Times New Roman"/>
          <w:szCs w:val="24"/>
        </w:rPr>
      </w:pPr>
      <w:r w:rsidRPr="00B227AF">
        <w:rPr>
          <w:rFonts w:ascii="Calibri" w:hAnsi="Calibri" w:cs="Times New Roman"/>
          <w:szCs w:val="24"/>
        </w:rPr>
        <w:t>[7]</w:t>
      </w:r>
      <w:r w:rsidRPr="00B227AF">
        <w:rPr>
          <w:rFonts w:ascii="Calibri" w:hAnsi="Calibri" w:cs="Times New Roman"/>
          <w:szCs w:val="24"/>
        </w:rPr>
        <w:tab/>
        <w:t xml:space="preserve">A. Blaszczynski and L. Nower, “A pathways model of problem and pathological gambling,” </w:t>
      </w:r>
      <w:r w:rsidRPr="00B227AF">
        <w:rPr>
          <w:rFonts w:ascii="Calibri" w:hAnsi="Calibri" w:cs="Times New Roman"/>
          <w:i/>
          <w:iCs/>
          <w:szCs w:val="24"/>
        </w:rPr>
        <w:t>Addiction</w:t>
      </w:r>
      <w:r w:rsidRPr="00B227AF">
        <w:rPr>
          <w:rFonts w:ascii="Calibri" w:hAnsi="Calibri" w:cs="Times New Roman"/>
          <w:szCs w:val="24"/>
        </w:rPr>
        <w:t>, vol. 97, no. 5, pp. 487–499, 2002.</w:t>
      </w:r>
    </w:p>
    <w:p w14:paraId="5CEC8E4C" w14:textId="77777777" w:rsidR="000A233B" w:rsidRPr="00B227AF" w:rsidRDefault="000A233B" w:rsidP="00B227AF">
      <w:pPr>
        <w:pStyle w:val="Bibliography"/>
        <w:rPr>
          <w:rFonts w:ascii="Calibri" w:hAnsi="Calibri" w:cs="Times New Roman"/>
          <w:szCs w:val="24"/>
        </w:rPr>
      </w:pPr>
      <w:r w:rsidRPr="00B227AF">
        <w:rPr>
          <w:rFonts w:ascii="Calibri" w:hAnsi="Calibri" w:cs="Times New Roman"/>
          <w:szCs w:val="24"/>
        </w:rPr>
        <w:t>[8]</w:t>
      </w:r>
      <w:r w:rsidRPr="00B227AF">
        <w:rPr>
          <w:rFonts w:ascii="Calibri" w:hAnsi="Calibri" w:cs="Times New Roman"/>
          <w:szCs w:val="24"/>
        </w:rPr>
        <w:tab/>
        <w:t xml:space="preserve">M. Griffiths, “Fruit machine gambling: The importance of structural characteristics,” </w:t>
      </w:r>
      <w:r w:rsidRPr="00B227AF">
        <w:rPr>
          <w:rFonts w:ascii="Calibri" w:hAnsi="Calibri" w:cs="Times New Roman"/>
          <w:i/>
          <w:iCs/>
          <w:szCs w:val="24"/>
        </w:rPr>
        <w:t>J. Gambl. Stud.</w:t>
      </w:r>
      <w:r w:rsidRPr="00B227AF">
        <w:rPr>
          <w:rFonts w:ascii="Calibri" w:hAnsi="Calibri" w:cs="Times New Roman"/>
          <w:szCs w:val="24"/>
        </w:rPr>
        <w:t>, vol. 9, no. 2, pp. 101–120, 1993.</w:t>
      </w:r>
    </w:p>
    <w:p w14:paraId="7A1BD219" w14:textId="77777777" w:rsidR="000A233B" w:rsidRPr="00B227AF" w:rsidRDefault="000A233B" w:rsidP="00B227AF">
      <w:pPr>
        <w:pStyle w:val="Bibliography"/>
        <w:rPr>
          <w:rFonts w:ascii="Calibri" w:hAnsi="Calibri" w:cs="Times New Roman"/>
          <w:szCs w:val="24"/>
        </w:rPr>
      </w:pPr>
      <w:r w:rsidRPr="00B227AF">
        <w:rPr>
          <w:rFonts w:ascii="Calibri" w:hAnsi="Calibri" w:cs="Times New Roman"/>
          <w:szCs w:val="24"/>
        </w:rPr>
        <w:t>[9]</w:t>
      </w:r>
      <w:r w:rsidRPr="00B227AF">
        <w:rPr>
          <w:rFonts w:ascii="Calibri" w:hAnsi="Calibri" w:cs="Times New Roman"/>
          <w:szCs w:val="24"/>
        </w:rPr>
        <w:tab/>
        <w:t xml:space="preserve">M. Walker, K. Matarese, A. Blaszczynski, and L. Sharpe, “Explaining the attraction of poker machines: cognition or conditioning,” </w:t>
      </w:r>
      <w:r w:rsidRPr="00B227AF">
        <w:rPr>
          <w:rFonts w:ascii="Calibri" w:hAnsi="Calibri" w:cs="Times New Roman"/>
          <w:i/>
          <w:iCs/>
          <w:szCs w:val="24"/>
        </w:rPr>
        <w:t>Rep. Casino Community Benefit Fund Trustee Gambl. Res. Unit Univ. Syd. March GamAid Pilot Serv. Br. J. Guid. Couns.</w:t>
      </w:r>
      <w:r w:rsidRPr="00B227AF">
        <w:rPr>
          <w:rFonts w:ascii="Calibri" w:hAnsi="Calibri" w:cs="Times New Roman"/>
          <w:szCs w:val="24"/>
        </w:rPr>
        <w:t>, vol. 35, no. 4, pp. 373–89, 2004.</w:t>
      </w:r>
    </w:p>
    <w:p w14:paraId="1857F6C8" w14:textId="77777777" w:rsidR="000A233B" w:rsidRPr="00B227AF" w:rsidRDefault="000A233B" w:rsidP="00B227AF">
      <w:pPr>
        <w:pStyle w:val="Bibliography"/>
        <w:rPr>
          <w:rFonts w:ascii="Calibri" w:hAnsi="Calibri" w:cs="Times New Roman"/>
          <w:szCs w:val="24"/>
        </w:rPr>
      </w:pPr>
      <w:r w:rsidRPr="00B227AF">
        <w:rPr>
          <w:rFonts w:ascii="Calibri" w:hAnsi="Calibri" w:cs="Times New Roman"/>
          <w:szCs w:val="24"/>
        </w:rPr>
        <w:t>[10]</w:t>
      </w:r>
      <w:r w:rsidRPr="00B227AF">
        <w:rPr>
          <w:rFonts w:ascii="Calibri" w:hAnsi="Calibri" w:cs="Times New Roman"/>
          <w:szCs w:val="24"/>
        </w:rPr>
        <w:tab/>
        <w:t xml:space="preserve">M. D. Griffiths and M. Auer, “Becoming hooked? Angling, gambling, and ‘fishing addiction,’” </w:t>
      </w:r>
      <w:r w:rsidRPr="00B227AF">
        <w:rPr>
          <w:rFonts w:ascii="Calibri" w:hAnsi="Calibri" w:cs="Times New Roman"/>
          <w:i/>
          <w:iCs/>
          <w:szCs w:val="24"/>
        </w:rPr>
        <w:t>Arch. Behav. Addict.</w:t>
      </w:r>
      <w:r w:rsidRPr="00B227AF">
        <w:rPr>
          <w:rFonts w:ascii="Calibri" w:hAnsi="Calibri" w:cs="Times New Roman"/>
          <w:szCs w:val="24"/>
        </w:rPr>
        <w:t>, vol. 1, no. 1, 2019.</w:t>
      </w:r>
    </w:p>
    <w:p w14:paraId="01A30724" w14:textId="77777777" w:rsidR="000A233B" w:rsidRPr="00B227AF" w:rsidRDefault="000A233B" w:rsidP="00B227AF">
      <w:pPr>
        <w:pStyle w:val="Bibliography"/>
        <w:rPr>
          <w:rFonts w:ascii="Calibri" w:hAnsi="Calibri" w:cs="Times New Roman"/>
          <w:szCs w:val="24"/>
        </w:rPr>
      </w:pPr>
      <w:r w:rsidRPr="00B227AF">
        <w:rPr>
          <w:rFonts w:ascii="Calibri" w:hAnsi="Calibri" w:cs="Times New Roman"/>
          <w:szCs w:val="24"/>
        </w:rPr>
        <w:t>[11]</w:t>
      </w:r>
      <w:r w:rsidRPr="00B227AF">
        <w:rPr>
          <w:rFonts w:ascii="Calibri" w:hAnsi="Calibri" w:cs="Times New Roman"/>
          <w:szCs w:val="24"/>
        </w:rPr>
        <w:tab/>
        <w:t xml:space="preserve">D. Zendle and P. Cairns, “Video game loot boxes are linked to problem gambling: Results of a large-scale survey,” </w:t>
      </w:r>
      <w:r w:rsidRPr="00B227AF">
        <w:rPr>
          <w:rFonts w:ascii="Calibri" w:hAnsi="Calibri" w:cs="Times New Roman"/>
          <w:i/>
          <w:iCs/>
          <w:szCs w:val="24"/>
        </w:rPr>
        <w:t>PLoS One</w:t>
      </w:r>
      <w:r w:rsidRPr="00B227AF">
        <w:rPr>
          <w:rFonts w:ascii="Calibri" w:hAnsi="Calibri" w:cs="Times New Roman"/>
          <w:szCs w:val="24"/>
        </w:rPr>
        <w:t>, vol. 13, no. 11, p. e0206767, 2018.</w:t>
      </w:r>
    </w:p>
    <w:p w14:paraId="66559132" w14:textId="77777777" w:rsidR="000A233B" w:rsidRPr="00B227AF" w:rsidRDefault="000A233B" w:rsidP="00B227AF">
      <w:pPr>
        <w:pStyle w:val="Bibliography"/>
        <w:rPr>
          <w:rFonts w:ascii="Calibri" w:hAnsi="Calibri" w:cs="Times New Roman"/>
          <w:szCs w:val="24"/>
        </w:rPr>
      </w:pPr>
      <w:r w:rsidRPr="00B227AF">
        <w:rPr>
          <w:rFonts w:ascii="Calibri" w:hAnsi="Calibri" w:cs="Times New Roman"/>
          <w:szCs w:val="24"/>
        </w:rPr>
        <w:t>[12]</w:t>
      </w:r>
      <w:r w:rsidRPr="00B227AF">
        <w:rPr>
          <w:rFonts w:ascii="Calibri" w:hAnsi="Calibri" w:cs="Times New Roman"/>
          <w:szCs w:val="24"/>
        </w:rPr>
        <w:tab/>
        <w:t xml:space="preserve">D. Zendle and P. Cairns, “Loot boxes are again linked to problem gambling: Results of a replication study,” </w:t>
      </w:r>
      <w:r w:rsidRPr="00B227AF">
        <w:rPr>
          <w:rFonts w:ascii="Calibri" w:hAnsi="Calibri" w:cs="Times New Roman"/>
          <w:i/>
          <w:iCs/>
          <w:szCs w:val="24"/>
        </w:rPr>
        <w:t>PLoS One</w:t>
      </w:r>
      <w:r w:rsidRPr="00B227AF">
        <w:rPr>
          <w:rFonts w:ascii="Calibri" w:hAnsi="Calibri" w:cs="Times New Roman"/>
          <w:szCs w:val="24"/>
        </w:rPr>
        <w:t>, vol. 14, no. 3, p. e0213194, Mar. 2019.</w:t>
      </w:r>
    </w:p>
    <w:p w14:paraId="7BB00FF1" w14:textId="77777777" w:rsidR="000A233B" w:rsidRPr="00B227AF" w:rsidRDefault="000A233B" w:rsidP="00B227AF">
      <w:pPr>
        <w:pStyle w:val="Bibliography"/>
        <w:rPr>
          <w:rFonts w:ascii="Calibri" w:hAnsi="Calibri" w:cs="Times New Roman"/>
          <w:szCs w:val="24"/>
        </w:rPr>
      </w:pPr>
      <w:r w:rsidRPr="00B227AF">
        <w:rPr>
          <w:rFonts w:ascii="Calibri" w:hAnsi="Calibri" w:cs="Times New Roman"/>
          <w:szCs w:val="24"/>
        </w:rPr>
        <w:t>[13]</w:t>
      </w:r>
      <w:r w:rsidRPr="00B227AF">
        <w:rPr>
          <w:rFonts w:ascii="Calibri" w:hAnsi="Calibri" w:cs="Times New Roman"/>
          <w:szCs w:val="24"/>
        </w:rPr>
        <w:tab/>
        <w:t>D. Zendle, C. McCall, H. Barnett, and P. Cairns, “Paying for loot boxes is linked to problem gambling, regardless of specific features like cash-out and pay-to-win: A preregistered investigation,” Oct. 2018.</w:t>
      </w:r>
    </w:p>
    <w:p w14:paraId="2C60819E" w14:textId="77777777" w:rsidR="000A233B" w:rsidRPr="00B227AF" w:rsidRDefault="000A233B" w:rsidP="00B227AF">
      <w:pPr>
        <w:pStyle w:val="Bibliography"/>
        <w:rPr>
          <w:rFonts w:ascii="Calibri" w:hAnsi="Calibri" w:cs="Times New Roman"/>
          <w:szCs w:val="24"/>
        </w:rPr>
      </w:pPr>
      <w:r w:rsidRPr="00B227AF">
        <w:rPr>
          <w:rFonts w:ascii="Calibri" w:hAnsi="Calibri" w:cs="Times New Roman"/>
          <w:szCs w:val="24"/>
        </w:rPr>
        <w:t>[14]</w:t>
      </w:r>
      <w:r w:rsidRPr="00B227AF">
        <w:rPr>
          <w:rFonts w:ascii="Calibri" w:hAnsi="Calibri" w:cs="Times New Roman"/>
          <w:szCs w:val="24"/>
        </w:rPr>
        <w:tab/>
        <w:t xml:space="preserve">G. A. Brooks and L. Clark, “Associations between loot box use, problematic gaming and gambling, and gambling-related cognitions,” </w:t>
      </w:r>
      <w:r w:rsidRPr="00B227AF">
        <w:rPr>
          <w:rFonts w:ascii="Calibri" w:hAnsi="Calibri" w:cs="Times New Roman"/>
          <w:i/>
          <w:iCs/>
          <w:szCs w:val="24"/>
        </w:rPr>
        <w:t>Addict. Behav.</w:t>
      </w:r>
      <w:r w:rsidRPr="00B227AF">
        <w:rPr>
          <w:rFonts w:ascii="Calibri" w:hAnsi="Calibri" w:cs="Times New Roman"/>
          <w:szCs w:val="24"/>
        </w:rPr>
        <w:t>, 2019.</w:t>
      </w:r>
    </w:p>
    <w:p w14:paraId="0D5967FD" w14:textId="77777777" w:rsidR="000A233B" w:rsidRPr="00B227AF" w:rsidRDefault="000A233B" w:rsidP="00B227AF">
      <w:pPr>
        <w:pStyle w:val="Bibliography"/>
        <w:rPr>
          <w:rFonts w:ascii="Calibri" w:hAnsi="Calibri" w:cs="Times New Roman"/>
          <w:szCs w:val="24"/>
        </w:rPr>
      </w:pPr>
      <w:r w:rsidRPr="00B227AF">
        <w:rPr>
          <w:rFonts w:ascii="Calibri" w:hAnsi="Calibri" w:cs="Times New Roman"/>
          <w:szCs w:val="24"/>
        </w:rPr>
        <w:t>[15]</w:t>
      </w:r>
      <w:r w:rsidRPr="00B227AF">
        <w:rPr>
          <w:rFonts w:ascii="Calibri" w:hAnsi="Calibri" w:cs="Times New Roman"/>
          <w:szCs w:val="24"/>
        </w:rPr>
        <w:tab/>
        <w:t xml:space="preserve">D. Zendle, R. Meyer, and H. Over, “Adolescents and loot boxes: Links with problem gambling and motivations for purchase,” </w:t>
      </w:r>
      <w:r w:rsidRPr="00B227AF">
        <w:rPr>
          <w:rFonts w:ascii="Calibri" w:hAnsi="Calibri" w:cs="Times New Roman"/>
          <w:i/>
          <w:iCs/>
          <w:szCs w:val="24"/>
        </w:rPr>
        <w:t>R. Soc. Open Sci.</w:t>
      </w:r>
      <w:r w:rsidRPr="00B227AF">
        <w:rPr>
          <w:rFonts w:ascii="Calibri" w:hAnsi="Calibri" w:cs="Times New Roman"/>
          <w:szCs w:val="24"/>
        </w:rPr>
        <w:t>, In Press 2019.</w:t>
      </w:r>
    </w:p>
    <w:p w14:paraId="39F7035E" w14:textId="77777777" w:rsidR="000A233B" w:rsidRPr="00B227AF" w:rsidRDefault="000A233B" w:rsidP="00B227AF">
      <w:pPr>
        <w:pStyle w:val="Bibliography"/>
        <w:rPr>
          <w:rFonts w:ascii="Calibri" w:hAnsi="Calibri" w:cs="Times New Roman"/>
          <w:szCs w:val="24"/>
        </w:rPr>
      </w:pPr>
      <w:r w:rsidRPr="00B227AF">
        <w:rPr>
          <w:rFonts w:ascii="Calibri" w:hAnsi="Calibri" w:cs="Times New Roman"/>
          <w:szCs w:val="24"/>
        </w:rPr>
        <w:t>[16]</w:t>
      </w:r>
      <w:r w:rsidRPr="00B227AF">
        <w:rPr>
          <w:rFonts w:ascii="Calibri" w:hAnsi="Calibri" w:cs="Times New Roman"/>
          <w:szCs w:val="24"/>
        </w:rPr>
        <w:tab/>
        <w:t xml:space="preserve">J. Macey and J. Hamari, “eSports, skins and loot boxes: Participants, practices and problematic behaviour associated with emergent forms of gambling,” </w:t>
      </w:r>
      <w:r w:rsidRPr="00B227AF">
        <w:rPr>
          <w:rFonts w:ascii="Calibri" w:hAnsi="Calibri" w:cs="Times New Roman"/>
          <w:i/>
          <w:iCs/>
          <w:szCs w:val="24"/>
        </w:rPr>
        <w:t>New Media Soc.</w:t>
      </w:r>
      <w:r w:rsidRPr="00B227AF">
        <w:rPr>
          <w:rFonts w:ascii="Calibri" w:hAnsi="Calibri" w:cs="Times New Roman"/>
          <w:szCs w:val="24"/>
        </w:rPr>
        <w:t>, p. 1461444818786216, Jul. 2018.</w:t>
      </w:r>
    </w:p>
    <w:p w14:paraId="5448F84D" w14:textId="77777777" w:rsidR="000A233B" w:rsidRPr="00B227AF" w:rsidRDefault="000A233B" w:rsidP="00B227AF">
      <w:pPr>
        <w:pStyle w:val="Bibliography"/>
        <w:rPr>
          <w:rFonts w:ascii="Calibri" w:hAnsi="Calibri" w:cs="Times New Roman"/>
          <w:szCs w:val="24"/>
        </w:rPr>
      </w:pPr>
      <w:r w:rsidRPr="00B227AF">
        <w:rPr>
          <w:rFonts w:ascii="Calibri" w:hAnsi="Calibri" w:cs="Times New Roman"/>
          <w:szCs w:val="24"/>
        </w:rPr>
        <w:t>[17]</w:t>
      </w:r>
      <w:r w:rsidRPr="00B227AF">
        <w:rPr>
          <w:rFonts w:ascii="Calibri" w:hAnsi="Calibri" w:cs="Times New Roman"/>
          <w:szCs w:val="24"/>
        </w:rPr>
        <w:tab/>
        <w:t xml:space="preserve">D. Zendle and P. Cairns, “Loot box spending in video games is again linked to problem gambling,” </w:t>
      </w:r>
      <w:r w:rsidRPr="00B227AF">
        <w:rPr>
          <w:rFonts w:ascii="Calibri" w:hAnsi="Calibri" w:cs="Times New Roman"/>
          <w:i/>
          <w:iCs/>
          <w:szCs w:val="24"/>
        </w:rPr>
        <w:t>PloS One</w:t>
      </w:r>
      <w:r w:rsidRPr="00B227AF">
        <w:rPr>
          <w:rFonts w:ascii="Calibri" w:hAnsi="Calibri" w:cs="Times New Roman"/>
          <w:szCs w:val="24"/>
        </w:rPr>
        <w:t>, In press.</w:t>
      </w:r>
    </w:p>
    <w:p w14:paraId="0E6A82EF" w14:textId="77777777" w:rsidR="000A233B" w:rsidRPr="00B227AF" w:rsidRDefault="000A233B" w:rsidP="00B227AF">
      <w:pPr>
        <w:pStyle w:val="Bibliography"/>
        <w:rPr>
          <w:rFonts w:ascii="Calibri" w:hAnsi="Calibri" w:cs="Times New Roman"/>
          <w:szCs w:val="24"/>
        </w:rPr>
      </w:pPr>
      <w:r w:rsidRPr="00B227AF">
        <w:rPr>
          <w:rFonts w:ascii="Calibri" w:hAnsi="Calibri" w:cs="Times New Roman"/>
          <w:szCs w:val="24"/>
        </w:rPr>
        <w:lastRenderedPageBreak/>
        <w:t>[18]</w:t>
      </w:r>
      <w:r w:rsidRPr="00B227AF">
        <w:rPr>
          <w:rFonts w:ascii="Calibri" w:hAnsi="Calibri" w:cs="Times New Roman"/>
          <w:szCs w:val="24"/>
        </w:rPr>
        <w:tab/>
        <w:t xml:space="preserve">R. Michalczuk, H. Bowden-Jones, A. Verdejo-Garcia, and L. Clark, “Impulsivity and cognitive distortions in pathological gamblers attending the UK National Problem Gambling Clinic: a preliminary report,” </w:t>
      </w:r>
      <w:r w:rsidRPr="00B227AF">
        <w:rPr>
          <w:rFonts w:ascii="Calibri" w:hAnsi="Calibri" w:cs="Times New Roman"/>
          <w:i/>
          <w:iCs/>
          <w:szCs w:val="24"/>
        </w:rPr>
        <w:t>Psychol. Med.</w:t>
      </w:r>
      <w:r w:rsidRPr="00B227AF">
        <w:rPr>
          <w:rFonts w:ascii="Calibri" w:hAnsi="Calibri" w:cs="Times New Roman"/>
          <w:szCs w:val="24"/>
        </w:rPr>
        <w:t>, vol. 41, no. 12, pp. 2625–2635, 2011.</w:t>
      </w:r>
    </w:p>
    <w:p w14:paraId="272DBFF3" w14:textId="77777777" w:rsidR="000A233B" w:rsidRPr="00B227AF" w:rsidRDefault="000A233B" w:rsidP="00B227AF">
      <w:pPr>
        <w:pStyle w:val="Bibliography"/>
        <w:rPr>
          <w:rFonts w:ascii="Calibri" w:hAnsi="Calibri" w:cs="Times New Roman"/>
          <w:szCs w:val="24"/>
        </w:rPr>
      </w:pPr>
      <w:r w:rsidRPr="00B227AF">
        <w:rPr>
          <w:rFonts w:ascii="Calibri" w:hAnsi="Calibri" w:cs="Times New Roman"/>
          <w:szCs w:val="24"/>
        </w:rPr>
        <w:t>[19]</w:t>
      </w:r>
      <w:r w:rsidRPr="00B227AF">
        <w:rPr>
          <w:rFonts w:ascii="Calibri" w:hAnsi="Calibri" w:cs="Times New Roman"/>
          <w:szCs w:val="24"/>
        </w:rPr>
        <w:tab/>
        <w:t xml:space="preserve">S. M. Alessi and N. M. Petry, “Pathological gambling severity is associated with impulsivity in a delay discounting procedure,” </w:t>
      </w:r>
      <w:r w:rsidRPr="00B227AF">
        <w:rPr>
          <w:rFonts w:ascii="Calibri" w:hAnsi="Calibri" w:cs="Times New Roman"/>
          <w:i/>
          <w:iCs/>
          <w:szCs w:val="24"/>
        </w:rPr>
        <w:t>Behav. Processes</w:t>
      </w:r>
      <w:r w:rsidRPr="00B227AF">
        <w:rPr>
          <w:rFonts w:ascii="Calibri" w:hAnsi="Calibri" w:cs="Times New Roman"/>
          <w:szCs w:val="24"/>
        </w:rPr>
        <w:t>, vol. 64, no. 3, pp. 345–354, 2003.</w:t>
      </w:r>
    </w:p>
    <w:p w14:paraId="21299ECD" w14:textId="77777777" w:rsidR="000A233B" w:rsidRPr="00B227AF" w:rsidRDefault="000A233B" w:rsidP="00B227AF">
      <w:pPr>
        <w:pStyle w:val="Bibliography"/>
        <w:rPr>
          <w:rFonts w:ascii="Calibri" w:hAnsi="Calibri" w:cs="Times New Roman"/>
          <w:szCs w:val="24"/>
        </w:rPr>
      </w:pPr>
      <w:r w:rsidRPr="00B227AF">
        <w:rPr>
          <w:rFonts w:ascii="Calibri" w:hAnsi="Calibri" w:cs="Times New Roman"/>
          <w:szCs w:val="24"/>
        </w:rPr>
        <w:t>[20]</w:t>
      </w:r>
      <w:r w:rsidRPr="00B227AF">
        <w:rPr>
          <w:rFonts w:ascii="Calibri" w:hAnsi="Calibri" w:cs="Times New Roman"/>
          <w:szCs w:val="24"/>
        </w:rPr>
        <w:tab/>
        <w:t xml:space="preserve">J. A. Ferris and H. J. Wynne, </w:t>
      </w:r>
      <w:r w:rsidRPr="00B227AF">
        <w:rPr>
          <w:rFonts w:ascii="Calibri" w:hAnsi="Calibri" w:cs="Times New Roman"/>
          <w:i/>
          <w:iCs/>
          <w:szCs w:val="24"/>
        </w:rPr>
        <w:t>The Canadian problem gambling index</w:t>
      </w:r>
      <w:r w:rsidRPr="00B227AF">
        <w:rPr>
          <w:rFonts w:ascii="Calibri" w:hAnsi="Calibri" w:cs="Times New Roman"/>
          <w:szCs w:val="24"/>
        </w:rPr>
        <w:t>. Canadian Centre on Substance Abuse Ottawa, ON, 2001.</w:t>
      </w:r>
    </w:p>
    <w:p w14:paraId="54BDE9ED" w14:textId="77777777" w:rsidR="000A233B" w:rsidRPr="00B227AF" w:rsidRDefault="000A233B" w:rsidP="00B227AF">
      <w:pPr>
        <w:pStyle w:val="Bibliography"/>
        <w:rPr>
          <w:rFonts w:ascii="Calibri" w:hAnsi="Calibri" w:cs="Times New Roman"/>
          <w:szCs w:val="24"/>
        </w:rPr>
      </w:pPr>
      <w:r w:rsidRPr="00B227AF">
        <w:rPr>
          <w:rFonts w:ascii="Calibri" w:hAnsi="Calibri" w:cs="Times New Roman"/>
          <w:szCs w:val="24"/>
        </w:rPr>
        <w:t>[21]</w:t>
      </w:r>
      <w:r w:rsidRPr="00B227AF">
        <w:rPr>
          <w:rFonts w:ascii="Calibri" w:hAnsi="Calibri" w:cs="Times New Roman"/>
          <w:szCs w:val="24"/>
        </w:rPr>
        <w:tab/>
        <w:t xml:space="preserve">S. R. Currie, D. C. Hodgins, and D. M. Casey, “Validity of the problem gambling severity index interpretive categories,” </w:t>
      </w:r>
      <w:r w:rsidRPr="00B227AF">
        <w:rPr>
          <w:rFonts w:ascii="Calibri" w:hAnsi="Calibri" w:cs="Times New Roman"/>
          <w:i/>
          <w:iCs/>
          <w:szCs w:val="24"/>
        </w:rPr>
        <w:t>J. Gambl. Stud.</w:t>
      </w:r>
      <w:r w:rsidRPr="00B227AF">
        <w:rPr>
          <w:rFonts w:ascii="Calibri" w:hAnsi="Calibri" w:cs="Times New Roman"/>
          <w:szCs w:val="24"/>
        </w:rPr>
        <w:t>, vol. 29, no. 2, pp. 311–327, 2013.</w:t>
      </w:r>
    </w:p>
    <w:p w14:paraId="14C3FF91" w14:textId="77777777" w:rsidR="000A233B" w:rsidRPr="00B227AF" w:rsidRDefault="000A233B" w:rsidP="00B227AF">
      <w:pPr>
        <w:pStyle w:val="Bibliography"/>
        <w:rPr>
          <w:rFonts w:ascii="Calibri" w:hAnsi="Calibri" w:cs="Times New Roman"/>
          <w:szCs w:val="24"/>
        </w:rPr>
      </w:pPr>
      <w:r w:rsidRPr="00B227AF">
        <w:rPr>
          <w:rFonts w:ascii="Calibri" w:hAnsi="Calibri" w:cs="Times New Roman"/>
          <w:szCs w:val="24"/>
        </w:rPr>
        <w:t>[22]</w:t>
      </w:r>
      <w:r w:rsidRPr="00B227AF">
        <w:rPr>
          <w:rFonts w:ascii="Calibri" w:hAnsi="Calibri" w:cs="Times New Roman"/>
          <w:szCs w:val="24"/>
        </w:rPr>
        <w:tab/>
        <w:t xml:space="preserve">D. Zendle, P. Cairns, H. Barnett, and C. McCall, “Paying for loot boxes is linked to problem gambling, regardless of specific features like cash-out and pay-to-win,” </w:t>
      </w:r>
      <w:r w:rsidRPr="00B227AF">
        <w:rPr>
          <w:rFonts w:ascii="Calibri" w:hAnsi="Calibri" w:cs="Times New Roman"/>
          <w:i/>
          <w:iCs/>
          <w:szCs w:val="24"/>
        </w:rPr>
        <w:t>Comput. Hum. Behav.</w:t>
      </w:r>
      <w:r w:rsidRPr="00B227AF">
        <w:rPr>
          <w:rFonts w:ascii="Calibri" w:hAnsi="Calibri" w:cs="Times New Roman"/>
          <w:szCs w:val="24"/>
        </w:rPr>
        <w:t>, Jul. 2019.</w:t>
      </w:r>
    </w:p>
    <w:p w14:paraId="3E3028AE" w14:textId="77777777" w:rsidR="000A233B" w:rsidRPr="00B227AF" w:rsidRDefault="000A233B" w:rsidP="00B227AF">
      <w:pPr>
        <w:pStyle w:val="Bibliography"/>
        <w:rPr>
          <w:rFonts w:ascii="Calibri" w:hAnsi="Calibri" w:cs="Times New Roman"/>
          <w:szCs w:val="24"/>
        </w:rPr>
      </w:pPr>
      <w:r w:rsidRPr="00B227AF">
        <w:rPr>
          <w:rFonts w:ascii="Calibri" w:hAnsi="Calibri" w:cs="Times New Roman"/>
          <w:szCs w:val="24"/>
        </w:rPr>
        <w:t>[23]</w:t>
      </w:r>
      <w:r w:rsidRPr="00B227AF">
        <w:rPr>
          <w:rFonts w:ascii="Calibri" w:hAnsi="Calibri" w:cs="Times New Roman"/>
          <w:szCs w:val="24"/>
        </w:rPr>
        <w:tab/>
        <w:t xml:space="preserve">J. O. Wobbrock, L. Findlater, D. Gergle, and J. J. Higgins, “The aligned rank transform for nonparametric factorial analyses using only anova procedures,” in </w:t>
      </w:r>
      <w:r w:rsidRPr="00B227AF">
        <w:rPr>
          <w:rFonts w:ascii="Calibri" w:hAnsi="Calibri" w:cs="Times New Roman"/>
          <w:i/>
          <w:iCs/>
          <w:szCs w:val="24"/>
        </w:rPr>
        <w:t>Proceedings of the SIGCHI conference on human factors in computing systems</w:t>
      </w:r>
      <w:r w:rsidRPr="00B227AF">
        <w:rPr>
          <w:rFonts w:ascii="Calibri" w:hAnsi="Calibri" w:cs="Times New Roman"/>
          <w:szCs w:val="24"/>
        </w:rPr>
        <w:t>, 2011, pp. 143–146.</w:t>
      </w:r>
    </w:p>
    <w:p w14:paraId="58956E3B" w14:textId="77777777" w:rsidR="000A233B" w:rsidRPr="00B227AF" w:rsidRDefault="000A233B" w:rsidP="00B227AF">
      <w:pPr>
        <w:pStyle w:val="Bibliography"/>
        <w:rPr>
          <w:rFonts w:ascii="Calibri" w:hAnsi="Calibri" w:cs="Times New Roman"/>
          <w:szCs w:val="24"/>
        </w:rPr>
      </w:pPr>
      <w:r w:rsidRPr="00B227AF">
        <w:rPr>
          <w:rFonts w:ascii="Calibri" w:hAnsi="Calibri" w:cs="Times New Roman"/>
          <w:szCs w:val="24"/>
        </w:rPr>
        <w:t>[24]</w:t>
      </w:r>
      <w:r w:rsidRPr="00B227AF">
        <w:rPr>
          <w:rFonts w:ascii="Calibri" w:hAnsi="Calibri" w:cs="Times New Roman"/>
          <w:szCs w:val="24"/>
        </w:rPr>
        <w:tab/>
        <w:t xml:space="preserve">D. Zendle, R. Meyer, and H. Over, “Adolescents and loot boxes: links with problem gambling and motivations for purchase,” </w:t>
      </w:r>
      <w:r w:rsidRPr="00B227AF">
        <w:rPr>
          <w:rFonts w:ascii="Calibri" w:hAnsi="Calibri" w:cs="Times New Roman"/>
          <w:i/>
          <w:iCs/>
          <w:szCs w:val="24"/>
        </w:rPr>
        <w:t>R. Soc. Open Sci.</w:t>
      </w:r>
      <w:r w:rsidRPr="00B227AF">
        <w:rPr>
          <w:rFonts w:ascii="Calibri" w:hAnsi="Calibri" w:cs="Times New Roman"/>
          <w:szCs w:val="24"/>
        </w:rPr>
        <w:t>, vol. 6, no. 6, p. 190049, Jun. 2019.</w:t>
      </w:r>
    </w:p>
    <w:p w14:paraId="77B2B129" w14:textId="77777777" w:rsidR="000A233B" w:rsidRPr="00B227AF" w:rsidRDefault="000A233B" w:rsidP="00B227AF">
      <w:pPr>
        <w:pStyle w:val="Bibliography"/>
        <w:rPr>
          <w:rFonts w:ascii="Calibri" w:hAnsi="Calibri" w:cs="Times New Roman"/>
          <w:szCs w:val="24"/>
        </w:rPr>
      </w:pPr>
      <w:r w:rsidRPr="00B227AF">
        <w:rPr>
          <w:rFonts w:ascii="Calibri" w:hAnsi="Calibri" w:cs="Times New Roman"/>
          <w:szCs w:val="24"/>
        </w:rPr>
        <w:t>[25]</w:t>
      </w:r>
      <w:r w:rsidRPr="00B227AF">
        <w:rPr>
          <w:rFonts w:ascii="Calibri" w:hAnsi="Calibri" w:cs="Times New Roman"/>
          <w:szCs w:val="24"/>
        </w:rPr>
        <w:tab/>
        <w:t xml:space="preserve">C. J. Ferguson, “An effect size primer: A guide for clinicians and researchers.,” </w:t>
      </w:r>
      <w:r w:rsidRPr="00B227AF">
        <w:rPr>
          <w:rFonts w:ascii="Calibri" w:hAnsi="Calibri" w:cs="Times New Roman"/>
          <w:i/>
          <w:iCs/>
          <w:szCs w:val="24"/>
        </w:rPr>
        <w:t>Prof. Psychol. Res. Pract.</w:t>
      </w:r>
      <w:r w:rsidRPr="00B227AF">
        <w:rPr>
          <w:rFonts w:ascii="Calibri" w:hAnsi="Calibri" w:cs="Times New Roman"/>
          <w:szCs w:val="24"/>
        </w:rPr>
        <w:t>, vol. 40, no. 5, p. 532, 2009.</w:t>
      </w:r>
    </w:p>
    <w:p w14:paraId="1D436908" w14:textId="77777777" w:rsidR="000A233B" w:rsidRPr="00B227AF" w:rsidRDefault="000A233B" w:rsidP="00B227AF">
      <w:pPr>
        <w:pStyle w:val="Bibliography"/>
        <w:rPr>
          <w:rFonts w:ascii="Calibri" w:hAnsi="Calibri" w:cs="Times New Roman"/>
          <w:szCs w:val="24"/>
        </w:rPr>
      </w:pPr>
      <w:r w:rsidRPr="00B227AF">
        <w:rPr>
          <w:rFonts w:ascii="Calibri" w:hAnsi="Calibri" w:cs="Times New Roman"/>
          <w:szCs w:val="24"/>
        </w:rPr>
        <w:t>[26]</w:t>
      </w:r>
      <w:r w:rsidRPr="00B227AF">
        <w:rPr>
          <w:rFonts w:ascii="Calibri" w:hAnsi="Calibri" w:cs="Times New Roman"/>
          <w:szCs w:val="24"/>
        </w:rPr>
        <w:tab/>
        <w:t>Juniper Research, “In-Game Gambling ~ The Next Cash Cow for Publishers,” Apr-2018. [Online]. Available: https://www.juniperresearch.com/document-library/white-papers/in-game-gambling-~-the-next-cash-cow. [Accessed: 15-Jul-2018].</w:t>
      </w:r>
    </w:p>
    <w:p w14:paraId="7DEE476E" w14:textId="7F74D4EC" w:rsidR="00C12F52" w:rsidRPr="00C12F52" w:rsidRDefault="00C12F52" w:rsidP="00C12F52">
      <w:r>
        <w:fldChar w:fldCharType="end"/>
      </w:r>
    </w:p>
    <w:sectPr w:rsidR="00C12F52" w:rsidRPr="00C12F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819"/>
    <w:rsid w:val="00011494"/>
    <w:rsid w:val="00031F37"/>
    <w:rsid w:val="0004332B"/>
    <w:rsid w:val="00056C3A"/>
    <w:rsid w:val="0009761E"/>
    <w:rsid w:val="000A233B"/>
    <w:rsid w:val="000C336D"/>
    <w:rsid w:val="000C7938"/>
    <w:rsid w:val="000D19AC"/>
    <w:rsid w:val="000F32F7"/>
    <w:rsid w:val="000F756D"/>
    <w:rsid w:val="0010518E"/>
    <w:rsid w:val="001551E2"/>
    <w:rsid w:val="00177CC4"/>
    <w:rsid w:val="00177F08"/>
    <w:rsid w:val="001C1830"/>
    <w:rsid w:val="001E292C"/>
    <w:rsid w:val="00216B8D"/>
    <w:rsid w:val="00226A35"/>
    <w:rsid w:val="00234C9F"/>
    <w:rsid w:val="002422AF"/>
    <w:rsid w:val="00261520"/>
    <w:rsid w:val="002832E1"/>
    <w:rsid w:val="002D162B"/>
    <w:rsid w:val="002D60F9"/>
    <w:rsid w:val="002D7EBE"/>
    <w:rsid w:val="00327FA7"/>
    <w:rsid w:val="00330A62"/>
    <w:rsid w:val="00335108"/>
    <w:rsid w:val="00337780"/>
    <w:rsid w:val="00353BCD"/>
    <w:rsid w:val="00366348"/>
    <w:rsid w:val="00387526"/>
    <w:rsid w:val="00390F7A"/>
    <w:rsid w:val="00394ADA"/>
    <w:rsid w:val="003B795C"/>
    <w:rsid w:val="003E0C90"/>
    <w:rsid w:val="003E0DA7"/>
    <w:rsid w:val="003F5A8B"/>
    <w:rsid w:val="0043607E"/>
    <w:rsid w:val="004706ED"/>
    <w:rsid w:val="004875C8"/>
    <w:rsid w:val="00490A62"/>
    <w:rsid w:val="004B32B3"/>
    <w:rsid w:val="004B5483"/>
    <w:rsid w:val="004D7223"/>
    <w:rsid w:val="004E2FAE"/>
    <w:rsid w:val="004F5445"/>
    <w:rsid w:val="00507E8D"/>
    <w:rsid w:val="00524D79"/>
    <w:rsid w:val="00540819"/>
    <w:rsid w:val="005408C0"/>
    <w:rsid w:val="00554DDC"/>
    <w:rsid w:val="005603D4"/>
    <w:rsid w:val="005971EC"/>
    <w:rsid w:val="005B4554"/>
    <w:rsid w:val="005C63B5"/>
    <w:rsid w:val="005F0E40"/>
    <w:rsid w:val="0065118A"/>
    <w:rsid w:val="006B2958"/>
    <w:rsid w:val="00702AAC"/>
    <w:rsid w:val="007133AA"/>
    <w:rsid w:val="0072742D"/>
    <w:rsid w:val="00727F5B"/>
    <w:rsid w:val="0073038F"/>
    <w:rsid w:val="0075113D"/>
    <w:rsid w:val="007530D7"/>
    <w:rsid w:val="007B28A5"/>
    <w:rsid w:val="007C2B3C"/>
    <w:rsid w:val="007C341B"/>
    <w:rsid w:val="007D1C4A"/>
    <w:rsid w:val="007D6D78"/>
    <w:rsid w:val="007E24AF"/>
    <w:rsid w:val="007F1974"/>
    <w:rsid w:val="00855DDB"/>
    <w:rsid w:val="00895467"/>
    <w:rsid w:val="008956C5"/>
    <w:rsid w:val="008976EB"/>
    <w:rsid w:val="008A3327"/>
    <w:rsid w:val="008C2BF2"/>
    <w:rsid w:val="008D149E"/>
    <w:rsid w:val="008D1973"/>
    <w:rsid w:val="00927003"/>
    <w:rsid w:val="00935D5C"/>
    <w:rsid w:val="00940A79"/>
    <w:rsid w:val="0098501A"/>
    <w:rsid w:val="009B4AF1"/>
    <w:rsid w:val="009C3F11"/>
    <w:rsid w:val="009F1487"/>
    <w:rsid w:val="009F4A09"/>
    <w:rsid w:val="00A05CE1"/>
    <w:rsid w:val="00A13CF2"/>
    <w:rsid w:val="00A17507"/>
    <w:rsid w:val="00A24C77"/>
    <w:rsid w:val="00A40813"/>
    <w:rsid w:val="00A737D2"/>
    <w:rsid w:val="00A85AAC"/>
    <w:rsid w:val="00A873D3"/>
    <w:rsid w:val="00A96C59"/>
    <w:rsid w:val="00AA2595"/>
    <w:rsid w:val="00AB458E"/>
    <w:rsid w:val="00AF6C44"/>
    <w:rsid w:val="00B05EA7"/>
    <w:rsid w:val="00B10A9E"/>
    <w:rsid w:val="00B227AF"/>
    <w:rsid w:val="00B50B0D"/>
    <w:rsid w:val="00B63730"/>
    <w:rsid w:val="00B879EC"/>
    <w:rsid w:val="00B94051"/>
    <w:rsid w:val="00BA0C83"/>
    <w:rsid w:val="00BD6237"/>
    <w:rsid w:val="00BD6C55"/>
    <w:rsid w:val="00BE7318"/>
    <w:rsid w:val="00BF102A"/>
    <w:rsid w:val="00BF1990"/>
    <w:rsid w:val="00C05E43"/>
    <w:rsid w:val="00C12F52"/>
    <w:rsid w:val="00C43709"/>
    <w:rsid w:val="00C45679"/>
    <w:rsid w:val="00C63C71"/>
    <w:rsid w:val="00C81A86"/>
    <w:rsid w:val="00C917DB"/>
    <w:rsid w:val="00CC4983"/>
    <w:rsid w:val="00CC4E46"/>
    <w:rsid w:val="00CD4A2D"/>
    <w:rsid w:val="00D313D0"/>
    <w:rsid w:val="00D7646B"/>
    <w:rsid w:val="00D918AE"/>
    <w:rsid w:val="00DB19DF"/>
    <w:rsid w:val="00DB7F81"/>
    <w:rsid w:val="00E01B81"/>
    <w:rsid w:val="00E252CF"/>
    <w:rsid w:val="00E3455C"/>
    <w:rsid w:val="00E434CD"/>
    <w:rsid w:val="00E53911"/>
    <w:rsid w:val="00E66D08"/>
    <w:rsid w:val="00E748CC"/>
    <w:rsid w:val="00E87E11"/>
    <w:rsid w:val="00EE5919"/>
    <w:rsid w:val="00F038AD"/>
    <w:rsid w:val="00F105E9"/>
    <w:rsid w:val="00F24B64"/>
    <w:rsid w:val="00F4288C"/>
    <w:rsid w:val="00F46187"/>
    <w:rsid w:val="00F50188"/>
    <w:rsid w:val="00F70110"/>
    <w:rsid w:val="00F80A5E"/>
    <w:rsid w:val="00F956B8"/>
    <w:rsid w:val="00F96BDF"/>
    <w:rsid w:val="00F9703E"/>
    <w:rsid w:val="00FA303C"/>
    <w:rsid w:val="00FF23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4AE32"/>
  <w15:chartTrackingRefBased/>
  <w15:docId w15:val="{93130E5A-7BE4-4966-A7BB-1FFA4A7B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081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4081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F5A8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F5A8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40819"/>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40819"/>
    <w:rPr>
      <w:color w:val="0000FF"/>
      <w:u w:val="single"/>
    </w:rPr>
  </w:style>
  <w:style w:type="character" w:customStyle="1" w:styleId="Heading1Char">
    <w:name w:val="Heading 1 Char"/>
    <w:basedOn w:val="DefaultParagraphFont"/>
    <w:link w:val="Heading1"/>
    <w:uiPriority w:val="9"/>
    <w:rsid w:val="00540819"/>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3F5A8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5A8B"/>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3F5A8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3F5A8B"/>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F038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C12F52"/>
    <w:pPr>
      <w:spacing w:after="200" w:line="240" w:lineRule="auto"/>
    </w:pPr>
    <w:rPr>
      <w:i/>
      <w:iCs/>
      <w:color w:val="44546A" w:themeColor="text2"/>
      <w:sz w:val="18"/>
      <w:szCs w:val="18"/>
    </w:rPr>
  </w:style>
  <w:style w:type="paragraph" w:styleId="Bibliography">
    <w:name w:val="Bibliography"/>
    <w:basedOn w:val="Normal"/>
    <w:next w:val="Normal"/>
    <w:uiPriority w:val="37"/>
    <w:unhideWhenUsed/>
    <w:rsid w:val="00C12F52"/>
    <w:pPr>
      <w:tabs>
        <w:tab w:val="left" w:pos="504"/>
      </w:tabs>
      <w:spacing w:after="0" w:line="240" w:lineRule="auto"/>
      <w:ind w:left="504" w:hanging="504"/>
    </w:pPr>
  </w:style>
  <w:style w:type="paragraph" w:styleId="Subtitle">
    <w:name w:val="Subtitle"/>
    <w:basedOn w:val="Normal"/>
    <w:next w:val="Normal"/>
    <w:link w:val="SubtitleChar"/>
    <w:uiPriority w:val="11"/>
    <w:qFormat/>
    <w:rsid w:val="00BD6C5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D6C55"/>
    <w:rPr>
      <w:rFonts w:eastAsiaTheme="minorEastAsia"/>
      <w:color w:val="5A5A5A" w:themeColor="text1" w:themeTint="A5"/>
      <w:spacing w:val="15"/>
    </w:rPr>
  </w:style>
  <w:style w:type="paragraph" w:styleId="BalloonText">
    <w:name w:val="Balloon Text"/>
    <w:basedOn w:val="Normal"/>
    <w:link w:val="BalloonTextChar"/>
    <w:uiPriority w:val="99"/>
    <w:semiHidden/>
    <w:unhideWhenUsed/>
    <w:rsid w:val="003B79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795C"/>
    <w:rPr>
      <w:rFonts w:ascii="Segoe UI" w:hAnsi="Segoe UI" w:cs="Segoe UI"/>
      <w:sz w:val="18"/>
      <w:szCs w:val="18"/>
    </w:rPr>
  </w:style>
  <w:style w:type="character" w:styleId="PlaceholderText">
    <w:name w:val="Placeholder Text"/>
    <w:basedOn w:val="DefaultParagraphFont"/>
    <w:uiPriority w:val="99"/>
    <w:semiHidden/>
    <w:rsid w:val="00FA303C"/>
    <w:rPr>
      <w:color w:val="808080"/>
    </w:rPr>
  </w:style>
  <w:style w:type="character" w:customStyle="1" w:styleId="mi">
    <w:name w:val="mi"/>
    <w:basedOn w:val="DefaultParagraphFont"/>
    <w:rsid w:val="00FA303C"/>
  </w:style>
  <w:style w:type="character" w:customStyle="1" w:styleId="mjxassistivemathml">
    <w:name w:val="mjx_assistive_mathml"/>
    <w:basedOn w:val="DefaultParagraphFont"/>
    <w:rsid w:val="00FA30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889078">
      <w:bodyDiv w:val="1"/>
      <w:marLeft w:val="0"/>
      <w:marRight w:val="0"/>
      <w:marTop w:val="0"/>
      <w:marBottom w:val="0"/>
      <w:divBdr>
        <w:top w:val="none" w:sz="0" w:space="0" w:color="auto"/>
        <w:left w:val="none" w:sz="0" w:space="0" w:color="auto"/>
        <w:bottom w:val="none" w:sz="0" w:space="0" w:color="auto"/>
        <w:right w:val="none" w:sz="0" w:space="0" w:color="auto"/>
      </w:divBdr>
      <w:divsChild>
        <w:div w:id="1189611177">
          <w:marLeft w:val="0"/>
          <w:marRight w:val="0"/>
          <w:marTop w:val="0"/>
          <w:marBottom w:val="0"/>
          <w:divBdr>
            <w:top w:val="none" w:sz="0" w:space="0" w:color="auto"/>
            <w:left w:val="none" w:sz="0" w:space="0" w:color="auto"/>
            <w:bottom w:val="none" w:sz="0" w:space="0" w:color="auto"/>
            <w:right w:val="none" w:sz="0" w:space="0" w:color="auto"/>
          </w:divBdr>
          <w:divsChild>
            <w:div w:id="516189344">
              <w:marLeft w:val="0"/>
              <w:marRight w:val="0"/>
              <w:marTop w:val="0"/>
              <w:marBottom w:val="0"/>
              <w:divBdr>
                <w:top w:val="none" w:sz="0" w:space="0" w:color="auto"/>
                <w:left w:val="none" w:sz="0" w:space="0" w:color="auto"/>
                <w:bottom w:val="none" w:sz="0" w:space="0" w:color="auto"/>
                <w:right w:val="none" w:sz="0" w:space="0" w:color="auto"/>
              </w:divBdr>
            </w:div>
            <w:div w:id="2100591646">
              <w:marLeft w:val="0"/>
              <w:marRight w:val="0"/>
              <w:marTop w:val="0"/>
              <w:marBottom w:val="0"/>
              <w:divBdr>
                <w:top w:val="none" w:sz="0" w:space="0" w:color="auto"/>
                <w:left w:val="none" w:sz="0" w:space="0" w:color="auto"/>
                <w:bottom w:val="none" w:sz="0" w:space="0" w:color="auto"/>
                <w:right w:val="none" w:sz="0" w:space="0" w:color="auto"/>
              </w:divBdr>
              <w:divsChild>
                <w:div w:id="286395543">
                  <w:marLeft w:val="0"/>
                  <w:marRight w:val="0"/>
                  <w:marTop w:val="0"/>
                  <w:marBottom w:val="0"/>
                  <w:divBdr>
                    <w:top w:val="none" w:sz="0" w:space="0" w:color="auto"/>
                    <w:left w:val="none" w:sz="0" w:space="0" w:color="auto"/>
                    <w:bottom w:val="none" w:sz="0" w:space="0" w:color="auto"/>
                    <w:right w:val="none" w:sz="0" w:space="0" w:color="auto"/>
                  </w:divBdr>
                  <w:divsChild>
                    <w:div w:id="1764648251">
                      <w:marLeft w:val="0"/>
                      <w:marRight w:val="0"/>
                      <w:marTop w:val="0"/>
                      <w:marBottom w:val="0"/>
                      <w:divBdr>
                        <w:top w:val="none" w:sz="0" w:space="0" w:color="auto"/>
                        <w:left w:val="none" w:sz="0" w:space="0" w:color="auto"/>
                        <w:bottom w:val="none" w:sz="0" w:space="0" w:color="auto"/>
                        <w:right w:val="none" w:sz="0" w:space="0" w:color="auto"/>
                      </w:divBdr>
                    </w:div>
                    <w:div w:id="1239746655">
                      <w:marLeft w:val="0"/>
                      <w:marRight w:val="0"/>
                      <w:marTop w:val="0"/>
                      <w:marBottom w:val="0"/>
                      <w:divBdr>
                        <w:top w:val="none" w:sz="0" w:space="0" w:color="auto"/>
                        <w:left w:val="none" w:sz="0" w:space="0" w:color="auto"/>
                        <w:bottom w:val="none" w:sz="0" w:space="0" w:color="auto"/>
                        <w:right w:val="none" w:sz="0" w:space="0" w:color="auto"/>
                      </w:divBdr>
                      <w:divsChild>
                        <w:div w:id="1066222992">
                          <w:marLeft w:val="0"/>
                          <w:marRight w:val="0"/>
                          <w:marTop w:val="0"/>
                          <w:marBottom w:val="540"/>
                          <w:divBdr>
                            <w:top w:val="none" w:sz="0" w:space="0" w:color="auto"/>
                            <w:left w:val="none" w:sz="0" w:space="0" w:color="auto"/>
                            <w:bottom w:val="none" w:sz="0" w:space="0" w:color="auto"/>
                            <w:right w:val="none" w:sz="0" w:space="0" w:color="auto"/>
                          </w:divBdr>
                          <w:divsChild>
                            <w:div w:id="2048597946">
                              <w:marLeft w:val="0"/>
                              <w:marRight w:val="0"/>
                              <w:marTop w:val="0"/>
                              <w:marBottom w:val="0"/>
                              <w:divBdr>
                                <w:top w:val="none" w:sz="0" w:space="0" w:color="auto"/>
                                <w:left w:val="none" w:sz="0" w:space="0" w:color="auto"/>
                                <w:bottom w:val="none" w:sz="0" w:space="0" w:color="auto"/>
                                <w:right w:val="none" w:sz="0" w:space="0" w:color="auto"/>
                              </w:divBdr>
                              <w:divsChild>
                                <w:div w:id="1288513488">
                                  <w:marLeft w:val="0"/>
                                  <w:marRight w:val="0"/>
                                  <w:marTop w:val="0"/>
                                  <w:marBottom w:val="0"/>
                                  <w:divBdr>
                                    <w:top w:val="none" w:sz="0" w:space="0" w:color="auto"/>
                                    <w:left w:val="none" w:sz="0" w:space="0" w:color="auto"/>
                                    <w:bottom w:val="none" w:sz="0" w:space="0" w:color="auto"/>
                                    <w:right w:val="none" w:sz="0" w:space="0" w:color="auto"/>
                                  </w:divBdr>
                                  <w:divsChild>
                                    <w:div w:id="576940816">
                                      <w:marLeft w:val="0"/>
                                      <w:marRight w:val="0"/>
                                      <w:marTop w:val="0"/>
                                      <w:marBottom w:val="0"/>
                                      <w:divBdr>
                                        <w:top w:val="none" w:sz="0" w:space="0" w:color="auto"/>
                                        <w:left w:val="none" w:sz="0" w:space="0" w:color="auto"/>
                                        <w:bottom w:val="none" w:sz="0" w:space="0" w:color="auto"/>
                                        <w:right w:val="none" w:sz="0" w:space="0" w:color="auto"/>
                                      </w:divBdr>
                                    </w:div>
                                    <w:div w:id="2123500435">
                                      <w:marLeft w:val="0"/>
                                      <w:marRight w:val="0"/>
                                      <w:marTop w:val="0"/>
                                      <w:marBottom w:val="0"/>
                                      <w:divBdr>
                                        <w:top w:val="none" w:sz="0" w:space="0" w:color="auto"/>
                                        <w:left w:val="none" w:sz="0" w:space="0" w:color="auto"/>
                                        <w:bottom w:val="none" w:sz="0" w:space="0" w:color="auto"/>
                                        <w:right w:val="none" w:sz="0" w:space="0" w:color="auto"/>
                                      </w:divBdr>
                                    </w:div>
                                    <w:div w:id="324818912">
                                      <w:marLeft w:val="0"/>
                                      <w:marRight w:val="0"/>
                                      <w:marTop w:val="0"/>
                                      <w:marBottom w:val="0"/>
                                      <w:divBdr>
                                        <w:top w:val="none" w:sz="0" w:space="0" w:color="auto"/>
                                        <w:left w:val="none" w:sz="0" w:space="0" w:color="auto"/>
                                        <w:bottom w:val="none" w:sz="0" w:space="0" w:color="auto"/>
                                        <w:right w:val="none" w:sz="0" w:space="0" w:color="auto"/>
                                      </w:divBdr>
                                    </w:div>
                                    <w:div w:id="1485243667">
                                      <w:marLeft w:val="0"/>
                                      <w:marRight w:val="0"/>
                                      <w:marTop w:val="0"/>
                                      <w:marBottom w:val="0"/>
                                      <w:divBdr>
                                        <w:top w:val="none" w:sz="0" w:space="0" w:color="auto"/>
                                        <w:left w:val="none" w:sz="0" w:space="0" w:color="auto"/>
                                        <w:bottom w:val="none" w:sz="0" w:space="0" w:color="auto"/>
                                        <w:right w:val="none" w:sz="0" w:space="0" w:color="auto"/>
                                      </w:divBdr>
                                    </w:div>
                                    <w:div w:id="823350288">
                                      <w:marLeft w:val="0"/>
                                      <w:marRight w:val="0"/>
                                      <w:marTop w:val="0"/>
                                      <w:marBottom w:val="0"/>
                                      <w:divBdr>
                                        <w:top w:val="none" w:sz="0" w:space="0" w:color="auto"/>
                                        <w:left w:val="none" w:sz="0" w:space="0" w:color="auto"/>
                                        <w:bottom w:val="none" w:sz="0" w:space="0" w:color="auto"/>
                                        <w:right w:val="none" w:sz="0" w:space="0" w:color="auto"/>
                                      </w:divBdr>
                                    </w:div>
                                    <w:div w:id="2128157977">
                                      <w:marLeft w:val="0"/>
                                      <w:marRight w:val="0"/>
                                      <w:marTop w:val="0"/>
                                      <w:marBottom w:val="0"/>
                                      <w:divBdr>
                                        <w:top w:val="none" w:sz="0" w:space="0" w:color="auto"/>
                                        <w:left w:val="none" w:sz="0" w:space="0" w:color="auto"/>
                                        <w:bottom w:val="none" w:sz="0" w:space="0" w:color="auto"/>
                                        <w:right w:val="none" w:sz="0" w:space="0" w:color="auto"/>
                                      </w:divBdr>
                                    </w:div>
                                    <w:div w:id="1284389496">
                                      <w:marLeft w:val="0"/>
                                      <w:marRight w:val="0"/>
                                      <w:marTop w:val="0"/>
                                      <w:marBottom w:val="0"/>
                                      <w:divBdr>
                                        <w:top w:val="none" w:sz="0" w:space="0" w:color="auto"/>
                                        <w:left w:val="none" w:sz="0" w:space="0" w:color="auto"/>
                                        <w:bottom w:val="none" w:sz="0" w:space="0" w:color="auto"/>
                                        <w:right w:val="none" w:sz="0" w:space="0" w:color="auto"/>
                                      </w:divBdr>
                                    </w:div>
                                    <w:div w:id="793791588">
                                      <w:marLeft w:val="0"/>
                                      <w:marRight w:val="0"/>
                                      <w:marTop w:val="0"/>
                                      <w:marBottom w:val="0"/>
                                      <w:divBdr>
                                        <w:top w:val="none" w:sz="0" w:space="0" w:color="auto"/>
                                        <w:left w:val="none" w:sz="0" w:space="0" w:color="auto"/>
                                        <w:bottom w:val="none" w:sz="0" w:space="0" w:color="auto"/>
                                        <w:right w:val="none" w:sz="0" w:space="0" w:color="auto"/>
                                      </w:divBdr>
                                    </w:div>
                                    <w:div w:id="1242717724">
                                      <w:marLeft w:val="0"/>
                                      <w:marRight w:val="0"/>
                                      <w:marTop w:val="0"/>
                                      <w:marBottom w:val="0"/>
                                      <w:divBdr>
                                        <w:top w:val="none" w:sz="0" w:space="0" w:color="auto"/>
                                        <w:left w:val="none" w:sz="0" w:space="0" w:color="auto"/>
                                        <w:bottom w:val="none" w:sz="0" w:space="0" w:color="auto"/>
                                        <w:right w:val="none" w:sz="0" w:space="0" w:color="auto"/>
                                      </w:divBdr>
                                    </w:div>
                                    <w:div w:id="244535445">
                                      <w:marLeft w:val="0"/>
                                      <w:marRight w:val="0"/>
                                      <w:marTop w:val="0"/>
                                      <w:marBottom w:val="0"/>
                                      <w:divBdr>
                                        <w:top w:val="none" w:sz="0" w:space="0" w:color="auto"/>
                                        <w:left w:val="none" w:sz="0" w:space="0" w:color="auto"/>
                                        <w:bottom w:val="none" w:sz="0" w:space="0" w:color="auto"/>
                                        <w:right w:val="none" w:sz="0" w:space="0" w:color="auto"/>
                                      </w:divBdr>
                                    </w:div>
                                    <w:div w:id="21666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7995600">
                      <w:marLeft w:val="0"/>
                      <w:marRight w:val="0"/>
                      <w:marTop w:val="0"/>
                      <w:marBottom w:val="270"/>
                      <w:divBdr>
                        <w:top w:val="single" w:sz="6" w:space="0" w:color="C0C0C0"/>
                        <w:left w:val="single" w:sz="6" w:space="0" w:color="C0C0C0"/>
                        <w:bottom w:val="single" w:sz="6" w:space="0" w:color="C0C0C0"/>
                        <w:right w:val="single" w:sz="6" w:space="0" w:color="C0C0C0"/>
                      </w:divBdr>
                    </w:div>
                    <w:div w:id="73475796">
                      <w:marLeft w:val="0"/>
                      <w:marRight w:val="0"/>
                      <w:marTop w:val="0"/>
                      <w:marBottom w:val="0"/>
                      <w:divBdr>
                        <w:top w:val="none" w:sz="0" w:space="0" w:color="auto"/>
                        <w:left w:val="none" w:sz="0" w:space="0" w:color="auto"/>
                        <w:bottom w:val="none" w:sz="0" w:space="0" w:color="auto"/>
                        <w:right w:val="none" w:sz="0" w:space="0" w:color="auto"/>
                      </w:divBdr>
                      <w:divsChild>
                        <w:div w:id="1095128666">
                          <w:marLeft w:val="0"/>
                          <w:marRight w:val="0"/>
                          <w:marTop w:val="270"/>
                          <w:marBottom w:val="270"/>
                          <w:divBdr>
                            <w:top w:val="none" w:sz="0" w:space="0" w:color="auto"/>
                            <w:left w:val="none" w:sz="0" w:space="0" w:color="auto"/>
                            <w:bottom w:val="none" w:sz="0" w:space="0" w:color="auto"/>
                            <w:right w:val="none" w:sz="0" w:space="0" w:color="auto"/>
                          </w:divBdr>
                          <w:divsChild>
                            <w:div w:id="2144928686">
                              <w:marLeft w:val="0"/>
                              <w:marRight w:val="0"/>
                              <w:marTop w:val="270"/>
                              <w:marBottom w:val="270"/>
                              <w:divBdr>
                                <w:top w:val="none" w:sz="0" w:space="0" w:color="auto"/>
                                <w:left w:val="none" w:sz="0" w:space="0" w:color="auto"/>
                                <w:bottom w:val="none" w:sz="0" w:space="0" w:color="auto"/>
                                <w:right w:val="none" w:sz="0" w:space="0" w:color="auto"/>
                              </w:divBdr>
                            </w:div>
                          </w:divsChild>
                        </w:div>
                        <w:div w:id="1679964877">
                          <w:marLeft w:val="0"/>
                          <w:marRight w:val="0"/>
                          <w:marTop w:val="270"/>
                          <w:marBottom w:val="270"/>
                          <w:divBdr>
                            <w:top w:val="none" w:sz="0" w:space="0" w:color="auto"/>
                            <w:left w:val="none" w:sz="0" w:space="0" w:color="auto"/>
                            <w:bottom w:val="none" w:sz="0" w:space="0" w:color="auto"/>
                            <w:right w:val="none" w:sz="0" w:space="0" w:color="auto"/>
                          </w:divBdr>
                        </w:div>
                        <w:div w:id="1838181874">
                          <w:marLeft w:val="0"/>
                          <w:marRight w:val="0"/>
                          <w:marTop w:val="270"/>
                          <w:marBottom w:val="270"/>
                          <w:divBdr>
                            <w:top w:val="none" w:sz="0" w:space="0" w:color="auto"/>
                            <w:left w:val="none" w:sz="0" w:space="0" w:color="auto"/>
                            <w:bottom w:val="none" w:sz="0" w:space="0" w:color="auto"/>
                            <w:right w:val="none" w:sz="0" w:space="0" w:color="auto"/>
                          </w:divBdr>
                        </w:div>
                      </w:divsChild>
                    </w:div>
                    <w:div w:id="1380469018">
                      <w:marLeft w:val="0"/>
                      <w:marRight w:val="0"/>
                      <w:marTop w:val="0"/>
                      <w:marBottom w:val="0"/>
                      <w:divBdr>
                        <w:top w:val="none" w:sz="0" w:space="0" w:color="auto"/>
                        <w:left w:val="none" w:sz="0" w:space="0" w:color="auto"/>
                        <w:bottom w:val="none" w:sz="0" w:space="0" w:color="auto"/>
                        <w:right w:val="none" w:sz="0" w:space="0" w:color="auto"/>
                      </w:divBdr>
                      <w:divsChild>
                        <w:div w:id="609355792">
                          <w:marLeft w:val="0"/>
                          <w:marRight w:val="0"/>
                          <w:marTop w:val="270"/>
                          <w:marBottom w:val="270"/>
                          <w:divBdr>
                            <w:top w:val="none" w:sz="0" w:space="0" w:color="auto"/>
                            <w:left w:val="none" w:sz="0" w:space="0" w:color="auto"/>
                            <w:bottom w:val="none" w:sz="0" w:space="0" w:color="auto"/>
                            <w:right w:val="none" w:sz="0" w:space="0" w:color="auto"/>
                          </w:divBdr>
                        </w:div>
                      </w:divsChild>
                    </w:div>
                  </w:divsChild>
                </w:div>
              </w:divsChild>
            </w:div>
          </w:divsChild>
        </w:div>
      </w:divsChild>
    </w:div>
    <w:div w:id="1063411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osf.io/vfw4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288BAA-0FC9-4B4E-B9D9-48EFAAE54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11791</Words>
  <Characters>67210</Characters>
  <Application>Microsoft Office Word</Application>
  <DocSecurity>0</DocSecurity>
  <Lines>560</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Zendle</dc:creator>
  <cp:keywords/>
  <dc:description/>
  <cp:lastModifiedBy>David Zendle</cp:lastModifiedBy>
  <cp:revision>6</cp:revision>
  <dcterms:created xsi:type="dcterms:W3CDTF">2019-07-24T14:39:00Z</dcterms:created>
  <dcterms:modified xsi:type="dcterms:W3CDTF">2019-07-24T14:46:00Z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zotero-version="5.0.71"&gt;&lt;session id="oWKj5QvX"/&gt;&lt;style id="http://www.zotero.org/styles/ieee" locale="en-US" hasBibliography="1" bibliographyStyleHasBeenSet="1"/&gt;&lt;prefs&gt;&lt;pref name="fieldType" value="Field"/&gt;&lt;pref name="automaticJour</vt:lpwstr>
  </property>
  <property fmtid="{D5CDD505-2E9C-101B-9397-08002B2CF9AE}" pid="3" name="ZOTERO_PREF_2">
    <vt:lpwstr>nalAbbreviations" value="true"/&gt;&lt;/prefs&gt;&lt;/data&gt;</vt:lpwstr>
  </property>
</Properties>
</file>