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EFF" w:rsidRPr="009014AC" w:rsidRDefault="009014AC" w:rsidP="00CA3EFF">
      <w:pPr>
        <w:spacing w:after="0"/>
        <w:jc w:val="center"/>
        <w:rPr>
          <w:rFonts w:ascii="Times New Roman" w:hAnsi="Times New Roman" w:cs="Times New Roman"/>
          <w:i/>
          <w:sz w:val="24"/>
          <w:szCs w:val="24"/>
        </w:rPr>
      </w:pPr>
      <w:r w:rsidRPr="009014AC">
        <w:rPr>
          <w:rFonts w:ascii="Times New Roman" w:hAnsi="Times New Roman" w:cs="Times New Roman"/>
          <w:i/>
          <w:sz w:val="24"/>
          <w:szCs w:val="24"/>
        </w:rPr>
        <w:t xml:space="preserve">Forthcoming in the </w:t>
      </w:r>
      <w:r w:rsidR="00CA3EFF" w:rsidRPr="009014AC">
        <w:rPr>
          <w:rFonts w:ascii="Times New Roman" w:hAnsi="Times New Roman" w:cs="Times New Roman"/>
          <w:i/>
          <w:sz w:val="24"/>
          <w:szCs w:val="24"/>
        </w:rPr>
        <w:t>Landlord &amp; Tenant Review</w:t>
      </w:r>
      <w:r w:rsidRPr="009014AC">
        <w:rPr>
          <w:rFonts w:ascii="Times New Roman" w:hAnsi="Times New Roman" w:cs="Times New Roman"/>
          <w:i/>
          <w:sz w:val="24"/>
          <w:szCs w:val="24"/>
        </w:rPr>
        <w:t xml:space="preserve">, </w:t>
      </w:r>
      <w:proofErr w:type="spellStart"/>
      <w:r w:rsidRPr="009014AC">
        <w:rPr>
          <w:rFonts w:ascii="Times New Roman" w:hAnsi="Times New Roman" w:cs="Times New Roman"/>
          <w:i/>
          <w:sz w:val="24"/>
          <w:szCs w:val="24"/>
        </w:rPr>
        <w:t>vol</w:t>
      </w:r>
      <w:proofErr w:type="spellEnd"/>
      <w:r w:rsidRPr="009014AC">
        <w:rPr>
          <w:rFonts w:ascii="Times New Roman" w:hAnsi="Times New Roman" w:cs="Times New Roman"/>
          <w:i/>
          <w:sz w:val="24"/>
          <w:szCs w:val="24"/>
        </w:rPr>
        <w:t xml:space="preserve"> 42, issue 1, 2020</w:t>
      </w:r>
    </w:p>
    <w:p w:rsidR="00CA3EFF" w:rsidRDefault="00CA3EFF" w:rsidP="00CA3EFF">
      <w:pPr>
        <w:spacing w:after="0"/>
        <w:jc w:val="center"/>
        <w:rPr>
          <w:rFonts w:ascii="Times New Roman" w:hAnsi="Times New Roman" w:cs="Times New Roman"/>
          <w:b/>
          <w:sz w:val="32"/>
          <w:szCs w:val="32"/>
        </w:rPr>
      </w:pPr>
    </w:p>
    <w:p w:rsidR="00CA3EFF" w:rsidRPr="00CA3EFF" w:rsidRDefault="00A900FF" w:rsidP="00CA3EFF">
      <w:pPr>
        <w:spacing w:after="0"/>
        <w:jc w:val="center"/>
        <w:rPr>
          <w:rFonts w:ascii="Times New Roman" w:hAnsi="Times New Roman" w:cs="Times New Roman"/>
          <w:b/>
          <w:sz w:val="32"/>
          <w:szCs w:val="32"/>
        </w:rPr>
      </w:pPr>
      <w:r w:rsidRPr="00CA3EFF">
        <w:rPr>
          <w:rFonts w:ascii="Times New Roman" w:hAnsi="Times New Roman" w:cs="Times New Roman"/>
          <w:b/>
          <w:sz w:val="32"/>
          <w:szCs w:val="32"/>
        </w:rPr>
        <w:t xml:space="preserve">The Pubs Code: </w:t>
      </w:r>
    </w:p>
    <w:p w:rsidR="00CB4028" w:rsidRPr="00CA3EFF" w:rsidRDefault="00CA3EFF" w:rsidP="00EF5B4D">
      <w:pPr>
        <w:jc w:val="center"/>
        <w:rPr>
          <w:rFonts w:ascii="Times New Roman" w:hAnsi="Times New Roman" w:cs="Times New Roman"/>
          <w:b/>
          <w:sz w:val="32"/>
          <w:szCs w:val="32"/>
        </w:rPr>
      </w:pPr>
      <w:r w:rsidRPr="00CA3EFF">
        <w:rPr>
          <w:rFonts w:ascii="Times New Roman" w:hAnsi="Times New Roman" w:cs="Times New Roman"/>
          <w:b/>
          <w:sz w:val="32"/>
          <w:szCs w:val="32"/>
        </w:rPr>
        <w:t>“</w:t>
      </w:r>
      <w:r w:rsidR="00A900FF" w:rsidRPr="00CA3EFF">
        <w:rPr>
          <w:rFonts w:ascii="Times New Roman" w:hAnsi="Times New Roman" w:cs="Times New Roman"/>
          <w:b/>
          <w:sz w:val="32"/>
          <w:szCs w:val="32"/>
        </w:rPr>
        <w:t>Ma</w:t>
      </w:r>
      <w:r w:rsidR="00554874">
        <w:rPr>
          <w:rFonts w:ascii="Times New Roman" w:hAnsi="Times New Roman" w:cs="Times New Roman"/>
          <w:b/>
          <w:sz w:val="32"/>
          <w:szCs w:val="32"/>
        </w:rPr>
        <w:t>rket</w:t>
      </w:r>
      <w:r w:rsidR="00A900FF" w:rsidRPr="00CA3EFF">
        <w:rPr>
          <w:rFonts w:ascii="Times New Roman" w:hAnsi="Times New Roman" w:cs="Times New Roman"/>
          <w:b/>
          <w:sz w:val="32"/>
          <w:szCs w:val="32"/>
        </w:rPr>
        <w:t xml:space="preserve"> Rent </w:t>
      </w:r>
      <w:proofErr w:type="gramStart"/>
      <w:r w:rsidR="00A900FF" w:rsidRPr="00CA3EFF">
        <w:rPr>
          <w:rFonts w:ascii="Times New Roman" w:hAnsi="Times New Roman" w:cs="Times New Roman"/>
          <w:b/>
          <w:sz w:val="32"/>
          <w:szCs w:val="32"/>
        </w:rPr>
        <w:t>O</w:t>
      </w:r>
      <w:r w:rsidRPr="00CA3EFF">
        <w:rPr>
          <w:rFonts w:ascii="Times New Roman" w:hAnsi="Times New Roman" w:cs="Times New Roman"/>
          <w:b/>
          <w:sz w:val="32"/>
          <w:szCs w:val="32"/>
        </w:rPr>
        <w:t>nly</w:t>
      </w:r>
      <w:proofErr w:type="gramEnd"/>
      <w:r w:rsidRPr="00CA3EFF">
        <w:rPr>
          <w:rFonts w:ascii="Times New Roman" w:hAnsi="Times New Roman" w:cs="Times New Roman"/>
          <w:b/>
          <w:sz w:val="32"/>
          <w:szCs w:val="32"/>
        </w:rPr>
        <w:t>”</w:t>
      </w:r>
      <w:r w:rsidR="00A900FF" w:rsidRPr="00CA3EFF">
        <w:rPr>
          <w:rFonts w:ascii="Times New Roman" w:hAnsi="Times New Roman" w:cs="Times New Roman"/>
          <w:b/>
          <w:sz w:val="32"/>
          <w:szCs w:val="32"/>
        </w:rPr>
        <w:t xml:space="preserve"> and the question of reasonableness</w:t>
      </w:r>
    </w:p>
    <w:p w:rsidR="00EF5B4D" w:rsidRPr="00CA3EFF" w:rsidRDefault="00EF5B4D" w:rsidP="00EF5B4D">
      <w:pPr>
        <w:jc w:val="center"/>
        <w:rPr>
          <w:rFonts w:ascii="Times New Roman" w:hAnsi="Times New Roman" w:cs="Times New Roman"/>
          <w:sz w:val="28"/>
          <w:szCs w:val="28"/>
        </w:rPr>
      </w:pPr>
      <w:r w:rsidRPr="00CA3EFF">
        <w:rPr>
          <w:rFonts w:ascii="Times New Roman" w:hAnsi="Times New Roman" w:cs="Times New Roman"/>
          <w:sz w:val="28"/>
          <w:szCs w:val="28"/>
        </w:rPr>
        <w:t>Dr Jed Meers</w:t>
      </w:r>
      <w:r w:rsidR="007C5D5D">
        <w:rPr>
          <w:rStyle w:val="FootnoteReference"/>
          <w:rFonts w:ascii="Times New Roman" w:hAnsi="Times New Roman" w:cs="Times New Roman"/>
          <w:sz w:val="28"/>
          <w:szCs w:val="28"/>
        </w:rPr>
        <w:footnoteReference w:id="1"/>
      </w:r>
    </w:p>
    <w:p w:rsidR="00CA3EFF" w:rsidRPr="00CA3EFF" w:rsidRDefault="00CA3EFF" w:rsidP="00927DCF">
      <w:pPr>
        <w:jc w:val="both"/>
        <w:rPr>
          <w:rFonts w:ascii="Times New Roman" w:hAnsi="Times New Roman" w:cs="Times New Roman"/>
          <w:sz w:val="24"/>
          <w:szCs w:val="24"/>
        </w:rPr>
      </w:pPr>
      <w:r w:rsidRPr="00CA3EFF">
        <w:rPr>
          <w:rFonts w:ascii="Times New Roman" w:hAnsi="Times New Roman" w:cs="Times New Roman"/>
          <w:b/>
          <w:sz w:val="24"/>
          <w:szCs w:val="24"/>
        </w:rPr>
        <w:t>Subject:</w:t>
      </w:r>
      <w:r w:rsidRPr="00CA3EFF">
        <w:rPr>
          <w:rFonts w:ascii="Times New Roman" w:hAnsi="Times New Roman" w:cs="Times New Roman"/>
          <w:sz w:val="24"/>
          <w:szCs w:val="24"/>
        </w:rPr>
        <w:t xml:space="preserve"> Landlord and tenant</w:t>
      </w:r>
    </w:p>
    <w:p w:rsidR="00CA3EFF" w:rsidRPr="00CA3EFF" w:rsidRDefault="00CA3EFF" w:rsidP="00927DCF">
      <w:pPr>
        <w:jc w:val="both"/>
        <w:rPr>
          <w:rFonts w:ascii="Times New Roman" w:hAnsi="Times New Roman" w:cs="Times New Roman"/>
          <w:sz w:val="24"/>
          <w:szCs w:val="24"/>
        </w:rPr>
      </w:pPr>
      <w:r w:rsidRPr="00CA3EFF">
        <w:rPr>
          <w:rFonts w:ascii="Times New Roman" w:hAnsi="Times New Roman" w:cs="Times New Roman"/>
          <w:b/>
          <w:sz w:val="24"/>
          <w:szCs w:val="24"/>
        </w:rPr>
        <w:t>Other related subjects:</w:t>
      </w:r>
      <w:r w:rsidRPr="00CA3EFF">
        <w:rPr>
          <w:rFonts w:ascii="Times New Roman" w:hAnsi="Times New Roman" w:cs="Times New Roman"/>
          <w:sz w:val="24"/>
          <w:szCs w:val="24"/>
        </w:rPr>
        <w:t xml:space="preserve"> Pubs code</w:t>
      </w:r>
    </w:p>
    <w:p w:rsidR="00CA3EFF" w:rsidRDefault="00CA3EFF" w:rsidP="00927DCF">
      <w:pPr>
        <w:jc w:val="both"/>
        <w:rPr>
          <w:rFonts w:ascii="Times New Roman" w:hAnsi="Times New Roman" w:cs="Times New Roman"/>
          <w:sz w:val="24"/>
          <w:szCs w:val="24"/>
        </w:rPr>
      </w:pPr>
      <w:r w:rsidRPr="00CA3EFF">
        <w:rPr>
          <w:rFonts w:ascii="Times New Roman" w:hAnsi="Times New Roman" w:cs="Times New Roman"/>
          <w:b/>
          <w:sz w:val="24"/>
          <w:szCs w:val="24"/>
        </w:rPr>
        <w:t>Keywords:</w:t>
      </w:r>
      <w:r w:rsidRPr="00CA3EFF">
        <w:rPr>
          <w:rFonts w:ascii="Times New Roman" w:hAnsi="Times New Roman" w:cs="Times New Roman"/>
          <w:sz w:val="24"/>
          <w:szCs w:val="24"/>
        </w:rPr>
        <w:t xml:space="preserve"> </w:t>
      </w:r>
      <w:r>
        <w:rPr>
          <w:rFonts w:ascii="Times New Roman" w:hAnsi="Times New Roman" w:cs="Times New Roman"/>
          <w:sz w:val="24"/>
          <w:szCs w:val="24"/>
        </w:rPr>
        <w:t>Ma</w:t>
      </w:r>
      <w:r w:rsidR="00E7035C">
        <w:rPr>
          <w:rFonts w:ascii="Times New Roman" w:hAnsi="Times New Roman" w:cs="Times New Roman"/>
          <w:sz w:val="24"/>
          <w:szCs w:val="24"/>
        </w:rPr>
        <w:t xml:space="preserve">rket </w:t>
      </w:r>
      <w:r>
        <w:rPr>
          <w:rFonts w:ascii="Times New Roman" w:hAnsi="Times New Roman" w:cs="Times New Roman"/>
          <w:sz w:val="24"/>
          <w:szCs w:val="24"/>
        </w:rPr>
        <w:t>Rent Only</w:t>
      </w:r>
      <w:r w:rsidRPr="00CA3EFF">
        <w:rPr>
          <w:rFonts w:ascii="Times New Roman" w:hAnsi="Times New Roman" w:cs="Times New Roman"/>
          <w:sz w:val="24"/>
          <w:szCs w:val="24"/>
        </w:rPr>
        <w:t xml:space="preserve">; </w:t>
      </w:r>
      <w:r>
        <w:rPr>
          <w:rFonts w:ascii="Times New Roman" w:hAnsi="Times New Roman" w:cs="Times New Roman"/>
          <w:sz w:val="24"/>
          <w:szCs w:val="24"/>
        </w:rPr>
        <w:t>the Pubs Code</w:t>
      </w:r>
      <w:r w:rsidRPr="00CA3EFF">
        <w:rPr>
          <w:rFonts w:ascii="Times New Roman" w:hAnsi="Times New Roman" w:cs="Times New Roman"/>
          <w:sz w:val="24"/>
          <w:szCs w:val="24"/>
        </w:rPr>
        <w:t xml:space="preserve">; </w:t>
      </w:r>
      <w:r>
        <w:rPr>
          <w:rFonts w:ascii="Times New Roman" w:hAnsi="Times New Roman" w:cs="Times New Roman"/>
          <w:sz w:val="24"/>
          <w:szCs w:val="24"/>
        </w:rPr>
        <w:t>Pubs Code Adjudicator</w:t>
      </w:r>
      <w:r w:rsidRPr="00CA3EFF">
        <w:rPr>
          <w:rFonts w:ascii="Times New Roman" w:hAnsi="Times New Roman" w:cs="Times New Roman"/>
          <w:sz w:val="24"/>
          <w:szCs w:val="24"/>
        </w:rPr>
        <w:t xml:space="preserve">; </w:t>
      </w:r>
      <w:r>
        <w:rPr>
          <w:rFonts w:ascii="Times New Roman" w:hAnsi="Times New Roman" w:cs="Times New Roman"/>
          <w:sz w:val="24"/>
          <w:szCs w:val="24"/>
        </w:rPr>
        <w:t>Deeds of variation</w:t>
      </w:r>
      <w:r w:rsidRPr="00CA3EFF">
        <w:rPr>
          <w:rFonts w:ascii="Times New Roman" w:hAnsi="Times New Roman" w:cs="Times New Roman"/>
          <w:sz w:val="24"/>
          <w:szCs w:val="24"/>
        </w:rPr>
        <w:t xml:space="preserve">; </w:t>
      </w:r>
      <w:r>
        <w:rPr>
          <w:rFonts w:ascii="Times New Roman" w:hAnsi="Times New Roman" w:cs="Times New Roman"/>
          <w:sz w:val="24"/>
          <w:szCs w:val="24"/>
        </w:rPr>
        <w:t xml:space="preserve">Pub-owning </w:t>
      </w:r>
      <w:proofErr w:type="gramStart"/>
      <w:r>
        <w:rPr>
          <w:rFonts w:ascii="Times New Roman" w:hAnsi="Times New Roman" w:cs="Times New Roman"/>
          <w:sz w:val="24"/>
          <w:szCs w:val="24"/>
        </w:rPr>
        <w:t>company</w:t>
      </w:r>
      <w:proofErr w:type="gramEnd"/>
      <w:r w:rsidRPr="00CA3EFF">
        <w:rPr>
          <w:rFonts w:ascii="Times New Roman" w:hAnsi="Times New Roman" w:cs="Times New Roman"/>
          <w:sz w:val="24"/>
          <w:szCs w:val="24"/>
        </w:rPr>
        <w:t xml:space="preserve">; </w:t>
      </w:r>
      <w:r>
        <w:rPr>
          <w:rFonts w:ascii="Times New Roman" w:hAnsi="Times New Roman" w:cs="Times New Roman"/>
          <w:sz w:val="24"/>
          <w:szCs w:val="24"/>
        </w:rPr>
        <w:t>Unreasonabl</w:t>
      </w:r>
      <w:r w:rsidR="006630AD">
        <w:rPr>
          <w:rFonts w:ascii="Times New Roman" w:hAnsi="Times New Roman" w:cs="Times New Roman"/>
          <w:sz w:val="24"/>
          <w:szCs w:val="24"/>
        </w:rPr>
        <w:t>eness of terms</w:t>
      </w:r>
    </w:p>
    <w:p w:rsidR="00CF4ED2" w:rsidRPr="00CF4ED2" w:rsidRDefault="00CF4ED2" w:rsidP="00927DCF">
      <w:pPr>
        <w:jc w:val="both"/>
        <w:rPr>
          <w:rFonts w:ascii="Times New Roman" w:hAnsi="Times New Roman" w:cs="Times New Roman"/>
          <w:sz w:val="24"/>
          <w:szCs w:val="24"/>
        </w:rPr>
      </w:pPr>
      <w:r>
        <w:rPr>
          <w:rFonts w:ascii="Times New Roman" w:hAnsi="Times New Roman" w:cs="Times New Roman"/>
          <w:b/>
          <w:sz w:val="24"/>
          <w:szCs w:val="24"/>
        </w:rPr>
        <w:t xml:space="preserve">Abstract: </w:t>
      </w:r>
      <w:r>
        <w:rPr>
          <w:rFonts w:ascii="Times New Roman" w:hAnsi="Times New Roman" w:cs="Times New Roman"/>
          <w:sz w:val="24"/>
          <w:szCs w:val="24"/>
        </w:rPr>
        <w:t>The Pubs Code has now passed its third birthday. This intervention</w:t>
      </w:r>
      <w:r w:rsidR="00AC2D2E">
        <w:rPr>
          <w:rFonts w:ascii="Times New Roman" w:hAnsi="Times New Roman" w:cs="Times New Roman"/>
          <w:sz w:val="24"/>
          <w:szCs w:val="24"/>
        </w:rPr>
        <w:t xml:space="preserve"> into the arrangements between tied tenants and</w:t>
      </w:r>
      <w:r>
        <w:rPr>
          <w:rFonts w:ascii="Times New Roman" w:hAnsi="Times New Roman" w:cs="Times New Roman"/>
          <w:sz w:val="24"/>
          <w:szCs w:val="24"/>
        </w:rPr>
        <w:t xml:space="preserve"> their powerful pub-owning companies has one core mission: to ensure that tied tenants are no worse off than non-tied tenants.</w:t>
      </w:r>
      <w:r w:rsidR="00AC2D2E">
        <w:rPr>
          <w:rFonts w:ascii="Times New Roman" w:hAnsi="Times New Roman" w:cs="Times New Roman"/>
          <w:sz w:val="24"/>
          <w:szCs w:val="24"/>
        </w:rPr>
        <w:t xml:space="preserve"> To do so, it provide</w:t>
      </w:r>
      <w:r w:rsidR="00927DCF">
        <w:rPr>
          <w:rFonts w:ascii="Times New Roman" w:hAnsi="Times New Roman" w:cs="Times New Roman"/>
          <w:sz w:val="24"/>
          <w:szCs w:val="24"/>
        </w:rPr>
        <w:t>s</w:t>
      </w:r>
      <w:r w:rsidR="00554874">
        <w:rPr>
          <w:rFonts w:ascii="Times New Roman" w:hAnsi="Times New Roman" w:cs="Times New Roman"/>
          <w:sz w:val="24"/>
          <w:szCs w:val="24"/>
        </w:rPr>
        <w:t xml:space="preserve"> a right to trigger a “market</w:t>
      </w:r>
      <w:r w:rsidR="00AC2D2E">
        <w:rPr>
          <w:rFonts w:ascii="Times New Roman" w:hAnsi="Times New Roman" w:cs="Times New Roman"/>
          <w:sz w:val="24"/>
          <w:szCs w:val="24"/>
        </w:rPr>
        <w:t xml:space="preserve"> rent only” offer, but the </w:t>
      </w:r>
      <w:r>
        <w:rPr>
          <w:rFonts w:ascii="Times New Roman" w:hAnsi="Times New Roman" w:cs="Times New Roman"/>
          <w:sz w:val="24"/>
          <w:szCs w:val="24"/>
        </w:rPr>
        <w:t>operation of the</w:t>
      </w:r>
      <w:r w:rsidR="00AC2D2E">
        <w:rPr>
          <w:rFonts w:ascii="Times New Roman" w:hAnsi="Times New Roman" w:cs="Times New Roman"/>
          <w:sz w:val="24"/>
          <w:szCs w:val="24"/>
        </w:rPr>
        <w:t xml:space="preserve"> code has proven problematic in practice. This article focuses on the “reasonableness” of “ma</w:t>
      </w:r>
      <w:r w:rsidR="00554874">
        <w:rPr>
          <w:rFonts w:ascii="Times New Roman" w:hAnsi="Times New Roman" w:cs="Times New Roman"/>
          <w:sz w:val="24"/>
          <w:szCs w:val="24"/>
        </w:rPr>
        <w:t>rket</w:t>
      </w:r>
      <w:r w:rsidR="00AC2D2E">
        <w:rPr>
          <w:rFonts w:ascii="Times New Roman" w:hAnsi="Times New Roman" w:cs="Times New Roman"/>
          <w:sz w:val="24"/>
          <w:szCs w:val="24"/>
        </w:rPr>
        <w:t xml:space="preserve"> rent only” offers </w:t>
      </w:r>
      <w:r w:rsidR="00356112">
        <w:rPr>
          <w:rFonts w:ascii="Times New Roman" w:hAnsi="Times New Roman" w:cs="Times New Roman"/>
          <w:sz w:val="24"/>
          <w:szCs w:val="24"/>
        </w:rPr>
        <w:t xml:space="preserve">in the underpinning Small Business Enterprise and Employment Act 2015 and the accompanying Pubs Code Regulations 2016, </w:t>
      </w:r>
      <w:r w:rsidR="009F7755">
        <w:rPr>
          <w:rFonts w:ascii="Times New Roman" w:hAnsi="Times New Roman" w:cs="Times New Roman"/>
          <w:sz w:val="24"/>
          <w:szCs w:val="24"/>
        </w:rPr>
        <w:t>and its</w:t>
      </w:r>
      <w:r w:rsidR="00AC2D2E">
        <w:rPr>
          <w:rFonts w:ascii="Times New Roman" w:hAnsi="Times New Roman" w:cs="Times New Roman"/>
          <w:sz w:val="24"/>
          <w:szCs w:val="24"/>
        </w:rPr>
        <w:t xml:space="preserve"> interpretation by published decisions of the Pubs Code Adjudicator.</w:t>
      </w:r>
      <w:bookmarkStart w:id="0" w:name="_GoBack"/>
      <w:bookmarkEnd w:id="0"/>
    </w:p>
    <w:p w:rsidR="00CA3EFF" w:rsidRPr="00CE39E5" w:rsidRDefault="00CE39E5" w:rsidP="00CE39E5">
      <w:pPr>
        <w:rPr>
          <w:rFonts w:ascii="Times New Roman" w:hAnsi="Times New Roman" w:cs="Times New Roman"/>
          <w:b/>
          <w:sz w:val="24"/>
          <w:szCs w:val="24"/>
        </w:rPr>
      </w:pPr>
      <w:r w:rsidRPr="00CE39E5">
        <w:rPr>
          <w:rFonts w:ascii="Times New Roman" w:hAnsi="Times New Roman" w:cs="Times New Roman"/>
          <w:b/>
          <w:sz w:val="24"/>
          <w:szCs w:val="24"/>
        </w:rPr>
        <w:t>Introduction</w:t>
      </w:r>
    </w:p>
    <w:p w:rsidR="00EF5B4D" w:rsidRDefault="00455C79" w:rsidP="00022A24">
      <w:pPr>
        <w:jc w:val="both"/>
        <w:rPr>
          <w:rFonts w:ascii="Times New Roman" w:hAnsi="Times New Roman" w:cs="Times New Roman"/>
          <w:sz w:val="24"/>
          <w:szCs w:val="24"/>
        </w:rPr>
      </w:pPr>
      <w:r>
        <w:rPr>
          <w:rFonts w:ascii="Times New Roman" w:hAnsi="Times New Roman" w:cs="Times New Roman"/>
          <w:sz w:val="24"/>
          <w:szCs w:val="24"/>
        </w:rPr>
        <w:t>Having now passed</w:t>
      </w:r>
      <w:r w:rsidR="00EF5B4D">
        <w:rPr>
          <w:rFonts w:ascii="Times New Roman" w:hAnsi="Times New Roman" w:cs="Times New Roman"/>
          <w:sz w:val="24"/>
          <w:szCs w:val="24"/>
        </w:rPr>
        <w:t xml:space="preserve"> its third birthday, the “Pubs Code” is squarely in its troublesome toddler years. As its core, this statutory intervention into the </w:t>
      </w:r>
      <w:r w:rsidR="00333055">
        <w:rPr>
          <w:rFonts w:ascii="Times New Roman" w:hAnsi="Times New Roman" w:cs="Times New Roman"/>
          <w:sz w:val="24"/>
          <w:szCs w:val="24"/>
        </w:rPr>
        <w:t>relationship between pub tenants and pub owners</w:t>
      </w:r>
      <w:r w:rsidR="00EF5B4D">
        <w:rPr>
          <w:rFonts w:ascii="Times New Roman" w:hAnsi="Times New Roman" w:cs="Times New Roman"/>
          <w:sz w:val="24"/>
          <w:szCs w:val="24"/>
        </w:rPr>
        <w:t xml:space="preserve"> is all about power: large pub-owning companies were </w:t>
      </w:r>
      <w:r w:rsidR="008C0956">
        <w:rPr>
          <w:rFonts w:ascii="Times New Roman" w:hAnsi="Times New Roman" w:cs="Times New Roman"/>
          <w:sz w:val="24"/>
          <w:szCs w:val="24"/>
        </w:rPr>
        <w:t>liable to a</w:t>
      </w:r>
      <w:r w:rsidR="00EF5B4D">
        <w:rPr>
          <w:rFonts w:ascii="Times New Roman" w:hAnsi="Times New Roman" w:cs="Times New Roman"/>
          <w:sz w:val="24"/>
          <w:szCs w:val="24"/>
        </w:rPr>
        <w:t>bus</w:t>
      </w:r>
      <w:r w:rsidR="008C0956">
        <w:rPr>
          <w:rFonts w:ascii="Times New Roman" w:hAnsi="Times New Roman" w:cs="Times New Roman"/>
          <w:sz w:val="24"/>
          <w:szCs w:val="24"/>
        </w:rPr>
        <w:t>e their control over</w:t>
      </w:r>
      <w:r w:rsidR="00EF5B4D">
        <w:rPr>
          <w:rFonts w:ascii="Times New Roman" w:hAnsi="Times New Roman" w:cs="Times New Roman"/>
          <w:sz w:val="24"/>
          <w:szCs w:val="24"/>
        </w:rPr>
        <w:t xml:space="preserve"> tied tenants, </w:t>
      </w:r>
      <w:r w:rsidR="00022A24">
        <w:rPr>
          <w:rFonts w:ascii="Times New Roman" w:hAnsi="Times New Roman" w:cs="Times New Roman"/>
          <w:sz w:val="24"/>
          <w:szCs w:val="24"/>
        </w:rPr>
        <w:t>with the latter possessing</w:t>
      </w:r>
      <w:r w:rsidR="008C0956">
        <w:rPr>
          <w:rFonts w:ascii="Times New Roman" w:hAnsi="Times New Roman" w:cs="Times New Roman"/>
          <w:sz w:val="24"/>
          <w:szCs w:val="24"/>
        </w:rPr>
        <w:t xml:space="preserve"> little in the way of negotiating muscle or recourse. </w:t>
      </w:r>
      <w:r>
        <w:rPr>
          <w:rFonts w:ascii="Times New Roman" w:hAnsi="Times New Roman" w:cs="Times New Roman"/>
          <w:sz w:val="24"/>
          <w:szCs w:val="24"/>
        </w:rPr>
        <w:t xml:space="preserve">The underpinning regulations – contained in the Pubs Code Regulations 2016, enacted under s.42 Small Business Enterprise and Employment Act 2015 </w:t>
      </w:r>
      <w:r>
        <w:rPr>
          <w:rFonts w:ascii="Times New Roman" w:hAnsi="Times New Roman" w:cs="Times New Roman"/>
          <w:sz w:val="24"/>
          <w:szCs w:val="24"/>
        </w:rPr>
        <w:softHyphen/>
        <w:t xml:space="preserve">– </w:t>
      </w:r>
      <w:proofErr w:type="gramStart"/>
      <w:r>
        <w:rPr>
          <w:rFonts w:ascii="Times New Roman" w:hAnsi="Times New Roman" w:cs="Times New Roman"/>
          <w:sz w:val="24"/>
          <w:szCs w:val="24"/>
        </w:rPr>
        <w:t>were intended</w:t>
      </w:r>
      <w:proofErr w:type="gramEnd"/>
      <w:r>
        <w:rPr>
          <w:rFonts w:ascii="Times New Roman" w:hAnsi="Times New Roman" w:cs="Times New Roman"/>
          <w:sz w:val="24"/>
          <w:szCs w:val="24"/>
        </w:rPr>
        <w:t xml:space="preserve"> to ensure that </w:t>
      </w:r>
      <w:r w:rsidR="00333055">
        <w:rPr>
          <w:rFonts w:ascii="Times New Roman" w:hAnsi="Times New Roman" w:cs="Times New Roman"/>
          <w:sz w:val="24"/>
          <w:szCs w:val="24"/>
        </w:rPr>
        <w:t>they</w:t>
      </w:r>
      <w:r>
        <w:rPr>
          <w:rFonts w:ascii="Times New Roman" w:hAnsi="Times New Roman" w:cs="Times New Roman"/>
          <w:sz w:val="24"/>
          <w:szCs w:val="24"/>
        </w:rPr>
        <w:t xml:space="preserve"> were no worse off than if they were not subject to a large Pub company’s tied tenancy.</w:t>
      </w:r>
    </w:p>
    <w:p w:rsidR="00E201CA" w:rsidRDefault="0040656C" w:rsidP="00022A24">
      <w:pPr>
        <w:jc w:val="both"/>
        <w:rPr>
          <w:rFonts w:ascii="Times New Roman" w:hAnsi="Times New Roman" w:cs="Times New Roman"/>
          <w:sz w:val="24"/>
          <w:szCs w:val="24"/>
        </w:rPr>
      </w:pPr>
      <w:r>
        <w:rPr>
          <w:rFonts w:ascii="Times New Roman" w:hAnsi="Times New Roman" w:cs="Times New Roman"/>
          <w:sz w:val="24"/>
          <w:szCs w:val="24"/>
        </w:rPr>
        <w:t>It is apparent from their first few years of operation that this aim i</w:t>
      </w:r>
      <w:r w:rsidR="00C53E69">
        <w:rPr>
          <w:rFonts w:ascii="Times New Roman" w:hAnsi="Times New Roman" w:cs="Times New Roman"/>
          <w:sz w:val="24"/>
          <w:szCs w:val="24"/>
        </w:rPr>
        <w:t>s still far from being realised in the</w:t>
      </w:r>
      <w:r w:rsidR="000B7CAE">
        <w:rPr>
          <w:rFonts w:ascii="Times New Roman" w:hAnsi="Times New Roman" w:cs="Times New Roman"/>
          <w:sz w:val="24"/>
          <w:szCs w:val="24"/>
        </w:rPr>
        <w:t xml:space="preserve"> day-to-day</w:t>
      </w:r>
      <w:r w:rsidR="00C53E69">
        <w:rPr>
          <w:rFonts w:ascii="Times New Roman" w:hAnsi="Times New Roman" w:cs="Times New Roman"/>
          <w:sz w:val="24"/>
          <w:szCs w:val="24"/>
        </w:rPr>
        <w:t xml:space="preserve"> operation of the code.</w:t>
      </w:r>
      <w:r w:rsidR="00022A24">
        <w:rPr>
          <w:rFonts w:ascii="Times New Roman" w:hAnsi="Times New Roman" w:cs="Times New Roman"/>
          <w:sz w:val="24"/>
          <w:szCs w:val="24"/>
        </w:rPr>
        <w:t xml:space="preserve"> </w:t>
      </w:r>
      <w:r w:rsidR="00000188">
        <w:rPr>
          <w:rFonts w:ascii="Times New Roman" w:hAnsi="Times New Roman" w:cs="Times New Roman"/>
          <w:sz w:val="24"/>
          <w:szCs w:val="24"/>
        </w:rPr>
        <w:t xml:space="preserve">Publicans and practitioners have reported a series of problems: </w:t>
      </w:r>
      <w:r w:rsidR="000A6D25">
        <w:rPr>
          <w:rFonts w:ascii="Times New Roman" w:hAnsi="Times New Roman" w:cs="Times New Roman"/>
          <w:sz w:val="24"/>
          <w:szCs w:val="24"/>
        </w:rPr>
        <w:t>p</w:t>
      </w:r>
      <w:r w:rsidR="00000188">
        <w:rPr>
          <w:rFonts w:ascii="Times New Roman" w:hAnsi="Times New Roman" w:cs="Times New Roman"/>
          <w:sz w:val="24"/>
          <w:szCs w:val="24"/>
        </w:rPr>
        <w:t>ub</w:t>
      </w:r>
      <w:r w:rsidR="000A6D25">
        <w:rPr>
          <w:rFonts w:ascii="Times New Roman" w:hAnsi="Times New Roman" w:cs="Times New Roman"/>
          <w:sz w:val="24"/>
          <w:szCs w:val="24"/>
        </w:rPr>
        <w:t>-owning</w:t>
      </w:r>
      <w:r w:rsidR="00000188">
        <w:rPr>
          <w:rFonts w:ascii="Times New Roman" w:hAnsi="Times New Roman" w:cs="Times New Roman"/>
          <w:sz w:val="24"/>
          <w:szCs w:val="24"/>
        </w:rPr>
        <w:t xml:space="preserve"> companies delaying the process and consequently raising costs, notices being issued to pull pubs into “owner management”</w:t>
      </w:r>
      <w:r w:rsidR="00320CC1">
        <w:rPr>
          <w:rFonts w:ascii="Times New Roman" w:hAnsi="Times New Roman" w:cs="Times New Roman"/>
          <w:sz w:val="24"/>
          <w:szCs w:val="24"/>
        </w:rPr>
        <w:t xml:space="preserve"> when tied tenants assert their rights</w:t>
      </w:r>
      <w:r w:rsidR="00000188">
        <w:rPr>
          <w:rFonts w:ascii="Times New Roman" w:hAnsi="Times New Roman" w:cs="Times New Roman"/>
          <w:sz w:val="24"/>
          <w:szCs w:val="24"/>
        </w:rPr>
        <w:t xml:space="preserve">, a lack of clarity in the code, an extremely limited negotiation window, a lack of published decisions – the list goes on-and-on. </w:t>
      </w:r>
      <w:r w:rsidR="00E201CA">
        <w:rPr>
          <w:rFonts w:ascii="Times New Roman" w:hAnsi="Times New Roman" w:cs="Times New Roman"/>
          <w:sz w:val="24"/>
          <w:szCs w:val="24"/>
        </w:rPr>
        <w:t xml:space="preserve">Noting clear operational issues with the code, the Government undertook a statutory review, with submissions having closed in July of this year. They are yet to </w:t>
      </w:r>
      <w:proofErr w:type="gramStart"/>
      <w:r w:rsidR="00E201CA">
        <w:rPr>
          <w:rFonts w:ascii="Times New Roman" w:hAnsi="Times New Roman" w:cs="Times New Roman"/>
          <w:sz w:val="24"/>
          <w:szCs w:val="24"/>
        </w:rPr>
        <w:t>report back</w:t>
      </w:r>
      <w:proofErr w:type="gramEnd"/>
      <w:r w:rsidR="00E201CA">
        <w:rPr>
          <w:rFonts w:ascii="Times New Roman" w:hAnsi="Times New Roman" w:cs="Times New Roman"/>
          <w:sz w:val="24"/>
          <w:szCs w:val="24"/>
        </w:rPr>
        <w:t xml:space="preserve"> on the outcome.</w:t>
      </w:r>
    </w:p>
    <w:p w:rsidR="001A7AE8" w:rsidRDefault="00E201CA" w:rsidP="00022A24">
      <w:pPr>
        <w:jc w:val="both"/>
        <w:rPr>
          <w:rFonts w:ascii="Times New Roman" w:hAnsi="Times New Roman" w:cs="Times New Roman"/>
          <w:sz w:val="24"/>
          <w:szCs w:val="24"/>
        </w:rPr>
      </w:pPr>
      <w:r>
        <w:rPr>
          <w:rFonts w:ascii="Times New Roman" w:hAnsi="Times New Roman" w:cs="Times New Roman"/>
          <w:sz w:val="24"/>
          <w:szCs w:val="24"/>
        </w:rPr>
        <w:t xml:space="preserve">Rather than a broader appraisal of the Pubs Code regulations and its various problems, </w:t>
      </w:r>
      <w:r w:rsidR="00320CC1">
        <w:rPr>
          <w:rFonts w:ascii="Times New Roman" w:hAnsi="Times New Roman" w:cs="Times New Roman"/>
          <w:sz w:val="24"/>
          <w:szCs w:val="24"/>
        </w:rPr>
        <w:t>this article focuses on the body of published decisions by the Pubs Code ad</w:t>
      </w:r>
      <w:r w:rsidR="00EE4FDC">
        <w:rPr>
          <w:rFonts w:ascii="Times New Roman" w:hAnsi="Times New Roman" w:cs="Times New Roman"/>
          <w:sz w:val="24"/>
          <w:szCs w:val="24"/>
        </w:rPr>
        <w:t xml:space="preserve">judicator. </w:t>
      </w:r>
      <w:r w:rsidR="00333055">
        <w:rPr>
          <w:rFonts w:ascii="Times New Roman" w:hAnsi="Times New Roman" w:cs="Times New Roman"/>
          <w:sz w:val="24"/>
          <w:szCs w:val="24"/>
        </w:rPr>
        <w:t>D</w:t>
      </w:r>
      <w:r w:rsidR="00EE4FDC">
        <w:rPr>
          <w:rFonts w:ascii="Times New Roman" w:hAnsi="Times New Roman" w:cs="Times New Roman"/>
          <w:sz w:val="24"/>
          <w:szCs w:val="24"/>
        </w:rPr>
        <w:t xml:space="preserve">ecisions </w:t>
      </w:r>
      <w:proofErr w:type="gramStart"/>
      <w:r w:rsidR="00EE4FDC">
        <w:rPr>
          <w:rFonts w:ascii="Times New Roman" w:hAnsi="Times New Roman" w:cs="Times New Roman"/>
          <w:sz w:val="24"/>
          <w:szCs w:val="24"/>
        </w:rPr>
        <w:t>are only published</w:t>
      </w:r>
      <w:proofErr w:type="gramEnd"/>
      <w:r w:rsidR="00EE4FDC">
        <w:rPr>
          <w:rFonts w:ascii="Times New Roman" w:hAnsi="Times New Roman" w:cs="Times New Roman"/>
          <w:sz w:val="24"/>
          <w:szCs w:val="24"/>
        </w:rPr>
        <w:t xml:space="preserve"> with the permission of both parties. </w:t>
      </w:r>
      <w:r w:rsidR="00A64007">
        <w:rPr>
          <w:rFonts w:ascii="Times New Roman" w:hAnsi="Times New Roman" w:cs="Times New Roman"/>
          <w:sz w:val="24"/>
          <w:szCs w:val="24"/>
        </w:rPr>
        <w:t xml:space="preserve">Pub owning companies have little motivation to consent; they can build up their own file of decisions, whereas tied tenants are only like to engage in one-off referrals. </w:t>
      </w:r>
      <w:r w:rsidR="00333055">
        <w:rPr>
          <w:rFonts w:ascii="Times New Roman" w:hAnsi="Times New Roman" w:cs="Times New Roman"/>
          <w:sz w:val="24"/>
          <w:szCs w:val="24"/>
        </w:rPr>
        <w:t>To</w:t>
      </w:r>
      <w:r w:rsidR="00A64007">
        <w:rPr>
          <w:rFonts w:ascii="Times New Roman" w:hAnsi="Times New Roman" w:cs="Times New Roman"/>
          <w:sz w:val="24"/>
          <w:szCs w:val="24"/>
        </w:rPr>
        <w:t xml:space="preserve"> date, the Pubs Code Adjudicator has published </w:t>
      </w:r>
      <w:r w:rsidR="001A7AE8">
        <w:rPr>
          <w:rFonts w:ascii="Times New Roman" w:hAnsi="Times New Roman" w:cs="Times New Roman"/>
          <w:sz w:val="24"/>
          <w:szCs w:val="24"/>
        </w:rPr>
        <w:t xml:space="preserve">a </w:t>
      </w:r>
      <w:r w:rsidR="001A7AE8">
        <w:rPr>
          <w:rFonts w:ascii="Times New Roman" w:hAnsi="Times New Roman" w:cs="Times New Roman"/>
          <w:sz w:val="24"/>
          <w:szCs w:val="24"/>
        </w:rPr>
        <w:lastRenderedPageBreak/>
        <w:t>series of 16</w:t>
      </w:r>
      <w:r w:rsidR="00A64007">
        <w:rPr>
          <w:rFonts w:ascii="Times New Roman" w:hAnsi="Times New Roman" w:cs="Times New Roman"/>
          <w:sz w:val="24"/>
          <w:szCs w:val="24"/>
        </w:rPr>
        <w:t xml:space="preserve"> arbitration awards</w:t>
      </w:r>
      <w:r w:rsidR="00765214">
        <w:rPr>
          <w:rFonts w:ascii="Times New Roman" w:hAnsi="Times New Roman" w:cs="Times New Roman"/>
          <w:sz w:val="24"/>
          <w:szCs w:val="24"/>
        </w:rPr>
        <w:t xml:space="preserve">, compared to a total </w:t>
      </w:r>
      <w:r w:rsidR="00333055">
        <w:rPr>
          <w:rFonts w:ascii="Times New Roman" w:hAnsi="Times New Roman" w:cs="Times New Roman"/>
          <w:sz w:val="24"/>
          <w:szCs w:val="24"/>
        </w:rPr>
        <w:t>2</w:t>
      </w:r>
      <w:r w:rsidR="002911E4">
        <w:rPr>
          <w:rFonts w:ascii="Times New Roman" w:hAnsi="Times New Roman" w:cs="Times New Roman"/>
          <w:sz w:val="24"/>
          <w:szCs w:val="24"/>
        </w:rPr>
        <w:t>52</w:t>
      </w:r>
      <w:r w:rsidR="00765214">
        <w:rPr>
          <w:rFonts w:ascii="Times New Roman" w:hAnsi="Times New Roman" w:cs="Times New Roman"/>
          <w:sz w:val="24"/>
          <w:szCs w:val="24"/>
        </w:rPr>
        <w:t xml:space="preserve"> awards</w:t>
      </w:r>
      <w:r w:rsidR="00333055">
        <w:rPr>
          <w:rFonts w:ascii="Times New Roman" w:hAnsi="Times New Roman" w:cs="Times New Roman"/>
          <w:sz w:val="24"/>
          <w:szCs w:val="24"/>
        </w:rPr>
        <w:t xml:space="preserve"> since 2017</w:t>
      </w:r>
      <w:r w:rsidR="00A64007">
        <w:rPr>
          <w:rFonts w:ascii="Times New Roman" w:hAnsi="Times New Roman" w:cs="Times New Roman"/>
          <w:sz w:val="24"/>
          <w:szCs w:val="24"/>
        </w:rPr>
        <w:t xml:space="preserve">. </w:t>
      </w:r>
      <w:r w:rsidR="001A7AE8">
        <w:rPr>
          <w:rFonts w:ascii="Times New Roman" w:hAnsi="Times New Roman" w:cs="Times New Roman"/>
          <w:sz w:val="24"/>
          <w:szCs w:val="24"/>
        </w:rPr>
        <w:t xml:space="preserve">We </w:t>
      </w:r>
      <w:proofErr w:type="gramStart"/>
      <w:r w:rsidR="001A7AE8">
        <w:rPr>
          <w:rFonts w:ascii="Times New Roman" w:hAnsi="Times New Roman" w:cs="Times New Roman"/>
          <w:sz w:val="24"/>
          <w:szCs w:val="24"/>
        </w:rPr>
        <w:t>can – from this modest base – begin</w:t>
      </w:r>
      <w:proofErr w:type="gramEnd"/>
      <w:r w:rsidR="001A7AE8">
        <w:rPr>
          <w:rFonts w:ascii="Times New Roman" w:hAnsi="Times New Roman" w:cs="Times New Roman"/>
          <w:sz w:val="24"/>
          <w:szCs w:val="24"/>
        </w:rPr>
        <w:t xml:space="preserve"> to explore how the adjudicator is approaching the interpretation of key elements of the code.</w:t>
      </w:r>
    </w:p>
    <w:p w:rsidR="001A7AE8" w:rsidRDefault="001A7AE8" w:rsidP="00022A24">
      <w:pPr>
        <w:jc w:val="both"/>
        <w:rPr>
          <w:rFonts w:ascii="Times New Roman" w:hAnsi="Times New Roman" w:cs="Times New Roman"/>
          <w:sz w:val="24"/>
          <w:szCs w:val="24"/>
        </w:rPr>
      </w:pPr>
      <w:r>
        <w:rPr>
          <w:rFonts w:ascii="Times New Roman" w:hAnsi="Times New Roman" w:cs="Times New Roman"/>
          <w:sz w:val="24"/>
          <w:szCs w:val="24"/>
        </w:rPr>
        <w:t>Following a precis on the core components of the “Pubs Code”, this article focuses on two key issues of interpretation: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reasonableness of proposed “m</w:t>
      </w:r>
      <w:r w:rsidR="00554874">
        <w:rPr>
          <w:rFonts w:ascii="Times New Roman" w:hAnsi="Times New Roman" w:cs="Times New Roman"/>
          <w:sz w:val="24"/>
          <w:szCs w:val="24"/>
        </w:rPr>
        <w:t xml:space="preserve">arket </w:t>
      </w:r>
      <w:r>
        <w:rPr>
          <w:rFonts w:ascii="Times New Roman" w:hAnsi="Times New Roman" w:cs="Times New Roman"/>
          <w:sz w:val="24"/>
          <w:szCs w:val="24"/>
        </w:rPr>
        <w:t xml:space="preserve">rent only” tenancy terms, and (ii) </w:t>
      </w:r>
      <w:r w:rsidR="00AF3639">
        <w:rPr>
          <w:rFonts w:ascii="Times New Roman" w:hAnsi="Times New Roman" w:cs="Times New Roman"/>
          <w:sz w:val="24"/>
          <w:szCs w:val="24"/>
        </w:rPr>
        <w:t>the vehicl</w:t>
      </w:r>
      <w:r w:rsidR="00AC580E">
        <w:rPr>
          <w:rFonts w:ascii="Times New Roman" w:hAnsi="Times New Roman" w:cs="Times New Roman"/>
          <w:sz w:val="24"/>
          <w:szCs w:val="24"/>
        </w:rPr>
        <w:t>e for delivering such a tenancy, namely, either by grant of a new tenancy or via a deed of variation.</w:t>
      </w:r>
    </w:p>
    <w:p w:rsidR="00BA28A8" w:rsidRDefault="00BA28A8" w:rsidP="00022A24">
      <w:pPr>
        <w:jc w:val="both"/>
        <w:rPr>
          <w:rFonts w:ascii="Times New Roman" w:hAnsi="Times New Roman" w:cs="Times New Roman"/>
          <w:b/>
          <w:sz w:val="24"/>
          <w:szCs w:val="24"/>
        </w:rPr>
      </w:pPr>
      <w:r>
        <w:rPr>
          <w:rFonts w:ascii="Times New Roman" w:hAnsi="Times New Roman" w:cs="Times New Roman"/>
          <w:b/>
          <w:sz w:val="24"/>
          <w:szCs w:val="24"/>
        </w:rPr>
        <w:t>T</w:t>
      </w:r>
      <w:r w:rsidR="00554874">
        <w:rPr>
          <w:rFonts w:ascii="Times New Roman" w:hAnsi="Times New Roman" w:cs="Times New Roman"/>
          <w:b/>
          <w:sz w:val="24"/>
          <w:szCs w:val="24"/>
        </w:rPr>
        <w:t>he Pubs Code mechanism: The “Market</w:t>
      </w:r>
      <w:r>
        <w:rPr>
          <w:rFonts w:ascii="Times New Roman" w:hAnsi="Times New Roman" w:cs="Times New Roman"/>
          <w:b/>
          <w:sz w:val="24"/>
          <w:szCs w:val="24"/>
        </w:rPr>
        <w:t xml:space="preserve"> Rent Only” tenancy</w:t>
      </w:r>
    </w:p>
    <w:p w:rsidR="000C43F1" w:rsidRDefault="00255706" w:rsidP="00102DFC">
      <w:pPr>
        <w:jc w:val="both"/>
        <w:rPr>
          <w:rFonts w:ascii="Times New Roman" w:hAnsi="Times New Roman" w:cs="Times New Roman"/>
          <w:sz w:val="24"/>
          <w:szCs w:val="24"/>
        </w:rPr>
      </w:pPr>
      <w:r>
        <w:rPr>
          <w:rFonts w:ascii="Times New Roman" w:hAnsi="Times New Roman" w:cs="Times New Roman"/>
          <w:sz w:val="24"/>
          <w:szCs w:val="24"/>
        </w:rPr>
        <w:t xml:space="preserve">The mischief of the “pubs code” </w:t>
      </w:r>
      <w:proofErr w:type="gramStart"/>
      <w:r>
        <w:rPr>
          <w:rFonts w:ascii="Times New Roman" w:hAnsi="Times New Roman" w:cs="Times New Roman"/>
          <w:sz w:val="24"/>
          <w:szCs w:val="24"/>
        </w:rPr>
        <w:t>is confined</w:t>
      </w:r>
      <w:proofErr w:type="gramEnd"/>
      <w:r>
        <w:rPr>
          <w:rFonts w:ascii="Times New Roman" w:hAnsi="Times New Roman" w:cs="Times New Roman"/>
          <w:sz w:val="24"/>
          <w:szCs w:val="24"/>
        </w:rPr>
        <w:t xml:space="preserve"> to tied</w:t>
      </w:r>
      <w:r w:rsidR="00971806">
        <w:rPr>
          <w:rFonts w:ascii="Times New Roman" w:hAnsi="Times New Roman" w:cs="Times New Roman"/>
          <w:sz w:val="24"/>
          <w:szCs w:val="24"/>
        </w:rPr>
        <w:t>-</w:t>
      </w:r>
      <w:r>
        <w:rPr>
          <w:rFonts w:ascii="Times New Roman" w:hAnsi="Times New Roman" w:cs="Times New Roman"/>
          <w:sz w:val="24"/>
          <w:szCs w:val="24"/>
        </w:rPr>
        <w:t>tenants of the largest “pub owning companies” (</w:t>
      </w:r>
      <w:proofErr w:type="spellStart"/>
      <w:r>
        <w:rPr>
          <w:rFonts w:ascii="Times New Roman" w:hAnsi="Times New Roman" w:cs="Times New Roman"/>
          <w:sz w:val="24"/>
          <w:szCs w:val="24"/>
        </w:rPr>
        <w:t>PubCos</w:t>
      </w:r>
      <w:proofErr w:type="spellEnd"/>
      <w:r>
        <w:rPr>
          <w:rFonts w:ascii="Times New Roman" w:hAnsi="Times New Roman" w:cs="Times New Roman"/>
          <w:sz w:val="24"/>
          <w:szCs w:val="24"/>
        </w:rPr>
        <w:t xml:space="preserve">), those owning 500 or </w:t>
      </w:r>
      <w:r w:rsidR="002C3268">
        <w:rPr>
          <w:rFonts w:ascii="Times New Roman" w:hAnsi="Times New Roman" w:cs="Times New Roman"/>
          <w:sz w:val="24"/>
          <w:szCs w:val="24"/>
        </w:rPr>
        <w:t>more</w:t>
      </w:r>
      <w:r>
        <w:rPr>
          <w:rFonts w:ascii="Times New Roman" w:hAnsi="Times New Roman" w:cs="Times New Roman"/>
          <w:sz w:val="24"/>
          <w:szCs w:val="24"/>
        </w:rPr>
        <w:t xml:space="preserve"> pubs. </w:t>
      </w:r>
      <w:r w:rsidR="00102DFC">
        <w:rPr>
          <w:rFonts w:ascii="Times New Roman" w:hAnsi="Times New Roman" w:cs="Times New Roman"/>
          <w:sz w:val="24"/>
          <w:szCs w:val="24"/>
        </w:rPr>
        <w:t xml:space="preserve">These </w:t>
      </w:r>
      <w:proofErr w:type="gramStart"/>
      <w:r w:rsidR="00102DFC">
        <w:rPr>
          <w:rFonts w:ascii="Times New Roman" w:hAnsi="Times New Roman" w:cs="Times New Roman"/>
          <w:sz w:val="24"/>
          <w:szCs w:val="24"/>
        </w:rPr>
        <w:t>are:</w:t>
      </w:r>
      <w:proofErr w:type="gramEnd"/>
      <w:r w:rsidR="00102DFC">
        <w:rPr>
          <w:rFonts w:ascii="Times New Roman" w:hAnsi="Times New Roman" w:cs="Times New Roman"/>
          <w:sz w:val="24"/>
          <w:szCs w:val="24"/>
        </w:rPr>
        <w:t xml:space="preserve"> </w:t>
      </w:r>
      <w:r w:rsidR="00102DFC" w:rsidRPr="00102DFC">
        <w:rPr>
          <w:rFonts w:ascii="Times New Roman" w:hAnsi="Times New Roman" w:cs="Times New Roman"/>
          <w:sz w:val="24"/>
          <w:szCs w:val="24"/>
        </w:rPr>
        <w:t>Marston's</w:t>
      </w:r>
      <w:r w:rsidR="00102DFC">
        <w:rPr>
          <w:rFonts w:ascii="Times New Roman" w:hAnsi="Times New Roman" w:cs="Times New Roman"/>
          <w:sz w:val="24"/>
          <w:szCs w:val="24"/>
        </w:rPr>
        <w:t xml:space="preserve">, </w:t>
      </w:r>
      <w:r w:rsidR="00102DFC" w:rsidRPr="00102DFC">
        <w:rPr>
          <w:rFonts w:ascii="Times New Roman" w:hAnsi="Times New Roman" w:cs="Times New Roman"/>
          <w:sz w:val="24"/>
          <w:szCs w:val="24"/>
        </w:rPr>
        <w:t>Star Pubs &amp; Bars</w:t>
      </w:r>
      <w:r w:rsidR="00102DFC">
        <w:rPr>
          <w:rFonts w:ascii="Times New Roman" w:hAnsi="Times New Roman" w:cs="Times New Roman"/>
          <w:sz w:val="24"/>
          <w:szCs w:val="24"/>
        </w:rPr>
        <w:t xml:space="preserve">, </w:t>
      </w:r>
      <w:r w:rsidR="00102DFC" w:rsidRPr="00102DFC">
        <w:rPr>
          <w:rFonts w:ascii="Times New Roman" w:hAnsi="Times New Roman" w:cs="Times New Roman"/>
          <w:sz w:val="24"/>
          <w:szCs w:val="24"/>
        </w:rPr>
        <w:t>Greene King</w:t>
      </w:r>
      <w:r w:rsidR="00102DFC">
        <w:rPr>
          <w:rFonts w:ascii="Times New Roman" w:hAnsi="Times New Roman" w:cs="Times New Roman"/>
          <w:sz w:val="24"/>
          <w:szCs w:val="24"/>
        </w:rPr>
        <w:t xml:space="preserve">, </w:t>
      </w:r>
      <w:r w:rsidR="00102DFC" w:rsidRPr="00102DFC">
        <w:rPr>
          <w:rFonts w:ascii="Times New Roman" w:hAnsi="Times New Roman" w:cs="Times New Roman"/>
          <w:sz w:val="24"/>
          <w:szCs w:val="24"/>
        </w:rPr>
        <w:t>Admiral Taverns</w:t>
      </w:r>
      <w:r w:rsidR="00102DFC">
        <w:rPr>
          <w:rFonts w:ascii="Times New Roman" w:hAnsi="Times New Roman" w:cs="Times New Roman"/>
          <w:sz w:val="24"/>
          <w:szCs w:val="24"/>
        </w:rPr>
        <w:t xml:space="preserve">, </w:t>
      </w:r>
      <w:r w:rsidR="00102DFC" w:rsidRPr="00102DFC">
        <w:rPr>
          <w:rFonts w:ascii="Times New Roman" w:hAnsi="Times New Roman" w:cs="Times New Roman"/>
          <w:sz w:val="24"/>
          <w:szCs w:val="24"/>
        </w:rPr>
        <w:t>Punch Taverns</w:t>
      </w:r>
      <w:r w:rsidR="00102DFC">
        <w:rPr>
          <w:rFonts w:ascii="Times New Roman" w:hAnsi="Times New Roman" w:cs="Times New Roman"/>
          <w:sz w:val="24"/>
          <w:szCs w:val="24"/>
        </w:rPr>
        <w:t xml:space="preserve"> and </w:t>
      </w:r>
      <w:r w:rsidR="00102DFC" w:rsidRPr="00102DFC">
        <w:rPr>
          <w:rFonts w:ascii="Times New Roman" w:hAnsi="Times New Roman" w:cs="Times New Roman"/>
          <w:sz w:val="24"/>
          <w:szCs w:val="24"/>
        </w:rPr>
        <w:t>Enterprise Inns</w:t>
      </w:r>
      <w:r w:rsidR="00971806">
        <w:rPr>
          <w:rFonts w:ascii="Times New Roman" w:hAnsi="Times New Roman" w:cs="Times New Roman"/>
          <w:sz w:val="24"/>
          <w:szCs w:val="24"/>
        </w:rPr>
        <w:t>.</w:t>
      </w:r>
      <w:r w:rsidR="00212518">
        <w:rPr>
          <w:rFonts w:ascii="Times New Roman" w:hAnsi="Times New Roman" w:cs="Times New Roman"/>
          <w:sz w:val="24"/>
          <w:szCs w:val="24"/>
        </w:rPr>
        <w:t xml:space="preserve"> As a condition of their tenancy, tied tenants are normally required, </w:t>
      </w:r>
      <w:r w:rsidR="00212518" w:rsidRPr="00212518">
        <w:rPr>
          <w:rFonts w:ascii="Times New Roman" w:hAnsi="Times New Roman" w:cs="Times New Roman"/>
          <w:i/>
          <w:sz w:val="24"/>
          <w:szCs w:val="24"/>
        </w:rPr>
        <w:t>inter alia</w:t>
      </w:r>
      <w:r w:rsidR="00212518">
        <w:rPr>
          <w:rFonts w:ascii="Times New Roman" w:hAnsi="Times New Roman" w:cs="Times New Roman"/>
          <w:sz w:val="24"/>
          <w:szCs w:val="24"/>
        </w:rPr>
        <w:t>, to buy all of their beer (</w:t>
      </w:r>
      <w:r w:rsidR="00CE39E5">
        <w:rPr>
          <w:rFonts w:ascii="Times New Roman" w:hAnsi="Times New Roman" w:cs="Times New Roman"/>
          <w:sz w:val="24"/>
          <w:szCs w:val="24"/>
        </w:rPr>
        <w:t xml:space="preserve">and </w:t>
      </w:r>
      <w:r w:rsidR="00212518">
        <w:rPr>
          <w:rFonts w:ascii="Times New Roman" w:hAnsi="Times New Roman" w:cs="Times New Roman"/>
          <w:sz w:val="24"/>
          <w:szCs w:val="24"/>
        </w:rPr>
        <w:t>often other drinks</w:t>
      </w:r>
      <w:r w:rsidR="00CE39E5">
        <w:rPr>
          <w:rFonts w:ascii="Times New Roman" w:hAnsi="Times New Roman" w:cs="Times New Roman"/>
          <w:sz w:val="24"/>
          <w:szCs w:val="24"/>
        </w:rPr>
        <w:t xml:space="preserve"> or products</w:t>
      </w:r>
      <w:r w:rsidR="00212518">
        <w:rPr>
          <w:rFonts w:ascii="Times New Roman" w:hAnsi="Times New Roman" w:cs="Times New Roman"/>
          <w:sz w:val="24"/>
          <w:szCs w:val="24"/>
        </w:rPr>
        <w:t xml:space="preserve">) and services from the </w:t>
      </w:r>
      <w:proofErr w:type="spellStart"/>
      <w:r w:rsidR="00212518">
        <w:rPr>
          <w:rFonts w:ascii="Times New Roman" w:hAnsi="Times New Roman" w:cs="Times New Roman"/>
          <w:sz w:val="24"/>
          <w:szCs w:val="24"/>
        </w:rPr>
        <w:t>PubCo</w:t>
      </w:r>
      <w:proofErr w:type="spellEnd"/>
      <w:r w:rsidR="00212518">
        <w:rPr>
          <w:rFonts w:ascii="Times New Roman" w:hAnsi="Times New Roman" w:cs="Times New Roman"/>
          <w:sz w:val="24"/>
          <w:szCs w:val="24"/>
        </w:rPr>
        <w:t xml:space="preserve">, preventing them from buying these at market rates and restricting heavily the range of products available for offer. </w:t>
      </w:r>
      <w:r w:rsidR="00971806">
        <w:rPr>
          <w:rFonts w:ascii="Times New Roman" w:hAnsi="Times New Roman" w:cs="Times New Roman"/>
          <w:sz w:val="24"/>
          <w:szCs w:val="24"/>
        </w:rPr>
        <w:t xml:space="preserve">The code functions by providing these tied tenants a right, in the face of a “trigger event”, to </w:t>
      </w:r>
      <w:proofErr w:type="gramStart"/>
      <w:r w:rsidR="00971806">
        <w:rPr>
          <w:rFonts w:ascii="Times New Roman" w:hAnsi="Times New Roman" w:cs="Times New Roman"/>
          <w:sz w:val="24"/>
          <w:szCs w:val="24"/>
        </w:rPr>
        <w:t>be offered</w:t>
      </w:r>
      <w:proofErr w:type="gramEnd"/>
      <w:r w:rsidR="00971806">
        <w:rPr>
          <w:rFonts w:ascii="Times New Roman" w:hAnsi="Times New Roman" w:cs="Times New Roman"/>
          <w:sz w:val="24"/>
          <w:szCs w:val="24"/>
        </w:rPr>
        <w:t xml:space="preserve"> a “market rent only”</w:t>
      </w:r>
      <w:r w:rsidR="00EF070E">
        <w:rPr>
          <w:rFonts w:ascii="Times New Roman" w:hAnsi="Times New Roman" w:cs="Times New Roman"/>
          <w:sz w:val="24"/>
          <w:szCs w:val="24"/>
        </w:rPr>
        <w:t xml:space="preserve"> (MRO)</w:t>
      </w:r>
      <w:r w:rsidR="00971806">
        <w:rPr>
          <w:rFonts w:ascii="Times New Roman" w:hAnsi="Times New Roman" w:cs="Times New Roman"/>
          <w:sz w:val="24"/>
          <w:szCs w:val="24"/>
        </w:rPr>
        <w:t xml:space="preserve"> tenancy option for the premises.</w:t>
      </w:r>
      <w:r w:rsidR="00CE39E5">
        <w:rPr>
          <w:rFonts w:ascii="Times New Roman" w:hAnsi="Times New Roman" w:cs="Times New Roman"/>
          <w:sz w:val="24"/>
          <w:szCs w:val="24"/>
        </w:rPr>
        <w:t xml:space="preserve"> This breaks them free of the bulk of these tie requirements in return for being charged a “market rent”.</w:t>
      </w:r>
    </w:p>
    <w:p w:rsidR="00971806" w:rsidRDefault="00971806" w:rsidP="00102DFC">
      <w:pPr>
        <w:jc w:val="both"/>
        <w:rPr>
          <w:rFonts w:ascii="Times New Roman" w:hAnsi="Times New Roman" w:cs="Times New Roman"/>
          <w:sz w:val="24"/>
          <w:szCs w:val="24"/>
        </w:rPr>
      </w:pPr>
      <w:r>
        <w:rPr>
          <w:rFonts w:ascii="Times New Roman" w:hAnsi="Times New Roman" w:cs="Times New Roman"/>
          <w:sz w:val="24"/>
          <w:szCs w:val="24"/>
        </w:rPr>
        <w:t xml:space="preserve">This process </w:t>
      </w:r>
      <w:proofErr w:type="gramStart"/>
      <w:r>
        <w:rPr>
          <w:rFonts w:ascii="Times New Roman" w:hAnsi="Times New Roman" w:cs="Times New Roman"/>
          <w:sz w:val="24"/>
          <w:szCs w:val="24"/>
        </w:rPr>
        <w:t>is underpinned</w:t>
      </w:r>
      <w:proofErr w:type="gramEnd"/>
      <w:r>
        <w:rPr>
          <w:rFonts w:ascii="Times New Roman" w:hAnsi="Times New Roman" w:cs="Times New Roman"/>
          <w:sz w:val="24"/>
          <w:szCs w:val="24"/>
        </w:rPr>
        <w:t xml:space="preserve"> by s.43</w:t>
      </w:r>
      <w:r w:rsidR="00EF070E">
        <w:rPr>
          <w:rFonts w:ascii="Times New Roman" w:hAnsi="Times New Roman" w:cs="Times New Roman"/>
          <w:sz w:val="24"/>
          <w:szCs w:val="24"/>
        </w:rPr>
        <w:t xml:space="preserve"> </w:t>
      </w:r>
      <w:r>
        <w:rPr>
          <w:rFonts w:ascii="Times New Roman" w:hAnsi="Times New Roman" w:cs="Times New Roman"/>
          <w:sz w:val="24"/>
          <w:szCs w:val="24"/>
        </w:rPr>
        <w:t>Small Business Enterprise and Employment Act 2015</w:t>
      </w:r>
      <w:r w:rsidR="00EF070E">
        <w:rPr>
          <w:rFonts w:ascii="Times New Roman" w:hAnsi="Times New Roman" w:cs="Times New Roman"/>
          <w:sz w:val="24"/>
          <w:szCs w:val="24"/>
        </w:rPr>
        <w:t xml:space="preserve">. </w:t>
      </w:r>
      <w:r w:rsidR="000C43F1">
        <w:rPr>
          <w:rFonts w:ascii="Times New Roman" w:hAnsi="Times New Roman" w:cs="Times New Roman"/>
          <w:sz w:val="24"/>
          <w:szCs w:val="24"/>
        </w:rPr>
        <w:t xml:space="preserve">The “trigger events” are specified in </w:t>
      </w:r>
      <w:proofErr w:type="gramStart"/>
      <w:r w:rsidR="004E10B3">
        <w:rPr>
          <w:rFonts w:ascii="Times New Roman" w:hAnsi="Times New Roman" w:cs="Times New Roman"/>
          <w:sz w:val="24"/>
          <w:szCs w:val="24"/>
        </w:rPr>
        <w:t>s.43(</w:t>
      </w:r>
      <w:proofErr w:type="gramEnd"/>
      <w:r w:rsidR="004E10B3">
        <w:rPr>
          <w:rFonts w:ascii="Times New Roman" w:hAnsi="Times New Roman" w:cs="Times New Roman"/>
          <w:sz w:val="24"/>
          <w:szCs w:val="24"/>
        </w:rPr>
        <w:t xml:space="preserve">6) of the 2015 Act, including a renewal of </w:t>
      </w:r>
      <w:r w:rsidR="008C5BF8">
        <w:rPr>
          <w:rFonts w:ascii="Times New Roman" w:hAnsi="Times New Roman" w:cs="Times New Roman"/>
          <w:sz w:val="24"/>
          <w:szCs w:val="24"/>
        </w:rPr>
        <w:t xml:space="preserve">any of the pub arrangements, </w:t>
      </w:r>
      <w:r w:rsidR="004E10B3">
        <w:rPr>
          <w:rFonts w:ascii="Times New Roman" w:hAnsi="Times New Roman" w:cs="Times New Roman"/>
          <w:sz w:val="24"/>
          <w:szCs w:val="24"/>
        </w:rPr>
        <w:t xml:space="preserve">a rent assessment, or when the price of a tied product(s) or service increases significantly. In practice, </w:t>
      </w:r>
      <w:r w:rsidR="00D14D71">
        <w:rPr>
          <w:rFonts w:ascii="Times New Roman" w:hAnsi="Times New Roman" w:cs="Times New Roman"/>
          <w:sz w:val="24"/>
          <w:szCs w:val="24"/>
        </w:rPr>
        <w:t>tenancy renewals</w:t>
      </w:r>
      <w:r w:rsidR="004E10B3">
        <w:rPr>
          <w:rFonts w:ascii="Times New Roman" w:hAnsi="Times New Roman" w:cs="Times New Roman"/>
          <w:sz w:val="24"/>
          <w:szCs w:val="24"/>
        </w:rPr>
        <w:t xml:space="preserve"> leverage the majority of MRO only requests.</w:t>
      </w:r>
    </w:p>
    <w:p w:rsidR="004E10B3" w:rsidRDefault="00933EF3" w:rsidP="00102DFC">
      <w:pPr>
        <w:jc w:val="both"/>
        <w:rPr>
          <w:rFonts w:ascii="Times New Roman" w:hAnsi="Times New Roman" w:cs="Times New Roman"/>
          <w:sz w:val="24"/>
          <w:szCs w:val="24"/>
        </w:rPr>
      </w:pPr>
      <w:r>
        <w:rPr>
          <w:rFonts w:ascii="Times New Roman" w:hAnsi="Times New Roman" w:cs="Times New Roman"/>
          <w:sz w:val="24"/>
          <w:szCs w:val="24"/>
        </w:rPr>
        <w:t xml:space="preserve">Having had their right triggered, the tied-tenant can make a notice under Reg. 23 of the Pubs Code Regulations 2016 and the </w:t>
      </w:r>
      <w:proofErr w:type="spellStart"/>
      <w:r>
        <w:rPr>
          <w:rFonts w:ascii="Times New Roman" w:hAnsi="Times New Roman" w:cs="Times New Roman"/>
          <w:sz w:val="24"/>
          <w:szCs w:val="24"/>
        </w:rPr>
        <w:t>PubCo</w:t>
      </w:r>
      <w:proofErr w:type="spellEnd"/>
      <w:r>
        <w:rPr>
          <w:rFonts w:ascii="Times New Roman" w:hAnsi="Times New Roman" w:cs="Times New Roman"/>
          <w:sz w:val="24"/>
          <w:szCs w:val="24"/>
        </w:rPr>
        <w:t xml:space="preserve"> then must offer a MRO-compliant tenancy or license. </w:t>
      </w:r>
      <w:r w:rsidR="007E0FF7">
        <w:rPr>
          <w:rFonts w:ascii="Times New Roman" w:hAnsi="Times New Roman" w:cs="Times New Roman"/>
          <w:sz w:val="24"/>
          <w:szCs w:val="24"/>
        </w:rPr>
        <w:t>The MRO offer is only compliant if it (</w:t>
      </w:r>
      <w:r w:rsidR="007E0FF7" w:rsidRPr="007F158C">
        <w:rPr>
          <w:rFonts w:ascii="Times New Roman" w:hAnsi="Times New Roman" w:cs="Times New Roman"/>
          <w:i/>
          <w:sz w:val="24"/>
          <w:szCs w:val="24"/>
        </w:rPr>
        <w:t>inter alia</w:t>
      </w:r>
      <w:r w:rsidR="007E0FF7">
        <w:rPr>
          <w:rFonts w:ascii="Times New Roman" w:hAnsi="Times New Roman" w:cs="Times New Roman"/>
          <w:sz w:val="24"/>
          <w:szCs w:val="24"/>
        </w:rPr>
        <w:t>) does not contain any product or service tie (apart from one in respect of insurance provision) or any “unreasonable terms and conditions”.</w:t>
      </w:r>
      <w:r w:rsidR="00915100">
        <w:rPr>
          <w:rFonts w:ascii="Times New Roman" w:hAnsi="Times New Roman" w:cs="Times New Roman"/>
          <w:sz w:val="24"/>
          <w:szCs w:val="24"/>
        </w:rPr>
        <w:t xml:space="preserve"> Under s.48 of the 2015 Act, tied pub tenants can refer a matter for dispute to the Pubs Code Adjudicator where they allege that a </w:t>
      </w:r>
      <w:proofErr w:type="spellStart"/>
      <w:r w:rsidR="00915100">
        <w:rPr>
          <w:rFonts w:ascii="Times New Roman" w:hAnsi="Times New Roman" w:cs="Times New Roman"/>
          <w:sz w:val="24"/>
          <w:szCs w:val="24"/>
        </w:rPr>
        <w:t>PubCo</w:t>
      </w:r>
      <w:proofErr w:type="spellEnd"/>
      <w:r w:rsidR="00915100">
        <w:rPr>
          <w:rFonts w:ascii="Times New Roman" w:hAnsi="Times New Roman" w:cs="Times New Roman"/>
          <w:sz w:val="24"/>
          <w:szCs w:val="24"/>
        </w:rPr>
        <w:t xml:space="preserve"> has failed to adhere to the code.</w:t>
      </w:r>
    </w:p>
    <w:p w:rsidR="007F158C" w:rsidRDefault="00873FB5" w:rsidP="00102DFC">
      <w:pPr>
        <w:jc w:val="both"/>
        <w:rPr>
          <w:rFonts w:ascii="Times New Roman" w:hAnsi="Times New Roman" w:cs="Times New Roman"/>
          <w:sz w:val="24"/>
          <w:szCs w:val="24"/>
        </w:rPr>
      </w:pPr>
      <w:proofErr w:type="gramStart"/>
      <w:r>
        <w:rPr>
          <w:rFonts w:ascii="Times New Roman" w:hAnsi="Times New Roman" w:cs="Times New Roman"/>
          <w:sz w:val="24"/>
          <w:szCs w:val="24"/>
        </w:rPr>
        <w:t>In practice, there are a number of aspects of the code that have proven problematic for tied tenants or that have suffered from a lack of clarity.</w:t>
      </w:r>
      <w:proofErr w:type="gramEnd"/>
      <w:r>
        <w:rPr>
          <w:rFonts w:ascii="Times New Roman" w:hAnsi="Times New Roman" w:cs="Times New Roman"/>
          <w:sz w:val="24"/>
          <w:szCs w:val="24"/>
        </w:rPr>
        <w:t xml:space="preserve"> One of these is the “reasonableness” of an MRO-compliant proposal by the </w:t>
      </w:r>
      <w:proofErr w:type="spellStart"/>
      <w:r>
        <w:rPr>
          <w:rFonts w:ascii="Times New Roman" w:hAnsi="Times New Roman" w:cs="Times New Roman"/>
          <w:sz w:val="24"/>
          <w:szCs w:val="24"/>
        </w:rPr>
        <w:t>PubCo</w:t>
      </w:r>
      <w:proofErr w:type="spellEnd"/>
      <w:r w:rsidR="00C7318E">
        <w:rPr>
          <w:rFonts w:ascii="Times New Roman" w:hAnsi="Times New Roman" w:cs="Times New Roman"/>
          <w:sz w:val="24"/>
          <w:szCs w:val="24"/>
        </w:rPr>
        <w:t xml:space="preserve">. What does reasonableness mean in this context? Does the assessment of reasonableness extend beyond the individual terms contained within the proposed tenancy? </w:t>
      </w:r>
      <w:r w:rsidR="00D833AE">
        <w:rPr>
          <w:rFonts w:ascii="Times New Roman" w:hAnsi="Times New Roman" w:cs="Times New Roman"/>
          <w:sz w:val="24"/>
          <w:szCs w:val="24"/>
        </w:rPr>
        <w:t xml:space="preserve">Early decisions released by the Pubs Code Adjudicator have begun to shed some light on these questions. The </w:t>
      </w:r>
      <w:r w:rsidR="00D45667">
        <w:rPr>
          <w:rFonts w:ascii="Times New Roman" w:hAnsi="Times New Roman" w:cs="Times New Roman"/>
          <w:sz w:val="24"/>
          <w:szCs w:val="24"/>
        </w:rPr>
        <w:t xml:space="preserve">two sections below focus on a series of appendices in one such award by the Deputy Pubs Code Adjudicator, </w:t>
      </w:r>
      <w:r w:rsidR="00D45667" w:rsidRPr="001633AD">
        <w:rPr>
          <w:rFonts w:ascii="Times New Roman" w:hAnsi="Times New Roman" w:cs="Times New Roman"/>
          <w:i/>
          <w:sz w:val="24"/>
          <w:szCs w:val="24"/>
        </w:rPr>
        <w:t>Elizabeth Doyle v Punch Partnerships Limited and Star Pubs &amp; Bars Limited</w:t>
      </w:r>
      <w:r w:rsidR="00D45667">
        <w:rPr>
          <w:rFonts w:ascii="Times New Roman" w:hAnsi="Times New Roman" w:cs="Times New Roman"/>
          <w:sz w:val="24"/>
          <w:szCs w:val="24"/>
        </w:rPr>
        <w:t xml:space="preserve"> [2018] ARB/17/DOYLE. </w:t>
      </w:r>
      <w:r w:rsidR="00A467D3">
        <w:rPr>
          <w:rFonts w:ascii="Times New Roman" w:hAnsi="Times New Roman" w:cs="Times New Roman"/>
          <w:sz w:val="24"/>
          <w:szCs w:val="24"/>
        </w:rPr>
        <w:t xml:space="preserve">Here, clarification </w:t>
      </w:r>
      <w:proofErr w:type="gramStart"/>
      <w:r w:rsidR="00A467D3">
        <w:rPr>
          <w:rFonts w:ascii="Times New Roman" w:hAnsi="Times New Roman" w:cs="Times New Roman"/>
          <w:sz w:val="24"/>
          <w:szCs w:val="24"/>
        </w:rPr>
        <w:t>was provided</w:t>
      </w:r>
      <w:proofErr w:type="gramEnd"/>
      <w:r w:rsidR="00A467D3">
        <w:rPr>
          <w:rFonts w:ascii="Times New Roman" w:hAnsi="Times New Roman" w:cs="Times New Roman"/>
          <w:sz w:val="24"/>
          <w:szCs w:val="24"/>
        </w:rPr>
        <w:t xml:space="preserve"> on a number of important elements of code and its underpinning regulations’ interpretation. </w:t>
      </w:r>
      <w:r w:rsidR="00D21D68">
        <w:rPr>
          <w:rFonts w:ascii="Times New Roman" w:hAnsi="Times New Roman" w:cs="Times New Roman"/>
          <w:sz w:val="24"/>
          <w:szCs w:val="24"/>
        </w:rPr>
        <w:t>I will deal with two issues</w:t>
      </w:r>
      <w:r w:rsidR="00A467D3">
        <w:rPr>
          <w:rFonts w:ascii="Times New Roman" w:hAnsi="Times New Roman" w:cs="Times New Roman"/>
          <w:sz w:val="24"/>
          <w:szCs w:val="24"/>
        </w:rPr>
        <w:t xml:space="preserve"> in turn: the assessment of the reasonableness of terms in </w:t>
      </w:r>
      <w:proofErr w:type="gramStart"/>
      <w:r w:rsidR="00A467D3">
        <w:rPr>
          <w:rFonts w:ascii="Times New Roman" w:hAnsi="Times New Roman" w:cs="Times New Roman"/>
          <w:sz w:val="24"/>
          <w:szCs w:val="24"/>
        </w:rPr>
        <w:t>an MRO offer, and whether a specific vehicle (i.e. a deed of variation or new tenancy) is required for such an offer</w:t>
      </w:r>
      <w:proofErr w:type="gramEnd"/>
      <w:r w:rsidR="00A467D3">
        <w:rPr>
          <w:rFonts w:ascii="Times New Roman" w:hAnsi="Times New Roman" w:cs="Times New Roman"/>
          <w:sz w:val="24"/>
          <w:szCs w:val="24"/>
        </w:rPr>
        <w:t>.</w:t>
      </w:r>
      <w:r w:rsidR="00D45667">
        <w:rPr>
          <w:rFonts w:ascii="Times New Roman" w:hAnsi="Times New Roman" w:cs="Times New Roman"/>
          <w:sz w:val="24"/>
          <w:szCs w:val="24"/>
        </w:rPr>
        <w:t xml:space="preserve"> </w:t>
      </w:r>
    </w:p>
    <w:p w:rsidR="008E418A" w:rsidRPr="00462DBA" w:rsidRDefault="008E418A" w:rsidP="00462DBA">
      <w:pPr>
        <w:pStyle w:val="ListParagraph"/>
        <w:numPr>
          <w:ilvl w:val="0"/>
          <w:numId w:val="1"/>
        </w:numPr>
        <w:jc w:val="both"/>
        <w:rPr>
          <w:rFonts w:ascii="Times New Roman" w:hAnsi="Times New Roman" w:cs="Times New Roman"/>
          <w:b/>
          <w:sz w:val="24"/>
          <w:szCs w:val="24"/>
        </w:rPr>
      </w:pPr>
      <w:r w:rsidRPr="00462DBA">
        <w:rPr>
          <w:rFonts w:ascii="Times New Roman" w:hAnsi="Times New Roman" w:cs="Times New Roman"/>
          <w:b/>
          <w:sz w:val="24"/>
          <w:szCs w:val="24"/>
        </w:rPr>
        <w:t>Reasonableness of terms</w:t>
      </w:r>
    </w:p>
    <w:p w:rsidR="00102DFC" w:rsidRDefault="00FD266A" w:rsidP="00022A24">
      <w:pPr>
        <w:jc w:val="both"/>
        <w:rPr>
          <w:rFonts w:ascii="Times New Roman" w:hAnsi="Times New Roman" w:cs="Times New Roman"/>
          <w:sz w:val="24"/>
          <w:szCs w:val="24"/>
        </w:rPr>
      </w:pPr>
      <w:r>
        <w:rPr>
          <w:rFonts w:ascii="Times New Roman" w:hAnsi="Times New Roman" w:cs="Times New Roman"/>
          <w:sz w:val="24"/>
          <w:szCs w:val="24"/>
        </w:rPr>
        <w:t>The animating concern of the Pubs Code, enshrined in s.42 of the 2015 Act, is that: “</w:t>
      </w:r>
      <w:r w:rsidRPr="00FD266A">
        <w:rPr>
          <w:rFonts w:ascii="Times New Roman" w:hAnsi="Times New Roman" w:cs="Times New Roman"/>
          <w:sz w:val="24"/>
          <w:szCs w:val="24"/>
        </w:rPr>
        <w:t xml:space="preserve">tied pub tenants should not be worse off than they would be if they were not subject to any product or </w:t>
      </w:r>
      <w:r w:rsidRPr="00FD266A">
        <w:rPr>
          <w:rFonts w:ascii="Times New Roman" w:hAnsi="Times New Roman" w:cs="Times New Roman"/>
          <w:sz w:val="24"/>
          <w:szCs w:val="24"/>
        </w:rPr>
        <w:lastRenderedPageBreak/>
        <w:t>service tie.</w:t>
      </w:r>
      <w:r>
        <w:rPr>
          <w:rFonts w:ascii="Times New Roman" w:hAnsi="Times New Roman" w:cs="Times New Roman"/>
          <w:sz w:val="24"/>
          <w:szCs w:val="24"/>
        </w:rPr>
        <w:t>”</w:t>
      </w:r>
      <w:r w:rsidR="00BC125A">
        <w:rPr>
          <w:rFonts w:ascii="Times New Roman" w:hAnsi="Times New Roman" w:cs="Times New Roman"/>
          <w:sz w:val="24"/>
          <w:szCs w:val="24"/>
        </w:rPr>
        <w:t xml:space="preserve"> </w:t>
      </w:r>
      <w:r w:rsidR="003E23A6">
        <w:rPr>
          <w:rFonts w:ascii="Times New Roman" w:hAnsi="Times New Roman" w:cs="Times New Roman"/>
          <w:sz w:val="24"/>
          <w:szCs w:val="24"/>
        </w:rPr>
        <w:t xml:space="preserve">True to this ethos, the key litmus test for a compliant MRO tenancy offer by the </w:t>
      </w:r>
      <w:proofErr w:type="spellStart"/>
      <w:r w:rsidR="003E23A6">
        <w:rPr>
          <w:rFonts w:ascii="Times New Roman" w:hAnsi="Times New Roman" w:cs="Times New Roman"/>
          <w:sz w:val="24"/>
          <w:szCs w:val="24"/>
        </w:rPr>
        <w:t>PubCo</w:t>
      </w:r>
      <w:proofErr w:type="spellEnd"/>
      <w:r w:rsidR="003E23A6">
        <w:rPr>
          <w:rFonts w:ascii="Times New Roman" w:hAnsi="Times New Roman" w:cs="Times New Roman"/>
          <w:sz w:val="24"/>
          <w:szCs w:val="24"/>
        </w:rPr>
        <w:t xml:space="preserve"> is whether the terms are “</w:t>
      </w:r>
      <w:r w:rsidR="003E23A6" w:rsidRPr="003E23A6">
        <w:rPr>
          <w:rFonts w:ascii="Times New Roman" w:hAnsi="Times New Roman" w:cs="Times New Roman"/>
          <w:sz w:val="24"/>
          <w:szCs w:val="24"/>
        </w:rPr>
        <w:t>common terms in agreements between landlords and pub tenants who are not sub</w:t>
      </w:r>
      <w:r w:rsidR="003E23A6">
        <w:rPr>
          <w:rFonts w:ascii="Times New Roman" w:hAnsi="Times New Roman" w:cs="Times New Roman"/>
          <w:sz w:val="24"/>
          <w:szCs w:val="24"/>
        </w:rPr>
        <w:t>ject to product or service ties</w:t>
      </w:r>
      <w:r w:rsidR="00C92F11">
        <w:rPr>
          <w:rFonts w:ascii="Times New Roman" w:hAnsi="Times New Roman" w:cs="Times New Roman"/>
          <w:sz w:val="24"/>
          <w:szCs w:val="24"/>
        </w:rPr>
        <w:t xml:space="preserve">” </w:t>
      </w:r>
      <w:r w:rsidR="00E6618A">
        <w:rPr>
          <w:rFonts w:ascii="Times New Roman" w:hAnsi="Times New Roman" w:cs="Times New Roman"/>
          <w:sz w:val="24"/>
          <w:szCs w:val="24"/>
        </w:rPr>
        <w:t>(reg</w:t>
      </w:r>
      <w:r w:rsidR="003E23A6">
        <w:rPr>
          <w:rFonts w:ascii="Times New Roman" w:hAnsi="Times New Roman" w:cs="Times New Roman"/>
          <w:sz w:val="24"/>
          <w:szCs w:val="24"/>
        </w:rPr>
        <w:t>.31(2)(c)</w:t>
      </w:r>
      <w:r w:rsidR="00E6618A">
        <w:rPr>
          <w:rFonts w:ascii="Times New Roman" w:hAnsi="Times New Roman" w:cs="Times New Roman"/>
          <w:sz w:val="24"/>
          <w:szCs w:val="24"/>
        </w:rPr>
        <w:t xml:space="preserve"> Pubs Code Regulations 2016</w:t>
      </w:r>
      <w:r w:rsidR="003E23A6">
        <w:rPr>
          <w:rFonts w:ascii="Times New Roman" w:hAnsi="Times New Roman" w:cs="Times New Roman"/>
          <w:sz w:val="24"/>
          <w:szCs w:val="24"/>
        </w:rPr>
        <w:t xml:space="preserve">). </w:t>
      </w:r>
      <w:r w:rsidR="00093F2A">
        <w:rPr>
          <w:rFonts w:ascii="Times New Roman" w:hAnsi="Times New Roman" w:cs="Times New Roman"/>
          <w:sz w:val="24"/>
          <w:szCs w:val="24"/>
        </w:rPr>
        <w:t xml:space="preserve">If they are not, they are to </w:t>
      </w:r>
      <w:proofErr w:type="gramStart"/>
      <w:r w:rsidR="00093F2A">
        <w:rPr>
          <w:rFonts w:ascii="Times New Roman" w:hAnsi="Times New Roman" w:cs="Times New Roman"/>
          <w:sz w:val="24"/>
          <w:szCs w:val="24"/>
        </w:rPr>
        <w:t>be regarded</w:t>
      </w:r>
      <w:proofErr w:type="gramEnd"/>
      <w:r w:rsidR="00093F2A">
        <w:rPr>
          <w:rFonts w:ascii="Times New Roman" w:hAnsi="Times New Roman" w:cs="Times New Roman"/>
          <w:sz w:val="24"/>
          <w:szCs w:val="24"/>
        </w:rPr>
        <w:t xml:space="preserve"> as “unreasonable”</w:t>
      </w:r>
      <w:r w:rsidR="008F0094">
        <w:rPr>
          <w:rFonts w:ascii="Times New Roman" w:hAnsi="Times New Roman" w:cs="Times New Roman"/>
          <w:sz w:val="24"/>
          <w:szCs w:val="24"/>
        </w:rPr>
        <w:t>, and therefore render the MRO-only offer non-compliant.</w:t>
      </w:r>
    </w:p>
    <w:p w:rsidR="00F07BF9" w:rsidRDefault="00F07BF9" w:rsidP="00022A24">
      <w:pPr>
        <w:jc w:val="both"/>
        <w:rPr>
          <w:rFonts w:ascii="Times New Roman" w:hAnsi="Times New Roman" w:cs="Times New Roman"/>
          <w:sz w:val="24"/>
          <w:szCs w:val="24"/>
        </w:rPr>
      </w:pPr>
      <w:r>
        <w:rPr>
          <w:rFonts w:ascii="Times New Roman" w:hAnsi="Times New Roman" w:cs="Times New Roman"/>
          <w:sz w:val="24"/>
          <w:szCs w:val="24"/>
        </w:rPr>
        <w:t xml:space="preserve">The published adjudicator decisions provide an insight into how the “unreasonableness” of terms </w:t>
      </w:r>
      <w:proofErr w:type="gramStart"/>
      <w:r>
        <w:rPr>
          <w:rFonts w:ascii="Times New Roman" w:hAnsi="Times New Roman" w:cs="Times New Roman"/>
          <w:sz w:val="24"/>
          <w:szCs w:val="24"/>
        </w:rPr>
        <w:t>will be interpreted</w:t>
      </w:r>
      <w:proofErr w:type="gramEnd"/>
      <w:r>
        <w:rPr>
          <w:rFonts w:ascii="Times New Roman" w:hAnsi="Times New Roman" w:cs="Times New Roman"/>
          <w:sz w:val="24"/>
          <w:szCs w:val="24"/>
        </w:rPr>
        <w:t xml:space="preserve">. The Deputy Pubs Code Adjudicator </w:t>
      </w:r>
      <w:r w:rsidRPr="00F07BF9">
        <w:rPr>
          <w:rFonts w:ascii="Times New Roman" w:hAnsi="Times New Roman" w:cs="Times New Roman"/>
          <w:sz w:val="24"/>
          <w:szCs w:val="24"/>
        </w:rPr>
        <w:t>Fiona Dickie</w:t>
      </w:r>
      <w:r>
        <w:rPr>
          <w:rFonts w:ascii="Times New Roman" w:hAnsi="Times New Roman" w:cs="Times New Roman"/>
          <w:sz w:val="24"/>
          <w:szCs w:val="24"/>
        </w:rPr>
        <w:t>, in a published arbitration dating back to November 2018</w:t>
      </w:r>
      <w:r w:rsidR="001633AD">
        <w:rPr>
          <w:rFonts w:ascii="Times New Roman" w:hAnsi="Times New Roman" w:cs="Times New Roman"/>
          <w:sz w:val="24"/>
          <w:szCs w:val="24"/>
        </w:rPr>
        <w:t xml:space="preserve"> (</w:t>
      </w:r>
      <w:r w:rsidR="001633AD" w:rsidRPr="001633AD">
        <w:rPr>
          <w:rFonts w:ascii="Times New Roman" w:hAnsi="Times New Roman" w:cs="Times New Roman"/>
          <w:i/>
          <w:sz w:val="24"/>
          <w:szCs w:val="24"/>
        </w:rPr>
        <w:t>Elizabeth Doyle v Punch Partnerships Limited and Star Pubs &amp; Bars Limited</w:t>
      </w:r>
      <w:r w:rsidR="001633AD">
        <w:rPr>
          <w:rFonts w:ascii="Times New Roman" w:hAnsi="Times New Roman" w:cs="Times New Roman"/>
          <w:sz w:val="24"/>
          <w:szCs w:val="24"/>
        </w:rPr>
        <w:t xml:space="preserve"> [2018] ARB/17/DOYLE)</w:t>
      </w:r>
      <w:r>
        <w:rPr>
          <w:rFonts w:ascii="Times New Roman" w:hAnsi="Times New Roman" w:cs="Times New Roman"/>
          <w:sz w:val="24"/>
          <w:szCs w:val="24"/>
        </w:rPr>
        <w:t xml:space="preserve">, sought to provide a greater indication of how this key term </w:t>
      </w:r>
      <w:proofErr w:type="gramStart"/>
      <w:r>
        <w:rPr>
          <w:rFonts w:ascii="Times New Roman" w:hAnsi="Times New Roman" w:cs="Times New Roman"/>
          <w:sz w:val="24"/>
          <w:szCs w:val="24"/>
        </w:rPr>
        <w:t>would be interpreted</w:t>
      </w:r>
      <w:proofErr w:type="gramEnd"/>
      <w:r>
        <w:rPr>
          <w:rFonts w:ascii="Times New Roman" w:hAnsi="Times New Roman" w:cs="Times New Roman"/>
          <w:sz w:val="24"/>
          <w:szCs w:val="24"/>
        </w:rPr>
        <w:t xml:space="preserve"> in</w:t>
      </w:r>
      <w:r w:rsidR="000E1B2E">
        <w:rPr>
          <w:rFonts w:ascii="Times New Roman" w:hAnsi="Times New Roman" w:cs="Times New Roman"/>
          <w:sz w:val="24"/>
          <w:szCs w:val="24"/>
        </w:rPr>
        <w:t xml:space="preserve"> subsequent referrals through an </w:t>
      </w:r>
      <w:r w:rsidR="001A640F">
        <w:rPr>
          <w:rFonts w:ascii="Times New Roman" w:hAnsi="Times New Roman" w:cs="Times New Roman"/>
          <w:sz w:val="24"/>
          <w:szCs w:val="24"/>
        </w:rPr>
        <w:t>Appendix outlining the position of the law.</w:t>
      </w:r>
      <w:r w:rsidR="000E1B2E">
        <w:rPr>
          <w:rFonts w:ascii="Times New Roman" w:hAnsi="Times New Roman" w:cs="Times New Roman"/>
          <w:sz w:val="24"/>
          <w:szCs w:val="24"/>
        </w:rPr>
        <w:t xml:space="preserve"> I suggest that the appendix reveals four key elements to this assessment of “reasonableness”.</w:t>
      </w:r>
    </w:p>
    <w:p w:rsidR="000E1B2E" w:rsidRDefault="000E1B2E" w:rsidP="00022A24">
      <w:pPr>
        <w:jc w:val="both"/>
        <w:rPr>
          <w:rFonts w:ascii="Times New Roman" w:hAnsi="Times New Roman" w:cs="Times New Roman"/>
          <w:sz w:val="24"/>
          <w:szCs w:val="24"/>
        </w:rPr>
      </w:pPr>
      <w:r>
        <w:rPr>
          <w:rFonts w:ascii="Times New Roman" w:hAnsi="Times New Roman" w:cs="Times New Roman"/>
          <w:sz w:val="24"/>
          <w:szCs w:val="24"/>
        </w:rPr>
        <w:t xml:space="preserve">First, the assessment of the reasonableness of a term </w:t>
      </w:r>
      <w:proofErr w:type="gramStart"/>
      <w:r>
        <w:rPr>
          <w:rFonts w:ascii="Times New Roman" w:hAnsi="Times New Roman" w:cs="Times New Roman"/>
          <w:sz w:val="24"/>
          <w:szCs w:val="24"/>
        </w:rPr>
        <w:t>is not confined</w:t>
      </w:r>
      <w:proofErr w:type="gramEnd"/>
      <w:r>
        <w:rPr>
          <w:rFonts w:ascii="Times New Roman" w:hAnsi="Times New Roman" w:cs="Times New Roman"/>
          <w:sz w:val="24"/>
          <w:szCs w:val="24"/>
        </w:rPr>
        <w:t xml:space="preserve"> to mere questions of commonality. If a term is not common in free-of-tie agreements, this will indicate unreasonableness, but it is not the </w:t>
      </w:r>
      <w:r w:rsidRPr="000E1B2E">
        <w:rPr>
          <w:rFonts w:ascii="Times New Roman" w:hAnsi="Times New Roman" w:cs="Times New Roman"/>
          <w:i/>
          <w:sz w:val="24"/>
          <w:szCs w:val="24"/>
        </w:rPr>
        <w:t>only</w:t>
      </w:r>
      <w:r>
        <w:rPr>
          <w:rFonts w:ascii="Times New Roman" w:hAnsi="Times New Roman" w:cs="Times New Roman"/>
          <w:sz w:val="24"/>
          <w:szCs w:val="24"/>
        </w:rPr>
        <w:t xml:space="preserve"> indication of reasonableness. A term has </w:t>
      </w:r>
      <w:proofErr w:type="gramStart"/>
      <w:r>
        <w:rPr>
          <w:rFonts w:ascii="Times New Roman" w:hAnsi="Times New Roman" w:cs="Times New Roman"/>
          <w:sz w:val="24"/>
          <w:szCs w:val="24"/>
        </w:rPr>
        <w:t>to also be</w:t>
      </w:r>
      <w:proofErr w:type="gramEnd"/>
      <w:r>
        <w:rPr>
          <w:rFonts w:ascii="Times New Roman" w:hAnsi="Times New Roman" w:cs="Times New Roman"/>
          <w:sz w:val="24"/>
          <w:szCs w:val="24"/>
        </w:rPr>
        <w:t xml:space="preserve"> reasonable in the wider sense. Although the Pubs Code Regulations 2016 refer only to a lack of commonality (</w:t>
      </w:r>
      <w:proofErr w:type="gramStart"/>
      <w:r>
        <w:rPr>
          <w:rFonts w:ascii="Times New Roman" w:hAnsi="Times New Roman" w:cs="Times New Roman"/>
          <w:sz w:val="24"/>
          <w:szCs w:val="24"/>
        </w:rPr>
        <w:t>reg.31(</w:t>
      </w:r>
      <w:proofErr w:type="gramEnd"/>
      <w:r>
        <w:rPr>
          <w:rFonts w:ascii="Times New Roman" w:hAnsi="Times New Roman" w:cs="Times New Roman"/>
          <w:sz w:val="24"/>
          <w:szCs w:val="24"/>
        </w:rPr>
        <w:t>2)(c)), the underpinning 2015 Act refers more broadly to a lack of “</w:t>
      </w:r>
      <w:r w:rsidRPr="000E1B2E">
        <w:rPr>
          <w:rFonts w:ascii="Times New Roman" w:hAnsi="Times New Roman" w:cs="Times New Roman"/>
          <w:sz w:val="24"/>
          <w:szCs w:val="24"/>
        </w:rPr>
        <w:t>any unreasonable terms or conditions</w:t>
      </w:r>
      <w:r>
        <w:rPr>
          <w:rFonts w:ascii="Times New Roman" w:hAnsi="Times New Roman" w:cs="Times New Roman"/>
          <w:sz w:val="24"/>
          <w:szCs w:val="24"/>
        </w:rPr>
        <w:t>” (see s.43(4)(iii)).</w:t>
      </w:r>
    </w:p>
    <w:p w:rsidR="00A40252" w:rsidRDefault="00A40252" w:rsidP="00022A24">
      <w:pPr>
        <w:jc w:val="both"/>
        <w:rPr>
          <w:rFonts w:ascii="Times New Roman" w:hAnsi="Times New Roman" w:cs="Times New Roman"/>
          <w:sz w:val="24"/>
          <w:szCs w:val="24"/>
        </w:rPr>
      </w:pPr>
      <w:r>
        <w:rPr>
          <w:rFonts w:ascii="Times New Roman" w:hAnsi="Times New Roman" w:cs="Times New Roman"/>
          <w:sz w:val="24"/>
          <w:szCs w:val="24"/>
        </w:rPr>
        <w:t xml:space="preserve">Second, this assessment </w:t>
      </w:r>
      <w:r w:rsidR="003A5760">
        <w:rPr>
          <w:rFonts w:ascii="Times New Roman" w:hAnsi="Times New Roman" w:cs="Times New Roman"/>
          <w:sz w:val="24"/>
          <w:szCs w:val="24"/>
        </w:rPr>
        <w:t xml:space="preserve">of reasonableness </w:t>
      </w:r>
      <w:r>
        <w:rPr>
          <w:rFonts w:ascii="Times New Roman" w:hAnsi="Times New Roman" w:cs="Times New Roman"/>
          <w:sz w:val="24"/>
          <w:szCs w:val="24"/>
        </w:rPr>
        <w:t xml:space="preserve">applies to the </w:t>
      </w:r>
      <w:r w:rsidR="003A5760">
        <w:rPr>
          <w:rFonts w:ascii="Times New Roman" w:hAnsi="Times New Roman" w:cs="Times New Roman"/>
          <w:sz w:val="24"/>
          <w:szCs w:val="24"/>
        </w:rPr>
        <w:t>tenancy</w:t>
      </w:r>
      <w:r>
        <w:rPr>
          <w:rFonts w:ascii="Times New Roman" w:hAnsi="Times New Roman" w:cs="Times New Roman"/>
          <w:sz w:val="24"/>
          <w:szCs w:val="24"/>
        </w:rPr>
        <w:t xml:space="preserve"> as a whole and not just to the appraisal of individual terms. </w:t>
      </w:r>
      <w:r w:rsidR="003A5760">
        <w:rPr>
          <w:rFonts w:ascii="Times New Roman" w:hAnsi="Times New Roman" w:cs="Times New Roman"/>
          <w:sz w:val="24"/>
          <w:szCs w:val="24"/>
        </w:rPr>
        <w:t xml:space="preserve">Whether a particular term is reasonable may depend on what other terms are contained alongside it. This is both to recognise the overall impact on a tied tenant (for instance, when charges imposed by multiple terms may have an acute compound effect), and to better reflect the output of negotiations on the open market, where agreements are </w:t>
      </w:r>
      <w:r w:rsidR="00EE3A43">
        <w:rPr>
          <w:rFonts w:ascii="Times New Roman" w:hAnsi="Times New Roman" w:cs="Times New Roman"/>
          <w:sz w:val="24"/>
          <w:szCs w:val="24"/>
        </w:rPr>
        <w:t>reached as a composite whole, not in a piecemeal fashion.</w:t>
      </w:r>
    </w:p>
    <w:p w:rsidR="000E1B2E" w:rsidRDefault="008364FE" w:rsidP="00022A24">
      <w:pPr>
        <w:jc w:val="both"/>
        <w:rPr>
          <w:rFonts w:ascii="Times New Roman" w:hAnsi="Times New Roman" w:cs="Times New Roman"/>
          <w:sz w:val="24"/>
          <w:szCs w:val="24"/>
        </w:rPr>
      </w:pPr>
      <w:r>
        <w:rPr>
          <w:rFonts w:ascii="Times New Roman" w:hAnsi="Times New Roman" w:cs="Times New Roman"/>
          <w:sz w:val="24"/>
          <w:szCs w:val="24"/>
        </w:rPr>
        <w:t xml:space="preserve">Third – and perhaps most fundamentally – the assessment of “reasonableness” is a relative standard, not an objective one. In the words of the deputy adjudicator, “what is reasonable in one case for one particular pub may not be reasonable for another” (see, </w:t>
      </w:r>
      <w:r w:rsidR="00AB3B4C" w:rsidRPr="001633AD">
        <w:rPr>
          <w:rFonts w:ascii="Times New Roman" w:hAnsi="Times New Roman" w:cs="Times New Roman"/>
          <w:i/>
          <w:sz w:val="24"/>
          <w:szCs w:val="24"/>
        </w:rPr>
        <w:t xml:space="preserve">Elizabeth Doyle </w:t>
      </w:r>
      <w:r w:rsidR="00AB3B4C">
        <w:rPr>
          <w:rFonts w:ascii="Times New Roman" w:hAnsi="Times New Roman" w:cs="Times New Roman"/>
          <w:sz w:val="24"/>
          <w:szCs w:val="24"/>
        </w:rPr>
        <w:t xml:space="preserve">[2018] ARB/17/DOYLE, </w:t>
      </w:r>
      <w:r>
        <w:rPr>
          <w:rFonts w:ascii="Times New Roman" w:hAnsi="Times New Roman" w:cs="Times New Roman"/>
          <w:sz w:val="24"/>
          <w:szCs w:val="24"/>
        </w:rPr>
        <w:t xml:space="preserve">Appendix 2, para. 10). </w:t>
      </w:r>
      <w:r w:rsidR="00267E9E">
        <w:rPr>
          <w:rFonts w:ascii="Times New Roman" w:hAnsi="Times New Roman" w:cs="Times New Roman"/>
          <w:sz w:val="24"/>
          <w:szCs w:val="24"/>
        </w:rPr>
        <w:t xml:space="preserve">As the aim of the </w:t>
      </w:r>
      <w:proofErr w:type="gramStart"/>
      <w:r w:rsidR="00267E9E">
        <w:rPr>
          <w:rFonts w:ascii="Times New Roman" w:hAnsi="Times New Roman" w:cs="Times New Roman"/>
          <w:sz w:val="24"/>
          <w:szCs w:val="24"/>
        </w:rPr>
        <w:t>pubs</w:t>
      </w:r>
      <w:proofErr w:type="gramEnd"/>
      <w:r w:rsidR="00267E9E">
        <w:rPr>
          <w:rFonts w:ascii="Times New Roman" w:hAnsi="Times New Roman" w:cs="Times New Roman"/>
          <w:sz w:val="24"/>
          <w:szCs w:val="24"/>
        </w:rPr>
        <w:t xml:space="preserve"> code is to counterbalance the relative negotiating strength of the </w:t>
      </w:r>
      <w:proofErr w:type="spellStart"/>
      <w:r w:rsidR="00267E9E">
        <w:rPr>
          <w:rFonts w:ascii="Times New Roman" w:hAnsi="Times New Roman" w:cs="Times New Roman"/>
          <w:sz w:val="24"/>
          <w:szCs w:val="24"/>
        </w:rPr>
        <w:t>PubCo</w:t>
      </w:r>
      <w:proofErr w:type="spellEnd"/>
      <w:r w:rsidR="00267E9E">
        <w:rPr>
          <w:rFonts w:ascii="Times New Roman" w:hAnsi="Times New Roman" w:cs="Times New Roman"/>
          <w:sz w:val="24"/>
          <w:szCs w:val="24"/>
        </w:rPr>
        <w:t>, the nature of what constitutes unfair dealing is inevitably context-specific. The Deputy Arbitrator offers a formulation to apply: reasonableness in p</w:t>
      </w:r>
      <w:r w:rsidR="001640C4">
        <w:rPr>
          <w:rFonts w:ascii="Times New Roman" w:hAnsi="Times New Roman" w:cs="Times New Roman"/>
          <w:sz w:val="24"/>
          <w:szCs w:val="24"/>
        </w:rPr>
        <w:t>ractice requires that the MRO</w:t>
      </w:r>
      <w:r w:rsidR="00267E9E">
        <w:rPr>
          <w:rFonts w:ascii="Times New Roman" w:hAnsi="Times New Roman" w:cs="Times New Roman"/>
          <w:sz w:val="24"/>
          <w:szCs w:val="24"/>
        </w:rPr>
        <w:t xml:space="preserve"> offer is “not on worse terms and conditions than that which would be made available to a free of tie tenant after negotiations on the open market” (see, </w:t>
      </w:r>
      <w:r w:rsidR="00267E9E" w:rsidRPr="001633AD">
        <w:rPr>
          <w:rFonts w:ascii="Times New Roman" w:hAnsi="Times New Roman" w:cs="Times New Roman"/>
          <w:i/>
          <w:sz w:val="24"/>
          <w:szCs w:val="24"/>
        </w:rPr>
        <w:t>Elizabeth Doyle</w:t>
      </w:r>
      <w:r w:rsidR="00267E9E">
        <w:rPr>
          <w:rFonts w:ascii="Times New Roman" w:hAnsi="Times New Roman" w:cs="Times New Roman"/>
          <w:i/>
          <w:sz w:val="24"/>
          <w:szCs w:val="24"/>
        </w:rPr>
        <w:t xml:space="preserve"> </w:t>
      </w:r>
      <w:r w:rsidR="00267E9E">
        <w:rPr>
          <w:rFonts w:ascii="Times New Roman" w:hAnsi="Times New Roman" w:cs="Times New Roman"/>
          <w:sz w:val="24"/>
          <w:szCs w:val="24"/>
        </w:rPr>
        <w:t>[2018] ARB/17/DOYLE, Appendix 2, para. 17).</w:t>
      </w:r>
    </w:p>
    <w:p w:rsidR="00554B7D" w:rsidRDefault="00554B7D" w:rsidP="00022A24">
      <w:pPr>
        <w:jc w:val="both"/>
        <w:rPr>
          <w:rFonts w:ascii="Times New Roman" w:hAnsi="Times New Roman" w:cs="Times New Roman"/>
          <w:sz w:val="24"/>
          <w:szCs w:val="24"/>
        </w:rPr>
      </w:pPr>
      <w:r>
        <w:rPr>
          <w:rFonts w:ascii="Times New Roman" w:hAnsi="Times New Roman" w:cs="Times New Roman"/>
          <w:sz w:val="24"/>
          <w:szCs w:val="24"/>
        </w:rPr>
        <w:t xml:space="preserve">Finally, </w:t>
      </w:r>
      <w:proofErr w:type="spellStart"/>
      <w:r>
        <w:rPr>
          <w:rFonts w:ascii="Times New Roman" w:hAnsi="Times New Roman" w:cs="Times New Roman"/>
          <w:sz w:val="24"/>
          <w:szCs w:val="24"/>
        </w:rPr>
        <w:t>PubCos</w:t>
      </w:r>
      <w:proofErr w:type="spellEnd"/>
      <w:r>
        <w:rPr>
          <w:rFonts w:ascii="Times New Roman" w:hAnsi="Times New Roman" w:cs="Times New Roman"/>
          <w:sz w:val="24"/>
          <w:szCs w:val="24"/>
        </w:rPr>
        <w:t xml:space="preserve"> should be able to provide “good reasons” for the inclusion of conteste</w:t>
      </w:r>
      <w:r w:rsidR="001640C4">
        <w:rPr>
          <w:rFonts w:ascii="Times New Roman" w:hAnsi="Times New Roman" w:cs="Times New Roman"/>
          <w:sz w:val="24"/>
          <w:szCs w:val="24"/>
        </w:rPr>
        <w:t>d terms in the proposed MRO</w:t>
      </w:r>
      <w:r>
        <w:rPr>
          <w:rFonts w:ascii="Times New Roman" w:hAnsi="Times New Roman" w:cs="Times New Roman"/>
          <w:sz w:val="24"/>
          <w:szCs w:val="24"/>
        </w:rPr>
        <w:t xml:space="preserve"> tenancy. An absence of good reasons indicates that the terms are likely to be u</w:t>
      </w:r>
      <w:r w:rsidR="00526435">
        <w:rPr>
          <w:rFonts w:ascii="Times New Roman" w:hAnsi="Times New Roman" w:cs="Times New Roman"/>
          <w:sz w:val="24"/>
          <w:szCs w:val="24"/>
        </w:rPr>
        <w:t>nreasonable. Adequate communication of these reasons to the tied tenant at the point of presenting the proposed tenancy would help – in the adjudicator’</w:t>
      </w:r>
      <w:r w:rsidR="00327BAB">
        <w:rPr>
          <w:rFonts w:ascii="Times New Roman" w:hAnsi="Times New Roman" w:cs="Times New Roman"/>
          <w:sz w:val="24"/>
          <w:szCs w:val="24"/>
        </w:rPr>
        <w:t>s view at least –</w:t>
      </w:r>
      <w:r w:rsidR="00526435">
        <w:rPr>
          <w:rFonts w:ascii="Times New Roman" w:hAnsi="Times New Roman" w:cs="Times New Roman"/>
          <w:sz w:val="24"/>
          <w:szCs w:val="24"/>
        </w:rPr>
        <w:t xml:space="preserve"> to reduce the volume of disputes </w:t>
      </w:r>
      <w:proofErr w:type="gramStart"/>
      <w:r w:rsidR="00526435">
        <w:rPr>
          <w:rFonts w:ascii="Times New Roman" w:hAnsi="Times New Roman" w:cs="Times New Roman"/>
          <w:sz w:val="24"/>
          <w:szCs w:val="24"/>
        </w:rPr>
        <w:t>being referred</w:t>
      </w:r>
      <w:proofErr w:type="gramEnd"/>
      <w:r w:rsidR="00526435">
        <w:rPr>
          <w:rFonts w:ascii="Times New Roman" w:hAnsi="Times New Roman" w:cs="Times New Roman"/>
          <w:sz w:val="24"/>
          <w:szCs w:val="24"/>
        </w:rPr>
        <w:t>.</w:t>
      </w:r>
    </w:p>
    <w:p w:rsidR="00093F2A" w:rsidRDefault="000405C5" w:rsidP="000405C5">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The vehicle for the MRO tenancy</w:t>
      </w:r>
    </w:p>
    <w:p w:rsidR="00154C08" w:rsidRDefault="0056709E" w:rsidP="00FE1487">
      <w:pPr>
        <w:jc w:val="both"/>
        <w:rPr>
          <w:rFonts w:ascii="Times New Roman" w:hAnsi="Times New Roman" w:cs="Times New Roman"/>
          <w:sz w:val="24"/>
          <w:szCs w:val="24"/>
        </w:rPr>
      </w:pPr>
      <w:r>
        <w:rPr>
          <w:rFonts w:ascii="Times New Roman" w:hAnsi="Times New Roman" w:cs="Times New Roman"/>
          <w:sz w:val="24"/>
          <w:szCs w:val="24"/>
        </w:rPr>
        <w:t xml:space="preserve">A key problem that can arise for tied tenants in practice is the vehicle for an MRO offer. </w:t>
      </w:r>
      <w:r w:rsidR="000A6D25">
        <w:rPr>
          <w:rFonts w:ascii="Times New Roman" w:hAnsi="Times New Roman" w:cs="Times New Roman"/>
          <w:sz w:val="24"/>
          <w:szCs w:val="24"/>
        </w:rPr>
        <w:t>When</w:t>
      </w:r>
      <w:r>
        <w:rPr>
          <w:rFonts w:ascii="Times New Roman" w:hAnsi="Times New Roman" w:cs="Times New Roman"/>
          <w:sz w:val="24"/>
          <w:szCs w:val="24"/>
        </w:rPr>
        <w:t xml:space="preserve"> </w:t>
      </w:r>
      <w:proofErr w:type="spellStart"/>
      <w:r>
        <w:rPr>
          <w:rFonts w:ascii="Times New Roman" w:hAnsi="Times New Roman" w:cs="Times New Roman"/>
          <w:sz w:val="24"/>
          <w:szCs w:val="24"/>
        </w:rPr>
        <w:t>PubCos</w:t>
      </w:r>
      <w:proofErr w:type="spellEnd"/>
      <w:r>
        <w:rPr>
          <w:rFonts w:ascii="Times New Roman" w:hAnsi="Times New Roman" w:cs="Times New Roman"/>
          <w:sz w:val="24"/>
          <w:szCs w:val="24"/>
        </w:rPr>
        <w:t xml:space="preserve"> discharge their duty to c</w:t>
      </w:r>
      <w:r w:rsidR="000A6D25">
        <w:rPr>
          <w:rFonts w:ascii="Times New Roman" w:hAnsi="Times New Roman" w:cs="Times New Roman"/>
          <w:sz w:val="24"/>
          <w:szCs w:val="24"/>
        </w:rPr>
        <w:t>reate a MRO compliant tenancy by</w:t>
      </w:r>
      <w:r>
        <w:rPr>
          <w:rFonts w:ascii="Times New Roman" w:hAnsi="Times New Roman" w:cs="Times New Roman"/>
          <w:sz w:val="24"/>
          <w:szCs w:val="24"/>
        </w:rPr>
        <w:t xml:space="preserve"> offering a fresh tenancy – as opposed to a deed of variation to the existing one – this can have significant financial implications for the sitting tenant. </w:t>
      </w:r>
      <w:r w:rsidR="006F3A03">
        <w:rPr>
          <w:rFonts w:ascii="Times New Roman" w:hAnsi="Times New Roman" w:cs="Times New Roman"/>
          <w:sz w:val="24"/>
          <w:szCs w:val="24"/>
        </w:rPr>
        <w:t xml:space="preserve">In many circumstances, terminating </w:t>
      </w:r>
      <w:r w:rsidR="00154C08">
        <w:rPr>
          <w:rFonts w:ascii="Times New Roman" w:hAnsi="Times New Roman" w:cs="Times New Roman"/>
          <w:sz w:val="24"/>
          <w:szCs w:val="24"/>
        </w:rPr>
        <w:t xml:space="preserve">a lease to take advantage </w:t>
      </w:r>
      <w:r w:rsidR="00154C08">
        <w:rPr>
          <w:rFonts w:ascii="Times New Roman" w:hAnsi="Times New Roman" w:cs="Times New Roman"/>
          <w:sz w:val="24"/>
          <w:szCs w:val="24"/>
        </w:rPr>
        <w:lastRenderedPageBreak/>
        <w:t>of a new</w:t>
      </w:r>
      <w:r w:rsidR="006F3A03">
        <w:rPr>
          <w:rFonts w:ascii="Times New Roman" w:hAnsi="Times New Roman" w:cs="Times New Roman"/>
          <w:sz w:val="24"/>
          <w:szCs w:val="24"/>
        </w:rPr>
        <w:t xml:space="preserve"> MRO </w:t>
      </w:r>
      <w:r w:rsidR="00154C08">
        <w:rPr>
          <w:rFonts w:ascii="Times New Roman" w:hAnsi="Times New Roman" w:cs="Times New Roman"/>
          <w:sz w:val="24"/>
          <w:szCs w:val="24"/>
        </w:rPr>
        <w:t xml:space="preserve">tenancy </w:t>
      </w:r>
      <w:r w:rsidR="006F3A03">
        <w:rPr>
          <w:rFonts w:ascii="Times New Roman" w:hAnsi="Times New Roman" w:cs="Times New Roman"/>
          <w:sz w:val="24"/>
          <w:szCs w:val="24"/>
        </w:rPr>
        <w:t>will carry with it a liability to pay terminal dilapidations</w:t>
      </w:r>
      <w:r w:rsidR="000A6D25">
        <w:rPr>
          <w:rFonts w:ascii="Times New Roman" w:hAnsi="Times New Roman" w:cs="Times New Roman"/>
          <w:sz w:val="24"/>
          <w:szCs w:val="24"/>
        </w:rPr>
        <w:t>, possibly running to tens of thousands of pounds.</w:t>
      </w:r>
      <w:r w:rsidR="00154C08">
        <w:rPr>
          <w:rFonts w:ascii="Times New Roman" w:hAnsi="Times New Roman" w:cs="Times New Roman"/>
          <w:sz w:val="24"/>
          <w:szCs w:val="24"/>
        </w:rPr>
        <w:t xml:space="preserve"> Such problems do not persist when the </w:t>
      </w:r>
      <w:proofErr w:type="spellStart"/>
      <w:r w:rsidR="00154C08">
        <w:rPr>
          <w:rFonts w:ascii="Times New Roman" w:hAnsi="Times New Roman" w:cs="Times New Roman"/>
          <w:sz w:val="24"/>
          <w:szCs w:val="24"/>
        </w:rPr>
        <w:t>PubCo</w:t>
      </w:r>
      <w:proofErr w:type="spellEnd"/>
      <w:r w:rsidR="00154C08">
        <w:rPr>
          <w:rFonts w:ascii="Times New Roman" w:hAnsi="Times New Roman" w:cs="Times New Roman"/>
          <w:sz w:val="24"/>
          <w:szCs w:val="24"/>
        </w:rPr>
        <w:t xml:space="preserve"> instead offers a deed of variation to the existing tenancy.</w:t>
      </w:r>
    </w:p>
    <w:p w:rsidR="00154C08" w:rsidRDefault="0017091D" w:rsidP="00FE1487">
      <w:pPr>
        <w:jc w:val="both"/>
        <w:rPr>
          <w:rFonts w:ascii="Times New Roman" w:hAnsi="Times New Roman" w:cs="Times New Roman"/>
          <w:sz w:val="24"/>
          <w:szCs w:val="24"/>
        </w:rPr>
      </w:pPr>
      <w:r>
        <w:rPr>
          <w:rFonts w:ascii="Times New Roman" w:hAnsi="Times New Roman" w:cs="Times New Roman"/>
          <w:sz w:val="24"/>
          <w:szCs w:val="24"/>
        </w:rPr>
        <w:t xml:space="preserve">The following question therefore arises for the Pubs Code adjudicator: </w:t>
      </w:r>
      <w:proofErr w:type="gramStart"/>
      <w:r w:rsidR="00673CE1">
        <w:rPr>
          <w:rFonts w:ascii="Times New Roman" w:hAnsi="Times New Roman" w:cs="Times New Roman"/>
          <w:sz w:val="24"/>
          <w:szCs w:val="24"/>
        </w:rPr>
        <w:t>should an MRO compliant tenancy</w:t>
      </w:r>
      <w:r w:rsidR="00980766">
        <w:rPr>
          <w:rFonts w:ascii="Times New Roman" w:hAnsi="Times New Roman" w:cs="Times New Roman"/>
          <w:sz w:val="24"/>
          <w:szCs w:val="24"/>
        </w:rPr>
        <w:t xml:space="preserve"> be offered</w:t>
      </w:r>
      <w:proofErr w:type="gramEnd"/>
      <w:r w:rsidR="00980766">
        <w:rPr>
          <w:rFonts w:ascii="Times New Roman" w:hAnsi="Times New Roman" w:cs="Times New Roman"/>
          <w:sz w:val="24"/>
          <w:szCs w:val="24"/>
        </w:rPr>
        <w:t xml:space="preserve"> through a deed of variation or a new lease? </w:t>
      </w:r>
      <w:r w:rsidR="00E72720">
        <w:rPr>
          <w:rFonts w:ascii="Times New Roman" w:hAnsi="Times New Roman" w:cs="Times New Roman"/>
          <w:sz w:val="24"/>
          <w:szCs w:val="24"/>
        </w:rPr>
        <w:t xml:space="preserve">In a separate Appendix to the </w:t>
      </w:r>
      <w:r w:rsidR="00E72720" w:rsidRPr="001633AD">
        <w:rPr>
          <w:rFonts w:ascii="Times New Roman" w:hAnsi="Times New Roman" w:cs="Times New Roman"/>
          <w:i/>
          <w:sz w:val="24"/>
          <w:szCs w:val="24"/>
        </w:rPr>
        <w:t>Doyle</w:t>
      </w:r>
      <w:r w:rsidR="00E72720">
        <w:rPr>
          <w:rFonts w:ascii="Times New Roman" w:hAnsi="Times New Roman" w:cs="Times New Roman"/>
          <w:i/>
          <w:sz w:val="24"/>
          <w:szCs w:val="24"/>
        </w:rPr>
        <w:t xml:space="preserve"> </w:t>
      </w:r>
      <w:r w:rsidR="00E72720">
        <w:rPr>
          <w:rFonts w:ascii="Times New Roman" w:hAnsi="Times New Roman" w:cs="Times New Roman"/>
          <w:sz w:val="24"/>
          <w:szCs w:val="24"/>
        </w:rPr>
        <w:t xml:space="preserve">decision (see, </w:t>
      </w:r>
      <w:r w:rsidR="00E72720" w:rsidRPr="001633AD">
        <w:rPr>
          <w:rFonts w:ascii="Times New Roman" w:hAnsi="Times New Roman" w:cs="Times New Roman"/>
          <w:i/>
          <w:sz w:val="24"/>
          <w:szCs w:val="24"/>
        </w:rPr>
        <w:t xml:space="preserve">Elizabeth Doyle </w:t>
      </w:r>
      <w:r w:rsidR="00E72720">
        <w:rPr>
          <w:rFonts w:ascii="Times New Roman" w:hAnsi="Times New Roman" w:cs="Times New Roman"/>
          <w:sz w:val="24"/>
          <w:szCs w:val="24"/>
        </w:rPr>
        <w:t>[2018] ARB/17/DOYLE, Appendix 2, para. 10)</w:t>
      </w:r>
      <w:r w:rsidR="003F27D9">
        <w:rPr>
          <w:rFonts w:ascii="Times New Roman" w:hAnsi="Times New Roman" w:cs="Times New Roman"/>
          <w:sz w:val="24"/>
          <w:szCs w:val="24"/>
        </w:rPr>
        <w:t>, the Deputy Pubs Code Adjudicator undertakes an extended exercise in statutory interpretation, looking to the 2015 Act, the 2016 code and – for the sake of completeness – the Government’s first statutory review into the operation of the Pubs Code.</w:t>
      </w:r>
    </w:p>
    <w:p w:rsidR="000A6D25" w:rsidRDefault="00673CE1" w:rsidP="00FE1487">
      <w:pPr>
        <w:jc w:val="both"/>
        <w:rPr>
          <w:rFonts w:ascii="Times New Roman" w:hAnsi="Times New Roman" w:cs="Times New Roman"/>
          <w:sz w:val="24"/>
          <w:szCs w:val="24"/>
        </w:rPr>
      </w:pPr>
      <w:r>
        <w:rPr>
          <w:rFonts w:ascii="Times New Roman" w:hAnsi="Times New Roman" w:cs="Times New Roman"/>
          <w:sz w:val="24"/>
          <w:szCs w:val="24"/>
        </w:rPr>
        <w:t xml:space="preserve">Although the Code </w:t>
      </w:r>
      <w:proofErr w:type="gramStart"/>
      <w:r>
        <w:rPr>
          <w:rFonts w:ascii="Times New Roman" w:hAnsi="Times New Roman" w:cs="Times New Roman"/>
          <w:sz w:val="24"/>
          <w:szCs w:val="24"/>
        </w:rPr>
        <w:t>is littered</w:t>
      </w:r>
      <w:proofErr w:type="gramEnd"/>
      <w:r>
        <w:rPr>
          <w:rFonts w:ascii="Times New Roman" w:hAnsi="Times New Roman" w:cs="Times New Roman"/>
          <w:sz w:val="24"/>
          <w:szCs w:val="24"/>
        </w:rPr>
        <w:t xml:space="preserve"> with references to a “new tenancy” (19 times in total), the actual definition of an MRO-compliant tenancy is contained within the 2015 Act, not the accompanying Pubs Code regulations. </w:t>
      </w:r>
      <w:r w:rsidR="00162EAB">
        <w:rPr>
          <w:rFonts w:ascii="Times New Roman" w:hAnsi="Times New Roman" w:cs="Times New Roman"/>
          <w:sz w:val="24"/>
          <w:szCs w:val="24"/>
        </w:rPr>
        <w:t xml:space="preserve">The delegated authority for the Pubs Code regulations is only with respect to the “terms and conditions” </w:t>
      </w:r>
      <w:r w:rsidR="00EC4C42">
        <w:rPr>
          <w:rFonts w:ascii="Times New Roman" w:hAnsi="Times New Roman" w:cs="Times New Roman"/>
          <w:sz w:val="24"/>
          <w:szCs w:val="24"/>
        </w:rPr>
        <w:t xml:space="preserve">of the MRO offer, not the vehicle for the agreement. The Pubs Code has </w:t>
      </w:r>
      <w:proofErr w:type="gramStart"/>
      <w:r w:rsidR="00EC4C42">
        <w:rPr>
          <w:rFonts w:ascii="Times New Roman" w:hAnsi="Times New Roman" w:cs="Times New Roman"/>
          <w:sz w:val="24"/>
          <w:szCs w:val="24"/>
        </w:rPr>
        <w:t>to,</w:t>
      </w:r>
      <w:proofErr w:type="gramEnd"/>
      <w:r w:rsidR="00EC4C42">
        <w:rPr>
          <w:rFonts w:ascii="Times New Roman" w:hAnsi="Times New Roman" w:cs="Times New Roman"/>
          <w:sz w:val="24"/>
          <w:szCs w:val="24"/>
        </w:rPr>
        <w:t xml:space="preserve"> inevitably, distinguish between the extant tenancy and the new offer: hence references to a “new tenancy”.</w:t>
      </w:r>
    </w:p>
    <w:p w:rsidR="00AB7432" w:rsidRDefault="009C6A7F" w:rsidP="00FE1487">
      <w:pPr>
        <w:jc w:val="both"/>
        <w:rPr>
          <w:rFonts w:ascii="Times New Roman" w:hAnsi="Times New Roman" w:cs="Times New Roman"/>
          <w:sz w:val="24"/>
          <w:szCs w:val="24"/>
        </w:rPr>
      </w:pPr>
      <w:r>
        <w:rPr>
          <w:rFonts w:ascii="Times New Roman" w:hAnsi="Times New Roman" w:cs="Times New Roman"/>
          <w:sz w:val="24"/>
          <w:szCs w:val="24"/>
        </w:rPr>
        <w:t xml:space="preserve">Within the 2015 Act, there is no language to limit an MRO-offer to a new tenancy or a deed of variation. The only express prohibition </w:t>
      </w:r>
      <w:r w:rsidR="00D30E42">
        <w:rPr>
          <w:rFonts w:ascii="Times New Roman" w:hAnsi="Times New Roman" w:cs="Times New Roman"/>
          <w:sz w:val="24"/>
          <w:szCs w:val="24"/>
        </w:rPr>
        <w:t xml:space="preserve">is </w:t>
      </w:r>
      <w:r>
        <w:rPr>
          <w:rFonts w:ascii="Times New Roman" w:hAnsi="Times New Roman" w:cs="Times New Roman"/>
          <w:sz w:val="24"/>
          <w:szCs w:val="24"/>
        </w:rPr>
        <w:t>at 43(4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w:t>
      </w:r>
      <w:r w:rsidR="00CE5C08">
        <w:rPr>
          <w:rFonts w:ascii="Times New Roman" w:hAnsi="Times New Roman" w:cs="Times New Roman"/>
          <w:sz w:val="24"/>
          <w:szCs w:val="24"/>
        </w:rPr>
        <w:t>, preventing a tenancy-at-will. The drafters could have also detailed easily any prohibition on the use of deed of variations, and the failure to do so indicates that no such restrictions apply.</w:t>
      </w:r>
      <w:r w:rsidR="00000A86">
        <w:rPr>
          <w:rFonts w:ascii="Times New Roman" w:hAnsi="Times New Roman" w:cs="Times New Roman"/>
          <w:sz w:val="24"/>
          <w:szCs w:val="24"/>
        </w:rPr>
        <w:t xml:space="preserve"> </w:t>
      </w:r>
      <w:r w:rsidR="00D30E42">
        <w:rPr>
          <w:rFonts w:ascii="Times New Roman" w:hAnsi="Times New Roman" w:cs="Times New Roman"/>
          <w:sz w:val="24"/>
          <w:szCs w:val="24"/>
        </w:rPr>
        <w:t xml:space="preserve">This does, however, work the other </w:t>
      </w:r>
      <w:proofErr w:type="gramStart"/>
      <w:r w:rsidR="00D30E42">
        <w:rPr>
          <w:rFonts w:ascii="Times New Roman" w:hAnsi="Times New Roman" w:cs="Times New Roman"/>
          <w:sz w:val="24"/>
          <w:szCs w:val="24"/>
        </w:rPr>
        <w:t>way too</w:t>
      </w:r>
      <w:proofErr w:type="gramEnd"/>
      <w:r w:rsidR="00D30E42">
        <w:rPr>
          <w:rFonts w:ascii="Times New Roman" w:hAnsi="Times New Roman" w:cs="Times New Roman"/>
          <w:sz w:val="24"/>
          <w:szCs w:val="24"/>
        </w:rPr>
        <w:t xml:space="preserve">. The lack of specificity also indicates that a new tenancy also has the capacity to be MRO-compliant. </w:t>
      </w:r>
      <w:r w:rsidR="00B4535B">
        <w:rPr>
          <w:rFonts w:ascii="Times New Roman" w:hAnsi="Times New Roman" w:cs="Times New Roman"/>
          <w:sz w:val="24"/>
          <w:szCs w:val="24"/>
        </w:rPr>
        <w:t xml:space="preserve">The space for a new tenancy </w:t>
      </w:r>
      <w:proofErr w:type="gramStart"/>
      <w:r w:rsidR="00B4535B">
        <w:rPr>
          <w:rFonts w:ascii="Times New Roman" w:hAnsi="Times New Roman" w:cs="Times New Roman"/>
          <w:sz w:val="24"/>
          <w:szCs w:val="24"/>
        </w:rPr>
        <w:t>can be read</w:t>
      </w:r>
      <w:proofErr w:type="gramEnd"/>
      <w:r w:rsidR="00B4535B">
        <w:rPr>
          <w:rFonts w:ascii="Times New Roman" w:hAnsi="Times New Roman" w:cs="Times New Roman"/>
          <w:sz w:val="24"/>
          <w:szCs w:val="24"/>
        </w:rPr>
        <w:t xml:space="preserve"> into the grey areas of the legislation. For instance, as tenancy-at-wills </w:t>
      </w:r>
      <w:proofErr w:type="gramStart"/>
      <w:r w:rsidR="00B4535B">
        <w:rPr>
          <w:rFonts w:ascii="Times New Roman" w:hAnsi="Times New Roman" w:cs="Times New Roman"/>
          <w:sz w:val="24"/>
          <w:szCs w:val="24"/>
        </w:rPr>
        <w:t>are prohibited</w:t>
      </w:r>
      <w:proofErr w:type="gramEnd"/>
      <w:r w:rsidR="00B4535B">
        <w:rPr>
          <w:rFonts w:ascii="Times New Roman" w:hAnsi="Times New Roman" w:cs="Times New Roman"/>
          <w:sz w:val="24"/>
          <w:szCs w:val="24"/>
        </w:rPr>
        <w:t xml:space="preserve">, a current tenant at will would only receive an MRO-complaint offer by virtue </w:t>
      </w:r>
      <w:r w:rsidR="000063C6">
        <w:rPr>
          <w:rFonts w:ascii="Times New Roman" w:hAnsi="Times New Roman" w:cs="Times New Roman"/>
          <w:sz w:val="24"/>
          <w:szCs w:val="24"/>
        </w:rPr>
        <w:t xml:space="preserve">of a new tenancy. </w:t>
      </w:r>
      <w:proofErr w:type="gramStart"/>
      <w:r w:rsidR="000063C6">
        <w:rPr>
          <w:rFonts w:ascii="Times New Roman" w:hAnsi="Times New Roman" w:cs="Times New Roman"/>
          <w:sz w:val="24"/>
          <w:szCs w:val="24"/>
        </w:rPr>
        <w:t>So</w:t>
      </w:r>
      <w:proofErr w:type="gramEnd"/>
      <w:r w:rsidR="000063C6">
        <w:rPr>
          <w:rFonts w:ascii="Times New Roman" w:hAnsi="Times New Roman" w:cs="Times New Roman"/>
          <w:sz w:val="24"/>
          <w:szCs w:val="24"/>
        </w:rPr>
        <w:t xml:space="preserve"> what emerges, therefore, is the position summarised by the Deputy Pubs Code Adjudicator: “what is obviously lacking is any direct and decisive comment on the permissible vehicle”</w:t>
      </w:r>
      <w:r w:rsidR="00232B3E">
        <w:rPr>
          <w:rFonts w:ascii="Times New Roman" w:hAnsi="Times New Roman" w:cs="Times New Roman"/>
          <w:sz w:val="24"/>
          <w:szCs w:val="24"/>
        </w:rPr>
        <w:t xml:space="preserve"> (see, </w:t>
      </w:r>
      <w:r w:rsidR="00232B3E" w:rsidRPr="001633AD">
        <w:rPr>
          <w:rFonts w:ascii="Times New Roman" w:hAnsi="Times New Roman" w:cs="Times New Roman"/>
          <w:i/>
          <w:sz w:val="24"/>
          <w:szCs w:val="24"/>
        </w:rPr>
        <w:t xml:space="preserve">Elizabeth Doyle </w:t>
      </w:r>
      <w:r w:rsidR="00232B3E">
        <w:rPr>
          <w:rFonts w:ascii="Times New Roman" w:hAnsi="Times New Roman" w:cs="Times New Roman"/>
          <w:sz w:val="24"/>
          <w:szCs w:val="24"/>
        </w:rPr>
        <w:t>[2018] ARB/17/DOYLE, Appendix 3, para. 20)</w:t>
      </w:r>
      <w:r w:rsidR="000063C6">
        <w:rPr>
          <w:rFonts w:ascii="Times New Roman" w:hAnsi="Times New Roman" w:cs="Times New Roman"/>
          <w:sz w:val="24"/>
          <w:szCs w:val="24"/>
        </w:rPr>
        <w:t>.</w:t>
      </w:r>
    </w:p>
    <w:p w:rsidR="003E3BAD" w:rsidRDefault="003E3BAD" w:rsidP="00FE1487">
      <w:pPr>
        <w:jc w:val="both"/>
        <w:rPr>
          <w:rFonts w:ascii="Times New Roman" w:hAnsi="Times New Roman" w:cs="Times New Roman"/>
          <w:sz w:val="24"/>
          <w:szCs w:val="24"/>
        </w:rPr>
      </w:pPr>
      <w:r>
        <w:rPr>
          <w:rFonts w:ascii="Times New Roman" w:hAnsi="Times New Roman" w:cs="Times New Roman"/>
          <w:sz w:val="24"/>
          <w:szCs w:val="24"/>
        </w:rPr>
        <w:t>So, having considered that the underpinning regulations</w:t>
      </w:r>
      <w:r w:rsidR="00FF212A">
        <w:rPr>
          <w:rFonts w:ascii="Times New Roman" w:hAnsi="Times New Roman" w:cs="Times New Roman"/>
          <w:sz w:val="24"/>
          <w:szCs w:val="24"/>
        </w:rPr>
        <w:t xml:space="preserve"> are silent on requirements </w:t>
      </w:r>
      <w:r>
        <w:rPr>
          <w:rFonts w:ascii="Times New Roman" w:hAnsi="Times New Roman" w:cs="Times New Roman"/>
          <w:sz w:val="24"/>
          <w:szCs w:val="24"/>
        </w:rPr>
        <w:t>o</w:t>
      </w:r>
      <w:r w:rsidR="00FF212A">
        <w:rPr>
          <w:rFonts w:ascii="Times New Roman" w:hAnsi="Times New Roman" w:cs="Times New Roman"/>
          <w:sz w:val="24"/>
          <w:szCs w:val="24"/>
        </w:rPr>
        <w:t>n whether to</w:t>
      </w:r>
      <w:r>
        <w:rPr>
          <w:rFonts w:ascii="Times New Roman" w:hAnsi="Times New Roman" w:cs="Times New Roman"/>
          <w:sz w:val="24"/>
          <w:szCs w:val="24"/>
        </w:rPr>
        <w:t xml:space="preserve"> adopt a new </w:t>
      </w:r>
      <w:r w:rsidR="00E028EE">
        <w:rPr>
          <w:rFonts w:ascii="Times New Roman" w:hAnsi="Times New Roman" w:cs="Times New Roman"/>
          <w:sz w:val="24"/>
          <w:szCs w:val="24"/>
        </w:rPr>
        <w:t xml:space="preserve">tenancy or a deed of variation, when will the adjudicator intervene on the choice of MRO vehicle? </w:t>
      </w:r>
      <w:r w:rsidR="00F844CB">
        <w:rPr>
          <w:rFonts w:ascii="Times New Roman" w:hAnsi="Times New Roman" w:cs="Times New Roman"/>
          <w:sz w:val="24"/>
          <w:szCs w:val="24"/>
        </w:rPr>
        <w:t>Here, the determination turns again to a question of “reasonableness”</w:t>
      </w:r>
      <w:r w:rsidR="004E3256">
        <w:rPr>
          <w:rFonts w:ascii="Times New Roman" w:hAnsi="Times New Roman" w:cs="Times New Roman"/>
          <w:sz w:val="24"/>
          <w:szCs w:val="24"/>
        </w:rPr>
        <w:t xml:space="preserve">. The 2015 Act specifies that an MRO-compliant tenancy should not </w:t>
      </w:r>
      <w:r w:rsidR="00957884">
        <w:rPr>
          <w:rFonts w:ascii="Times New Roman" w:hAnsi="Times New Roman" w:cs="Times New Roman"/>
          <w:sz w:val="24"/>
          <w:szCs w:val="24"/>
        </w:rPr>
        <w:t>“</w:t>
      </w:r>
      <w:r w:rsidR="004E3256">
        <w:rPr>
          <w:rFonts w:ascii="Times New Roman" w:hAnsi="Times New Roman" w:cs="Times New Roman"/>
          <w:sz w:val="24"/>
          <w:szCs w:val="24"/>
        </w:rPr>
        <w:t>contain any unreasonable terms and conditions” (s. 43(4))</w:t>
      </w:r>
      <w:r w:rsidR="00957884">
        <w:rPr>
          <w:rFonts w:ascii="Times New Roman" w:hAnsi="Times New Roman" w:cs="Times New Roman"/>
          <w:sz w:val="24"/>
          <w:szCs w:val="24"/>
        </w:rPr>
        <w:t>, and – on the Deputy Pubs Code Adjudicator’s interpretation – the word “contain” is not limited to just the terms within any such agreement.</w:t>
      </w:r>
      <w:r w:rsidR="006B54A1">
        <w:rPr>
          <w:rFonts w:ascii="Times New Roman" w:hAnsi="Times New Roman" w:cs="Times New Roman"/>
          <w:sz w:val="24"/>
          <w:szCs w:val="24"/>
        </w:rPr>
        <w:t xml:space="preserve"> </w:t>
      </w:r>
      <w:r w:rsidR="00604E61">
        <w:rPr>
          <w:rFonts w:ascii="Times New Roman" w:hAnsi="Times New Roman" w:cs="Times New Roman"/>
          <w:sz w:val="24"/>
          <w:szCs w:val="24"/>
        </w:rPr>
        <w:t>Instead, it allows for an assessment of the reasonableness of adopting a requirement to enter into a new tenancy.</w:t>
      </w:r>
      <w:r w:rsidR="007F5B1A">
        <w:rPr>
          <w:rFonts w:ascii="Times New Roman" w:hAnsi="Times New Roman" w:cs="Times New Roman"/>
          <w:sz w:val="24"/>
          <w:szCs w:val="24"/>
        </w:rPr>
        <w:t xml:space="preserve"> Indeed, if – as above – the terms </w:t>
      </w:r>
      <w:proofErr w:type="gramStart"/>
      <w:r w:rsidR="007F5B1A">
        <w:rPr>
          <w:rFonts w:ascii="Times New Roman" w:hAnsi="Times New Roman" w:cs="Times New Roman"/>
          <w:sz w:val="24"/>
          <w:szCs w:val="24"/>
        </w:rPr>
        <w:t>cannot collectively be unreasonable</w:t>
      </w:r>
      <w:proofErr w:type="gramEnd"/>
      <w:r w:rsidR="007F5B1A">
        <w:rPr>
          <w:rFonts w:ascii="Times New Roman" w:hAnsi="Times New Roman" w:cs="Times New Roman"/>
          <w:sz w:val="24"/>
          <w:szCs w:val="24"/>
        </w:rPr>
        <w:t>, then it follows that the vehicle for the agreement is the aggregate of the proposed terms.</w:t>
      </w:r>
    </w:p>
    <w:p w:rsidR="00604E61" w:rsidRDefault="002832F5" w:rsidP="00FE1487">
      <w:pPr>
        <w:jc w:val="both"/>
        <w:rPr>
          <w:rFonts w:ascii="Times New Roman" w:hAnsi="Times New Roman" w:cs="Times New Roman"/>
          <w:sz w:val="24"/>
          <w:szCs w:val="24"/>
        </w:rPr>
      </w:pPr>
      <w:r>
        <w:rPr>
          <w:rFonts w:ascii="Times New Roman" w:hAnsi="Times New Roman" w:cs="Times New Roman"/>
          <w:sz w:val="24"/>
          <w:szCs w:val="24"/>
        </w:rPr>
        <w:t xml:space="preserve">Here, the reasonableness standard is the same as above: namely whether the MRO offer is “not on worse terms and conditions than that which would be made available to a free of tie tenant after negotiations on the open market” (see, </w:t>
      </w:r>
      <w:r w:rsidRPr="001633AD">
        <w:rPr>
          <w:rFonts w:ascii="Times New Roman" w:hAnsi="Times New Roman" w:cs="Times New Roman"/>
          <w:i/>
          <w:sz w:val="24"/>
          <w:szCs w:val="24"/>
        </w:rPr>
        <w:t>Elizabeth Doyle</w:t>
      </w:r>
      <w:r>
        <w:rPr>
          <w:rFonts w:ascii="Times New Roman" w:hAnsi="Times New Roman" w:cs="Times New Roman"/>
          <w:i/>
          <w:sz w:val="24"/>
          <w:szCs w:val="24"/>
        </w:rPr>
        <w:t xml:space="preserve"> </w:t>
      </w:r>
      <w:r>
        <w:rPr>
          <w:rFonts w:ascii="Times New Roman" w:hAnsi="Times New Roman" w:cs="Times New Roman"/>
          <w:sz w:val="24"/>
          <w:szCs w:val="24"/>
        </w:rPr>
        <w:t>[2018] ARB/17/DOYLE, Appendix 2, para. 17)</w:t>
      </w:r>
      <w:r w:rsidR="00E335CA">
        <w:rPr>
          <w:rFonts w:ascii="Times New Roman" w:hAnsi="Times New Roman" w:cs="Times New Roman"/>
          <w:sz w:val="24"/>
          <w:szCs w:val="24"/>
        </w:rPr>
        <w:t xml:space="preserve">. The </w:t>
      </w:r>
      <w:proofErr w:type="spellStart"/>
      <w:r w:rsidR="00E335CA">
        <w:rPr>
          <w:rFonts w:ascii="Times New Roman" w:hAnsi="Times New Roman" w:cs="Times New Roman"/>
          <w:sz w:val="24"/>
          <w:szCs w:val="24"/>
        </w:rPr>
        <w:t>PubCo</w:t>
      </w:r>
      <w:proofErr w:type="spellEnd"/>
      <w:r w:rsidR="00E335CA">
        <w:rPr>
          <w:rFonts w:ascii="Times New Roman" w:hAnsi="Times New Roman" w:cs="Times New Roman"/>
          <w:sz w:val="24"/>
          <w:szCs w:val="24"/>
        </w:rPr>
        <w:t xml:space="preserve"> should be prepared to provide good reasons to support their decision to offer a new tenancy as opposed to a deed of variation, and – if no such reasons are forthcoming – are likely to be making an unreasonable, and therefore non-compliant, MRO-offer.</w:t>
      </w:r>
    </w:p>
    <w:p w:rsidR="00450D64" w:rsidRDefault="00450D64" w:rsidP="00FE1487">
      <w:pPr>
        <w:jc w:val="both"/>
        <w:rPr>
          <w:rFonts w:ascii="Times New Roman" w:hAnsi="Times New Roman" w:cs="Times New Roman"/>
          <w:b/>
          <w:sz w:val="24"/>
          <w:szCs w:val="24"/>
        </w:rPr>
      </w:pPr>
      <w:r>
        <w:rPr>
          <w:rFonts w:ascii="Times New Roman" w:hAnsi="Times New Roman" w:cs="Times New Roman"/>
          <w:b/>
          <w:sz w:val="24"/>
          <w:szCs w:val="24"/>
        </w:rPr>
        <w:t>Conclusion</w:t>
      </w:r>
    </w:p>
    <w:p w:rsidR="00CE5C08" w:rsidRPr="00FE1487" w:rsidRDefault="0011642D" w:rsidP="00CD11CC">
      <w:pPr>
        <w:jc w:val="both"/>
        <w:rPr>
          <w:rFonts w:ascii="Times New Roman" w:hAnsi="Times New Roman" w:cs="Times New Roman"/>
          <w:sz w:val="24"/>
          <w:szCs w:val="24"/>
        </w:rPr>
      </w:pPr>
      <w:r>
        <w:rPr>
          <w:rFonts w:ascii="Times New Roman" w:hAnsi="Times New Roman" w:cs="Times New Roman"/>
          <w:sz w:val="24"/>
          <w:szCs w:val="24"/>
        </w:rPr>
        <w:lastRenderedPageBreak/>
        <w:t>What emerges from these early publicly available</w:t>
      </w:r>
      <w:r w:rsidR="00450D64">
        <w:rPr>
          <w:rFonts w:ascii="Times New Roman" w:hAnsi="Times New Roman" w:cs="Times New Roman"/>
          <w:sz w:val="24"/>
          <w:szCs w:val="24"/>
        </w:rPr>
        <w:t xml:space="preserve"> awards is</w:t>
      </w:r>
      <w:r w:rsidR="004E5E19">
        <w:rPr>
          <w:rFonts w:ascii="Times New Roman" w:hAnsi="Times New Roman" w:cs="Times New Roman"/>
          <w:sz w:val="24"/>
          <w:szCs w:val="24"/>
        </w:rPr>
        <w:t xml:space="preserve"> the</w:t>
      </w:r>
      <w:r w:rsidR="00A81E04">
        <w:rPr>
          <w:rFonts w:ascii="Times New Roman" w:hAnsi="Times New Roman" w:cs="Times New Roman"/>
          <w:sz w:val="24"/>
          <w:szCs w:val="24"/>
        </w:rPr>
        <w:t xml:space="preserve"> Pubs Code</w:t>
      </w:r>
      <w:r w:rsidR="004E5E19">
        <w:rPr>
          <w:rFonts w:ascii="Times New Roman" w:hAnsi="Times New Roman" w:cs="Times New Roman"/>
          <w:sz w:val="24"/>
          <w:szCs w:val="24"/>
        </w:rPr>
        <w:t xml:space="preserve"> adjudicator’s emphasis on a flexible interpretation of “</w:t>
      </w:r>
      <w:r w:rsidR="00A81E04">
        <w:rPr>
          <w:rFonts w:ascii="Times New Roman" w:hAnsi="Times New Roman" w:cs="Times New Roman"/>
          <w:sz w:val="24"/>
          <w:szCs w:val="24"/>
        </w:rPr>
        <w:t>reasonableness</w:t>
      </w:r>
      <w:r w:rsidR="004E5E19">
        <w:rPr>
          <w:rFonts w:ascii="Times New Roman" w:hAnsi="Times New Roman" w:cs="Times New Roman"/>
          <w:sz w:val="24"/>
          <w:szCs w:val="24"/>
        </w:rPr>
        <w:t>”</w:t>
      </w:r>
      <w:r w:rsidR="00A81E04">
        <w:rPr>
          <w:rFonts w:ascii="Times New Roman" w:hAnsi="Times New Roman" w:cs="Times New Roman"/>
          <w:sz w:val="24"/>
          <w:szCs w:val="24"/>
        </w:rPr>
        <w:t>. Under both the underpinning regulations in the 2015 Act and the Pubs Code itself, they adopt a</w:t>
      </w:r>
      <w:r w:rsidR="00450D64">
        <w:rPr>
          <w:rFonts w:ascii="Times New Roman" w:hAnsi="Times New Roman" w:cs="Times New Roman"/>
          <w:sz w:val="24"/>
          <w:szCs w:val="24"/>
        </w:rPr>
        <w:t xml:space="preserve"> wide discretion to consider both the reasonableness of individual terms in any proposed agreement</w:t>
      </w:r>
      <w:r w:rsidR="00A81E04">
        <w:rPr>
          <w:rFonts w:ascii="Times New Roman" w:hAnsi="Times New Roman" w:cs="Times New Roman"/>
          <w:sz w:val="24"/>
          <w:szCs w:val="24"/>
        </w:rPr>
        <w:t xml:space="preserve">. However, they have made clear that this extents to the </w:t>
      </w:r>
      <w:r w:rsidR="00450D64">
        <w:rPr>
          <w:rFonts w:ascii="Times New Roman" w:hAnsi="Times New Roman" w:cs="Times New Roman"/>
          <w:sz w:val="24"/>
          <w:szCs w:val="24"/>
        </w:rPr>
        <w:t xml:space="preserve">wider </w:t>
      </w:r>
      <w:r w:rsidR="00640342">
        <w:rPr>
          <w:rFonts w:ascii="Times New Roman" w:hAnsi="Times New Roman" w:cs="Times New Roman"/>
          <w:sz w:val="24"/>
          <w:szCs w:val="24"/>
        </w:rPr>
        <w:t>format</w:t>
      </w:r>
      <w:r w:rsidR="00236F5C">
        <w:rPr>
          <w:rFonts w:ascii="Times New Roman" w:hAnsi="Times New Roman" w:cs="Times New Roman"/>
          <w:sz w:val="24"/>
          <w:szCs w:val="24"/>
        </w:rPr>
        <w:t xml:space="preserve"> of the agreement as a whole</w:t>
      </w:r>
      <w:r w:rsidR="00A81E04">
        <w:rPr>
          <w:rFonts w:ascii="Times New Roman" w:hAnsi="Times New Roman" w:cs="Times New Roman"/>
          <w:sz w:val="24"/>
          <w:szCs w:val="24"/>
        </w:rPr>
        <w:t xml:space="preserve"> and other contextual factors. As the Deputy Adjudicator put it, “what is reasonable in one case for one particular pub may not be reasonable for another” (see, </w:t>
      </w:r>
      <w:r w:rsidR="00A81E04" w:rsidRPr="001633AD">
        <w:rPr>
          <w:rFonts w:ascii="Times New Roman" w:hAnsi="Times New Roman" w:cs="Times New Roman"/>
          <w:i/>
          <w:sz w:val="24"/>
          <w:szCs w:val="24"/>
        </w:rPr>
        <w:t xml:space="preserve">Elizabeth Doyle </w:t>
      </w:r>
      <w:r w:rsidR="00A81E04">
        <w:rPr>
          <w:rFonts w:ascii="Times New Roman" w:hAnsi="Times New Roman" w:cs="Times New Roman"/>
          <w:sz w:val="24"/>
          <w:szCs w:val="24"/>
        </w:rPr>
        <w:t>[2018] ARB/17/DOYLE, Appendix 2, para. 10)</w:t>
      </w:r>
      <w:r w:rsidR="00236F5C">
        <w:rPr>
          <w:rFonts w:ascii="Times New Roman" w:hAnsi="Times New Roman" w:cs="Times New Roman"/>
          <w:sz w:val="24"/>
          <w:szCs w:val="24"/>
        </w:rPr>
        <w:t>.</w:t>
      </w:r>
      <w:r w:rsidR="00A81E04">
        <w:rPr>
          <w:rFonts w:ascii="Times New Roman" w:hAnsi="Times New Roman" w:cs="Times New Roman"/>
          <w:sz w:val="24"/>
          <w:szCs w:val="24"/>
        </w:rPr>
        <w:t xml:space="preserve"> This broader interpretation of their remit is i</w:t>
      </w:r>
      <w:r w:rsidR="00236F5C">
        <w:rPr>
          <w:rFonts w:ascii="Times New Roman" w:hAnsi="Times New Roman" w:cs="Times New Roman"/>
          <w:sz w:val="24"/>
          <w:szCs w:val="24"/>
        </w:rPr>
        <w:t xml:space="preserve">n line with the Pubs Code’s </w:t>
      </w:r>
      <w:r w:rsidR="00E832BC">
        <w:rPr>
          <w:rFonts w:ascii="Times New Roman" w:hAnsi="Times New Roman" w:cs="Times New Roman"/>
          <w:sz w:val="24"/>
          <w:szCs w:val="24"/>
        </w:rPr>
        <w:t xml:space="preserve">overarching </w:t>
      </w:r>
      <w:r w:rsidR="00236F5C">
        <w:rPr>
          <w:rFonts w:ascii="Times New Roman" w:hAnsi="Times New Roman" w:cs="Times New Roman"/>
          <w:sz w:val="24"/>
          <w:szCs w:val="24"/>
        </w:rPr>
        <w:t>ethos to ensure that “</w:t>
      </w:r>
      <w:r w:rsidR="00236F5C" w:rsidRPr="00FD266A">
        <w:rPr>
          <w:rFonts w:ascii="Times New Roman" w:hAnsi="Times New Roman" w:cs="Times New Roman"/>
          <w:sz w:val="24"/>
          <w:szCs w:val="24"/>
        </w:rPr>
        <w:t xml:space="preserve">tied pub tenants should not be worse off than they would be if they were not subject to </w:t>
      </w:r>
      <w:r w:rsidR="00236F5C">
        <w:rPr>
          <w:rFonts w:ascii="Times New Roman" w:hAnsi="Times New Roman" w:cs="Times New Roman"/>
          <w:sz w:val="24"/>
          <w:szCs w:val="24"/>
        </w:rPr>
        <w:t>any product or service tie” (s.42(2) of</w:t>
      </w:r>
      <w:r w:rsidR="003D4B03">
        <w:rPr>
          <w:rFonts w:ascii="Times New Roman" w:hAnsi="Times New Roman" w:cs="Times New Roman"/>
          <w:sz w:val="24"/>
          <w:szCs w:val="24"/>
        </w:rPr>
        <w:t xml:space="preserve"> </w:t>
      </w:r>
      <w:r w:rsidR="00A81E04">
        <w:rPr>
          <w:rFonts w:ascii="Times New Roman" w:hAnsi="Times New Roman" w:cs="Times New Roman"/>
          <w:sz w:val="24"/>
          <w:szCs w:val="24"/>
        </w:rPr>
        <w:t>the 2015 Act).</w:t>
      </w:r>
    </w:p>
    <w:sectPr w:rsidR="00CE5C08" w:rsidRPr="00FE1487">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389" w:rsidRDefault="00114389" w:rsidP="007C5D5D">
      <w:pPr>
        <w:spacing w:after="0" w:line="240" w:lineRule="auto"/>
      </w:pPr>
      <w:r>
        <w:separator/>
      </w:r>
    </w:p>
  </w:endnote>
  <w:endnote w:type="continuationSeparator" w:id="0">
    <w:p w:rsidR="00114389" w:rsidRDefault="00114389" w:rsidP="007C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389" w:rsidRDefault="00114389" w:rsidP="007C5D5D">
      <w:pPr>
        <w:spacing w:after="0" w:line="240" w:lineRule="auto"/>
      </w:pPr>
      <w:r>
        <w:separator/>
      </w:r>
    </w:p>
  </w:footnote>
  <w:footnote w:type="continuationSeparator" w:id="0">
    <w:p w:rsidR="00114389" w:rsidRDefault="00114389" w:rsidP="007C5D5D">
      <w:pPr>
        <w:spacing w:after="0" w:line="240" w:lineRule="auto"/>
      </w:pPr>
      <w:r>
        <w:continuationSeparator/>
      </w:r>
    </w:p>
  </w:footnote>
  <w:footnote w:id="1">
    <w:p w:rsidR="007C5D5D" w:rsidRDefault="007C5D5D">
      <w:pPr>
        <w:pStyle w:val="FootnoteText"/>
        <w:rPr>
          <w:rFonts w:ascii="Times New Roman" w:hAnsi="Times New Roman" w:cs="Times New Roman"/>
          <w:sz w:val="22"/>
          <w:szCs w:val="22"/>
        </w:rPr>
      </w:pPr>
      <w:r w:rsidRPr="007C5D5D">
        <w:rPr>
          <w:rStyle w:val="FootnoteReference"/>
          <w:rFonts w:ascii="Times New Roman" w:hAnsi="Times New Roman" w:cs="Times New Roman"/>
          <w:sz w:val="22"/>
          <w:szCs w:val="22"/>
        </w:rPr>
        <w:footnoteRef/>
      </w:r>
      <w:r w:rsidRPr="007C5D5D">
        <w:rPr>
          <w:rFonts w:ascii="Times New Roman" w:hAnsi="Times New Roman" w:cs="Times New Roman"/>
          <w:sz w:val="22"/>
          <w:szCs w:val="22"/>
        </w:rPr>
        <w:t xml:space="preserve"> Lecturer in Law, York Law School, University of York, UK.</w:t>
      </w:r>
    </w:p>
    <w:p w:rsidR="007C5D5D" w:rsidRPr="007C5D5D" w:rsidRDefault="007C5D5D">
      <w:pPr>
        <w:pStyle w:val="FootnoteText"/>
        <w:rPr>
          <w:rFonts w:ascii="Times New Roman" w:hAnsi="Times New Roman" w:cs="Times New Roman"/>
          <w:sz w:val="22"/>
          <w:szCs w:val="22"/>
        </w:rPr>
      </w:pPr>
      <w:r>
        <w:rPr>
          <w:rFonts w:ascii="Times New Roman" w:hAnsi="Times New Roman" w:cs="Times New Roman"/>
          <w:sz w:val="22"/>
          <w:szCs w:val="22"/>
        </w:rPr>
        <w:t>Email: jed.meers@york.ac.uk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A61F6"/>
    <w:multiLevelType w:val="hybridMultilevel"/>
    <w:tmpl w:val="8FCAD74C"/>
    <w:lvl w:ilvl="0" w:tplc="9A762D3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E125DB"/>
    <w:multiLevelType w:val="hybridMultilevel"/>
    <w:tmpl w:val="05943E36"/>
    <w:lvl w:ilvl="0" w:tplc="DAAC8B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4D"/>
    <w:rsid w:val="00000188"/>
    <w:rsid w:val="00000A86"/>
    <w:rsid w:val="000063C6"/>
    <w:rsid w:val="00022A24"/>
    <w:rsid w:val="000405C5"/>
    <w:rsid w:val="00072219"/>
    <w:rsid w:val="00093F2A"/>
    <w:rsid w:val="000A6D25"/>
    <w:rsid w:val="000B7CAE"/>
    <w:rsid w:val="000C43F1"/>
    <w:rsid w:val="000C7C14"/>
    <w:rsid w:val="000E1B2E"/>
    <w:rsid w:val="000E6431"/>
    <w:rsid w:val="00102DFC"/>
    <w:rsid w:val="00103E63"/>
    <w:rsid w:val="00114389"/>
    <w:rsid w:val="0011642D"/>
    <w:rsid w:val="00154C08"/>
    <w:rsid w:val="00162EAB"/>
    <w:rsid w:val="001633AD"/>
    <w:rsid w:val="001640C4"/>
    <w:rsid w:val="001663D2"/>
    <w:rsid w:val="0017091D"/>
    <w:rsid w:val="00190D44"/>
    <w:rsid w:val="001A640F"/>
    <w:rsid w:val="001A73B1"/>
    <w:rsid w:val="001A7AE8"/>
    <w:rsid w:val="001B28CC"/>
    <w:rsid w:val="001C04C7"/>
    <w:rsid w:val="001C39BD"/>
    <w:rsid w:val="00212518"/>
    <w:rsid w:val="002236AB"/>
    <w:rsid w:val="00232B3E"/>
    <w:rsid w:val="00236F5C"/>
    <w:rsid w:val="00255706"/>
    <w:rsid w:val="00267E9E"/>
    <w:rsid w:val="002832F5"/>
    <w:rsid w:val="002911E4"/>
    <w:rsid w:val="0029297E"/>
    <w:rsid w:val="002C3268"/>
    <w:rsid w:val="002D4A22"/>
    <w:rsid w:val="00311B15"/>
    <w:rsid w:val="00320CC1"/>
    <w:rsid w:val="00327BAB"/>
    <w:rsid w:val="00333055"/>
    <w:rsid w:val="003368AD"/>
    <w:rsid w:val="00346413"/>
    <w:rsid w:val="00356112"/>
    <w:rsid w:val="00370647"/>
    <w:rsid w:val="003A5760"/>
    <w:rsid w:val="003D03D3"/>
    <w:rsid w:val="003D4B03"/>
    <w:rsid w:val="003E23A6"/>
    <w:rsid w:val="003E3BAD"/>
    <w:rsid w:val="003F27D9"/>
    <w:rsid w:val="003F5457"/>
    <w:rsid w:val="0040656C"/>
    <w:rsid w:val="00421BC6"/>
    <w:rsid w:val="0043177E"/>
    <w:rsid w:val="00450D64"/>
    <w:rsid w:val="00455C79"/>
    <w:rsid w:val="00462DBA"/>
    <w:rsid w:val="004B4EE5"/>
    <w:rsid w:val="004D2E96"/>
    <w:rsid w:val="004E10B3"/>
    <w:rsid w:val="004E3256"/>
    <w:rsid w:val="004E5E19"/>
    <w:rsid w:val="005232C2"/>
    <w:rsid w:val="00526435"/>
    <w:rsid w:val="005338D9"/>
    <w:rsid w:val="00554874"/>
    <w:rsid w:val="00554B7D"/>
    <w:rsid w:val="0056709E"/>
    <w:rsid w:val="005F0903"/>
    <w:rsid w:val="00604E61"/>
    <w:rsid w:val="00620B94"/>
    <w:rsid w:val="006342F6"/>
    <w:rsid w:val="00640342"/>
    <w:rsid w:val="006630AD"/>
    <w:rsid w:val="0066733A"/>
    <w:rsid w:val="00673CE1"/>
    <w:rsid w:val="006B54A1"/>
    <w:rsid w:val="006C79E0"/>
    <w:rsid w:val="006F3A03"/>
    <w:rsid w:val="00765214"/>
    <w:rsid w:val="00774B9F"/>
    <w:rsid w:val="007C5D5D"/>
    <w:rsid w:val="007E0FF7"/>
    <w:rsid w:val="007F158C"/>
    <w:rsid w:val="007F5B1A"/>
    <w:rsid w:val="008364FE"/>
    <w:rsid w:val="00873FB5"/>
    <w:rsid w:val="008A074D"/>
    <w:rsid w:val="008B7B44"/>
    <w:rsid w:val="008C0956"/>
    <w:rsid w:val="008C5BF8"/>
    <w:rsid w:val="008D209D"/>
    <w:rsid w:val="008E418A"/>
    <w:rsid w:val="008F0094"/>
    <w:rsid w:val="009014AC"/>
    <w:rsid w:val="00915100"/>
    <w:rsid w:val="00927DCF"/>
    <w:rsid w:val="00933EF3"/>
    <w:rsid w:val="00953E16"/>
    <w:rsid w:val="00957884"/>
    <w:rsid w:val="00971806"/>
    <w:rsid w:val="00980766"/>
    <w:rsid w:val="009C6A7F"/>
    <w:rsid w:val="009F7755"/>
    <w:rsid w:val="00A128C1"/>
    <w:rsid w:val="00A145DC"/>
    <w:rsid w:val="00A36992"/>
    <w:rsid w:val="00A40252"/>
    <w:rsid w:val="00A42D0A"/>
    <w:rsid w:val="00A4404D"/>
    <w:rsid w:val="00A467D3"/>
    <w:rsid w:val="00A64007"/>
    <w:rsid w:val="00A81E04"/>
    <w:rsid w:val="00A900FF"/>
    <w:rsid w:val="00AB3B4C"/>
    <w:rsid w:val="00AB7432"/>
    <w:rsid w:val="00AC2D2E"/>
    <w:rsid w:val="00AC580E"/>
    <w:rsid w:val="00AF3639"/>
    <w:rsid w:val="00B166D5"/>
    <w:rsid w:val="00B22519"/>
    <w:rsid w:val="00B4535B"/>
    <w:rsid w:val="00B947E3"/>
    <w:rsid w:val="00BA28A8"/>
    <w:rsid w:val="00BC125A"/>
    <w:rsid w:val="00C252D8"/>
    <w:rsid w:val="00C3691F"/>
    <w:rsid w:val="00C53E69"/>
    <w:rsid w:val="00C5605D"/>
    <w:rsid w:val="00C7318E"/>
    <w:rsid w:val="00C92F11"/>
    <w:rsid w:val="00CA3EFF"/>
    <w:rsid w:val="00CB4028"/>
    <w:rsid w:val="00CC26C5"/>
    <w:rsid w:val="00CD11CC"/>
    <w:rsid w:val="00CE39E5"/>
    <w:rsid w:val="00CE5C08"/>
    <w:rsid w:val="00CF4ED2"/>
    <w:rsid w:val="00D10473"/>
    <w:rsid w:val="00D14D71"/>
    <w:rsid w:val="00D21D68"/>
    <w:rsid w:val="00D30E42"/>
    <w:rsid w:val="00D4079C"/>
    <w:rsid w:val="00D45667"/>
    <w:rsid w:val="00D833AE"/>
    <w:rsid w:val="00E028EE"/>
    <w:rsid w:val="00E201CA"/>
    <w:rsid w:val="00E21E91"/>
    <w:rsid w:val="00E335CA"/>
    <w:rsid w:val="00E51FA6"/>
    <w:rsid w:val="00E6618A"/>
    <w:rsid w:val="00E7035C"/>
    <w:rsid w:val="00E72720"/>
    <w:rsid w:val="00E7350A"/>
    <w:rsid w:val="00E832BC"/>
    <w:rsid w:val="00E96868"/>
    <w:rsid w:val="00EC4C42"/>
    <w:rsid w:val="00EC71AF"/>
    <w:rsid w:val="00EE3A43"/>
    <w:rsid w:val="00EE4FDC"/>
    <w:rsid w:val="00EF070E"/>
    <w:rsid w:val="00EF5B4D"/>
    <w:rsid w:val="00F07BF9"/>
    <w:rsid w:val="00F71F38"/>
    <w:rsid w:val="00F844CB"/>
    <w:rsid w:val="00FD266A"/>
    <w:rsid w:val="00FE1487"/>
    <w:rsid w:val="00FF2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73ED"/>
  <w15:chartTrackingRefBased/>
  <w15:docId w15:val="{E7CA1C17-45E2-4144-9F6A-1A930C1C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DBA"/>
    <w:pPr>
      <w:ind w:left="720"/>
      <w:contextualSpacing/>
    </w:pPr>
  </w:style>
  <w:style w:type="paragraph" w:styleId="EndnoteText">
    <w:name w:val="endnote text"/>
    <w:basedOn w:val="Normal"/>
    <w:link w:val="EndnoteTextChar"/>
    <w:uiPriority w:val="99"/>
    <w:semiHidden/>
    <w:unhideWhenUsed/>
    <w:rsid w:val="007C5D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5D5D"/>
    <w:rPr>
      <w:sz w:val="20"/>
      <w:szCs w:val="20"/>
    </w:rPr>
  </w:style>
  <w:style w:type="character" w:styleId="EndnoteReference">
    <w:name w:val="endnote reference"/>
    <w:basedOn w:val="DefaultParagraphFont"/>
    <w:uiPriority w:val="99"/>
    <w:semiHidden/>
    <w:unhideWhenUsed/>
    <w:rsid w:val="007C5D5D"/>
    <w:rPr>
      <w:vertAlign w:val="superscript"/>
    </w:rPr>
  </w:style>
  <w:style w:type="paragraph" w:styleId="FootnoteText">
    <w:name w:val="footnote text"/>
    <w:basedOn w:val="Normal"/>
    <w:link w:val="FootnoteTextChar"/>
    <w:uiPriority w:val="99"/>
    <w:semiHidden/>
    <w:unhideWhenUsed/>
    <w:rsid w:val="007C5D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D5D"/>
    <w:rPr>
      <w:sz w:val="20"/>
      <w:szCs w:val="20"/>
    </w:rPr>
  </w:style>
  <w:style w:type="character" w:styleId="FootnoteReference">
    <w:name w:val="footnote reference"/>
    <w:basedOn w:val="DefaultParagraphFont"/>
    <w:uiPriority w:val="99"/>
    <w:semiHidden/>
    <w:unhideWhenUsed/>
    <w:rsid w:val="007C5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5CB7A-4A2A-4A3E-9921-82468E47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5</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Meers</dc:creator>
  <cp:keywords/>
  <dc:description/>
  <cp:lastModifiedBy>Jed Meers</cp:lastModifiedBy>
  <cp:revision>391</cp:revision>
  <dcterms:created xsi:type="dcterms:W3CDTF">2019-10-09T07:56:00Z</dcterms:created>
  <dcterms:modified xsi:type="dcterms:W3CDTF">2020-01-28T10:40:00Z</dcterms:modified>
</cp:coreProperties>
</file>